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2022年度部门整体支出绩效评价基础数据表</w:t>
      </w:r>
    </w:p>
    <w:p/>
    <w:p>
      <w:pPr>
        <w:spacing w:line="65" w:lineRule="exact"/>
      </w:pPr>
    </w:p>
    <w:tbl>
      <w:tblPr>
        <w:tblStyle w:val="6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7"/>
        <w:gridCol w:w="1863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297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1863" w:type="dxa"/>
            <w:vAlign w:val="top"/>
          </w:tcPr>
          <w:p>
            <w:pPr>
              <w:spacing w:before="163" w:line="219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427" w:type="dxa"/>
            <w:vAlign w:val="top"/>
          </w:tcPr>
          <w:p>
            <w:pPr>
              <w:spacing w:before="163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2022年实际在职人数</w:t>
            </w:r>
          </w:p>
        </w:tc>
        <w:tc>
          <w:tcPr>
            <w:tcW w:w="1673" w:type="dxa"/>
            <w:vAlign w:val="top"/>
          </w:tcPr>
          <w:p>
            <w:pPr>
              <w:spacing w:before="163" w:line="219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70" w:line="220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1863" w:type="dxa"/>
            <w:vAlign w:val="top"/>
          </w:tcPr>
          <w:p>
            <w:pPr>
              <w:spacing w:before="16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2021年决算数</w:t>
            </w:r>
          </w:p>
        </w:tc>
        <w:tc>
          <w:tcPr>
            <w:tcW w:w="2427" w:type="dxa"/>
            <w:vAlign w:val="top"/>
          </w:tcPr>
          <w:p>
            <w:pPr>
              <w:spacing w:before="1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2022年预算数</w:t>
            </w:r>
          </w:p>
        </w:tc>
        <w:tc>
          <w:tcPr>
            <w:tcW w:w="1673" w:type="dxa"/>
            <w:vAlign w:val="top"/>
          </w:tcPr>
          <w:p>
            <w:pPr>
              <w:spacing w:before="169" w:line="219" w:lineRule="auto"/>
              <w:ind w:left="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、基本支出：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557.74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350.6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350.60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61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其中：三公经费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2.86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1.公务用车购置和维护经费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62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63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2.出国经费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73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3.公务接待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2.86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97" w:type="dxa"/>
            <w:vAlign w:val="top"/>
          </w:tcPr>
          <w:p>
            <w:pPr>
              <w:spacing w:before="165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二、项目支出：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6617.7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6793.9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6793.9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1.其他巩固脱贫衔接乡村振兴支出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3394.00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3394.00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2.公路建设支出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250.00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3.公路养护支出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1188.00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1188.00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4.其他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公路水路运输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支出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1958.90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1958.90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5. 一般行政管理事务支出</w:t>
            </w: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297" w:type="dxa"/>
            <w:vAlign w:val="center"/>
          </w:tcPr>
          <w:p>
            <w:pPr>
              <w:spacing w:before="162" w:line="219" w:lineRule="auto"/>
              <w:ind w:left="9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厉行节约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保障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措施</w:t>
            </w:r>
          </w:p>
        </w:tc>
        <w:tc>
          <w:tcPr>
            <w:tcW w:w="5963" w:type="dxa"/>
            <w:gridSpan w:val="3"/>
            <w:vAlign w:val="center"/>
          </w:tcPr>
          <w:p>
            <w:pPr>
              <w:spacing w:before="162" w:line="219" w:lineRule="auto"/>
              <w:ind w:left="95" w:firstLine="420" w:firstLineChars="2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宣传动员过紧</w:t>
            </w:r>
            <w:r>
              <w:rPr>
                <w:rFonts w:hint="eastAsia" w:eastAsia="宋体"/>
                <w:sz w:val="21"/>
                <w:lang w:eastAsia="zh-CN"/>
              </w:rPr>
              <w:t>日子的观念，强化勤俭认识；加强党风廉政建设，严格控制行政支出，节约办公耗材、水电，压缩三公经费；严肃财经纪律，加强督查，认真开展自查自纠。</w:t>
            </w:r>
          </w:p>
        </w:tc>
      </w:tr>
    </w:tbl>
    <w:p>
      <w:pPr>
        <w:spacing w:before="132" w:line="336" w:lineRule="auto"/>
        <w:ind w:left="95" w:right="10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hAnsi="宋体" w:eastAsia="宋体" w:cs="宋体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细表(财决05-2表)。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72" w:line="232" w:lineRule="auto"/>
        <w:ind w:left="95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填表人：</w:t>
      </w:r>
      <w:r>
        <w:rPr>
          <w:rFonts w:hint="eastAsia" w:ascii="仿宋" w:hAnsi="仿宋" w:eastAsia="仿宋" w:cs="仿宋"/>
          <w:spacing w:val="-22"/>
          <w:position w:val="-1"/>
          <w:sz w:val="22"/>
          <w:szCs w:val="22"/>
          <w:lang w:val="en-US" w:eastAsia="zh-CN"/>
        </w:rPr>
        <w:t>吴丹</w:t>
      </w:r>
      <w:r>
        <w:rPr>
          <w:rFonts w:ascii="仿宋" w:hAnsi="仿宋" w:eastAsia="仿宋" w:cs="仿宋"/>
          <w:spacing w:val="3"/>
          <w:position w:val="-1"/>
          <w:sz w:val="22"/>
          <w:szCs w:val="22"/>
        </w:rPr>
        <w:t xml:space="preserve">      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spacing w:val="-22"/>
          <w:sz w:val="22"/>
          <w:szCs w:val="22"/>
          <w:lang w:val="en-US" w:eastAsia="zh-CN"/>
        </w:rPr>
        <w:t>2023-7-6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    </w:t>
      </w:r>
      <w:r>
        <w:rPr>
          <w:rFonts w:ascii="仿宋" w:hAnsi="仿宋" w:eastAsia="仿宋" w:cs="仿宋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spacing w:val="-22"/>
          <w:sz w:val="22"/>
          <w:szCs w:val="22"/>
          <w:lang w:val="en-US" w:eastAsia="zh-CN"/>
        </w:rPr>
        <w:t>4131157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22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pacing w:val="-22"/>
          <w:sz w:val="22"/>
          <w:szCs w:val="22"/>
          <w:lang w:val="en-US" w:eastAsia="zh-CN"/>
        </w:rPr>
        <w:t>唐龙</w:t>
      </w:r>
    </w:p>
    <w:p>
      <w:pPr>
        <w:sectPr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before="113" w:line="224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219" w:lineRule="auto"/>
        <w:ind w:left="1871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2022年度部门整体支出绩效自评表</w:t>
      </w:r>
    </w:p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11"/>
        <w:gridCol w:w="773"/>
        <w:gridCol w:w="1547"/>
        <w:gridCol w:w="1228"/>
        <w:gridCol w:w="1179"/>
        <w:gridCol w:w="659"/>
        <w:gridCol w:w="1129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right="168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县级预算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919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7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华容县交通运输局（本级）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right="188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年度预算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362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393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93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75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5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6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47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6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33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277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7144.50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7144.50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按收入性质分：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val="en-US" w:eastAsia="zh-CN"/>
              </w:rPr>
              <w:t>7144.50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6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按支出性质分：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val="en-US" w:eastAsia="zh-CN"/>
              </w:rPr>
              <w:t>7144.50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其中：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7144.50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6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>350.60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70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政府性基金拨款：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705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6793.90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纳入专户管理的非税收入拨款：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35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其他资金：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right="21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right="21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总体目标</w:t>
            </w: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10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预期目标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05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" w:firstLine="360" w:firstLineChars="200"/>
              <w:textAlignment w:val="baseline"/>
              <w:rPr>
                <w:rFonts w:ascii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highlight w:val="none"/>
              </w:rPr>
              <w:t>按照县委、县政府总体部署，围绕人民满意交通目标为抓手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，争项争资，</w:t>
            </w:r>
            <w:r>
              <w:rPr>
                <w:rFonts w:hint="eastAsia" w:ascii="Arial"/>
                <w:color w:val="auto"/>
                <w:sz w:val="18"/>
                <w:szCs w:val="18"/>
                <w:highlight w:val="none"/>
              </w:rPr>
              <w:t>推进项目建设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，提升乡村振兴</w:t>
            </w:r>
            <w:r>
              <w:rPr>
                <w:rFonts w:hint="eastAsia" w:ascii="Arial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强化市场秩序管理，</w:t>
            </w:r>
            <w:r>
              <w:rPr>
                <w:rFonts w:hint="eastAsia" w:ascii="Arial"/>
                <w:color w:val="auto"/>
                <w:sz w:val="18"/>
                <w:szCs w:val="18"/>
                <w:highlight w:val="none"/>
              </w:rPr>
              <w:t>优化管理服务；强化基础保障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，严格预算管理，确保行政运行正常，队伍稳定</w:t>
            </w:r>
            <w:r>
              <w:rPr>
                <w:rFonts w:hint="eastAsia" w:ascii="Arial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" w:firstLine="360" w:firstLineChars="200"/>
              <w:textAlignment w:val="baseline"/>
              <w:rPr>
                <w:rFonts w:hint="eastAsia" w:ascii="Arial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年度预算收支平衡，部门运转稳定；完成基本民生和重大项目交工通行，完成农村公路建设和养护任务；市场秩序良好，完成营商环境治理，完成春运等重点运输保障工作；公路管理进一步深入，完成路域环境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2814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271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1"/>
                <w:szCs w:val="21"/>
                <w:highlight w:val="none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71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exact"/>
              <w:ind w:left="261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position w:val="4"/>
                <w:sz w:val="21"/>
                <w:szCs w:val="21"/>
                <w:highlight w:val="none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61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362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62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393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93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指标值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exact"/>
              <w:ind w:left="375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position w:val="4"/>
                <w:sz w:val="21"/>
                <w:szCs w:val="21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5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完成值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6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348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457" w:right="152" w:hanging="309"/>
              <w:jc w:val="both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偏差原因分析及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1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1"/>
                <w:szCs w:val="21"/>
                <w:highlight w:val="none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(50分)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5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开展重点主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题宣传策划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安全生产、文明创建、市场维稳、行政执法主题宣传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4次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开展党风廉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政教育活动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2次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交通公共基础设施项目建设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农村公路管养、建设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2000公里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exact"/>
              <w:ind w:left="3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重点项目建设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1座桥梁、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重启塔市码头建设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exact"/>
              <w:ind w:left="3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规划编制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以花注公路前期为主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交工检测合格率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≧90%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41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学法考法合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格率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普通公路超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限超载率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两客一危车辆上传交通部数据覆盖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；水上交通安全视频监控信息处置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年度目标任务完成情况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预算执行率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资金使用效率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项目合约执行情况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pStyle w:val="2"/>
        <w:ind w:left="0" w:leftChars="0" w:firstLine="0" w:firstLineChars="0"/>
      </w:pPr>
    </w:p>
    <w:tbl>
      <w:tblPr>
        <w:tblStyle w:val="6"/>
        <w:tblW w:w="10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89"/>
        <w:gridCol w:w="925"/>
        <w:gridCol w:w="1193"/>
        <w:gridCol w:w="1228"/>
        <w:gridCol w:w="1179"/>
        <w:gridCol w:w="659"/>
        <w:gridCol w:w="111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atLeast"/>
          <w:jc w:val="center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7" w:line="217" w:lineRule="auto"/>
              <w:ind w:left="364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标</w:t>
            </w:r>
          </w:p>
        </w:tc>
        <w:tc>
          <w:tcPr>
            <w:tcW w:w="989" w:type="dxa"/>
            <w:vAlign w:val="top"/>
          </w:tcPr>
          <w:p>
            <w:pPr>
              <w:spacing w:before="147" w:line="231" w:lineRule="auto"/>
              <w:ind w:left="25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3"/>
                <w:szCs w:val="23"/>
              </w:rPr>
              <w:t>一级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925" w:type="dxa"/>
            <w:vAlign w:val="top"/>
          </w:tcPr>
          <w:p>
            <w:pPr>
              <w:spacing w:before="167" w:line="207" w:lineRule="auto"/>
              <w:ind w:left="23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二级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193" w:type="dxa"/>
            <w:vAlign w:val="top"/>
          </w:tcPr>
          <w:p>
            <w:pPr>
              <w:spacing w:before="167" w:line="207" w:lineRule="auto"/>
              <w:ind w:left="34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三级</w:t>
            </w:r>
          </w:p>
          <w:p>
            <w:pPr>
              <w:spacing w:line="220" w:lineRule="auto"/>
              <w:ind w:left="34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28" w:type="dxa"/>
            <w:vAlign w:val="top"/>
          </w:tcPr>
          <w:p>
            <w:pPr>
              <w:spacing w:before="144" w:line="225" w:lineRule="auto"/>
              <w:ind w:left="374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</w:rPr>
              <w:t>年度</w:t>
            </w:r>
          </w:p>
          <w:p>
            <w:pPr>
              <w:spacing w:line="219" w:lineRule="auto"/>
              <w:ind w:left="26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指标值</w:t>
            </w:r>
          </w:p>
        </w:tc>
        <w:tc>
          <w:tcPr>
            <w:tcW w:w="1179" w:type="dxa"/>
            <w:vAlign w:val="top"/>
          </w:tcPr>
          <w:p>
            <w:pPr>
              <w:spacing w:before="145" w:line="232" w:lineRule="auto"/>
              <w:ind w:left="356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实际</w:t>
            </w:r>
          </w:p>
          <w:p>
            <w:pPr>
              <w:spacing w:line="219" w:lineRule="auto"/>
              <w:ind w:left="23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完成值</w:t>
            </w:r>
          </w:p>
        </w:tc>
        <w:tc>
          <w:tcPr>
            <w:tcW w:w="659" w:type="dxa"/>
            <w:vAlign w:val="top"/>
          </w:tcPr>
          <w:p>
            <w:pPr>
              <w:spacing w:before="314" w:line="219" w:lineRule="auto"/>
              <w:ind w:left="97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分值</w:t>
            </w:r>
          </w:p>
        </w:tc>
        <w:tc>
          <w:tcPr>
            <w:tcW w:w="1119" w:type="dxa"/>
            <w:vAlign w:val="top"/>
          </w:tcPr>
          <w:p>
            <w:pPr>
              <w:spacing w:before="314" w:line="219" w:lineRule="auto"/>
              <w:ind w:left="328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753" w:type="dxa"/>
            <w:vAlign w:val="top"/>
          </w:tcPr>
          <w:p>
            <w:pPr>
              <w:spacing w:before="184" w:line="222" w:lineRule="auto"/>
              <w:ind w:left="408" w:right="51" w:hanging="339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3"/>
                <w:szCs w:val="23"/>
              </w:rPr>
              <w:t>偏差原因分析及</w:t>
            </w: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3"/>
                <w:szCs w:val="23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4" w:line="221" w:lineRule="auto"/>
              <w:ind w:left="140" w:right="97" w:firstLine="11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spacing w:line="384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75" w:line="214" w:lineRule="auto"/>
              <w:ind w:left="122" w:right="117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经济效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积极对接国省交通强国战略，促进我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争项争资完成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1.5亿元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1.5亿元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降低超限超载车辆对路面的损坏，保护路产路权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开展科技治超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培育、升级运输市场，打造良好营商环境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社会公众出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行成本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下降、安全指标提高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出行方式多元化、安全事故下降。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tcBorders>
              <w:bottom w:val="nil"/>
            </w:tcBorders>
            <w:vAlign w:val="center"/>
          </w:tcPr>
          <w:p>
            <w:pPr>
              <w:spacing w:before="75" w:line="219" w:lineRule="auto"/>
              <w:ind w:left="122" w:right="117"/>
              <w:jc w:val="center"/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交通项目建设投资成本下降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配合财政评审，严格控制项目变更、调差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实际成本有控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19" w:lineRule="auto"/>
              <w:ind w:left="122" w:right="117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社会效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提高安全生产和应急管理水平，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护社会稳定，提高人民群众幸福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感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提高安全生产和应急管理水平，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护社会稳定，提高人民群众幸福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优化交通项目建设方案，提升项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目服务水平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优化交通项目建设方案，提升项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目服务水平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tcBorders>
              <w:bottom w:val="nil"/>
            </w:tcBorders>
            <w:vAlign w:val="center"/>
          </w:tcPr>
          <w:p>
            <w:pPr>
              <w:spacing w:before="75" w:line="230" w:lineRule="auto"/>
              <w:ind w:left="122" w:right="117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生态效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交通运输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领域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环境保护管理水平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>
            <w:pPr>
              <w:spacing w:before="315" w:line="218" w:lineRule="auto"/>
              <w:ind w:left="122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可持续</w:t>
            </w:r>
          </w:p>
          <w:p>
            <w:pPr>
              <w:spacing w:before="1" w:line="215" w:lineRule="auto"/>
              <w:ind w:left="122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</w:rPr>
              <w:t>影响指</w:t>
            </w:r>
          </w:p>
          <w:p>
            <w:pPr>
              <w:spacing w:line="220" w:lineRule="auto"/>
              <w:ind w:left="351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标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交通运输行业安全稳定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服务乡村振兴，交通项目建设稳步推进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color w:val="auto"/>
                <w:sz w:val="15"/>
                <w:szCs w:val="15"/>
              </w:rPr>
            </w:pPr>
          </w:p>
          <w:p>
            <w:pPr>
              <w:spacing w:before="75" w:line="223" w:lineRule="auto"/>
              <w:ind w:left="140" w:right="97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w w:val="117"/>
                <w:sz w:val="15"/>
                <w:szCs w:val="15"/>
              </w:rPr>
              <w:t>指标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0"/>
                <w:sz w:val="15"/>
                <w:szCs w:val="15"/>
              </w:rPr>
              <w:t>(10分)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>
            <w:pPr>
              <w:spacing w:line="398" w:lineRule="auto"/>
              <w:jc w:val="center"/>
              <w:rPr>
                <w:rFonts w:ascii="Arial"/>
                <w:color w:val="auto"/>
                <w:sz w:val="15"/>
                <w:szCs w:val="15"/>
              </w:rPr>
            </w:pPr>
          </w:p>
          <w:p>
            <w:pPr>
              <w:spacing w:before="74" w:line="221" w:lineRule="auto"/>
              <w:ind w:left="122" w:right="111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服务对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5"/>
                <w:szCs w:val="15"/>
              </w:rPr>
              <w:t>象满意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度指标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运输服务对象满意度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  <w:jc w:val="center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项目建设受益群众满意度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≦100%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  <w:jc w:val="center"/>
        </w:trPr>
        <w:tc>
          <w:tcPr>
            <w:tcW w:w="6718" w:type="dxa"/>
            <w:gridSpan w:val="6"/>
            <w:vAlign w:val="top"/>
          </w:tcPr>
          <w:p>
            <w:pPr>
              <w:spacing w:before="139" w:line="220" w:lineRule="auto"/>
              <w:ind w:left="3124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659" w:type="dxa"/>
            <w:vAlign w:val="center"/>
          </w:tcPr>
          <w:p>
            <w:pPr>
              <w:spacing w:before="196" w:line="184" w:lineRule="auto"/>
              <w:ind w:left="146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before="34" w:line="219" w:lineRule="auto"/>
        <w:ind w:left="585"/>
        <w:rPr>
          <w:rFonts w:ascii="宋体" w:hAnsi="宋体" w:eastAsia="宋体" w:cs="宋体"/>
          <w:color w:val="auto"/>
          <w:sz w:val="23"/>
          <w:szCs w:val="23"/>
        </w:rPr>
      </w:pPr>
      <w:r>
        <w:rPr>
          <w:rFonts w:ascii="宋体" w:hAnsi="宋体" w:eastAsia="宋体" w:cs="宋体"/>
          <w:color w:val="auto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>决01表)。</w:t>
      </w:r>
    </w:p>
    <w:p>
      <w:pPr>
        <w:spacing w:before="63" w:line="221" w:lineRule="auto"/>
        <w:ind w:left="595"/>
        <w:rPr>
          <w:rFonts w:hint="eastAsia" w:ascii="仿宋" w:hAnsi="仿宋" w:eastAsia="仿宋" w:cs="仿宋"/>
          <w:color w:val="auto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填表人：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吴丹</w:t>
      </w:r>
      <w:r>
        <w:rPr>
          <w:rFonts w:ascii="仿宋" w:hAnsi="仿宋" w:eastAsia="仿宋" w:cs="仿宋"/>
          <w:color w:val="auto"/>
          <w:spacing w:val="11"/>
          <w:sz w:val="23"/>
          <w:szCs w:val="23"/>
        </w:rPr>
        <w:t xml:space="preserve">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auto"/>
          <w:spacing w:val="5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color w:val="auto"/>
          <w:spacing w:val="5"/>
          <w:sz w:val="23"/>
          <w:szCs w:val="23"/>
          <w:lang w:val="en-US" w:eastAsia="zh-CN"/>
        </w:rPr>
        <w:t>2023-7-6</w:t>
      </w:r>
      <w:r>
        <w:rPr>
          <w:rFonts w:ascii="仿宋" w:hAnsi="仿宋" w:eastAsia="仿宋" w:cs="仿宋"/>
          <w:color w:val="auto"/>
          <w:spacing w:val="5"/>
          <w:sz w:val="23"/>
          <w:szCs w:val="23"/>
        </w:rPr>
        <w:t xml:space="preserve">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联系电话：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4313157</w:t>
      </w:r>
      <w:r>
        <w:rPr>
          <w:rFonts w:ascii="仿宋" w:hAnsi="仿宋" w:eastAsia="仿宋" w:cs="仿宋"/>
          <w:color w:val="auto"/>
          <w:spacing w:val="2"/>
          <w:sz w:val="23"/>
          <w:szCs w:val="23"/>
        </w:rPr>
        <w:t xml:space="preserve">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唐龙</w:t>
      </w:r>
    </w:p>
    <w:p>
      <w:pPr>
        <w:sectPr>
          <w:footerReference r:id="rId5" w:type="default"/>
          <w:pgSz w:w="11900" w:h="16838"/>
          <w:pgMar w:top="1134" w:right="794" w:bottom="1134" w:left="794" w:header="0" w:footer="945" w:gutter="0"/>
          <w:cols w:space="720" w:num="1"/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3" w:line="917" w:lineRule="exact"/>
        <w:ind w:left="931"/>
        <w:jc w:val="center"/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</w:pP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val="en-US" w:eastAsia="zh-CN"/>
        </w:rPr>
        <w:t>华容县交通运输局</w:t>
      </w: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(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44"/>
          <w:szCs w:val="44"/>
          <w:lang w:val="en-US" w:eastAsia="zh-CN"/>
        </w:rPr>
        <w:t>本级</w:t>
      </w:r>
      <w:r>
        <w:rPr>
          <w:rFonts w:ascii="宋体" w:hAnsi="宋体" w:eastAsia="宋体" w:cs="宋体"/>
          <w:b/>
          <w:bCs/>
          <w:spacing w:val="27"/>
          <w:position w:val="35"/>
          <w:sz w:val="44"/>
          <w:szCs w:val="44"/>
        </w:rPr>
        <w:t>)</w:t>
      </w:r>
    </w:p>
    <w:p>
      <w:pPr>
        <w:spacing w:before="143" w:line="917" w:lineRule="exact"/>
        <w:ind w:left="93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val="en-US" w:eastAsia="zh-CN"/>
        </w:rPr>
        <w:t>整体支出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绩效自评报告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326" w:lineRule="auto"/>
        <w:jc w:val="center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>(盖章)</w:t>
      </w:r>
    </w:p>
    <w:p>
      <w:pPr>
        <w:spacing w:line="222" w:lineRule="auto"/>
        <w:ind w:firstLine="3432" w:firstLineChars="120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2023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7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"/>
          <w:sz w:val="33"/>
          <w:szCs w:val="33"/>
          <w:lang w:val="en-US" w:eastAsia="zh-CN"/>
        </w:rPr>
        <w:t>6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ectPr>
          <w:footerReference r:id="rId6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</w:rPr>
        <w:t>2022年度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  <w:t>华容县交通运输局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</w:rPr>
        <w:t>(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  <w:t>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731" w:firstLineChars="200"/>
        <w:jc w:val="both"/>
        <w:textAlignment w:val="baseline"/>
        <w:rPr>
          <w:rFonts w:ascii="黑体" w:hAnsi="黑体" w:eastAsia="黑体" w:cs="黑体"/>
          <w:b/>
          <w:bCs/>
          <w:spacing w:val="22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部门(单位)基本情况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单位基本情况：</w:t>
      </w:r>
      <w:r>
        <w:rPr>
          <w:rFonts w:hint="eastAsia" w:ascii="仿宋" w:hAnsi="仿宋" w:eastAsia="仿宋"/>
          <w:sz w:val="28"/>
          <w:szCs w:val="28"/>
        </w:rPr>
        <w:t>华容县交通运输局系县财政全额预算拨款单位。202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年编制部门核实交通局人员编制17人，实有人数为2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人。该局本级内设机构8个：办公室、人事股、财务审计股、规划建养</w:t>
      </w:r>
      <w:r>
        <w:rPr>
          <w:rFonts w:ascii="仿宋" w:hAnsi="仿宋" w:eastAsia="仿宋"/>
          <w:sz w:val="28"/>
          <w:szCs w:val="28"/>
        </w:rPr>
        <w:t>股</w:t>
      </w:r>
      <w:r>
        <w:rPr>
          <w:rFonts w:hint="eastAsia" w:ascii="仿宋" w:hAnsi="仿宋" w:eastAsia="仿宋"/>
          <w:sz w:val="28"/>
          <w:szCs w:val="28"/>
        </w:rPr>
        <w:t>、法制</w:t>
      </w:r>
      <w:r>
        <w:rPr>
          <w:rFonts w:ascii="仿宋" w:hAnsi="仿宋" w:eastAsia="仿宋"/>
          <w:sz w:val="28"/>
          <w:szCs w:val="28"/>
        </w:rPr>
        <w:t>股</w:t>
      </w:r>
      <w:r>
        <w:rPr>
          <w:rFonts w:hint="eastAsia" w:ascii="仿宋" w:hAnsi="仿宋" w:eastAsia="仿宋"/>
          <w:sz w:val="28"/>
          <w:szCs w:val="28"/>
        </w:rPr>
        <w:t>、安全监督股、运输管理股、行政审批股。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部门主要职能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执行落实交通运输行业各项法规政策；组织拟订或参与拟订交通</w:t>
      </w:r>
      <w:r>
        <w:rPr>
          <w:rFonts w:hint="eastAsia" w:ascii="仿宋" w:hAnsi="仿宋" w:eastAsia="仿宋"/>
          <w:spacing w:val="-6"/>
          <w:sz w:val="28"/>
          <w:szCs w:val="28"/>
        </w:rPr>
        <w:t>运输规划、</w:t>
      </w:r>
      <w:r>
        <w:rPr>
          <w:rFonts w:hint="eastAsia" w:ascii="仿宋" w:hAnsi="仿宋" w:eastAsia="仿宋"/>
          <w:spacing w:val="-11"/>
          <w:sz w:val="28"/>
          <w:szCs w:val="28"/>
        </w:rPr>
        <w:t>计划并监督实施；负责交通基础设施项目建设、管理维护和行业监管协调；负责交通运输行业监管工作交通运输行业管理、农村公路管、建、养、运输市场</w:t>
      </w:r>
      <w:r>
        <w:rPr>
          <w:rFonts w:hint="eastAsia" w:ascii="仿宋" w:hAnsi="仿宋" w:eastAsia="仿宋"/>
          <w:spacing w:val="-6"/>
          <w:sz w:val="28"/>
          <w:szCs w:val="28"/>
        </w:rPr>
        <w:t>管理、交通建设</w:t>
      </w:r>
      <w:r>
        <w:rPr>
          <w:rFonts w:hint="eastAsia" w:ascii="仿宋" w:hAnsi="仿宋" w:eastAsia="仿宋"/>
          <w:sz w:val="28"/>
          <w:szCs w:val="28"/>
        </w:rPr>
        <w:t>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87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2022年华容县交通运输局全年基本支出350.6万元，其中：工资福利支出287.48万元，商品和服务支出58.98万元，对个人和家庭的补助支出4.14万元。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2022年“三公”经费实际支出0.55万元，比2021年“三公”经费支出2.86万元减少2.31万元，减少80.7%，主要是根据中央八项规定，厉行节约压减机关运行经费。其中公务接待费0.55万元，无公务用车运维费。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75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spacing w:val="-1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年华容县交通运输局全年项目支出6793.9万元，其中：其他巩固脱贫衔接乡村振兴支出3394.00万元，公路建设支出250.00万元，公路养护支出1188.00万元，其他公路水路运输支出1958.9万元，一般行政管理事务支出3.00万元。比2021年增加176.2万元，增长2.66%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99" w:firstLineChars="200"/>
        <w:jc w:val="both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（一）严格预算支出管理。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（二）财务管理上，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按照国家相关法律法规，制定了机关财务、公物购置使用、接待、会务、因公出国、车辆使用等管理制度，并严格按照制度管理和执行，防范风险，保证财政资金的安全和高效运行。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（三）整体支出绩效情况分析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年，根据该局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2022年度部门整体支出绩效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1、预算执行方面，该单位预算资金按规定管理使用。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2、预算管理方面，交通部门制定了切实有效的内部财务、资产内部管理制度，执行总体较为有效。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3、重大项目建设协调推进有力。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月12日，梅田湖大桥主桥顺利合龙，已完成建安投资1.2亿元，目前正在抓紧扫尾工作，旧历年前可交工通车。团州乡通三级公路11.51公里已全部完成，投资约2200万元；华一水库至桃花山旅游公路19公里已完工通车；注朝公路目前已完成路基土方和碎石垫层，预计元旦节前完成沥青路面施工、通车运行；梅田湖镇通三级公路2.777公里正在建设中，预计年前完工通车。塔市驿码头10月31日已与湖南省湘水集团签订了合作协议，完成了门座式起重机设备招标工作，正在抓紧设备定制，有望明年上半年投产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常岳九高铁、荆岳铁路、华容至益阳铁路、利华公铁两用桥、监利至华容至汨罗高速公路已纳入国家、省“十四五”规划，华容将成为高铁、高速“双十字路口”；S218花注公路已完成工可编制及审查，10月17日完成勘察设计招标工作，确定了设计中标单位，启动了用地预审、规划选址、环评等专项技术编制工作；G234杨家桥至田家湖公路、新河至北景港公路已完成工程可行性研究报告审查。洪山头码头目前已完成全过程工程咨询招标、项目选址、现场测量和工程可行性研究报告编制工作，启动了前期专题报告，预计年内取得立项批复；华阳公交首末站作为2023年储备项目，正在开展相关前期工作，“一环二路三高四桥”规划蓝图正在逐步实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着力优化农村公路路网结构，助推乡村振兴发展。今年完成农村公路里程86公里，改建35条公路，涉及13个乡镇，总投资约1.3亿元；G234新河段大修工程已竣工通车，投资约1500万元；G240东山墟场至三封松木桥大修工程建设13.285公里，总投资约4154万元，计划春运前路面主体施工完成；完成铭心桥等20座危桥拆除、重建工作。中心车站提质改造工程于7月底正式完工，已投入使用；北景港运输服务站提质改造工程顺利推进，年内可交付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99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预算编制有待更严格执行，预算编制与实际支出项目有的存在差异。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79" w:firstLineChars="200"/>
        <w:jc w:val="both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6"/>
          <w:sz w:val="32"/>
          <w:szCs w:val="32"/>
          <w:lang w:val="en-US" w:eastAsia="zh-CN"/>
        </w:rPr>
        <w:t>六、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下一步改进措施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一是按照预算规定的项目和用途严格财务审核，经费支出严格按预算规定项目的财务支出内容进行财务核算，在预算金额内严格控制费用的支出。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二是严格控制“三公”经费支出，杜绝挪用和挤占其他预算资金；进一步细化“三公”经费管理，压缩“三公”经费支出。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三是预算财务分析常态化，定期做好预算支出财务分析，做好部门整体支出预算评价工作。</w:t>
      </w:r>
    </w:p>
    <w:p>
      <w:pPr>
        <w:keepNext w:val="0"/>
        <w:keepLines w:val="0"/>
        <w:pageBreakBefore w:val="0"/>
        <w:widowControl w:val="0"/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2240" w:firstLineChars="800"/>
        <w:textAlignment w:val="baseline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2240" w:firstLineChars="800"/>
        <w:textAlignment w:val="baseline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2240" w:firstLineChars="800"/>
        <w:textAlignment w:val="baseline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840" w:firstLineChars="300"/>
        <w:jc w:val="righ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>华容县交通运输局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840" w:firstLineChars="300"/>
        <w:jc w:val="center"/>
        <w:textAlignment w:val="baseline"/>
        <w:rPr>
          <w:rFonts w:ascii="Arial"/>
          <w:sz w:val="21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                         2023年7月</w:t>
      </w:r>
    </w:p>
    <w:p>
      <w:pPr>
        <w:spacing w:line="26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0" w:h="16830"/>
      <w:pgMar w:top="1701" w:right="1701" w:bottom="1701" w:left="17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090ED"/>
    <w:multiLevelType w:val="singleLevel"/>
    <w:tmpl w:val="B95090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62288E"/>
    <w:multiLevelType w:val="singleLevel"/>
    <w:tmpl w:val="3B6228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yOTRiNzkwZGM3N2JhZGFlZDc0Y2Y3N2I2YzFiNzMifQ=="/>
  </w:docVars>
  <w:rsids>
    <w:rsidRoot w:val="00000000"/>
    <w:rsid w:val="00824069"/>
    <w:rsid w:val="00B701B7"/>
    <w:rsid w:val="01695955"/>
    <w:rsid w:val="01F6718B"/>
    <w:rsid w:val="026B1259"/>
    <w:rsid w:val="02A97FD3"/>
    <w:rsid w:val="034026E5"/>
    <w:rsid w:val="03B1713F"/>
    <w:rsid w:val="03C63CBE"/>
    <w:rsid w:val="03DD1CE2"/>
    <w:rsid w:val="042E1D38"/>
    <w:rsid w:val="045A1585"/>
    <w:rsid w:val="05D830A9"/>
    <w:rsid w:val="060914B4"/>
    <w:rsid w:val="067D155B"/>
    <w:rsid w:val="06F5548C"/>
    <w:rsid w:val="07043A2A"/>
    <w:rsid w:val="0730481F"/>
    <w:rsid w:val="07C9726D"/>
    <w:rsid w:val="07E8334B"/>
    <w:rsid w:val="07ED2710"/>
    <w:rsid w:val="081952B3"/>
    <w:rsid w:val="08E91129"/>
    <w:rsid w:val="09594501"/>
    <w:rsid w:val="098109B2"/>
    <w:rsid w:val="0A161889"/>
    <w:rsid w:val="0A4725AB"/>
    <w:rsid w:val="0A5E16A3"/>
    <w:rsid w:val="0A943317"/>
    <w:rsid w:val="0AC263CD"/>
    <w:rsid w:val="0AEE2A27"/>
    <w:rsid w:val="0B7A075E"/>
    <w:rsid w:val="0BB215F7"/>
    <w:rsid w:val="0C9B098C"/>
    <w:rsid w:val="0CAD06C0"/>
    <w:rsid w:val="0CE546F8"/>
    <w:rsid w:val="0D132C19"/>
    <w:rsid w:val="0D2C3CDA"/>
    <w:rsid w:val="0D454F4B"/>
    <w:rsid w:val="0D705975"/>
    <w:rsid w:val="0DC54629"/>
    <w:rsid w:val="0E59465B"/>
    <w:rsid w:val="0EB83A78"/>
    <w:rsid w:val="0ECE3CAC"/>
    <w:rsid w:val="0F4672D5"/>
    <w:rsid w:val="0FD06B9F"/>
    <w:rsid w:val="106043C7"/>
    <w:rsid w:val="10E01064"/>
    <w:rsid w:val="11401B02"/>
    <w:rsid w:val="11472E91"/>
    <w:rsid w:val="11C12C43"/>
    <w:rsid w:val="12085128"/>
    <w:rsid w:val="12415B32"/>
    <w:rsid w:val="13070B2A"/>
    <w:rsid w:val="133302A9"/>
    <w:rsid w:val="134A0A16"/>
    <w:rsid w:val="13A75E69"/>
    <w:rsid w:val="13E96481"/>
    <w:rsid w:val="14011A1D"/>
    <w:rsid w:val="14ED1FA1"/>
    <w:rsid w:val="14F0383F"/>
    <w:rsid w:val="15A07014"/>
    <w:rsid w:val="15C2342E"/>
    <w:rsid w:val="15F66C34"/>
    <w:rsid w:val="16A305AF"/>
    <w:rsid w:val="16F13FCB"/>
    <w:rsid w:val="17365E81"/>
    <w:rsid w:val="187D188E"/>
    <w:rsid w:val="193E726F"/>
    <w:rsid w:val="198E3107"/>
    <w:rsid w:val="1A475CB0"/>
    <w:rsid w:val="1AA9696A"/>
    <w:rsid w:val="1BC51582"/>
    <w:rsid w:val="1C0A3439"/>
    <w:rsid w:val="1CF3211F"/>
    <w:rsid w:val="1EBA7398"/>
    <w:rsid w:val="1F572E39"/>
    <w:rsid w:val="20374989"/>
    <w:rsid w:val="203942EC"/>
    <w:rsid w:val="206C6470"/>
    <w:rsid w:val="21090163"/>
    <w:rsid w:val="213521D5"/>
    <w:rsid w:val="21A954A2"/>
    <w:rsid w:val="22AC6FF8"/>
    <w:rsid w:val="22C73E32"/>
    <w:rsid w:val="235B27CC"/>
    <w:rsid w:val="236B0C61"/>
    <w:rsid w:val="237F6C74"/>
    <w:rsid w:val="24376D95"/>
    <w:rsid w:val="247578BD"/>
    <w:rsid w:val="24E46F1D"/>
    <w:rsid w:val="25453733"/>
    <w:rsid w:val="257D111F"/>
    <w:rsid w:val="25B14925"/>
    <w:rsid w:val="25C44658"/>
    <w:rsid w:val="25F52A64"/>
    <w:rsid w:val="261A4BC0"/>
    <w:rsid w:val="27333CBA"/>
    <w:rsid w:val="273870AC"/>
    <w:rsid w:val="27C2106B"/>
    <w:rsid w:val="287C746C"/>
    <w:rsid w:val="2881002E"/>
    <w:rsid w:val="29053906"/>
    <w:rsid w:val="2996630C"/>
    <w:rsid w:val="2AA44A58"/>
    <w:rsid w:val="2ADB491E"/>
    <w:rsid w:val="2AE35581"/>
    <w:rsid w:val="2B9845BD"/>
    <w:rsid w:val="2C416A03"/>
    <w:rsid w:val="2C491D5B"/>
    <w:rsid w:val="2C5129BE"/>
    <w:rsid w:val="2C8C4B8D"/>
    <w:rsid w:val="2C9A6113"/>
    <w:rsid w:val="2CBF201D"/>
    <w:rsid w:val="2CEF46B1"/>
    <w:rsid w:val="2E075A2A"/>
    <w:rsid w:val="2E47276C"/>
    <w:rsid w:val="2F452CAE"/>
    <w:rsid w:val="2FEC137B"/>
    <w:rsid w:val="300D4E4E"/>
    <w:rsid w:val="30191A45"/>
    <w:rsid w:val="30F57DBC"/>
    <w:rsid w:val="31280191"/>
    <w:rsid w:val="3140197F"/>
    <w:rsid w:val="317E6003"/>
    <w:rsid w:val="31FD161E"/>
    <w:rsid w:val="32002EBC"/>
    <w:rsid w:val="32476D3D"/>
    <w:rsid w:val="339B7340"/>
    <w:rsid w:val="352E7D40"/>
    <w:rsid w:val="355754E9"/>
    <w:rsid w:val="355D23D3"/>
    <w:rsid w:val="3578720D"/>
    <w:rsid w:val="359C73A0"/>
    <w:rsid w:val="35BB49D0"/>
    <w:rsid w:val="35E11E09"/>
    <w:rsid w:val="3642059B"/>
    <w:rsid w:val="366E5795"/>
    <w:rsid w:val="37465815"/>
    <w:rsid w:val="37621F23"/>
    <w:rsid w:val="37751C56"/>
    <w:rsid w:val="37E64902"/>
    <w:rsid w:val="38B90269"/>
    <w:rsid w:val="38CE5AC2"/>
    <w:rsid w:val="38DC5B2C"/>
    <w:rsid w:val="38EE1CC0"/>
    <w:rsid w:val="38EF24A6"/>
    <w:rsid w:val="38F46820"/>
    <w:rsid w:val="39912B26"/>
    <w:rsid w:val="39A16D33"/>
    <w:rsid w:val="39D23390"/>
    <w:rsid w:val="39ED1F78"/>
    <w:rsid w:val="39F94DC1"/>
    <w:rsid w:val="3A0948D8"/>
    <w:rsid w:val="3A7C32FC"/>
    <w:rsid w:val="3A8D5509"/>
    <w:rsid w:val="3AA30888"/>
    <w:rsid w:val="3AED5FA8"/>
    <w:rsid w:val="3B135A0E"/>
    <w:rsid w:val="3B651FE2"/>
    <w:rsid w:val="3D6A38DF"/>
    <w:rsid w:val="3D965BA7"/>
    <w:rsid w:val="3DD1395F"/>
    <w:rsid w:val="3E99447C"/>
    <w:rsid w:val="3EBC016B"/>
    <w:rsid w:val="404B17A6"/>
    <w:rsid w:val="41027567"/>
    <w:rsid w:val="411E0E78"/>
    <w:rsid w:val="414D154E"/>
    <w:rsid w:val="41984EBF"/>
    <w:rsid w:val="42DC0DDB"/>
    <w:rsid w:val="43301127"/>
    <w:rsid w:val="435C016E"/>
    <w:rsid w:val="4391606A"/>
    <w:rsid w:val="4416031D"/>
    <w:rsid w:val="44A439A4"/>
    <w:rsid w:val="45E00BE3"/>
    <w:rsid w:val="46133233"/>
    <w:rsid w:val="463F7FFF"/>
    <w:rsid w:val="465F41FD"/>
    <w:rsid w:val="473C62ED"/>
    <w:rsid w:val="474433F3"/>
    <w:rsid w:val="47AC3472"/>
    <w:rsid w:val="484F2050"/>
    <w:rsid w:val="489D100D"/>
    <w:rsid w:val="48D27585"/>
    <w:rsid w:val="490177EE"/>
    <w:rsid w:val="49920446"/>
    <w:rsid w:val="49CE3543"/>
    <w:rsid w:val="4A0E7ADB"/>
    <w:rsid w:val="4AC97E97"/>
    <w:rsid w:val="4BDB2578"/>
    <w:rsid w:val="4C235CCD"/>
    <w:rsid w:val="4CB977FD"/>
    <w:rsid w:val="4D1D096E"/>
    <w:rsid w:val="4D250E2D"/>
    <w:rsid w:val="4D387556"/>
    <w:rsid w:val="4D477799"/>
    <w:rsid w:val="4D555F59"/>
    <w:rsid w:val="4D9C7AE5"/>
    <w:rsid w:val="4DA93FB0"/>
    <w:rsid w:val="4DAC2D37"/>
    <w:rsid w:val="4DF07E31"/>
    <w:rsid w:val="4F035942"/>
    <w:rsid w:val="4F4F0B87"/>
    <w:rsid w:val="503F0BFC"/>
    <w:rsid w:val="508A631B"/>
    <w:rsid w:val="50E81293"/>
    <w:rsid w:val="510460CD"/>
    <w:rsid w:val="51721459"/>
    <w:rsid w:val="521D4101"/>
    <w:rsid w:val="525E180D"/>
    <w:rsid w:val="538C05FC"/>
    <w:rsid w:val="53982AFD"/>
    <w:rsid w:val="53C75190"/>
    <w:rsid w:val="53DF697E"/>
    <w:rsid w:val="545A0401"/>
    <w:rsid w:val="549F7EBB"/>
    <w:rsid w:val="550A17D8"/>
    <w:rsid w:val="56513437"/>
    <w:rsid w:val="56C360E3"/>
    <w:rsid w:val="572F3778"/>
    <w:rsid w:val="58676F42"/>
    <w:rsid w:val="58E42340"/>
    <w:rsid w:val="58F05189"/>
    <w:rsid w:val="5903310E"/>
    <w:rsid w:val="59BD32BD"/>
    <w:rsid w:val="59E36918"/>
    <w:rsid w:val="59E45C04"/>
    <w:rsid w:val="5AC266B1"/>
    <w:rsid w:val="5B092876"/>
    <w:rsid w:val="5B6A7475"/>
    <w:rsid w:val="5C7D31D8"/>
    <w:rsid w:val="5C877B46"/>
    <w:rsid w:val="5CC606DB"/>
    <w:rsid w:val="5D7E7207"/>
    <w:rsid w:val="5D845EA0"/>
    <w:rsid w:val="5D973E25"/>
    <w:rsid w:val="5E401BF3"/>
    <w:rsid w:val="5E451AD3"/>
    <w:rsid w:val="5EB822A5"/>
    <w:rsid w:val="5EEC76C7"/>
    <w:rsid w:val="5EFD415C"/>
    <w:rsid w:val="5F092B01"/>
    <w:rsid w:val="5F2319B3"/>
    <w:rsid w:val="5F610B8F"/>
    <w:rsid w:val="6003562D"/>
    <w:rsid w:val="60210924"/>
    <w:rsid w:val="61142A0A"/>
    <w:rsid w:val="61642270"/>
    <w:rsid w:val="617526CF"/>
    <w:rsid w:val="61DA03D6"/>
    <w:rsid w:val="622D6B06"/>
    <w:rsid w:val="62650996"/>
    <w:rsid w:val="635307EE"/>
    <w:rsid w:val="63620A31"/>
    <w:rsid w:val="63A454EE"/>
    <w:rsid w:val="66391F1D"/>
    <w:rsid w:val="664E2757"/>
    <w:rsid w:val="66CA7019"/>
    <w:rsid w:val="66CF63DE"/>
    <w:rsid w:val="672F1572"/>
    <w:rsid w:val="673D77EB"/>
    <w:rsid w:val="678A0557"/>
    <w:rsid w:val="686139AD"/>
    <w:rsid w:val="69AB1384"/>
    <w:rsid w:val="69F04FE9"/>
    <w:rsid w:val="69F06D97"/>
    <w:rsid w:val="6A507835"/>
    <w:rsid w:val="6AFE54E3"/>
    <w:rsid w:val="6B5B46E4"/>
    <w:rsid w:val="6C635F46"/>
    <w:rsid w:val="6C661592"/>
    <w:rsid w:val="6CA34594"/>
    <w:rsid w:val="6CB00A5F"/>
    <w:rsid w:val="6D3433A6"/>
    <w:rsid w:val="6E7F4B8D"/>
    <w:rsid w:val="6F5C4ECE"/>
    <w:rsid w:val="6FBD1E09"/>
    <w:rsid w:val="6FD131C7"/>
    <w:rsid w:val="6FEC0000"/>
    <w:rsid w:val="70383EEB"/>
    <w:rsid w:val="71D15700"/>
    <w:rsid w:val="71FB41EE"/>
    <w:rsid w:val="7315161C"/>
    <w:rsid w:val="74E7348C"/>
    <w:rsid w:val="750B0F29"/>
    <w:rsid w:val="75BA46FD"/>
    <w:rsid w:val="75F714AD"/>
    <w:rsid w:val="76860C77"/>
    <w:rsid w:val="76C21ABB"/>
    <w:rsid w:val="770A5210"/>
    <w:rsid w:val="775F555C"/>
    <w:rsid w:val="77ED2B68"/>
    <w:rsid w:val="782B3690"/>
    <w:rsid w:val="795F1843"/>
    <w:rsid w:val="79F05FF4"/>
    <w:rsid w:val="7AF75AAB"/>
    <w:rsid w:val="7BB57E40"/>
    <w:rsid w:val="7BC57958"/>
    <w:rsid w:val="7BE67FFA"/>
    <w:rsid w:val="7CB41EA6"/>
    <w:rsid w:val="7CCD4D16"/>
    <w:rsid w:val="7DDB3462"/>
    <w:rsid w:val="7E5A6A7D"/>
    <w:rsid w:val="7E9E2E0E"/>
    <w:rsid w:val="7EC30AC6"/>
    <w:rsid w:val="7EFB0260"/>
    <w:rsid w:val="7F721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3597</Words>
  <Characters>4043</Characters>
  <TotalTime>28</TotalTime>
  <ScaleCrop>false</ScaleCrop>
  <LinksUpToDate>false</LinksUpToDate>
  <CharactersWithSpaces>4163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2023-07-03T08:28:00Z</dcterms:created>
  <dc:creator>Kingsoft-PDF</dc:creator>
  <cp:lastModifiedBy>吴丹</cp:lastModifiedBy>
  <dcterms:modified xsi:type="dcterms:W3CDTF">2023-07-06T08:12:21Z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2023-07-03T08:28:50Z</vt:filetime>
  </property>
  <property fmtid="{D5CDD505-2E9C-101B-9397-08002B2CF9AE}" pid="4" name="UsrData">
    <vt:lpwstr>64a2163bdaff7b001fdb57b9wl</vt:lpwstr>
  </property>
  <property fmtid="{D5CDD505-2E9C-101B-9397-08002B2CF9AE}" pid="5" name="KSOProductBuildVer">
    <vt:lpwstr>2052-11.1.0.12980</vt:lpwstr>
  </property>
  <property fmtid="{D5CDD505-2E9C-101B-9397-08002B2CF9AE}" pid="6" name="ICV">
    <vt:lpwstr>D8618E7B63414DD0B510AB7F093E3A0A</vt:lpwstr>
  </property>
</Properties>
</file>