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600" w:lineRule="exact"/>
        <w:jc w:val="both"/>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华容县水利局</w:t>
      </w:r>
      <w:r>
        <w:rPr>
          <w:rFonts w:hint="eastAsia" w:ascii="方正小标宋简体" w:hAnsi="方正小标宋简体" w:eastAsia="方正小标宋简体" w:cs="方正小标宋简体"/>
          <w:sz w:val="44"/>
          <w:szCs w:val="44"/>
        </w:rPr>
        <w:t>部门整体支出绩效评价基础数据表</w:t>
      </w:r>
    </w:p>
    <w:tbl>
      <w:tblPr>
        <w:tblStyle w:val="14"/>
        <w:tblW w:w="9284" w:type="dxa"/>
        <w:jc w:val="center"/>
        <w:tblLayout w:type="fixed"/>
        <w:tblCellMar>
          <w:top w:w="0" w:type="dxa"/>
          <w:left w:w="108" w:type="dxa"/>
          <w:bottom w:w="0" w:type="dxa"/>
          <w:right w:w="108" w:type="dxa"/>
        </w:tblCellMar>
      </w:tblPr>
      <w:tblGrid>
        <w:gridCol w:w="3218"/>
        <w:gridCol w:w="1956"/>
        <w:gridCol w:w="2437"/>
        <w:gridCol w:w="1673"/>
      </w:tblGrid>
      <w:tr>
        <w:tblPrEx>
          <w:tblCellMar>
            <w:top w:w="0" w:type="dxa"/>
            <w:left w:w="108" w:type="dxa"/>
            <w:bottom w:w="0" w:type="dxa"/>
            <w:right w:w="108" w:type="dxa"/>
          </w:tblCellMar>
        </w:tblPrEx>
        <w:trPr>
          <w:trHeight w:val="539" w:hRule="atLeast"/>
          <w:jc w:val="center"/>
        </w:trPr>
        <w:tc>
          <w:tcPr>
            <w:tcW w:w="3218"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财政供养人员情况（人）</w:t>
            </w:r>
          </w:p>
        </w:tc>
        <w:tc>
          <w:tcPr>
            <w:tcW w:w="195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编制数</w:t>
            </w:r>
          </w:p>
        </w:tc>
        <w:tc>
          <w:tcPr>
            <w:tcW w:w="243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年实际在职人数</w:t>
            </w:r>
          </w:p>
        </w:tc>
        <w:tc>
          <w:tcPr>
            <w:tcW w:w="167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控制率</w:t>
            </w:r>
          </w:p>
        </w:tc>
      </w:tr>
      <w:tr>
        <w:tblPrEx>
          <w:tblCellMar>
            <w:top w:w="0" w:type="dxa"/>
            <w:left w:w="108" w:type="dxa"/>
            <w:bottom w:w="0" w:type="dxa"/>
            <w:right w:w="108" w:type="dxa"/>
          </w:tblCellMar>
        </w:tblPrEx>
        <w:trPr>
          <w:trHeight w:val="539" w:hRule="atLeast"/>
          <w:jc w:val="center"/>
        </w:trPr>
        <w:tc>
          <w:tcPr>
            <w:tcW w:w="321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95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269</w:t>
            </w:r>
          </w:p>
        </w:tc>
        <w:tc>
          <w:tcPr>
            <w:tcW w:w="243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276</w:t>
            </w:r>
          </w:p>
        </w:tc>
        <w:tc>
          <w:tcPr>
            <w:tcW w:w="167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102.6%</w:t>
            </w:r>
          </w:p>
        </w:tc>
      </w:tr>
      <w:tr>
        <w:tblPrEx>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经费控制情况（万元）</w:t>
            </w:r>
          </w:p>
        </w:tc>
        <w:tc>
          <w:tcPr>
            <w:tcW w:w="1956"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lang w:val="en-US" w:eastAsia="zh-CN"/>
              </w:rPr>
            </w:pPr>
            <w:r>
              <w:rPr>
                <w:rFonts w:hint="eastAsia" w:ascii="新宋体" w:hAnsi="新宋体" w:eastAsia="新宋体" w:cs="新宋体"/>
                <w:b/>
                <w:bCs/>
                <w:sz w:val="21"/>
                <w:szCs w:val="21"/>
                <w:lang w:val="en-US" w:eastAsia="zh-CN"/>
              </w:rPr>
              <w:t>2021年决算数</w:t>
            </w:r>
          </w:p>
        </w:tc>
        <w:tc>
          <w:tcPr>
            <w:tcW w:w="2437"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年预算数</w:t>
            </w:r>
          </w:p>
        </w:tc>
        <w:tc>
          <w:tcPr>
            <w:tcW w:w="1673"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年决算数</w:t>
            </w:r>
          </w:p>
        </w:tc>
      </w:tr>
      <w:tr>
        <w:tblPrEx>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一、基本支出：</w:t>
            </w:r>
          </w:p>
        </w:tc>
        <w:tc>
          <w:tcPr>
            <w:tcW w:w="1956"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4503.55</w:t>
            </w:r>
          </w:p>
        </w:tc>
        <w:tc>
          <w:tcPr>
            <w:tcW w:w="2437"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3409</w:t>
            </w:r>
          </w:p>
        </w:tc>
        <w:tc>
          <w:tcPr>
            <w:tcW w:w="1673"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15142.07</w:t>
            </w:r>
          </w:p>
        </w:tc>
      </w:tr>
      <w:tr>
        <w:tblPrEx>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其中：</w:t>
            </w:r>
            <w:r>
              <w:rPr>
                <w:rFonts w:hint="eastAsia" w:ascii="新宋体" w:hAnsi="新宋体" w:eastAsia="新宋体" w:cs="新宋体"/>
                <w:sz w:val="21"/>
                <w:szCs w:val="21"/>
              </w:rPr>
              <w:t>三公经费</w:t>
            </w:r>
          </w:p>
        </w:tc>
        <w:tc>
          <w:tcPr>
            <w:tcW w:w="1956"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16.47</w:t>
            </w:r>
          </w:p>
        </w:tc>
        <w:tc>
          <w:tcPr>
            <w:tcW w:w="2437"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18.06</w:t>
            </w:r>
          </w:p>
        </w:tc>
        <w:tc>
          <w:tcPr>
            <w:tcW w:w="1673"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17.54</w:t>
            </w:r>
          </w:p>
        </w:tc>
      </w:tr>
      <w:tr>
        <w:tblPrEx>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公务用车购置和维护经费</w:t>
            </w:r>
          </w:p>
        </w:tc>
        <w:tc>
          <w:tcPr>
            <w:tcW w:w="1956"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3.62</w:t>
            </w:r>
          </w:p>
        </w:tc>
        <w:tc>
          <w:tcPr>
            <w:tcW w:w="2437"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1673"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2.01</w:t>
            </w:r>
          </w:p>
        </w:tc>
      </w:tr>
      <w:tr>
        <w:tblPrEx>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其中：公车购置</w:t>
            </w:r>
          </w:p>
        </w:tc>
        <w:tc>
          <w:tcPr>
            <w:tcW w:w="1956"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2437"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1673"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r>
      <w:tr>
        <w:tblPrEx>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公车运行维护</w:t>
            </w:r>
          </w:p>
        </w:tc>
        <w:tc>
          <w:tcPr>
            <w:tcW w:w="1956"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3.62</w:t>
            </w:r>
          </w:p>
        </w:tc>
        <w:tc>
          <w:tcPr>
            <w:tcW w:w="2437"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w:t>
            </w:r>
          </w:p>
        </w:tc>
        <w:tc>
          <w:tcPr>
            <w:tcW w:w="1673"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2.01</w:t>
            </w:r>
          </w:p>
        </w:tc>
      </w:tr>
      <w:tr>
        <w:tblPrEx>
          <w:tblCellMar>
            <w:top w:w="0" w:type="dxa"/>
            <w:left w:w="108" w:type="dxa"/>
            <w:bottom w:w="0" w:type="dxa"/>
            <w:right w:w="108" w:type="dxa"/>
          </w:tblCellMar>
        </w:tblPrEx>
        <w:trPr>
          <w:trHeight w:val="554" w:hRule="atLeast"/>
          <w:jc w:val="center"/>
        </w:trPr>
        <w:tc>
          <w:tcPr>
            <w:tcW w:w="3218"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出国经费</w:t>
            </w:r>
          </w:p>
        </w:tc>
        <w:tc>
          <w:tcPr>
            <w:tcW w:w="1956"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2437"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1673"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r>
      <w:tr>
        <w:tblPrEx>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3</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公务接待</w:t>
            </w:r>
          </w:p>
        </w:tc>
        <w:tc>
          <w:tcPr>
            <w:tcW w:w="1956"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12.85</w:t>
            </w:r>
          </w:p>
        </w:tc>
        <w:tc>
          <w:tcPr>
            <w:tcW w:w="2437"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15.92</w:t>
            </w:r>
          </w:p>
        </w:tc>
        <w:tc>
          <w:tcPr>
            <w:tcW w:w="1673"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15.53</w:t>
            </w:r>
          </w:p>
        </w:tc>
      </w:tr>
      <w:tr>
        <w:tblPrEx>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二、</w:t>
            </w:r>
            <w:r>
              <w:rPr>
                <w:rFonts w:hint="eastAsia" w:ascii="新宋体" w:hAnsi="新宋体" w:eastAsia="新宋体" w:cs="新宋体"/>
                <w:sz w:val="21"/>
                <w:szCs w:val="21"/>
              </w:rPr>
              <w:t>项目支出：</w:t>
            </w:r>
          </w:p>
        </w:tc>
        <w:tc>
          <w:tcPr>
            <w:tcW w:w="1956"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28925.36</w:t>
            </w:r>
          </w:p>
        </w:tc>
        <w:tc>
          <w:tcPr>
            <w:tcW w:w="2437"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1673"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21857.47</w:t>
            </w:r>
          </w:p>
        </w:tc>
      </w:tr>
      <w:tr>
        <w:tblPrEx>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.何长制工作</w:t>
            </w:r>
          </w:p>
        </w:tc>
        <w:tc>
          <w:tcPr>
            <w:tcW w:w="1956"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2437"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rPr>
            </w:pPr>
            <w:r>
              <w:rPr>
                <w:rFonts w:hint="eastAsia" w:ascii="新宋体" w:hAnsi="新宋体" w:eastAsia="新宋体" w:cs="新宋体"/>
                <w:sz w:val="21"/>
                <w:szCs w:val="21"/>
                <w:lang w:val="en-US" w:eastAsia="zh-CN"/>
              </w:rPr>
              <w:t>100</w:t>
            </w:r>
          </w:p>
        </w:tc>
        <w:tc>
          <w:tcPr>
            <w:tcW w:w="1673"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r>
      <w:tr>
        <w:tblPrEx>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rPr>
                <w:rFonts w:hint="eastAsia" w:ascii="新宋体" w:hAnsi="新宋体" w:eastAsia="新宋体" w:cs="新宋体"/>
                <w:kern w:val="2"/>
                <w:sz w:val="21"/>
                <w:szCs w:val="21"/>
                <w:lang w:val="en-US" w:eastAsia="zh-CN" w:bidi="ar-SA"/>
              </w:rPr>
            </w:pPr>
            <w:r>
              <w:rPr>
                <w:rFonts w:hint="eastAsia" w:ascii="新宋体" w:hAnsi="新宋体" w:eastAsia="新宋体" w:cs="新宋体"/>
                <w:szCs w:val="21"/>
                <w:lang w:val="en-US" w:eastAsia="zh-CN"/>
              </w:rPr>
              <w:t>3</w:t>
            </w:r>
            <w:r>
              <w:rPr>
                <w:rFonts w:hint="eastAsia" w:ascii="新宋体" w:hAnsi="新宋体" w:eastAsia="新宋体" w:cs="新宋体"/>
                <w:szCs w:val="21"/>
              </w:rPr>
              <w:t>.后扶基金专项</w:t>
            </w:r>
          </w:p>
        </w:tc>
        <w:tc>
          <w:tcPr>
            <w:tcW w:w="1956"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jc w:val="center"/>
              <w:rPr>
                <w:rFonts w:hint="eastAsia" w:ascii="新宋体" w:hAnsi="新宋体" w:eastAsia="新宋体" w:cs="新宋体"/>
                <w:kern w:val="2"/>
                <w:sz w:val="21"/>
                <w:szCs w:val="21"/>
                <w:lang w:val="en-US" w:eastAsia="zh-CN" w:bidi="ar-SA"/>
              </w:rPr>
            </w:pPr>
          </w:p>
        </w:tc>
        <w:tc>
          <w:tcPr>
            <w:tcW w:w="2437"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0</w:t>
            </w:r>
          </w:p>
        </w:tc>
        <w:tc>
          <w:tcPr>
            <w:tcW w:w="1673"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Cs w:val="21"/>
              </w:rPr>
              <w:t>257.06</w:t>
            </w:r>
          </w:p>
        </w:tc>
      </w:tr>
      <w:tr>
        <w:tblPrEx>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rPr>
                <w:rFonts w:hint="eastAsia" w:ascii="新宋体" w:hAnsi="新宋体" w:eastAsia="新宋体" w:cs="新宋体"/>
                <w:kern w:val="2"/>
                <w:sz w:val="21"/>
                <w:szCs w:val="21"/>
                <w:lang w:val="en-US" w:eastAsia="zh-CN" w:bidi="ar-SA"/>
              </w:rPr>
            </w:pPr>
            <w:r>
              <w:rPr>
                <w:rFonts w:hint="eastAsia" w:ascii="新宋体" w:hAnsi="新宋体" w:eastAsia="新宋体" w:cs="新宋体"/>
                <w:szCs w:val="21"/>
                <w:lang w:val="en-US" w:eastAsia="zh-CN"/>
              </w:rPr>
              <w:t>4.</w:t>
            </w:r>
            <w:r>
              <w:rPr>
                <w:rFonts w:hint="eastAsia" w:ascii="新宋体" w:hAnsi="新宋体" w:eastAsia="新宋体" w:cs="新宋体"/>
                <w:szCs w:val="21"/>
              </w:rPr>
              <w:t>后扶结余项目</w:t>
            </w:r>
          </w:p>
        </w:tc>
        <w:tc>
          <w:tcPr>
            <w:tcW w:w="1956"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jc w:val="center"/>
              <w:rPr>
                <w:rFonts w:hint="eastAsia" w:ascii="新宋体" w:hAnsi="新宋体" w:eastAsia="新宋体" w:cs="新宋体"/>
                <w:kern w:val="2"/>
                <w:sz w:val="21"/>
                <w:szCs w:val="21"/>
                <w:lang w:val="en-US" w:eastAsia="zh-CN" w:bidi="ar-SA"/>
              </w:rPr>
            </w:pPr>
          </w:p>
        </w:tc>
        <w:tc>
          <w:tcPr>
            <w:tcW w:w="2437"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0</w:t>
            </w:r>
          </w:p>
        </w:tc>
        <w:tc>
          <w:tcPr>
            <w:tcW w:w="1673"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Cs w:val="21"/>
              </w:rPr>
              <w:t>327.71</w:t>
            </w:r>
          </w:p>
        </w:tc>
      </w:tr>
      <w:tr>
        <w:tblPrEx>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rPr>
                <w:rFonts w:hint="default" w:ascii="新宋体" w:hAnsi="新宋体" w:eastAsia="新宋体" w:cs="新宋体"/>
                <w:szCs w:val="21"/>
                <w:lang w:val="en-US" w:eastAsia="zh-CN"/>
              </w:rPr>
            </w:pPr>
            <w:r>
              <w:rPr>
                <w:rFonts w:hint="eastAsia" w:ascii="新宋体" w:hAnsi="新宋体" w:eastAsia="新宋体" w:cs="新宋体"/>
                <w:szCs w:val="21"/>
                <w:lang w:val="en-US" w:eastAsia="zh-CN"/>
              </w:rPr>
              <w:t>5.</w:t>
            </w:r>
            <w:r>
              <w:rPr>
                <w:rFonts w:hint="eastAsia" w:ascii="新宋体" w:hAnsi="新宋体" w:eastAsia="新宋体" w:cs="新宋体"/>
                <w:sz w:val="21"/>
                <w:szCs w:val="21"/>
                <w:lang w:val="en-US" w:eastAsia="zh-CN"/>
              </w:rPr>
              <w:t>水利发展资金项目</w:t>
            </w:r>
          </w:p>
        </w:tc>
        <w:tc>
          <w:tcPr>
            <w:tcW w:w="1956"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jc w:val="center"/>
              <w:rPr>
                <w:rFonts w:hint="eastAsia" w:ascii="新宋体" w:hAnsi="新宋体" w:eastAsia="新宋体" w:cs="新宋体"/>
                <w:kern w:val="2"/>
                <w:sz w:val="21"/>
                <w:szCs w:val="21"/>
                <w:lang w:val="en-US" w:eastAsia="zh-CN" w:bidi="ar-SA"/>
              </w:rPr>
            </w:pPr>
          </w:p>
        </w:tc>
        <w:tc>
          <w:tcPr>
            <w:tcW w:w="2437"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jc w:val="center"/>
              <w:rPr>
                <w:rFonts w:hint="eastAsia" w:ascii="新宋体" w:hAnsi="新宋体" w:eastAsia="新宋体" w:cs="新宋体"/>
                <w:sz w:val="21"/>
                <w:szCs w:val="21"/>
                <w:lang w:val="en-US" w:eastAsia="zh-CN"/>
              </w:rPr>
            </w:pPr>
          </w:p>
        </w:tc>
        <w:tc>
          <w:tcPr>
            <w:tcW w:w="1673"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jc w:val="center"/>
              <w:rPr>
                <w:rFonts w:hint="eastAsia" w:ascii="新宋体" w:hAnsi="新宋体" w:eastAsia="新宋体" w:cs="新宋体"/>
                <w:b/>
                <w:bCs/>
                <w:szCs w:val="21"/>
              </w:rPr>
            </w:pPr>
            <w:r>
              <w:rPr>
                <w:rFonts w:hint="eastAsia" w:ascii="新宋体" w:hAnsi="新宋体" w:eastAsia="新宋体" w:cs="新宋体"/>
                <w:sz w:val="21"/>
                <w:szCs w:val="21"/>
                <w:lang w:val="en-US" w:eastAsia="zh-CN"/>
              </w:rPr>
              <w:t>3679</w:t>
            </w:r>
          </w:p>
        </w:tc>
      </w:tr>
      <w:tr>
        <w:tblPrEx>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6.2021-2022年中型灌区续建配套与节水改造项目</w:t>
            </w:r>
          </w:p>
        </w:tc>
        <w:tc>
          <w:tcPr>
            <w:tcW w:w="1956"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p>
        </w:tc>
        <w:tc>
          <w:tcPr>
            <w:tcW w:w="2437"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kern w:val="2"/>
                <w:sz w:val="21"/>
                <w:szCs w:val="21"/>
                <w:lang w:val="en-US" w:eastAsia="zh-CN" w:bidi="ar-SA"/>
              </w:rPr>
            </w:pPr>
            <w:r>
              <w:rPr>
                <w:rFonts w:hint="eastAsia" w:ascii="新宋体" w:hAnsi="新宋体" w:eastAsia="新宋体" w:cs="新宋体"/>
                <w:kern w:val="2"/>
                <w:sz w:val="21"/>
                <w:szCs w:val="21"/>
                <w:lang w:val="en-US" w:eastAsia="zh-CN" w:bidi="ar-SA"/>
              </w:rPr>
              <w:t>0</w:t>
            </w:r>
          </w:p>
        </w:tc>
        <w:tc>
          <w:tcPr>
            <w:tcW w:w="1673"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760</w:t>
            </w:r>
          </w:p>
        </w:tc>
      </w:tr>
      <w:tr>
        <w:tblPrEx>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r>
              <w:rPr>
                <w:rFonts w:hint="eastAsia" w:ascii="宋体" w:hAnsi="宋体" w:cs="宋体"/>
                <w:szCs w:val="21"/>
                <w:lang w:val="en-US" w:eastAsia="zh-CN"/>
              </w:rPr>
              <w:t>7.</w:t>
            </w:r>
            <w:r>
              <w:rPr>
                <w:rFonts w:hint="eastAsia" w:ascii="宋体" w:hAnsi="宋体" w:cs="宋体"/>
                <w:szCs w:val="21"/>
              </w:rPr>
              <w:t>护城大垸沟渠捞草扫障工程</w:t>
            </w:r>
          </w:p>
        </w:tc>
        <w:tc>
          <w:tcPr>
            <w:tcW w:w="1956"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2437"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1673"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宋体" w:hAnsi="宋体" w:cs="宋体"/>
                <w:szCs w:val="21"/>
              </w:rPr>
              <w:t>80</w:t>
            </w:r>
          </w:p>
        </w:tc>
      </w:tr>
      <w:tr>
        <w:tblPrEx>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厉行节约保障措施</w:t>
            </w:r>
          </w:p>
        </w:tc>
        <w:tc>
          <w:tcPr>
            <w:tcW w:w="6066" w:type="dxa"/>
            <w:gridSpan w:val="3"/>
            <w:tcBorders>
              <w:top w:val="single" w:color="auto" w:sz="4" w:space="0"/>
              <w:left w:val="nil"/>
              <w:bottom w:val="single" w:color="auto" w:sz="4" w:space="0"/>
              <w:right w:val="single" w:color="000000" w:sz="4" w:space="0"/>
            </w:tcBorders>
            <w:vAlign w:val="center"/>
          </w:tcPr>
          <w:p>
            <w:pPr>
              <w:keepNext w:val="0"/>
              <w:keepLines w:val="0"/>
              <w:widowControl/>
              <w:numPr>
                <w:ilvl w:val="0"/>
                <w:numId w:val="0"/>
              </w:numPr>
              <w:suppressLineNumbers w:val="0"/>
              <w:spacing w:before="0" w:beforeAutospacing="0" w:after="0" w:afterAutospacing="0" w:line="360" w:lineRule="exact"/>
              <w:ind w:left="0" w:leftChars="0" w:right="0" w:rightChars="0"/>
              <w:jc w:val="both"/>
              <w:rPr>
                <w:rFonts w:hint="eastAsia"/>
                <w:lang w:eastAsia="zh-CN"/>
              </w:rPr>
            </w:pPr>
            <w:r>
              <w:rPr>
                <w:rFonts w:hint="eastAsia"/>
                <w:lang w:val="en-US" w:eastAsia="zh-CN"/>
              </w:rPr>
              <w:t>1.</w:t>
            </w:r>
            <w:r>
              <w:rPr>
                <w:rFonts w:hint="eastAsia"/>
                <w:lang w:eastAsia="zh-CN"/>
              </w:rPr>
              <w:t>加强宣传教育，引导在职职工养成节约习惯，提高节约意识。</w:t>
            </w:r>
          </w:p>
          <w:p>
            <w:pPr>
              <w:pStyle w:val="2"/>
              <w:keepNext w:val="0"/>
              <w:keepLines w:val="0"/>
              <w:numPr>
                <w:ilvl w:val="0"/>
                <w:numId w:val="0"/>
              </w:numPr>
              <w:suppressLineNumbers w:val="0"/>
              <w:spacing w:before="0" w:beforeAutospacing="0" w:after="0" w:afterAutospacing="0"/>
              <w:ind w:left="0" w:right="0"/>
              <w:rPr>
                <w:rFonts w:hint="eastAsia"/>
                <w:lang w:eastAsia="zh-CN"/>
              </w:rPr>
            </w:pPr>
            <w:r>
              <w:rPr>
                <w:rFonts w:hint="eastAsia"/>
                <w:lang w:val="en-US" w:eastAsia="zh-CN"/>
              </w:rPr>
              <w:t>2.</w:t>
            </w:r>
            <w:r>
              <w:rPr>
                <w:rFonts w:hint="eastAsia"/>
                <w:lang w:eastAsia="zh-CN"/>
              </w:rPr>
              <w:t>加强对资源的管理和调配，实现资源的最优化配置。建立精细化管理体系，加强资源的有效利用，降低资源浪费和损失。</w:t>
            </w:r>
          </w:p>
        </w:tc>
      </w:tr>
    </w:tbl>
    <w:p>
      <w:pPr>
        <w:widowControl/>
        <w:spacing w:afterLines="0" w:line="400" w:lineRule="exact"/>
        <w:jc w:val="left"/>
        <w:rPr>
          <w:rFonts w:hint="eastAsia" w:ascii="新宋体" w:hAnsi="新宋体" w:eastAsia="新宋体" w:cs="新宋体"/>
          <w:sz w:val="21"/>
          <w:szCs w:val="21"/>
          <w:lang w:eastAsia="zh-CN"/>
        </w:rPr>
      </w:pPr>
      <w:r>
        <w:rPr>
          <w:rFonts w:hint="eastAsia" w:ascii="新宋体" w:hAnsi="新宋体" w:eastAsia="新宋体" w:cs="新宋体"/>
          <w:sz w:val="21"/>
          <w:szCs w:val="21"/>
        </w:rPr>
        <w:t>说明：</w:t>
      </w:r>
      <w:r>
        <w:rPr>
          <w:rFonts w:hint="eastAsia" w:ascii="新宋体" w:hAnsi="新宋体" w:eastAsia="新宋体" w:cs="新宋体"/>
          <w:sz w:val="21"/>
          <w:szCs w:val="21"/>
          <w:lang w:eastAsia="zh-CN"/>
        </w:rPr>
        <w:t>以上数据均来源于</w:t>
      </w:r>
      <w:r>
        <w:rPr>
          <w:rFonts w:hint="eastAsia" w:ascii="新宋体" w:hAnsi="新宋体" w:eastAsia="新宋体" w:cs="新宋体"/>
          <w:sz w:val="21"/>
          <w:szCs w:val="21"/>
          <w:lang w:val="en-US" w:eastAsia="zh-CN"/>
        </w:rPr>
        <w:t>部门决算报表，其中</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基本支出</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数据参照基本支出决算明细表（财决</w:t>
      </w:r>
      <w:r>
        <w:rPr>
          <w:rFonts w:hint="eastAsia" w:ascii="新宋体" w:hAnsi="新宋体" w:eastAsia="新宋体" w:cs="新宋体"/>
          <w:sz w:val="21"/>
          <w:szCs w:val="21"/>
          <w:lang w:val="en-US" w:eastAsia="zh-CN"/>
        </w:rPr>
        <w:t>05-1表</w:t>
      </w:r>
      <w:r>
        <w:rPr>
          <w:rFonts w:hint="eastAsia" w:ascii="新宋体" w:hAnsi="新宋体" w:eastAsia="新宋体" w:cs="新宋体"/>
          <w:sz w:val="21"/>
          <w:szCs w:val="21"/>
          <w:lang w:eastAsia="zh-CN"/>
        </w:rPr>
        <w:t>）；“三公经费”数据参照机构运行信息表（财决附</w:t>
      </w:r>
      <w:r>
        <w:rPr>
          <w:rFonts w:hint="eastAsia" w:ascii="新宋体" w:hAnsi="新宋体" w:eastAsia="新宋体" w:cs="新宋体"/>
          <w:sz w:val="21"/>
          <w:szCs w:val="21"/>
          <w:lang w:val="en-US" w:eastAsia="zh-CN"/>
        </w:rPr>
        <w:t>03表</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“项目支出”</w:t>
      </w:r>
      <w:r>
        <w:rPr>
          <w:rFonts w:hint="eastAsia" w:ascii="新宋体" w:hAnsi="新宋体" w:eastAsia="新宋体" w:cs="新宋体"/>
          <w:sz w:val="21"/>
          <w:szCs w:val="21"/>
          <w:lang w:eastAsia="zh-CN"/>
        </w:rPr>
        <w:t>数据参照项目支出决算明细表（财决</w:t>
      </w:r>
      <w:r>
        <w:rPr>
          <w:rFonts w:hint="eastAsia" w:ascii="新宋体" w:hAnsi="新宋体" w:eastAsia="新宋体" w:cs="新宋体"/>
          <w:sz w:val="21"/>
          <w:szCs w:val="21"/>
          <w:lang w:val="en-US" w:eastAsia="zh-CN"/>
        </w:rPr>
        <w:t>05-2表</w:t>
      </w:r>
      <w:r>
        <w:rPr>
          <w:rFonts w:hint="eastAsia" w:ascii="新宋体" w:hAnsi="新宋体" w:eastAsia="新宋体" w:cs="新宋体"/>
          <w:sz w:val="21"/>
          <w:szCs w:val="21"/>
          <w:lang w:eastAsia="zh-CN"/>
        </w:rPr>
        <w:t>）。</w:t>
      </w:r>
    </w:p>
    <w:p>
      <w:pPr>
        <w:widowControl/>
        <w:spacing w:after="0" w:afterLines="0" w:line="400" w:lineRule="exact"/>
        <w:jc w:val="left"/>
        <w:rPr>
          <w:rFonts w:hint="default" w:ascii="Times New Roman" w:hAnsi="Times New Roman" w:eastAsia="仿宋_GB2312" w:cs="Times New Roman"/>
          <w:sz w:val="22"/>
        </w:rPr>
      </w:pPr>
    </w:p>
    <w:p>
      <w:pPr>
        <w:widowControl/>
        <w:spacing w:after="0" w:afterLines="0" w:line="400" w:lineRule="exact"/>
        <w:jc w:val="left"/>
        <w:rPr>
          <w:rFonts w:hint="eastAsia" w:ascii="Times New Roman" w:hAnsi="Times New Roman" w:eastAsia="黑体" w:cs="Times New Roman"/>
          <w:sz w:val="32"/>
          <w:szCs w:val="32"/>
          <w:lang w:eastAsia="zh-CN"/>
        </w:rPr>
      </w:pPr>
      <w:r>
        <w:rPr>
          <w:rFonts w:hint="default" w:ascii="Times New Roman" w:hAnsi="Times New Roman" w:eastAsia="仿宋_GB2312" w:cs="Times New Roman"/>
          <w:sz w:val="22"/>
        </w:rPr>
        <w:t>填表人：</w:t>
      </w:r>
      <w:r>
        <w:rPr>
          <w:rFonts w:hint="eastAsia" w:eastAsia="仿宋_GB2312" w:cs="Times New Roman"/>
          <w:sz w:val="22"/>
          <w:lang w:eastAsia="zh-CN"/>
        </w:rPr>
        <w:t>吴涛</w:t>
      </w:r>
      <w:r>
        <w:rPr>
          <w:rFonts w:hint="default" w:ascii="Times New Roman" w:hAnsi="Times New Roman" w:eastAsia="仿宋_GB2312" w:cs="Times New Roman"/>
          <w:sz w:val="22"/>
        </w:rPr>
        <w:t xml:space="preserve">     填报日期：</w:t>
      </w:r>
      <w:r>
        <w:rPr>
          <w:rFonts w:hint="eastAsia" w:eastAsia="仿宋_GB2312" w:cs="Times New Roman"/>
          <w:sz w:val="22"/>
          <w:lang w:val="en-US" w:eastAsia="zh-CN"/>
        </w:rPr>
        <w:t>2023.7.7</w:t>
      </w:r>
      <w:r>
        <w:rPr>
          <w:rFonts w:hint="default" w:ascii="Times New Roman" w:hAnsi="Times New Roman" w:eastAsia="仿宋_GB2312" w:cs="Times New Roman"/>
          <w:sz w:val="22"/>
        </w:rPr>
        <w:t xml:space="preserve">   联系电话：</w:t>
      </w:r>
      <w:r>
        <w:rPr>
          <w:rFonts w:hint="eastAsia" w:eastAsia="仿宋_GB2312" w:cs="Times New Roman"/>
          <w:sz w:val="22"/>
          <w:lang w:val="en-US" w:eastAsia="zh-CN"/>
        </w:rPr>
        <w:t>15197065012</w:t>
      </w:r>
      <w:r>
        <w:rPr>
          <w:rFonts w:hint="default" w:ascii="Times New Roman" w:hAnsi="Times New Roman" w:eastAsia="仿宋_GB2312" w:cs="Times New Roman"/>
          <w:sz w:val="22"/>
        </w:rPr>
        <w:t xml:space="preserve">   单位负责人签字：</w:t>
      </w:r>
      <w:r>
        <w:rPr>
          <w:rFonts w:hint="default" w:ascii="Times New Roman" w:hAnsi="Times New Roman" w:eastAsia="仿宋_GB2312" w:cs="Times New Roman"/>
          <w:sz w:val="22"/>
        </w:rPr>
        <w:br w:type="page"/>
      </w:r>
      <w:r>
        <w:rPr>
          <w:rFonts w:hint="default" w:ascii="黑体" w:hAnsi="黑体" w:eastAsia="黑体" w:cs="黑体"/>
          <w:sz w:val="32"/>
          <w:szCs w:val="32"/>
          <w:lang w:eastAsia="zh-CN"/>
        </w:rPr>
        <w:t>附件</w:t>
      </w:r>
      <w:r>
        <w:rPr>
          <w:rFonts w:hint="eastAsia" w:ascii="黑体" w:hAnsi="黑体" w:eastAsia="黑体" w:cs="黑体"/>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华容县水利局</w:t>
      </w:r>
      <w:r>
        <w:rPr>
          <w:rFonts w:hint="eastAsia" w:ascii="方正小标宋简体" w:hAnsi="方正小标宋简体" w:eastAsia="方正小标宋简体" w:cs="方正小标宋简体"/>
          <w:sz w:val="44"/>
          <w:szCs w:val="44"/>
        </w:rPr>
        <w:t>部门整体支出</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rPr>
        <w:t>绩效自评表</w:t>
      </w:r>
    </w:p>
    <w:tbl>
      <w:tblPr>
        <w:tblStyle w:val="14"/>
        <w:tblW w:w="9286" w:type="dxa"/>
        <w:jc w:val="center"/>
        <w:tblLayout w:type="fixed"/>
        <w:tblCellMar>
          <w:top w:w="0" w:type="dxa"/>
          <w:left w:w="108" w:type="dxa"/>
          <w:bottom w:w="0" w:type="dxa"/>
          <w:right w:w="108" w:type="dxa"/>
        </w:tblCellMar>
      </w:tblPr>
      <w:tblGrid>
        <w:gridCol w:w="1099"/>
        <w:gridCol w:w="881"/>
        <w:gridCol w:w="867"/>
        <w:gridCol w:w="1057"/>
        <w:gridCol w:w="1103"/>
        <w:gridCol w:w="1072"/>
        <w:gridCol w:w="589"/>
        <w:gridCol w:w="1024"/>
        <w:gridCol w:w="1594"/>
      </w:tblGrid>
      <w:tr>
        <w:tblPrEx>
          <w:tblCellMar>
            <w:top w:w="0" w:type="dxa"/>
            <w:left w:w="108" w:type="dxa"/>
            <w:bottom w:w="0" w:type="dxa"/>
            <w:right w:w="108" w:type="dxa"/>
          </w:tblCellMar>
        </w:tblPrEx>
        <w:trPr>
          <w:trHeight w:val="1003" w:hRule="atLeast"/>
          <w:jc w:val="center"/>
        </w:trPr>
        <w:tc>
          <w:tcPr>
            <w:tcW w:w="109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县</w:t>
            </w:r>
            <w:r>
              <w:rPr>
                <w:rFonts w:hint="eastAsia" w:ascii="新宋体" w:hAnsi="新宋体" w:eastAsia="新宋体" w:cs="新宋体"/>
                <w:color w:val="000000"/>
                <w:sz w:val="21"/>
                <w:szCs w:val="21"/>
              </w:rPr>
              <w:t>级预算部门名称</w:t>
            </w:r>
          </w:p>
        </w:tc>
        <w:tc>
          <w:tcPr>
            <w:tcW w:w="8187" w:type="dxa"/>
            <w:gridSpan w:val="8"/>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华容县水利局</w:t>
            </w:r>
          </w:p>
        </w:tc>
      </w:tr>
      <w:tr>
        <w:tblPrEx>
          <w:tblCellMar>
            <w:top w:w="0" w:type="dxa"/>
            <w:left w:w="108" w:type="dxa"/>
            <w:bottom w:w="0" w:type="dxa"/>
            <w:right w:w="108" w:type="dxa"/>
          </w:tblCellMar>
        </w:tblPrEx>
        <w:trPr>
          <w:trHeight w:val="863" w:hRule="atLeast"/>
          <w:jc w:val="center"/>
        </w:trPr>
        <w:tc>
          <w:tcPr>
            <w:tcW w:w="1099" w:type="dxa"/>
            <w:vMerge w:val="restart"/>
            <w:tcBorders>
              <w:top w:val="nil"/>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预算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lang w:eastAsia="zh-CN"/>
              </w:rPr>
            </w:pPr>
            <w:r>
              <w:rPr>
                <w:rFonts w:hint="eastAsia" w:ascii="新宋体" w:hAnsi="新宋体" w:eastAsia="新宋体" w:cs="新宋体"/>
                <w:i w:val="0"/>
                <w:iCs w:val="0"/>
                <w:color w:val="000000"/>
                <w:sz w:val="21"/>
                <w:szCs w:val="21"/>
              </w:rPr>
              <w:t>申请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（万元）</w:t>
            </w:r>
          </w:p>
        </w:tc>
        <w:tc>
          <w:tcPr>
            <w:tcW w:w="1748" w:type="dxa"/>
            <w:gridSpan w:val="2"/>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p>
        </w:tc>
        <w:tc>
          <w:tcPr>
            <w:tcW w:w="1057"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年初</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1103"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1072"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执行数</w:t>
            </w:r>
          </w:p>
        </w:tc>
        <w:tc>
          <w:tcPr>
            <w:tcW w:w="589"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分值</w:t>
            </w:r>
          </w:p>
        </w:tc>
        <w:tc>
          <w:tcPr>
            <w:tcW w:w="1024"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执行率</w:t>
            </w:r>
          </w:p>
        </w:tc>
        <w:tc>
          <w:tcPr>
            <w:tcW w:w="1594"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得分</w:t>
            </w:r>
          </w:p>
        </w:tc>
      </w:tr>
      <w:tr>
        <w:tblPrEx>
          <w:tblCellMar>
            <w:top w:w="0" w:type="dxa"/>
            <w:left w:w="108" w:type="dxa"/>
            <w:bottom w:w="0" w:type="dxa"/>
            <w:right w:w="108" w:type="dxa"/>
          </w:tblCellMar>
        </w:tblPrEx>
        <w:trPr>
          <w:trHeight w:val="462" w:hRule="atLeast"/>
          <w:jc w:val="center"/>
        </w:trPr>
        <w:tc>
          <w:tcPr>
            <w:tcW w:w="1099" w:type="dxa"/>
            <w:vMerge w:val="continue"/>
            <w:tcBorders>
              <w:top w:val="nil"/>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1748" w:type="dxa"/>
            <w:gridSpan w:val="2"/>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color w:val="000000"/>
                <w:sz w:val="21"/>
                <w:szCs w:val="21"/>
              </w:rPr>
              <w:t>年度资金总额</w:t>
            </w:r>
          </w:p>
        </w:tc>
        <w:tc>
          <w:tcPr>
            <w:tcW w:w="1057"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3409</w:t>
            </w:r>
          </w:p>
        </w:tc>
        <w:tc>
          <w:tcPr>
            <w:tcW w:w="1103"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37062.36</w:t>
            </w:r>
          </w:p>
        </w:tc>
        <w:tc>
          <w:tcPr>
            <w:tcW w:w="1072"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rPr>
            </w:pPr>
            <w:r>
              <w:rPr>
                <w:rFonts w:hint="eastAsia" w:ascii="新宋体" w:hAnsi="新宋体" w:eastAsia="新宋体" w:cs="新宋体"/>
                <w:i w:val="0"/>
                <w:iCs w:val="0"/>
                <w:sz w:val="21"/>
                <w:szCs w:val="21"/>
                <w:lang w:val="en-US" w:eastAsia="zh-CN"/>
              </w:rPr>
              <w:t>36999.54</w:t>
            </w:r>
          </w:p>
        </w:tc>
        <w:tc>
          <w:tcPr>
            <w:tcW w:w="589"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10</w:t>
            </w:r>
          </w:p>
        </w:tc>
        <w:tc>
          <w:tcPr>
            <w:tcW w:w="1024"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99.8%</w:t>
            </w:r>
          </w:p>
        </w:tc>
        <w:tc>
          <w:tcPr>
            <w:tcW w:w="1594"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9</w:t>
            </w:r>
          </w:p>
        </w:tc>
      </w:tr>
      <w:tr>
        <w:tblPrEx>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3908" w:type="dxa"/>
            <w:gridSpan w:val="4"/>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按收入性质分：</w:t>
            </w:r>
          </w:p>
        </w:tc>
        <w:tc>
          <w:tcPr>
            <w:tcW w:w="4279" w:type="dxa"/>
            <w:gridSpan w:val="4"/>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按支出性质分：</w:t>
            </w:r>
          </w:p>
        </w:tc>
      </w:tr>
      <w:tr>
        <w:tblPrEx>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3908" w:type="dxa"/>
            <w:gridSpan w:val="4"/>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其中：</w:t>
            </w:r>
            <w:r>
              <w:rPr>
                <w:rFonts w:hint="eastAsia" w:ascii="新宋体" w:hAnsi="新宋体" w:eastAsia="新宋体" w:cs="新宋体"/>
                <w:i w:val="0"/>
                <w:iCs w:val="0"/>
                <w:color w:val="000000"/>
                <w:sz w:val="21"/>
                <w:szCs w:val="21"/>
                <w:lang w:val="en-US" w:eastAsia="zh-CN"/>
              </w:rPr>
              <w:t xml:space="preserve">  </w:t>
            </w:r>
            <w:r>
              <w:rPr>
                <w:rFonts w:hint="eastAsia" w:ascii="新宋体" w:hAnsi="新宋体" w:eastAsia="新宋体" w:cs="新宋体"/>
                <w:i w:val="0"/>
                <w:iCs w:val="0"/>
                <w:color w:val="000000"/>
                <w:sz w:val="21"/>
                <w:szCs w:val="21"/>
              </w:rPr>
              <w:t>一般公共预算：</w:t>
            </w:r>
            <w:r>
              <w:rPr>
                <w:rFonts w:hint="eastAsia" w:ascii="新宋体" w:hAnsi="新宋体" w:eastAsia="新宋体" w:cs="新宋体"/>
                <w:i w:val="0"/>
                <w:iCs w:val="0"/>
                <w:color w:val="000000"/>
                <w:sz w:val="21"/>
                <w:szCs w:val="21"/>
                <w:lang w:val="en-US" w:eastAsia="zh-CN"/>
              </w:rPr>
              <w:t>23605.5</w:t>
            </w:r>
          </w:p>
        </w:tc>
        <w:tc>
          <w:tcPr>
            <w:tcW w:w="4279" w:type="dxa"/>
            <w:gridSpan w:val="4"/>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其中：基本支出：</w:t>
            </w:r>
            <w:r>
              <w:rPr>
                <w:rFonts w:hint="eastAsia" w:ascii="新宋体" w:hAnsi="新宋体" w:eastAsia="新宋体" w:cs="新宋体"/>
                <w:i w:val="0"/>
                <w:iCs w:val="0"/>
                <w:color w:val="000000"/>
                <w:sz w:val="21"/>
                <w:szCs w:val="21"/>
                <w:lang w:val="en-US" w:eastAsia="zh-CN"/>
              </w:rPr>
              <w:t>15142.07</w:t>
            </w:r>
          </w:p>
        </w:tc>
      </w:tr>
      <w:tr>
        <w:tblPrEx>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3908" w:type="dxa"/>
            <w:gridSpan w:val="4"/>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政府性基金拨款：</w:t>
            </w:r>
            <w:r>
              <w:rPr>
                <w:rFonts w:hint="eastAsia" w:ascii="新宋体" w:hAnsi="新宋体" w:eastAsia="新宋体" w:cs="新宋体"/>
                <w:i w:val="0"/>
                <w:iCs w:val="0"/>
                <w:color w:val="000000"/>
                <w:sz w:val="21"/>
                <w:szCs w:val="21"/>
                <w:lang w:val="en-US" w:eastAsia="zh-CN"/>
              </w:rPr>
              <w:t>12261.88</w:t>
            </w:r>
          </w:p>
        </w:tc>
        <w:tc>
          <w:tcPr>
            <w:tcW w:w="4279" w:type="dxa"/>
            <w:gridSpan w:val="4"/>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default" w:ascii="新宋体" w:hAnsi="新宋体" w:eastAsia="新宋体" w:cs="新宋体"/>
                <w:color w:val="000000"/>
                <w:sz w:val="21"/>
                <w:szCs w:val="21"/>
                <w:lang w:val="en-US"/>
              </w:rPr>
            </w:pPr>
            <w:r>
              <w:rPr>
                <w:rFonts w:hint="eastAsia" w:ascii="新宋体" w:hAnsi="新宋体" w:eastAsia="新宋体" w:cs="新宋体"/>
                <w:color w:val="000000"/>
                <w:sz w:val="21"/>
                <w:szCs w:val="21"/>
              </w:rPr>
              <w:t>项目支出：</w:t>
            </w:r>
            <w:r>
              <w:rPr>
                <w:rFonts w:hint="eastAsia" w:ascii="新宋体" w:hAnsi="新宋体" w:eastAsia="新宋体" w:cs="新宋体"/>
                <w:sz w:val="21"/>
                <w:szCs w:val="21"/>
                <w:lang w:val="en-US" w:eastAsia="zh-CN"/>
              </w:rPr>
              <w:t>21857.47</w:t>
            </w:r>
          </w:p>
        </w:tc>
      </w:tr>
      <w:tr>
        <w:tblPrEx>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3908" w:type="dxa"/>
            <w:gridSpan w:val="4"/>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纳入专户管理的非税收入拨款：</w:t>
            </w:r>
          </w:p>
        </w:tc>
        <w:tc>
          <w:tcPr>
            <w:tcW w:w="4279" w:type="dxa"/>
            <w:gridSpan w:val="4"/>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bottom w:val="single" w:color="000000"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3908" w:type="dxa"/>
            <w:gridSpan w:val="4"/>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1260" w:firstLineChars="60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其他资金：</w:t>
            </w:r>
            <w:r>
              <w:rPr>
                <w:rFonts w:hint="eastAsia" w:ascii="新宋体" w:hAnsi="新宋体" w:eastAsia="新宋体" w:cs="新宋体"/>
                <w:i w:val="0"/>
                <w:iCs w:val="0"/>
                <w:color w:val="000000"/>
                <w:sz w:val="21"/>
                <w:szCs w:val="21"/>
                <w:lang w:val="en-US" w:eastAsia="zh-CN"/>
              </w:rPr>
              <w:t>1156.59</w:t>
            </w:r>
          </w:p>
        </w:tc>
        <w:tc>
          <w:tcPr>
            <w:tcW w:w="4279" w:type="dxa"/>
            <w:gridSpan w:val="4"/>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99" w:type="dxa"/>
            <w:vMerge w:val="restart"/>
            <w:tcBorders>
              <w:top w:val="nil"/>
              <w:left w:val="single" w:color="auto" w:sz="4" w:space="0"/>
              <w:bottom w:val="single" w:color="000000"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总体目标</w:t>
            </w:r>
          </w:p>
        </w:tc>
        <w:tc>
          <w:tcPr>
            <w:tcW w:w="3908" w:type="dxa"/>
            <w:gridSpan w:val="4"/>
            <w:tcBorders>
              <w:top w:val="single" w:color="auto" w:sz="4" w:space="0"/>
              <w:left w:val="nil"/>
              <w:bottom w:val="single" w:color="auto"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预期目标</w:t>
            </w:r>
          </w:p>
        </w:tc>
        <w:tc>
          <w:tcPr>
            <w:tcW w:w="4279" w:type="dxa"/>
            <w:gridSpan w:val="4"/>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实际完成情况　</w:t>
            </w:r>
          </w:p>
        </w:tc>
      </w:tr>
      <w:tr>
        <w:tblPrEx>
          <w:tblCellMar>
            <w:top w:w="0" w:type="dxa"/>
            <w:left w:w="108" w:type="dxa"/>
            <w:bottom w:w="0" w:type="dxa"/>
            <w:right w:w="108" w:type="dxa"/>
          </w:tblCellMar>
        </w:tblPrEx>
        <w:trPr>
          <w:trHeight w:val="462" w:hRule="atLeast"/>
          <w:jc w:val="center"/>
        </w:trPr>
        <w:tc>
          <w:tcPr>
            <w:tcW w:w="1099"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908" w:type="dxa"/>
            <w:gridSpan w:val="4"/>
            <w:tcBorders>
              <w:top w:val="single" w:color="auto" w:sz="4" w:space="0"/>
              <w:left w:val="nil"/>
              <w:bottom w:val="single" w:color="auto"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18"/>
                <w:szCs w:val="18"/>
              </w:rPr>
            </w:pPr>
            <w:r>
              <w:rPr>
                <w:rFonts w:hint="eastAsia" w:ascii="新宋体" w:hAnsi="新宋体" w:eastAsia="新宋体" w:cs="新宋体"/>
                <w:i w:val="0"/>
                <w:iCs w:val="0"/>
                <w:color w:val="000000"/>
                <w:sz w:val="18"/>
                <w:szCs w:val="18"/>
              </w:rPr>
              <w:t>目标1：</w:t>
            </w:r>
            <w:r>
              <w:rPr>
                <w:rFonts w:hint="eastAsia" w:ascii="新宋体" w:hAnsi="新宋体" w:eastAsia="新宋体" w:cs="新宋体"/>
                <w:i w:val="0"/>
                <w:iCs w:val="0"/>
                <w:color w:val="000000"/>
                <w:sz w:val="18"/>
                <w:szCs w:val="18"/>
                <w:lang w:eastAsia="zh-CN"/>
              </w:rPr>
              <w:t>做好防汛抗旱救灾等工作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18"/>
                <w:szCs w:val="18"/>
                <w:lang w:eastAsia="zh-CN"/>
              </w:rPr>
            </w:pPr>
            <w:r>
              <w:rPr>
                <w:rFonts w:hint="eastAsia" w:ascii="新宋体" w:hAnsi="新宋体" w:eastAsia="新宋体" w:cs="新宋体"/>
                <w:i w:val="0"/>
                <w:iCs w:val="0"/>
                <w:color w:val="000000"/>
                <w:sz w:val="18"/>
                <w:szCs w:val="18"/>
              </w:rPr>
              <w:t>目标2：涉水事务执法与管理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18"/>
                <w:szCs w:val="18"/>
              </w:rPr>
            </w:pPr>
            <w:r>
              <w:rPr>
                <w:rFonts w:hint="eastAsia" w:ascii="新宋体" w:hAnsi="新宋体" w:eastAsia="新宋体" w:cs="新宋体"/>
                <w:i w:val="0"/>
                <w:iCs w:val="0"/>
                <w:color w:val="000000"/>
                <w:sz w:val="18"/>
                <w:szCs w:val="18"/>
              </w:rPr>
              <w:t>目标3</w:t>
            </w:r>
            <w:r>
              <w:rPr>
                <w:rFonts w:hint="eastAsia" w:ascii="新宋体" w:hAnsi="新宋体" w:eastAsia="新宋体" w:cs="新宋体"/>
                <w:i w:val="0"/>
                <w:iCs w:val="0"/>
                <w:color w:val="000000"/>
                <w:sz w:val="18"/>
                <w:szCs w:val="18"/>
                <w:lang w:eastAsia="zh-CN"/>
              </w:rPr>
              <w:t>：水利水毁修复</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18"/>
                <w:szCs w:val="18"/>
                <w:lang w:eastAsia="zh-CN"/>
              </w:rPr>
            </w:pPr>
            <w:r>
              <w:rPr>
                <w:rFonts w:hint="eastAsia" w:ascii="新宋体" w:hAnsi="新宋体" w:eastAsia="新宋体" w:cs="新宋体"/>
                <w:i w:val="0"/>
                <w:iCs w:val="0"/>
                <w:color w:val="000000"/>
                <w:sz w:val="18"/>
                <w:szCs w:val="18"/>
              </w:rPr>
              <w:t>目标4：做好移民信访接待，维护库区社会稳定工作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i w:val="0"/>
                <w:iCs w:val="0"/>
                <w:color w:val="000000"/>
                <w:sz w:val="18"/>
                <w:szCs w:val="18"/>
              </w:rPr>
              <w:t>目标5</w:t>
            </w:r>
            <w:r>
              <w:rPr>
                <w:rFonts w:hint="eastAsia" w:ascii="新宋体" w:hAnsi="新宋体" w:eastAsia="新宋体" w:cs="新宋体"/>
                <w:i w:val="0"/>
                <w:iCs w:val="0"/>
                <w:color w:val="000000"/>
                <w:sz w:val="18"/>
                <w:szCs w:val="18"/>
                <w:lang w:eastAsia="zh-CN"/>
              </w:rPr>
              <w:t>：</w:t>
            </w:r>
            <w:r>
              <w:rPr>
                <w:rFonts w:hint="eastAsia" w:ascii="新宋体" w:hAnsi="新宋体" w:eastAsia="新宋体" w:cs="新宋体"/>
                <w:i w:val="0"/>
                <w:iCs w:val="0"/>
                <w:color w:val="000000"/>
                <w:sz w:val="18"/>
                <w:szCs w:val="18"/>
                <w:lang w:val="en-US" w:eastAsia="zh-CN"/>
              </w:rPr>
              <w:t>农村饮水安全巩固提升</w:t>
            </w:r>
          </w:p>
        </w:tc>
        <w:tc>
          <w:tcPr>
            <w:tcW w:w="4279" w:type="dxa"/>
            <w:gridSpan w:val="4"/>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i w:val="0"/>
                <w:iCs w:val="0"/>
                <w:color w:val="000000"/>
                <w:sz w:val="21"/>
                <w:szCs w:val="21"/>
              </w:rPr>
              <w:t>均已完成</w:t>
            </w:r>
          </w:p>
        </w:tc>
      </w:tr>
      <w:tr>
        <w:tblPrEx>
          <w:tblCellMar>
            <w:top w:w="0" w:type="dxa"/>
            <w:left w:w="108" w:type="dxa"/>
            <w:bottom w:w="0" w:type="dxa"/>
            <w:right w:w="108" w:type="dxa"/>
          </w:tblCellMar>
        </w:tblPrEx>
        <w:trPr>
          <w:trHeight w:val="850" w:hRule="atLeast"/>
          <w:jc w:val="center"/>
        </w:trPr>
        <w:tc>
          <w:tcPr>
            <w:tcW w:w="1099"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8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0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1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10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5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109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产出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(50分)</w:t>
            </w:r>
          </w:p>
        </w:tc>
        <w:tc>
          <w:tcPr>
            <w:tcW w:w="867"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数量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0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仿宋_GB2312" w:hAnsi="仿宋" w:eastAsia="仿宋_GB2312" w:cs="仿宋"/>
                <w:color w:val="000000"/>
                <w:sz w:val="24"/>
              </w:rPr>
              <w:t>财政供养人员</w:t>
            </w:r>
          </w:p>
        </w:tc>
        <w:tc>
          <w:tcPr>
            <w:tcW w:w="11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276</w:t>
            </w:r>
          </w:p>
        </w:tc>
        <w:tc>
          <w:tcPr>
            <w:tcW w:w="10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276</w:t>
            </w:r>
          </w:p>
        </w:tc>
        <w:tc>
          <w:tcPr>
            <w:tcW w:w="5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9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水利设施维修维护</w:t>
            </w:r>
          </w:p>
        </w:tc>
        <w:tc>
          <w:tcPr>
            <w:tcW w:w="11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≥2</w:t>
            </w:r>
          </w:p>
        </w:tc>
        <w:tc>
          <w:tcPr>
            <w:tcW w:w="10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2</w:t>
            </w:r>
          </w:p>
        </w:tc>
        <w:tc>
          <w:tcPr>
            <w:tcW w:w="5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9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11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9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质量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0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kern w:val="2"/>
                <w:sz w:val="21"/>
                <w:szCs w:val="21"/>
                <w:lang w:val="en-US" w:eastAsia="zh-CN" w:bidi="ar-SA"/>
              </w:rPr>
              <w:t>工程质量合格率</w:t>
            </w:r>
          </w:p>
        </w:tc>
        <w:tc>
          <w:tcPr>
            <w:tcW w:w="11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≥100%</w:t>
            </w:r>
          </w:p>
        </w:tc>
        <w:tc>
          <w:tcPr>
            <w:tcW w:w="10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100%</w:t>
            </w:r>
          </w:p>
        </w:tc>
        <w:tc>
          <w:tcPr>
            <w:tcW w:w="5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p>
        </w:tc>
      </w:tr>
      <w:tr>
        <w:tblPrEx>
          <w:tblCellMar>
            <w:top w:w="0" w:type="dxa"/>
            <w:left w:w="108" w:type="dxa"/>
            <w:bottom w:w="0" w:type="dxa"/>
            <w:right w:w="108" w:type="dxa"/>
          </w:tblCellMar>
        </w:tblPrEx>
        <w:trPr>
          <w:trHeight w:val="462" w:hRule="atLeast"/>
          <w:jc w:val="center"/>
        </w:trPr>
        <w:tc>
          <w:tcPr>
            <w:tcW w:w="109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p>
        </w:tc>
        <w:tc>
          <w:tcPr>
            <w:tcW w:w="11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9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11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9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时效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0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资金到位情况</w:t>
            </w:r>
          </w:p>
        </w:tc>
        <w:tc>
          <w:tcPr>
            <w:tcW w:w="11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≥90%</w:t>
            </w:r>
          </w:p>
        </w:tc>
        <w:tc>
          <w:tcPr>
            <w:tcW w:w="10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70%</w:t>
            </w:r>
          </w:p>
        </w:tc>
        <w:tc>
          <w:tcPr>
            <w:tcW w:w="5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10</w:t>
            </w: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9</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项目资金到位不及时</w:t>
            </w:r>
          </w:p>
        </w:tc>
      </w:tr>
      <w:tr>
        <w:tblPrEx>
          <w:tblCellMar>
            <w:top w:w="0" w:type="dxa"/>
            <w:left w:w="108" w:type="dxa"/>
            <w:bottom w:w="0" w:type="dxa"/>
            <w:right w:w="108" w:type="dxa"/>
          </w:tblCellMar>
        </w:tblPrEx>
        <w:trPr>
          <w:trHeight w:val="462" w:hRule="atLeast"/>
          <w:jc w:val="center"/>
        </w:trPr>
        <w:tc>
          <w:tcPr>
            <w:tcW w:w="109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成本</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0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仿宋_GB2312" w:hAnsi="仿宋" w:eastAsia="仿宋_GB2312" w:cs="仿宋"/>
                <w:color w:val="000000"/>
                <w:sz w:val="24"/>
              </w:rPr>
              <w:t>人员费用金额</w:t>
            </w:r>
          </w:p>
        </w:tc>
        <w:tc>
          <w:tcPr>
            <w:tcW w:w="11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3623.83</w:t>
            </w:r>
          </w:p>
        </w:tc>
        <w:tc>
          <w:tcPr>
            <w:tcW w:w="10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3623.83</w:t>
            </w:r>
          </w:p>
        </w:tc>
        <w:tc>
          <w:tcPr>
            <w:tcW w:w="5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9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10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仿宋_GB2312" w:hAnsi="仿宋" w:eastAsia="仿宋_GB2312" w:cs="仿宋"/>
                <w:color w:val="000000"/>
                <w:sz w:val="24"/>
              </w:rPr>
              <w:t>公用费用金额</w:t>
            </w:r>
          </w:p>
        </w:tc>
        <w:tc>
          <w:tcPr>
            <w:tcW w:w="11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11518.24</w:t>
            </w:r>
          </w:p>
        </w:tc>
        <w:tc>
          <w:tcPr>
            <w:tcW w:w="10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11518.24</w:t>
            </w:r>
          </w:p>
        </w:tc>
        <w:tc>
          <w:tcPr>
            <w:tcW w:w="5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4</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公用经费不足</w:t>
            </w:r>
          </w:p>
        </w:tc>
      </w:tr>
      <w:tr>
        <w:tblPrEx>
          <w:tblCellMar>
            <w:top w:w="0" w:type="dxa"/>
            <w:left w:w="108" w:type="dxa"/>
            <w:bottom w:w="0" w:type="dxa"/>
            <w:right w:w="108" w:type="dxa"/>
          </w:tblCellMar>
        </w:tblPrEx>
        <w:trPr>
          <w:trHeight w:val="462" w:hRule="atLeast"/>
          <w:jc w:val="center"/>
        </w:trPr>
        <w:tc>
          <w:tcPr>
            <w:tcW w:w="109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10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仿宋_GB2312" w:hAnsi="仿宋" w:eastAsia="仿宋_GB2312" w:cs="仿宋"/>
                <w:color w:val="000000"/>
                <w:sz w:val="24"/>
              </w:rPr>
              <w:t>项目费用</w:t>
            </w:r>
          </w:p>
        </w:tc>
        <w:tc>
          <w:tcPr>
            <w:tcW w:w="11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eastAsia="zh-CN"/>
              </w:rPr>
              <w:t>≥</w:t>
            </w:r>
            <w:r>
              <w:rPr>
                <w:rFonts w:hint="eastAsia" w:ascii="新宋体" w:hAnsi="新宋体" w:eastAsia="新宋体" w:cs="新宋体"/>
                <w:color w:val="000000"/>
                <w:sz w:val="21"/>
                <w:szCs w:val="21"/>
                <w:lang w:val="en-US" w:eastAsia="zh-CN"/>
              </w:rPr>
              <w:t>0</w:t>
            </w:r>
          </w:p>
        </w:tc>
        <w:tc>
          <w:tcPr>
            <w:tcW w:w="10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21857.47</w:t>
            </w:r>
          </w:p>
        </w:tc>
        <w:tc>
          <w:tcPr>
            <w:tcW w:w="5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4</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年初未做项目预算</w:t>
            </w:r>
          </w:p>
        </w:tc>
      </w:tr>
      <w:tr>
        <w:tblPrEx>
          <w:tblCellMar>
            <w:top w:w="0" w:type="dxa"/>
            <w:left w:w="108" w:type="dxa"/>
            <w:bottom w:w="0" w:type="dxa"/>
            <w:right w:w="108" w:type="dxa"/>
          </w:tblCellMar>
        </w:tblPrEx>
        <w:trPr>
          <w:trHeight w:val="850" w:hRule="atLeast"/>
          <w:jc w:val="center"/>
        </w:trPr>
        <w:tc>
          <w:tcPr>
            <w:tcW w:w="1099"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8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0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1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10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5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（30分）</w:t>
            </w:r>
          </w:p>
        </w:tc>
        <w:tc>
          <w:tcPr>
            <w:tcW w:w="867"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10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提高检测预警能力，减少灾害发生时的财产损失</w:t>
            </w:r>
          </w:p>
        </w:tc>
        <w:tc>
          <w:tcPr>
            <w:tcW w:w="11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15</w:t>
            </w: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15</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p>
        </w:tc>
      </w:tr>
      <w:tr>
        <w:tblPrEx>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top w:val="single" w:color="auto" w:sz="4" w:space="0"/>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vMerge w:val="continue"/>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7" w:type="dxa"/>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1103" w:type="dxa"/>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72" w:type="dxa"/>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89" w:type="dxa"/>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24" w:type="dxa"/>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594" w:type="dxa"/>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vMerge w:val="restart"/>
            <w:tcBorders>
              <w:top w:val="nil"/>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105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eastAsia="zh-CN"/>
              </w:rPr>
              <w:t>提高水利服务能力，确保农村水利设施长效发挥作用，保证农业增收和农民增收</w:t>
            </w:r>
          </w:p>
        </w:tc>
        <w:tc>
          <w:tcPr>
            <w:tcW w:w="110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72"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89"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15</w:t>
            </w:r>
          </w:p>
        </w:tc>
        <w:tc>
          <w:tcPr>
            <w:tcW w:w="10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15</w:t>
            </w:r>
          </w:p>
        </w:tc>
        <w:tc>
          <w:tcPr>
            <w:tcW w:w="15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vMerge w:val="continue"/>
            <w:tcBorders>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110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72"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89"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5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vMerge w:val="restart"/>
            <w:tcBorders>
              <w:top w:val="nil"/>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105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10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72"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89"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5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vMerge w:val="continue"/>
            <w:tcBorders>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105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110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72"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89"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5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可持续影响指标</w:t>
            </w:r>
          </w:p>
        </w:tc>
        <w:tc>
          <w:tcPr>
            <w:tcW w:w="10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1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105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110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72"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89"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5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restart"/>
            <w:tcBorders>
              <w:top w:val="nil"/>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（10分）</w:t>
            </w:r>
          </w:p>
        </w:tc>
        <w:tc>
          <w:tcPr>
            <w:tcW w:w="867" w:type="dxa"/>
            <w:vMerge w:val="restart"/>
            <w:tcBorders>
              <w:top w:val="nil"/>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服务对象满意度指标</w:t>
            </w:r>
          </w:p>
        </w:tc>
        <w:tc>
          <w:tcPr>
            <w:tcW w:w="105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服务对象满意度</w:t>
            </w:r>
          </w:p>
        </w:tc>
        <w:tc>
          <w:tcPr>
            <w:tcW w:w="110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100%</w:t>
            </w:r>
          </w:p>
        </w:tc>
        <w:tc>
          <w:tcPr>
            <w:tcW w:w="1072"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100%</w:t>
            </w:r>
          </w:p>
        </w:tc>
        <w:tc>
          <w:tcPr>
            <w:tcW w:w="589"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10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15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867"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105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10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72"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89"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5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800" w:hRule="atLeast"/>
          <w:jc w:val="center"/>
        </w:trPr>
        <w:tc>
          <w:tcPr>
            <w:tcW w:w="1099"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867" w:type="dxa"/>
            <w:vMerge w:val="continue"/>
            <w:tcBorders>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105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110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72"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89"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5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89" w:hRule="atLeast"/>
          <w:jc w:val="center"/>
        </w:trPr>
        <w:tc>
          <w:tcPr>
            <w:tcW w:w="6079" w:type="dxa"/>
            <w:gridSpan w:val="6"/>
            <w:tcBorders>
              <w:top w:val="single" w:color="auto" w:sz="4" w:space="0"/>
              <w:left w:val="single" w:color="auto" w:sz="4" w:space="0"/>
              <w:bottom w:val="single" w:color="auto"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总分</w:t>
            </w:r>
          </w:p>
        </w:tc>
        <w:tc>
          <w:tcPr>
            <w:tcW w:w="589"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100</w:t>
            </w:r>
          </w:p>
        </w:tc>
        <w:tc>
          <w:tcPr>
            <w:tcW w:w="10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96</w:t>
            </w:r>
          </w:p>
        </w:tc>
        <w:tc>
          <w:tcPr>
            <w:tcW w:w="15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bl>
    <w:p>
      <w:pPr>
        <w:rPr>
          <w:rFonts w:hint="eastAsia" w:eastAsia="仿宋_GB2312" w:cs="Times New Roman"/>
          <w:sz w:val="22"/>
          <w:lang w:val="en-US" w:eastAsia="zh-CN"/>
        </w:rPr>
      </w:pPr>
      <w:r>
        <w:rPr>
          <w:rFonts w:hint="default" w:ascii="Times New Roman" w:hAnsi="Times New Roman" w:eastAsia="仿宋_GB2312" w:cs="Times New Roman"/>
          <w:sz w:val="22"/>
        </w:rPr>
        <w:t>说明：</w:t>
      </w:r>
      <w:r>
        <w:rPr>
          <w:rFonts w:hint="eastAsia" w:eastAsia="仿宋_GB2312" w:cs="Times New Roman"/>
          <w:sz w:val="22"/>
          <w:lang w:eastAsia="zh-CN"/>
        </w:rPr>
        <w:t>以上数据参照</w:t>
      </w:r>
      <w:r>
        <w:rPr>
          <w:rFonts w:hint="eastAsia" w:eastAsia="仿宋_GB2312" w:cs="Times New Roman"/>
          <w:sz w:val="22"/>
          <w:lang w:val="en-US" w:eastAsia="zh-CN"/>
        </w:rPr>
        <w:t>2022年部门决算报表中的“收入支出决算总表”(财决01表)。</w:t>
      </w:r>
    </w:p>
    <w:p>
      <w:pPr>
        <w:pStyle w:val="2"/>
        <w:rPr>
          <w:rFonts w:hint="default"/>
          <w:lang w:val="en-US" w:eastAsia="zh-CN"/>
        </w:rPr>
      </w:pPr>
    </w:p>
    <w:p>
      <w:pPr>
        <w:rPr>
          <w:rFonts w:hint="eastAsia" w:ascii="黑体" w:hAnsi="黑体" w:eastAsia="黑体" w:cs="黑体"/>
          <w:sz w:val="32"/>
          <w:szCs w:val="32"/>
          <w:lang w:val="en-US" w:eastAsia="zh-CN"/>
        </w:rPr>
      </w:pPr>
      <w:r>
        <w:rPr>
          <w:rFonts w:hint="default" w:ascii="Times New Roman" w:hAnsi="Times New Roman" w:eastAsia="仿宋_GB2312" w:cs="Times New Roman"/>
          <w:sz w:val="22"/>
          <w:szCs w:val="22"/>
        </w:rPr>
        <w:t>填表人：</w:t>
      </w:r>
      <w:r>
        <w:rPr>
          <w:rFonts w:hint="eastAsia" w:eastAsia="仿宋_GB2312" w:cs="Times New Roman"/>
          <w:sz w:val="22"/>
          <w:szCs w:val="22"/>
          <w:lang w:eastAsia="zh-CN"/>
        </w:rPr>
        <w:t>吴涛</w:t>
      </w:r>
      <w:r>
        <w:rPr>
          <w:rFonts w:hint="eastAsia" w:eastAsia="仿宋_GB2312" w:cs="Times New Roman"/>
          <w:sz w:val="22"/>
          <w:szCs w:val="22"/>
          <w:lang w:val="en-US" w:eastAsia="zh-CN"/>
        </w:rPr>
        <w:t xml:space="preserve">  </w:t>
      </w:r>
      <w:r>
        <w:rPr>
          <w:rFonts w:hint="default" w:ascii="Times New Roman" w:hAnsi="Times New Roman" w:eastAsia="仿宋_GB2312" w:cs="Times New Roman"/>
          <w:sz w:val="22"/>
          <w:szCs w:val="22"/>
        </w:rPr>
        <w:t xml:space="preserve"> 填报日期：</w:t>
      </w:r>
      <w:r>
        <w:rPr>
          <w:rFonts w:hint="eastAsia" w:eastAsia="仿宋_GB2312" w:cs="Times New Roman"/>
          <w:sz w:val="22"/>
          <w:szCs w:val="22"/>
          <w:lang w:val="en-US" w:eastAsia="zh-CN"/>
        </w:rPr>
        <w:t xml:space="preserve">2023.7.7     </w:t>
      </w:r>
      <w:r>
        <w:rPr>
          <w:rFonts w:hint="default" w:ascii="Times New Roman" w:hAnsi="Times New Roman" w:eastAsia="仿宋_GB2312" w:cs="Times New Roman"/>
          <w:sz w:val="22"/>
          <w:szCs w:val="22"/>
        </w:rPr>
        <w:t xml:space="preserve"> 联系电话：</w:t>
      </w:r>
      <w:r>
        <w:rPr>
          <w:rFonts w:hint="eastAsia" w:eastAsia="仿宋_GB2312" w:cs="Times New Roman"/>
          <w:sz w:val="22"/>
          <w:szCs w:val="22"/>
          <w:lang w:val="en-US" w:eastAsia="zh-CN"/>
        </w:rPr>
        <w:t>15197065012</w:t>
      </w:r>
      <w:r>
        <w:rPr>
          <w:rFonts w:hint="eastAsia" w:ascii="Times New Roman" w:hAnsi="Times New Roman" w:eastAsia="仿宋_GB2312" w:cs="Times New Roman"/>
          <w:sz w:val="22"/>
          <w:szCs w:val="22"/>
          <w:lang w:val="en-US" w:eastAsia="zh-CN"/>
        </w:rPr>
        <w:t xml:space="preserve">    </w:t>
      </w:r>
      <w:r>
        <w:rPr>
          <w:rFonts w:hint="eastAsia" w:eastAsia="仿宋_GB2312" w:cs="Times New Roman"/>
          <w:sz w:val="22"/>
          <w:szCs w:val="22"/>
          <w:lang w:val="en-US" w:eastAsia="zh-CN"/>
        </w:rPr>
        <w:t xml:space="preserve"> </w:t>
      </w:r>
      <w:r>
        <w:rPr>
          <w:rFonts w:hint="default" w:ascii="Times New Roman" w:hAnsi="Times New Roman" w:eastAsia="仿宋_GB2312" w:cs="Times New Roman"/>
          <w:sz w:val="22"/>
          <w:szCs w:val="22"/>
        </w:rPr>
        <w:t>单位负责人签字：</w:t>
      </w:r>
      <w:r>
        <w:rPr>
          <w:rFonts w:hint="default" w:ascii="Times New Roman" w:hAnsi="Times New Roman" w:eastAsia="仿宋_GB2312" w:cs="Times New Roman"/>
          <w:sz w:val="22"/>
          <w:szCs w:val="22"/>
        </w:rPr>
        <w:br w:type="page"/>
      </w:r>
      <w:r>
        <w:rPr>
          <w:rFonts w:hint="eastAsia" w:ascii="黑体" w:hAnsi="黑体" w:eastAsia="黑体" w:cs="黑体"/>
          <w:sz w:val="32"/>
          <w:szCs w:val="32"/>
        </w:rPr>
        <w:t>附件</w:t>
      </w:r>
      <w:r>
        <w:rPr>
          <w:rFonts w:hint="eastAsia" w:ascii="黑体" w:hAnsi="黑体" w:eastAsia="黑体" w:cs="黑体"/>
          <w:sz w:val="32"/>
          <w:szCs w:val="32"/>
          <w:lang w:val="en-US" w:eastAsia="zh-CN"/>
        </w:rPr>
        <w:t>3</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华容县水利局</w:t>
      </w:r>
      <w:r>
        <w:rPr>
          <w:rFonts w:hint="eastAsia" w:ascii="方正小标宋简体" w:hAnsi="方正小标宋简体" w:eastAsia="方正小标宋简体" w:cs="方正小标宋简体"/>
          <w:sz w:val="44"/>
          <w:szCs w:val="44"/>
        </w:rPr>
        <w:t>部门整体支出</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2023</w:t>
      </w:r>
      <w:r>
        <w:rPr>
          <w:rFonts w:hint="default" w:ascii="Times New Roman" w:hAnsi="Times New Roman" w:eastAsia="楷体_GB2312" w:cs="Times New Roman"/>
          <w:sz w:val="32"/>
          <w:szCs w:val="32"/>
        </w:rPr>
        <w:t xml:space="preserve">年 </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 xml:space="preserve"> 月 </w:t>
      </w:r>
      <w:r>
        <w:rPr>
          <w:rFonts w:hint="eastAsia" w:eastAsia="楷体_GB2312" w:cs="Times New Roman"/>
          <w:sz w:val="32"/>
          <w:szCs w:val="32"/>
          <w:lang w:val="en-US" w:eastAsia="zh-CN"/>
        </w:rPr>
        <w:t>12</w:t>
      </w:r>
      <w:r>
        <w:rPr>
          <w:rFonts w:hint="default" w:ascii="Times New Roman" w:hAnsi="Times New Roman" w:eastAsia="楷体_GB2312" w:cs="Times New Roman"/>
          <w:sz w:val="32"/>
          <w:szCs w:val="32"/>
        </w:rPr>
        <w:t>日</w:t>
      </w:r>
    </w:p>
    <w:p>
      <w:pPr>
        <w:jc w:val="center"/>
        <w:rPr>
          <w:rFonts w:hint="default" w:ascii="Times New Roman" w:hAnsi="Times New Roman" w:eastAsia="仿宋_GB2312" w:cs="Times New Roman"/>
          <w:sz w:val="32"/>
          <w:szCs w:val="32"/>
        </w:rPr>
        <w:sectPr>
          <w:footerReference r:id="rId3" w:type="default"/>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华容县水利局</w:t>
      </w:r>
      <w:r>
        <w:rPr>
          <w:rFonts w:hint="eastAsia" w:ascii="方正小标宋简体" w:hAnsi="方正小标宋简体" w:eastAsia="方正小标宋简体" w:cs="方正小标宋简体"/>
          <w:sz w:val="44"/>
          <w:szCs w:val="44"/>
        </w:rPr>
        <w:t>部门整体支出</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keepNext w:val="0"/>
        <w:keepLines w:val="0"/>
        <w:pageBreakBefore w:val="0"/>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numPr>
          <w:ilvl w:val="0"/>
          <w:numId w:val="1"/>
        </w:numPr>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部门（单位）基本情况</w:t>
      </w:r>
    </w:p>
    <w:p>
      <w:pPr>
        <w:numPr>
          <w:ilvl w:val="0"/>
          <w:numId w:val="2"/>
        </w:numPr>
        <w:spacing w:line="600" w:lineRule="exact"/>
        <w:ind w:firstLine="640" w:firstLineChars="200"/>
        <w:rPr>
          <w:rFonts w:hint="eastAsia" w:eastAsia="仿宋_GB2312" w:cs="Times New Roman"/>
          <w:color w:val="000000"/>
          <w:sz w:val="32"/>
          <w:szCs w:val="32"/>
          <w:lang w:val="en-US" w:eastAsia="zh-CN"/>
        </w:rPr>
      </w:pPr>
      <w:r>
        <w:rPr>
          <w:rFonts w:hint="eastAsia" w:eastAsia="仿宋_GB2312" w:cs="Times New Roman"/>
          <w:color w:val="000000"/>
          <w:sz w:val="32"/>
          <w:szCs w:val="32"/>
          <w:lang w:val="en-US" w:eastAsia="zh-CN"/>
        </w:rPr>
        <w:t>职能职责：</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①负责保障水资源的合理开发利用。</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②指导饮用水水源保护有关工作。</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③按规定组织开展水资源、水能资源调查评价和水资源承载能力监测预警工作。</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④负责生活、生产经营和生态环境用水的统筹和保障。</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⑤负责节约用水工作。拟订节约用水政策，组织编制节约用水规划并监督实施，组织制定有关标准。</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⑥指导水利设施、水域及其岸线的管理、保护与综合利用。指导江河湖泊及河口的治理、开发和保护。</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⑦按规定制定水利工程建设和运行管理有关制度并组织实施，负责提出水利固定资产投资规模、方向、具体安排建议并组织指导实施，按县人民政府规定权限审批、核准规划内和年度计划规模内固定资产投资项目，提出水利资金安排建议并负责项目实施的监督管理。</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⑧指导水利工程的组织与实施、监督与运行管理。</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⑨负责水土保持工作。</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⑩指导农村水利工作。</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⑪负责水利建设和水库移民管理工作。</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⑫指导协调重大涉水违法事件的查处，协调跨乡镇水事纠纷，负责县辖区范围内的水政监察和水行政执法。</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⑬开展水利科技和外事工作。</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⑭负责落实综合防灾减灾规划相关要求，组织编制洪水干旱灾害防治规划和防护标准并指导实施。</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⑮负责本行业、领域安全生产和应急工作。</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⑯完成县委和县政府交办的其他事项。</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color w:val="000000"/>
          <w:sz w:val="32"/>
          <w:szCs w:val="32"/>
          <w:lang w:val="en-US" w:eastAsia="zh-CN"/>
        </w:rPr>
      </w:pPr>
      <w:r>
        <w:rPr>
          <w:rFonts w:hint="eastAsia" w:ascii="Times New Roman" w:hAnsi="Times New Roman" w:eastAsia="仿宋_GB2312" w:cs="Times New Roman"/>
          <w:color w:val="000000"/>
          <w:sz w:val="32"/>
          <w:szCs w:val="32"/>
        </w:rPr>
        <w:t>⑰职能转变。县水利局应切实加强水资源合理利用、优化配置和节约保护。</w:t>
      </w:r>
    </w:p>
    <w:p>
      <w:pPr>
        <w:snapToGrid w:val="0"/>
        <w:spacing w:line="520" w:lineRule="exact"/>
        <w:ind w:firstLine="640" w:firstLineChars="200"/>
        <w:rPr>
          <w:rFonts w:ascii="仿宋_GB2312" w:hAnsi="仿宋" w:eastAsia="仿宋_GB2312"/>
          <w:sz w:val="32"/>
          <w:szCs w:val="32"/>
        </w:rPr>
      </w:pPr>
      <w:r>
        <w:rPr>
          <w:rFonts w:hint="eastAsia" w:eastAsia="仿宋_GB2312" w:cs="Times New Roman"/>
          <w:color w:val="000000"/>
          <w:sz w:val="32"/>
          <w:szCs w:val="32"/>
          <w:lang w:val="en-US" w:eastAsia="zh-CN"/>
        </w:rPr>
        <w:t>2、机构设置：</w:t>
      </w:r>
      <w:r>
        <w:rPr>
          <w:rFonts w:hint="eastAsia" w:ascii="仿宋_GB2312" w:hAnsi="仿宋" w:eastAsia="仿宋_GB2312" w:cs="Times New Roman"/>
          <w:sz w:val="32"/>
          <w:szCs w:val="32"/>
          <w:lang w:val="zh-CN"/>
        </w:rPr>
        <w:t>华容县水利局部门单位构成分别为：包括</w:t>
      </w:r>
      <w:r>
        <w:rPr>
          <w:rFonts w:hint="eastAsia" w:ascii="仿宋_GB2312" w:hAnsi="仿宋" w:eastAsia="仿宋_GB2312" w:cs="Times New Roman"/>
          <w:sz w:val="32"/>
          <w:szCs w:val="32"/>
          <w:lang w:val="en-US" w:eastAsia="zh-CN"/>
        </w:rPr>
        <w:t>11个单位，分别为：水利局本级（包括水土保持站、水政监察大队）、库区移民事务中心、水旱灾害防御事务中心、长江洞庭湖水利事务中心、东山水库管理所、华一水库管理所、国营石山矶电力排灌站、花兰窖电力排灌站、沙河水库管理所、北汊水库管理所、城区排涝泵站。</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color w:val="000000"/>
          <w:sz w:val="32"/>
          <w:szCs w:val="32"/>
        </w:rPr>
      </w:pPr>
      <w:r>
        <w:rPr>
          <w:rFonts w:hint="eastAsia" w:eastAsia="仿宋_GB2312" w:cs="Times New Roman"/>
          <w:color w:val="000000"/>
          <w:sz w:val="32"/>
          <w:szCs w:val="32"/>
          <w:lang w:val="en-US" w:eastAsia="zh-CN"/>
        </w:rPr>
        <w:t>3、人员构成：</w:t>
      </w:r>
      <w:r>
        <w:rPr>
          <w:rFonts w:hint="eastAsia" w:ascii="Times New Roman" w:hAnsi="Times New Roman" w:eastAsia="仿宋_GB2312" w:cs="Times New Roman"/>
          <w:color w:val="000000"/>
          <w:sz w:val="32"/>
          <w:szCs w:val="32"/>
        </w:rPr>
        <w:t>华容县水利局</w:t>
      </w:r>
      <w:r>
        <w:rPr>
          <w:rFonts w:hint="eastAsia" w:eastAsia="仿宋_GB2312" w:cs="Times New Roman"/>
          <w:color w:val="000000"/>
          <w:sz w:val="32"/>
          <w:szCs w:val="32"/>
          <w:lang w:eastAsia="zh-CN"/>
        </w:rPr>
        <w:t>部门</w:t>
      </w:r>
      <w:r>
        <w:rPr>
          <w:rFonts w:hint="eastAsia" w:ascii="Times New Roman" w:hAnsi="Times New Roman" w:eastAsia="仿宋_GB2312" w:cs="Times New Roman"/>
          <w:color w:val="000000"/>
          <w:sz w:val="32"/>
          <w:szCs w:val="32"/>
        </w:rPr>
        <w:t>有人员编制</w:t>
      </w:r>
      <w:r>
        <w:rPr>
          <w:rFonts w:hint="eastAsia" w:eastAsia="仿宋_GB2312" w:cs="Times New Roman"/>
          <w:color w:val="000000"/>
          <w:sz w:val="32"/>
          <w:szCs w:val="32"/>
          <w:lang w:val="en-US" w:eastAsia="zh-CN"/>
        </w:rPr>
        <w:t>269</w:t>
      </w:r>
      <w:r>
        <w:rPr>
          <w:rFonts w:hint="eastAsia" w:ascii="Times New Roman" w:hAnsi="Times New Roman" w:eastAsia="仿宋_GB2312" w:cs="Times New Roman"/>
          <w:color w:val="000000"/>
          <w:sz w:val="32"/>
          <w:szCs w:val="32"/>
        </w:rPr>
        <w:t>名，（其中：行政编制</w:t>
      </w:r>
      <w:r>
        <w:rPr>
          <w:rFonts w:hint="eastAsia" w:eastAsia="仿宋_GB2312" w:cs="Times New Roman"/>
          <w:color w:val="000000"/>
          <w:sz w:val="32"/>
          <w:szCs w:val="32"/>
          <w:lang w:val="en-US" w:eastAsia="zh-CN"/>
        </w:rPr>
        <w:t>28</w:t>
      </w:r>
      <w:r>
        <w:rPr>
          <w:rFonts w:hint="eastAsia" w:ascii="Times New Roman" w:hAnsi="Times New Roman" w:eastAsia="仿宋_GB2312" w:cs="Times New Roman"/>
          <w:color w:val="000000"/>
          <w:sz w:val="32"/>
          <w:szCs w:val="32"/>
        </w:rPr>
        <w:t>名；全额事业编</w:t>
      </w:r>
      <w:r>
        <w:rPr>
          <w:rFonts w:hint="eastAsia" w:eastAsia="仿宋_GB2312" w:cs="Times New Roman"/>
          <w:color w:val="000000"/>
          <w:sz w:val="32"/>
          <w:szCs w:val="32"/>
          <w:lang w:val="en-US" w:eastAsia="zh-CN"/>
        </w:rPr>
        <w:t>238</w:t>
      </w:r>
      <w:r>
        <w:rPr>
          <w:rFonts w:hint="eastAsia" w:ascii="Times New Roman" w:hAnsi="Times New Roman" w:eastAsia="仿宋_GB2312" w:cs="Times New Roman"/>
          <w:color w:val="000000"/>
          <w:sz w:val="32"/>
          <w:szCs w:val="32"/>
        </w:rPr>
        <w:t>名；事业差额编制0名；自收自支编制0名；工勤编制3名）；实有人员</w:t>
      </w:r>
      <w:r>
        <w:rPr>
          <w:rFonts w:hint="eastAsia" w:eastAsia="仿宋_GB2312" w:cs="Times New Roman"/>
          <w:color w:val="000000"/>
          <w:sz w:val="32"/>
          <w:szCs w:val="32"/>
          <w:lang w:val="en-US" w:eastAsia="zh-CN"/>
        </w:rPr>
        <w:t>276</w:t>
      </w:r>
      <w:r>
        <w:rPr>
          <w:rFonts w:hint="eastAsia" w:ascii="Times New Roman" w:hAnsi="Times New Roman" w:eastAsia="仿宋_GB2312" w:cs="Times New Roman"/>
          <w:color w:val="000000"/>
          <w:sz w:val="32"/>
          <w:szCs w:val="32"/>
        </w:rPr>
        <w:t>人（其中：全额人员</w:t>
      </w:r>
      <w:r>
        <w:rPr>
          <w:rFonts w:hint="eastAsia" w:eastAsia="仿宋_GB2312" w:cs="Times New Roman"/>
          <w:color w:val="000000"/>
          <w:sz w:val="32"/>
          <w:szCs w:val="32"/>
          <w:lang w:val="en-US" w:eastAsia="zh-CN"/>
        </w:rPr>
        <w:t>276</w:t>
      </w:r>
      <w:r>
        <w:rPr>
          <w:rFonts w:hint="eastAsia" w:ascii="Times New Roman" w:hAnsi="Times New Roman" w:eastAsia="仿宋_GB2312" w:cs="Times New Roman"/>
          <w:color w:val="000000"/>
          <w:sz w:val="32"/>
          <w:szCs w:val="32"/>
        </w:rPr>
        <w:t>人；差额人员0人）。</w:t>
      </w:r>
    </w:p>
    <w:p>
      <w:pPr>
        <w:pStyle w:val="2"/>
        <w:numPr>
          <w:ilvl w:val="0"/>
          <w:numId w:val="0"/>
        </w:numPr>
        <w:rPr>
          <w:rFonts w:hint="default"/>
          <w:b/>
          <w:bCs/>
        </w:rPr>
      </w:pPr>
    </w:p>
    <w:p>
      <w:pPr>
        <w:pStyle w:val="20"/>
        <w:keepNext w:val="0"/>
        <w:keepLines w:val="0"/>
        <w:pageBreakBefore w:val="0"/>
        <w:widowControl/>
        <w:numPr>
          <w:ilvl w:val="0"/>
          <w:numId w:val="1"/>
        </w:numPr>
        <w:kinsoku/>
        <w:wordWrap/>
        <w:overflowPunct/>
        <w:topLinePunct w:val="0"/>
        <w:autoSpaceDE/>
        <w:autoSpaceDN/>
        <w:bidi w:val="0"/>
        <w:adjustRightInd/>
        <w:snapToGrid/>
        <w:spacing w:line="610" w:lineRule="exact"/>
        <w:ind w:left="0" w:leftChars="0" w:firstLine="640" w:firstLineChars="200"/>
        <w:jc w:val="both"/>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基本支出情况</w:t>
      </w:r>
    </w:p>
    <w:p>
      <w:pPr>
        <w:pStyle w:val="20"/>
        <w:keepNext w:val="0"/>
        <w:keepLines w:val="0"/>
        <w:pageBreakBefore w:val="0"/>
        <w:widowControl/>
        <w:kinsoku/>
        <w:wordWrap/>
        <w:overflowPunct/>
        <w:topLinePunct w:val="0"/>
        <w:autoSpaceDE/>
        <w:autoSpaceDN/>
        <w:bidi w:val="0"/>
        <w:adjustRightInd/>
        <w:snapToGrid/>
        <w:spacing w:line="610" w:lineRule="exact"/>
        <w:jc w:val="both"/>
        <w:textAlignment w:val="auto"/>
        <w:rPr>
          <w:rFonts w:hint="default"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我</w:t>
      </w:r>
      <w:r>
        <w:rPr>
          <w:rFonts w:hint="eastAsia" w:ascii="仿宋_GB2312" w:hAnsi="仿宋" w:eastAsia="仿宋_GB2312"/>
          <w:sz w:val="32"/>
          <w:szCs w:val="32"/>
          <w:lang w:eastAsia="zh-CN"/>
        </w:rPr>
        <w:t>部门</w:t>
      </w:r>
      <w:r>
        <w:rPr>
          <w:rFonts w:hint="eastAsia" w:ascii="Times New Roman" w:hAnsi="Times New Roman" w:eastAsia="仿宋_GB2312" w:cs="Times New Roman"/>
          <w:color w:val="000000"/>
          <w:kern w:val="2"/>
          <w:sz w:val="32"/>
          <w:szCs w:val="32"/>
          <w:lang w:val="en-US" w:eastAsia="zh-CN" w:bidi="ar-SA"/>
        </w:rPr>
        <w:t>2022年基本支出15142.07万元，其中：人员经费支出3623.83万元，公用经费支出11518.24万元。</w:t>
      </w:r>
    </w:p>
    <w:p>
      <w:pPr>
        <w:pStyle w:val="20"/>
        <w:keepNext w:val="0"/>
        <w:keepLines w:val="0"/>
        <w:pageBreakBefore w:val="0"/>
        <w:widowControl/>
        <w:kinsoku/>
        <w:wordWrap/>
        <w:overflowPunct/>
        <w:topLinePunct w:val="0"/>
        <w:autoSpaceDE/>
        <w:autoSpaceDN/>
        <w:bidi w:val="0"/>
        <w:adjustRightInd/>
        <w:snapToGrid/>
        <w:spacing w:line="610" w:lineRule="exact"/>
        <w:jc w:val="both"/>
        <w:textAlignment w:val="auto"/>
        <w:rPr>
          <w:rFonts w:hint="default" w:ascii="Times New Roman" w:hAnsi="Times New Roman" w:eastAsia="黑体" w:cs="Times New Roman"/>
          <w:kern w:val="2"/>
          <w:sz w:val="32"/>
          <w:szCs w:val="32"/>
          <w:lang w:val="en-US" w:eastAsia="zh-CN" w:bidi="ar-SA"/>
        </w:rPr>
      </w:pPr>
    </w:p>
    <w:p>
      <w:pPr>
        <w:pStyle w:val="20"/>
        <w:keepNext w:val="0"/>
        <w:keepLines w:val="0"/>
        <w:pageBreakBefore w:val="0"/>
        <w:widowControl/>
        <w:kinsoku/>
        <w:wordWrap/>
        <w:overflowPunct/>
        <w:topLinePunct w:val="0"/>
        <w:autoSpaceDE/>
        <w:autoSpaceDN/>
        <w:bidi w:val="0"/>
        <w:adjustRightInd/>
        <w:snapToGrid/>
        <w:spacing w:line="610" w:lineRule="exact"/>
        <w:jc w:val="both"/>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三、项目支出情况</w:t>
      </w:r>
    </w:p>
    <w:p>
      <w:pPr>
        <w:pStyle w:val="20"/>
        <w:keepNext w:val="0"/>
        <w:keepLines w:val="0"/>
        <w:pageBreakBefore w:val="0"/>
        <w:widowControl/>
        <w:kinsoku/>
        <w:wordWrap/>
        <w:overflowPunct/>
        <w:topLinePunct w:val="0"/>
        <w:autoSpaceDE/>
        <w:autoSpaceDN/>
        <w:bidi w:val="0"/>
        <w:adjustRightInd/>
        <w:snapToGrid/>
        <w:spacing w:line="610" w:lineRule="exact"/>
        <w:ind w:left="0" w:leftChars="0" w:firstLine="640" w:firstLineChars="200"/>
        <w:jc w:val="both"/>
        <w:textAlignment w:val="auto"/>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kern w:val="2"/>
          <w:sz w:val="32"/>
          <w:szCs w:val="32"/>
          <w:lang w:val="en-US" w:eastAsia="zh-CN" w:bidi="ar-SA"/>
        </w:rPr>
        <w:t>我</w:t>
      </w:r>
      <w:r>
        <w:rPr>
          <w:rFonts w:hint="eastAsia" w:ascii="仿宋_GB2312" w:hAnsi="仿宋" w:eastAsia="仿宋_GB2312"/>
          <w:sz w:val="32"/>
          <w:szCs w:val="32"/>
          <w:lang w:eastAsia="zh-CN"/>
        </w:rPr>
        <w:t>部门</w:t>
      </w:r>
      <w:r>
        <w:rPr>
          <w:rFonts w:hint="eastAsia" w:ascii="Times New Roman" w:hAnsi="Times New Roman" w:eastAsia="仿宋_GB2312" w:cs="Times New Roman"/>
          <w:color w:val="000000"/>
          <w:kern w:val="2"/>
          <w:sz w:val="32"/>
          <w:szCs w:val="32"/>
          <w:lang w:val="en-US" w:eastAsia="zh-CN" w:bidi="ar-SA"/>
        </w:rPr>
        <w:t>2022年项目支出21857.47万元，</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其中：专项资金574.39万元；项目资金21283.08万元。</w:t>
      </w:r>
    </w:p>
    <w:p>
      <w:pPr>
        <w:pStyle w:val="20"/>
        <w:keepNext w:val="0"/>
        <w:keepLines w:val="0"/>
        <w:pageBreakBefore w:val="0"/>
        <w:widowControl/>
        <w:kinsoku/>
        <w:wordWrap/>
        <w:overflowPunct/>
        <w:topLinePunct w:val="0"/>
        <w:autoSpaceDE/>
        <w:autoSpaceDN/>
        <w:bidi w:val="0"/>
        <w:adjustRightInd/>
        <w:snapToGrid/>
        <w:spacing w:line="610" w:lineRule="exact"/>
        <w:jc w:val="both"/>
        <w:textAlignment w:val="auto"/>
        <w:rPr>
          <w:rFonts w:hint="default" w:ascii="Times New Roman" w:hAnsi="Times New Roman" w:eastAsia="黑体" w:cs="Times New Roman"/>
          <w:kern w:val="2"/>
          <w:sz w:val="32"/>
          <w:szCs w:val="32"/>
          <w:lang w:val="en-US" w:eastAsia="zh-CN" w:bidi="ar-SA"/>
        </w:rPr>
      </w:pP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eastAsia="黑体" w:cs="Times New Roman"/>
          <w:sz w:val="32"/>
          <w:szCs w:val="32"/>
          <w:lang w:eastAsia="zh-CN"/>
        </w:rPr>
        <w:t>四</w:t>
      </w:r>
      <w:r>
        <w:rPr>
          <w:rFonts w:hint="default" w:ascii="Times New Roman" w:hAnsi="Times New Roman" w:eastAsia="黑体" w:cs="Times New Roman"/>
          <w:sz w:val="32"/>
          <w:szCs w:val="32"/>
        </w:rPr>
        <w:t>、部门整体支出绩效情况</w:t>
      </w:r>
    </w:p>
    <w:p>
      <w:pPr>
        <w:snapToGrid w:val="0"/>
        <w:spacing w:line="520" w:lineRule="exact"/>
        <w:ind w:firstLine="640"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2022年，</w:t>
      </w:r>
      <w:r>
        <w:rPr>
          <w:rFonts w:hint="eastAsia" w:ascii="仿宋_GB2312" w:hAnsi="仿宋" w:eastAsia="仿宋_GB2312"/>
          <w:sz w:val="32"/>
          <w:szCs w:val="32"/>
        </w:rPr>
        <w:t>我</w:t>
      </w:r>
      <w:r>
        <w:rPr>
          <w:rFonts w:hint="eastAsia" w:ascii="仿宋_GB2312" w:hAnsi="仿宋" w:eastAsia="仿宋_GB2312"/>
          <w:sz w:val="32"/>
          <w:szCs w:val="32"/>
          <w:lang w:eastAsia="zh-CN"/>
        </w:rPr>
        <w:t>部门</w:t>
      </w:r>
      <w:r>
        <w:rPr>
          <w:rFonts w:hint="eastAsia" w:ascii="仿宋_GB2312" w:hAnsi="仿宋" w:eastAsia="仿宋_GB2312"/>
          <w:sz w:val="32"/>
          <w:szCs w:val="32"/>
        </w:rPr>
        <w:t>收入年初预算为</w:t>
      </w:r>
      <w:r>
        <w:rPr>
          <w:rFonts w:hint="eastAsia" w:ascii="仿宋_GB2312" w:hAnsi="仿宋" w:eastAsia="仿宋_GB2312"/>
          <w:sz w:val="32"/>
          <w:szCs w:val="32"/>
          <w:lang w:val="en-US" w:eastAsia="zh-CN"/>
        </w:rPr>
        <w:t>3409</w:t>
      </w:r>
      <w:r>
        <w:rPr>
          <w:rFonts w:hint="eastAsia" w:ascii="仿宋_GB2312" w:hAnsi="仿宋" w:eastAsia="仿宋_GB2312"/>
          <w:sz w:val="32"/>
          <w:szCs w:val="32"/>
        </w:rPr>
        <w:t>万元，收入全年预算数为</w:t>
      </w:r>
      <w:r>
        <w:rPr>
          <w:rFonts w:hint="eastAsia" w:ascii="仿宋_GB2312" w:hAnsi="仿宋" w:eastAsia="仿宋_GB2312"/>
          <w:sz w:val="32"/>
          <w:szCs w:val="32"/>
          <w:lang w:val="en-US" w:eastAsia="zh-CN"/>
        </w:rPr>
        <w:t>37062.36万元，其中：一般公共预算拨款：23605.5万元，政府性基金拨款：12261.88万元，</w:t>
      </w:r>
      <w:r>
        <w:rPr>
          <w:rFonts w:hint="eastAsia" w:ascii="仿宋_GB2312" w:hAnsi="仿宋" w:eastAsia="仿宋_GB2312"/>
          <w:sz w:val="32"/>
          <w:szCs w:val="32"/>
        </w:rPr>
        <w:t>其他资金：</w:t>
      </w:r>
      <w:r>
        <w:rPr>
          <w:rFonts w:hint="eastAsia" w:ascii="仿宋_GB2312" w:hAnsi="仿宋" w:eastAsia="仿宋_GB2312"/>
          <w:sz w:val="32"/>
          <w:szCs w:val="32"/>
          <w:lang w:val="en-US" w:eastAsia="zh-CN"/>
        </w:rPr>
        <w:t>1156.59万元。</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eastAsia="仿宋_GB2312" w:cs="Times New Roman"/>
          <w:color w:val="000000"/>
          <w:sz w:val="32"/>
          <w:szCs w:val="32"/>
          <w:lang w:val="en-US" w:eastAsia="zh-CN"/>
        </w:rPr>
      </w:pPr>
      <w:r>
        <w:rPr>
          <w:rFonts w:hint="eastAsia" w:eastAsia="仿宋_GB2312" w:cs="Times New Roman"/>
          <w:color w:val="000000"/>
          <w:sz w:val="32"/>
          <w:szCs w:val="32"/>
          <w:lang w:eastAsia="zh-CN"/>
        </w:rPr>
        <w:t>2022年我部门严格按照年初预算来执行本年收支，当年预、决算基本持平，我单位收入支出主要功能科目为201一般公共服务支出科目年初预算支出</w:t>
      </w:r>
      <w:r>
        <w:rPr>
          <w:rFonts w:hint="eastAsia" w:eastAsia="仿宋_GB2312" w:cs="Times New Roman"/>
          <w:color w:val="000000"/>
          <w:sz w:val="32"/>
          <w:szCs w:val="32"/>
          <w:lang w:val="en-US" w:eastAsia="zh-CN"/>
        </w:rPr>
        <w:t>0</w:t>
      </w:r>
      <w:r>
        <w:rPr>
          <w:rFonts w:hint="eastAsia" w:eastAsia="仿宋_GB2312" w:cs="Times New Roman"/>
          <w:color w:val="000000"/>
          <w:sz w:val="32"/>
          <w:szCs w:val="32"/>
          <w:lang w:eastAsia="zh-CN"/>
        </w:rPr>
        <w:t>万元，预算调整212.</w:t>
      </w:r>
      <w:r>
        <w:rPr>
          <w:rFonts w:hint="eastAsia" w:eastAsia="仿宋_GB2312" w:cs="Times New Roman"/>
          <w:color w:val="000000"/>
          <w:sz w:val="32"/>
          <w:szCs w:val="32"/>
          <w:lang w:val="en-US" w:eastAsia="zh-CN"/>
        </w:rPr>
        <w:t>9</w:t>
      </w:r>
      <w:r>
        <w:rPr>
          <w:rFonts w:hint="eastAsia" w:eastAsia="仿宋_GB2312" w:cs="Times New Roman"/>
          <w:color w:val="000000"/>
          <w:sz w:val="32"/>
          <w:szCs w:val="32"/>
          <w:lang w:eastAsia="zh-CN"/>
        </w:rPr>
        <w:t>万元，预算执行212.</w:t>
      </w:r>
      <w:r>
        <w:rPr>
          <w:rFonts w:hint="eastAsia" w:eastAsia="仿宋_GB2312" w:cs="Times New Roman"/>
          <w:color w:val="000000"/>
          <w:sz w:val="32"/>
          <w:szCs w:val="32"/>
          <w:lang w:val="en-US" w:eastAsia="zh-CN"/>
        </w:rPr>
        <w:t>9</w:t>
      </w:r>
      <w:r>
        <w:rPr>
          <w:rFonts w:hint="eastAsia" w:eastAsia="仿宋_GB2312" w:cs="Times New Roman"/>
          <w:color w:val="000000"/>
          <w:sz w:val="32"/>
          <w:szCs w:val="32"/>
          <w:lang w:eastAsia="zh-CN"/>
        </w:rPr>
        <w:t>万元；208社会保障和就业支出科目年初预算支出0万元，预算调整468万元，预算执行468万元；211节能环保支出科目年初预算支出</w:t>
      </w:r>
      <w:r>
        <w:rPr>
          <w:rFonts w:hint="eastAsia" w:eastAsia="仿宋_GB2312" w:cs="Times New Roman"/>
          <w:color w:val="000000"/>
          <w:sz w:val="32"/>
          <w:szCs w:val="32"/>
          <w:lang w:val="en-US" w:eastAsia="zh-CN"/>
        </w:rPr>
        <w:t>0</w:t>
      </w:r>
      <w:r>
        <w:rPr>
          <w:rFonts w:hint="eastAsia" w:eastAsia="仿宋_GB2312" w:cs="Times New Roman"/>
          <w:color w:val="000000"/>
          <w:sz w:val="32"/>
          <w:szCs w:val="32"/>
          <w:lang w:eastAsia="zh-CN"/>
        </w:rPr>
        <w:t>万元，预算调整582万元，预算执行582万元；212城乡社区支出科目年初预算支出</w:t>
      </w:r>
      <w:r>
        <w:rPr>
          <w:rFonts w:hint="eastAsia" w:eastAsia="仿宋_GB2312" w:cs="Times New Roman"/>
          <w:color w:val="000000"/>
          <w:sz w:val="32"/>
          <w:szCs w:val="32"/>
          <w:lang w:val="en-US" w:eastAsia="zh-CN"/>
        </w:rPr>
        <w:t>0</w:t>
      </w:r>
      <w:r>
        <w:rPr>
          <w:rFonts w:hint="eastAsia" w:eastAsia="仿宋_GB2312" w:cs="Times New Roman"/>
          <w:color w:val="000000"/>
          <w:sz w:val="32"/>
          <w:szCs w:val="32"/>
          <w:lang w:eastAsia="zh-CN"/>
        </w:rPr>
        <w:t>万元，预算调整10694万元，预算执行10694万元；213农林水支出科目年初预算支出</w:t>
      </w:r>
      <w:r>
        <w:rPr>
          <w:rFonts w:hint="eastAsia" w:eastAsia="仿宋_GB2312" w:cs="Times New Roman"/>
          <w:color w:val="000000"/>
          <w:sz w:val="32"/>
          <w:szCs w:val="32"/>
          <w:lang w:val="en-US" w:eastAsia="zh-CN"/>
        </w:rPr>
        <w:t>34090</w:t>
      </w:r>
      <w:r>
        <w:rPr>
          <w:rFonts w:hint="eastAsia" w:eastAsia="仿宋_GB2312" w:cs="Times New Roman"/>
          <w:color w:val="000000"/>
          <w:sz w:val="32"/>
          <w:szCs w:val="32"/>
          <w:lang w:eastAsia="zh-CN"/>
        </w:rPr>
        <w:t>万元，预算调整235</w:t>
      </w:r>
      <w:r>
        <w:rPr>
          <w:rFonts w:hint="eastAsia" w:eastAsia="仿宋_GB2312" w:cs="Times New Roman"/>
          <w:color w:val="000000"/>
          <w:sz w:val="32"/>
          <w:szCs w:val="32"/>
          <w:lang w:val="en-US" w:eastAsia="zh-CN"/>
        </w:rPr>
        <w:t>95</w:t>
      </w:r>
      <w:r>
        <w:rPr>
          <w:rFonts w:hint="eastAsia" w:eastAsia="仿宋_GB2312" w:cs="Times New Roman"/>
          <w:color w:val="000000"/>
          <w:sz w:val="32"/>
          <w:szCs w:val="32"/>
          <w:lang w:eastAsia="zh-CN"/>
        </w:rPr>
        <w:t>万元，预算执行2358</w:t>
      </w:r>
      <w:r>
        <w:rPr>
          <w:rFonts w:hint="eastAsia" w:eastAsia="仿宋_GB2312" w:cs="Times New Roman"/>
          <w:color w:val="000000"/>
          <w:sz w:val="32"/>
          <w:szCs w:val="32"/>
          <w:lang w:val="en-US" w:eastAsia="zh-CN"/>
        </w:rPr>
        <w:t>0</w:t>
      </w:r>
      <w:r>
        <w:rPr>
          <w:rFonts w:hint="eastAsia" w:eastAsia="仿宋_GB2312" w:cs="Times New Roman"/>
          <w:color w:val="000000"/>
          <w:sz w:val="32"/>
          <w:szCs w:val="32"/>
          <w:lang w:eastAsia="zh-CN"/>
        </w:rPr>
        <w:t>万元；222粮油物质事务支出科目年初预算支出0万元，预算调整323万元，预算执行323万元；224灾害防治及应急管理支出科目年初预算支出</w:t>
      </w:r>
      <w:r>
        <w:rPr>
          <w:rFonts w:hint="eastAsia" w:eastAsia="仿宋_GB2312" w:cs="Times New Roman"/>
          <w:color w:val="000000"/>
          <w:sz w:val="32"/>
          <w:szCs w:val="32"/>
          <w:lang w:val="en-US" w:eastAsia="zh-CN"/>
        </w:rPr>
        <w:t>0</w:t>
      </w:r>
      <w:r>
        <w:rPr>
          <w:rFonts w:hint="eastAsia" w:eastAsia="仿宋_GB2312" w:cs="Times New Roman"/>
          <w:color w:val="000000"/>
          <w:sz w:val="32"/>
          <w:szCs w:val="32"/>
          <w:lang w:eastAsia="zh-CN"/>
        </w:rPr>
        <w:t>万元，预算调整4万元，预算执行4万元。229其他支出科目年初预算支出0万元，预算调整11</w:t>
      </w:r>
      <w:r>
        <w:rPr>
          <w:rFonts w:hint="eastAsia" w:eastAsia="仿宋_GB2312" w:cs="Times New Roman"/>
          <w:color w:val="000000"/>
          <w:sz w:val="32"/>
          <w:szCs w:val="32"/>
          <w:lang w:val="en-US" w:eastAsia="zh-CN"/>
        </w:rPr>
        <w:t>83</w:t>
      </w:r>
      <w:r>
        <w:rPr>
          <w:rFonts w:hint="eastAsia" w:eastAsia="仿宋_GB2312" w:cs="Times New Roman"/>
          <w:color w:val="000000"/>
          <w:sz w:val="32"/>
          <w:szCs w:val="32"/>
          <w:lang w:eastAsia="zh-CN"/>
        </w:rPr>
        <w:t>万元，预算执行11</w:t>
      </w:r>
      <w:r>
        <w:rPr>
          <w:rFonts w:hint="eastAsia" w:eastAsia="仿宋_GB2312" w:cs="Times New Roman"/>
          <w:color w:val="000000"/>
          <w:sz w:val="32"/>
          <w:szCs w:val="32"/>
          <w:lang w:val="en-US" w:eastAsia="zh-CN"/>
        </w:rPr>
        <w:t>36</w:t>
      </w:r>
      <w:r>
        <w:rPr>
          <w:rFonts w:hint="eastAsia" w:eastAsia="仿宋_GB2312" w:cs="Times New Roman"/>
          <w:color w:val="000000"/>
          <w:sz w:val="32"/>
          <w:szCs w:val="32"/>
          <w:lang w:eastAsia="zh-CN"/>
        </w:rPr>
        <w:t>万元。</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eastAsia="仿宋_GB2312" w:cs="Times New Roman"/>
          <w:color w:val="000000"/>
          <w:sz w:val="32"/>
          <w:szCs w:val="32"/>
          <w:lang w:val="en-US" w:eastAsia="zh-CN"/>
        </w:rPr>
      </w:pPr>
      <w:r>
        <w:rPr>
          <w:rFonts w:hint="eastAsia" w:eastAsia="仿宋_GB2312" w:cs="Times New Roman"/>
          <w:color w:val="000000"/>
          <w:sz w:val="32"/>
          <w:szCs w:val="32"/>
          <w:lang w:val="en-US" w:eastAsia="zh-CN"/>
        </w:rPr>
        <w:t>我</w:t>
      </w:r>
      <w:r>
        <w:rPr>
          <w:rFonts w:hint="eastAsia" w:eastAsia="仿宋_GB2312" w:cs="Times New Roman"/>
          <w:color w:val="000000"/>
          <w:sz w:val="32"/>
          <w:szCs w:val="32"/>
          <w:lang w:eastAsia="zh-CN"/>
        </w:rPr>
        <w:t>部门积极履职，强化管理，较好地完成了年度工作目标。通过加强预算收支管理，不断建立健全内部管理制度，梳理内部管理流程，部门整体支出管理水平得到提升。根据部门整体支出绩效自评，我单位</w:t>
      </w:r>
      <w:r>
        <w:rPr>
          <w:rFonts w:hint="eastAsia" w:eastAsia="仿宋_GB2312" w:cs="Times New Roman"/>
          <w:color w:val="000000"/>
          <w:sz w:val="32"/>
          <w:szCs w:val="32"/>
          <w:lang w:val="en-US" w:eastAsia="zh-CN"/>
        </w:rPr>
        <w:t>2022年度绩效自评得分为96分。部门整体支出绩效情况详见附件2。</w:t>
      </w:r>
    </w:p>
    <w:p>
      <w:pPr>
        <w:pStyle w:val="7"/>
        <w:rPr>
          <w:rFonts w:hint="eastAsia"/>
          <w:lang w:eastAsia="zh-CN"/>
        </w:rPr>
      </w:pPr>
    </w:p>
    <w:p>
      <w:pPr>
        <w:pStyle w:val="20"/>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eastAsia="zh-CN"/>
        </w:rPr>
        <w:t>五</w:t>
      </w:r>
      <w:r>
        <w:rPr>
          <w:rFonts w:hint="default" w:ascii="Times New Roman" w:hAnsi="Times New Roman" w:eastAsia="黑体" w:cs="Times New Roman"/>
          <w:sz w:val="32"/>
          <w:szCs w:val="32"/>
        </w:rPr>
        <w:t>、存在的问题及原因分析</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eastAsia="仿宋_GB2312" w:cs="Times New Roman"/>
          <w:color w:val="000000"/>
          <w:sz w:val="32"/>
          <w:szCs w:val="32"/>
          <w:lang w:val="en-US" w:eastAsia="zh-CN"/>
        </w:rPr>
      </w:pPr>
      <w:r>
        <w:rPr>
          <w:rFonts w:hint="eastAsia" w:ascii="Times New Roman" w:hAnsi="Times New Roman" w:eastAsia="仿宋_GB2312" w:cs="Times New Roman"/>
          <w:color w:val="000000"/>
          <w:sz w:val="32"/>
          <w:szCs w:val="32"/>
          <w:lang w:val="en-US" w:eastAsia="zh-CN"/>
        </w:rPr>
        <w:t>1</w:t>
      </w:r>
      <w:r>
        <w:rPr>
          <w:rFonts w:hint="eastAsia" w:eastAsia="仿宋_GB2312" w:cs="Times New Roman"/>
          <w:color w:val="000000"/>
          <w:sz w:val="32"/>
          <w:szCs w:val="32"/>
          <w:lang w:val="en-US" w:eastAsia="zh-CN"/>
        </w:rPr>
        <w:t>.</w:t>
      </w:r>
      <w:r>
        <w:rPr>
          <w:rFonts w:hint="eastAsia" w:ascii="Times New Roman" w:hAnsi="Times New Roman" w:eastAsia="仿宋_GB2312" w:cs="Times New Roman"/>
          <w:color w:val="000000"/>
          <w:sz w:val="32"/>
          <w:szCs w:val="32"/>
          <w:lang w:val="en-US" w:eastAsia="zh-CN"/>
        </w:rPr>
        <w:t>预算</w:t>
      </w:r>
      <w:r>
        <w:rPr>
          <w:rFonts w:hint="eastAsia" w:eastAsia="仿宋_GB2312" w:cs="Times New Roman"/>
          <w:color w:val="000000"/>
          <w:sz w:val="32"/>
          <w:szCs w:val="32"/>
          <w:lang w:val="en-US" w:eastAsia="zh-CN"/>
        </w:rPr>
        <w:t>编制的合理性需要提高，预算</w:t>
      </w:r>
      <w:r>
        <w:rPr>
          <w:rFonts w:hint="eastAsia" w:ascii="Times New Roman" w:hAnsi="Times New Roman" w:eastAsia="仿宋_GB2312" w:cs="Times New Roman"/>
          <w:color w:val="000000"/>
          <w:sz w:val="32"/>
          <w:szCs w:val="32"/>
          <w:lang w:val="en-US" w:eastAsia="zh-CN"/>
        </w:rPr>
        <w:t>执行力度</w:t>
      </w:r>
      <w:r>
        <w:rPr>
          <w:rFonts w:hint="eastAsia" w:eastAsia="仿宋_GB2312" w:cs="Times New Roman"/>
          <w:color w:val="000000"/>
          <w:sz w:val="32"/>
          <w:szCs w:val="32"/>
          <w:lang w:val="en-US" w:eastAsia="zh-CN"/>
        </w:rPr>
        <w:t>还要进一步加强。</w:t>
      </w:r>
    </w:p>
    <w:p>
      <w:pPr>
        <w:keepNext w:val="0"/>
        <w:keepLines w:val="0"/>
        <w:pageBreakBefore w:val="0"/>
        <w:widowControl/>
        <w:kinsoku/>
        <w:wordWrap/>
        <w:overflowPunct/>
        <w:topLinePunct w:val="0"/>
        <w:autoSpaceDE/>
        <w:autoSpaceDN/>
        <w:bidi w:val="0"/>
        <w:adjustRightInd/>
        <w:snapToGrid/>
        <w:spacing w:line="610" w:lineRule="exact"/>
        <w:ind w:firstLine="684" w:firstLineChars="200"/>
        <w:jc w:val="both"/>
        <w:textAlignment w:val="auto"/>
        <w:rPr>
          <w:rFonts w:hint="eastAsia" w:ascii="Times New Roman" w:hAnsi="Times New Roman" w:eastAsia="仿宋_GB2312" w:cs="Times New Roman"/>
          <w:spacing w:val="11"/>
          <w:sz w:val="32"/>
          <w:szCs w:val="32"/>
          <w:lang w:val="en-US" w:eastAsia="zh-CN"/>
        </w:rPr>
      </w:pPr>
      <w:r>
        <w:rPr>
          <w:rFonts w:hint="eastAsia" w:ascii="Times New Roman" w:hAnsi="Times New Roman" w:eastAsia="仿宋_GB2312" w:cs="Times New Roman"/>
          <w:spacing w:val="11"/>
          <w:sz w:val="32"/>
          <w:szCs w:val="32"/>
          <w:lang w:val="en-US" w:eastAsia="zh-CN"/>
        </w:rPr>
        <w:t>2.绩效管理制度体系薄弱。</w:t>
      </w:r>
    </w:p>
    <w:p>
      <w:pPr>
        <w:keepNext w:val="0"/>
        <w:keepLines w:val="0"/>
        <w:pageBreakBefore w:val="0"/>
        <w:widowControl/>
        <w:kinsoku/>
        <w:wordWrap/>
        <w:overflowPunct/>
        <w:topLinePunct w:val="0"/>
        <w:autoSpaceDE/>
        <w:autoSpaceDN/>
        <w:bidi w:val="0"/>
        <w:adjustRightInd/>
        <w:snapToGrid/>
        <w:spacing w:line="610" w:lineRule="exact"/>
        <w:ind w:firstLine="684" w:firstLineChars="200"/>
        <w:jc w:val="both"/>
        <w:textAlignment w:val="auto"/>
        <w:rPr>
          <w:rFonts w:hint="eastAsia" w:ascii="Times New Roman" w:hAnsi="Times New Roman" w:eastAsia="仿宋_GB2312" w:cs="Times New Roman"/>
          <w:spacing w:val="11"/>
          <w:sz w:val="32"/>
          <w:szCs w:val="32"/>
          <w:lang w:val="en-US" w:eastAsia="zh-CN"/>
        </w:rPr>
      </w:pPr>
      <w:r>
        <w:rPr>
          <w:rFonts w:hint="eastAsia" w:ascii="Times New Roman" w:hAnsi="Times New Roman" w:eastAsia="仿宋_GB2312" w:cs="Times New Roman"/>
          <w:spacing w:val="11"/>
          <w:sz w:val="32"/>
          <w:szCs w:val="32"/>
          <w:lang w:val="en-US" w:eastAsia="zh-CN"/>
        </w:rPr>
        <w:t>3.因单位日常公用经费不足，导致实际支出相差不足。</w:t>
      </w:r>
    </w:p>
    <w:p>
      <w:pPr>
        <w:keepNext w:val="0"/>
        <w:keepLines w:val="0"/>
        <w:pageBreakBefore w:val="0"/>
        <w:widowControl/>
        <w:kinsoku/>
        <w:wordWrap/>
        <w:overflowPunct/>
        <w:topLinePunct w:val="0"/>
        <w:autoSpaceDE/>
        <w:autoSpaceDN/>
        <w:bidi w:val="0"/>
        <w:adjustRightInd/>
        <w:snapToGrid/>
        <w:spacing w:line="610" w:lineRule="exact"/>
        <w:ind w:firstLine="684" w:firstLineChars="200"/>
        <w:jc w:val="both"/>
        <w:textAlignment w:val="auto"/>
        <w:rPr>
          <w:rFonts w:hint="eastAsia" w:ascii="Times New Roman" w:hAnsi="Times New Roman" w:eastAsia="仿宋_GB2312" w:cs="Times New Roman"/>
          <w:spacing w:val="11"/>
          <w:sz w:val="32"/>
          <w:szCs w:val="32"/>
          <w:lang w:val="en-US" w:eastAsia="zh-CN"/>
        </w:rPr>
      </w:pPr>
      <w:r>
        <w:rPr>
          <w:rFonts w:hint="eastAsia" w:ascii="Times New Roman" w:hAnsi="Times New Roman" w:eastAsia="仿宋_GB2312" w:cs="Times New Roman"/>
          <w:spacing w:val="11"/>
          <w:sz w:val="32"/>
          <w:szCs w:val="32"/>
          <w:lang w:val="en-US" w:eastAsia="zh-CN"/>
        </w:rPr>
        <w:t>4.公用经费控制有一定难度，基本为刚性支出。</w:t>
      </w:r>
    </w:p>
    <w:p>
      <w:pPr>
        <w:pStyle w:val="7"/>
        <w:rPr>
          <w:rFonts w:hint="default"/>
          <w:lang w:val="en-US" w:eastAsia="zh-CN"/>
        </w:rPr>
      </w:pPr>
    </w:p>
    <w:p>
      <w:pPr>
        <w:pStyle w:val="7"/>
        <w:rPr>
          <w:rFonts w:hint="default"/>
          <w:lang w:val="en-US" w:eastAsia="zh-CN"/>
        </w:rPr>
      </w:pPr>
    </w:p>
    <w:p>
      <w:pPr>
        <w:keepNext w:val="0"/>
        <w:keepLines w:val="0"/>
        <w:pageBreakBefore w:val="0"/>
        <w:widowControl/>
        <w:numPr>
          <w:ilvl w:val="0"/>
          <w:numId w:val="3"/>
        </w:numPr>
        <w:kinsoku/>
        <w:wordWrap/>
        <w:overflowPunct/>
        <w:topLinePunct w:val="0"/>
        <w:autoSpaceDE/>
        <w:autoSpaceDN/>
        <w:bidi w:val="0"/>
        <w:adjustRightInd/>
        <w:snapToGrid/>
        <w:spacing w:line="610" w:lineRule="exact"/>
        <w:ind w:left="210" w:leftChars="0" w:firstLine="640" w:firstLineChars="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下一步改进措施</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针对上述存在的问题及对外整体支出绩效管理工作的需要，拟实施的改进措施如下：</w:t>
      </w:r>
    </w:p>
    <w:p>
      <w:pPr>
        <w:keepNext w:val="0"/>
        <w:keepLines w:val="0"/>
        <w:pageBreakBefore w:val="0"/>
        <w:widowControl/>
        <w:kinsoku/>
        <w:wordWrap/>
        <w:overflowPunct/>
        <w:topLinePunct w:val="0"/>
        <w:autoSpaceDE/>
        <w:autoSpaceDN/>
        <w:bidi w:val="0"/>
        <w:adjustRightInd/>
        <w:snapToGrid/>
        <w:spacing w:line="610" w:lineRule="exact"/>
        <w:ind w:firstLine="684" w:firstLineChars="200"/>
        <w:jc w:val="both"/>
        <w:textAlignment w:val="auto"/>
        <w:rPr>
          <w:rFonts w:hint="eastAsia" w:ascii="Times New Roman" w:hAnsi="Times New Roman" w:eastAsia="仿宋_GB2312" w:cs="Times New Roman"/>
          <w:spacing w:val="11"/>
          <w:sz w:val="32"/>
          <w:szCs w:val="32"/>
          <w:lang w:val="en-US" w:eastAsia="zh-CN"/>
        </w:rPr>
      </w:pPr>
      <w:r>
        <w:rPr>
          <w:rFonts w:hint="eastAsia" w:ascii="Times New Roman" w:hAnsi="Times New Roman" w:eastAsia="仿宋_GB2312" w:cs="Times New Roman"/>
          <w:spacing w:val="11"/>
          <w:sz w:val="32"/>
          <w:szCs w:val="32"/>
          <w:lang w:val="en-US" w:eastAsia="zh-CN"/>
        </w:rPr>
        <w:t>1.</w:t>
      </w:r>
      <w:r>
        <w:rPr>
          <w:rFonts w:hint="eastAsia" w:eastAsia="仿宋_GB2312" w:cs="Times New Roman"/>
          <w:spacing w:val="11"/>
          <w:sz w:val="32"/>
          <w:szCs w:val="32"/>
          <w:lang w:val="en-US" w:eastAsia="zh-CN"/>
        </w:rPr>
        <w:t>细化预算编制工作，编制范围尽可能全面、不漏项，</w:t>
      </w:r>
      <w:r>
        <w:rPr>
          <w:rFonts w:hint="eastAsia" w:ascii="Times New Roman" w:hAnsi="Times New Roman" w:eastAsia="仿宋_GB2312" w:cs="Times New Roman"/>
          <w:spacing w:val="11"/>
          <w:sz w:val="32"/>
          <w:szCs w:val="32"/>
          <w:lang w:val="en-US" w:eastAsia="zh-CN"/>
        </w:rPr>
        <w:t>进一步规范财务核算，加强预算执行情况的监管力度。</w:t>
      </w:r>
    </w:p>
    <w:p>
      <w:pPr>
        <w:keepNext w:val="0"/>
        <w:keepLines w:val="0"/>
        <w:pageBreakBefore w:val="0"/>
        <w:widowControl/>
        <w:kinsoku/>
        <w:wordWrap/>
        <w:overflowPunct/>
        <w:topLinePunct w:val="0"/>
        <w:autoSpaceDE/>
        <w:autoSpaceDN/>
        <w:bidi w:val="0"/>
        <w:adjustRightInd/>
        <w:snapToGrid/>
        <w:spacing w:line="610" w:lineRule="exact"/>
        <w:ind w:firstLine="684" w:firstLineChars="200"/>
        <w:jc w:val="both"/>
        <w:textAlignment w:val="auto"/>
        <w:rPr>
          <w:rFonts w:hint="eastAsia" w:ascii="Times New Roman" w:hAnsi="Times New Roman" w:eastAsia="仿宋_GB2312" w:cs="Times New Roman"/>
          <w:spacing w:val="11"/>
          <w:sz w:val="32"/>
          <w:szCs w:val="32"/>
          <w:lang w:val="en-US" w:eastAsia="zh-CN"/>
        </w:rPr>
      </w:pPr>
      <w:r>
        <w:rPr>
          <w:rFonts w:hint="eastAsia" w:ascii="Times New Roman" w:hAnsi="Times New Roman" w:eastAsia="仿宋_GB2312" w:cs="Times New Roman"/>
          <w:spacing w:val="11"/>
          <w:sz w:val="32"/>
          <w:szCs w:val="32"/>
          <w:lang w:val="en-US" w:eastAsia="zh-CN"/>
        </w:rPr>
        <w:t>2.进一步完善绩效管理制度，推进绩效管理制度落实。</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spacing w:val="11"/>
          <w:sz w:val="32"/>
          <w:szCs w:val="32"/>
          <w:lang w:val="en-US" w:eastAsia="zh-CN"/>
        </w:rPr>
      </w:pPr>
      <w:r>
        <w:rPr>
          <w:rFonts w:hint="eastAsia" w:ascii="Times New Roman" w:hAnsi="Times New Roman" w:eastAsia="仿宋_GB2312" w:cs="Times New Roman"/>
          <w:sz w:val="32"/>
          <w:szCs w:val="32"/>
          <w:lang w:val="en-US" w:eastAsia="zh-CN"/>
        </w:rPr>
        <w:t>3.加强财务管理</w:t>
      </w:r>
      <w:r>
        <w:rPr>
          <w:rFonts w:hint="eastAsia" w:eastAsia="仿宋_GB2312" w:cs="Times New Roman"/>
          <w:sz w:val="32"/>
          <w:szCs w:val="32"/>
          <w:lang w:val="en-US" w:eastAsia="zh-CN"/>
        </w:rPr>
        <w:t>，严格财务审核。加强单位财务管理，健全单位财务管理制度体系，规范单位财务行为。在费用报账支付时，按照预算规定的费用项目和用途进行资金使用审核、列报</w:t>
      </w:r>
      <w:r>
        <w:rPr>
          <w:rFonts w:hint="eastAsia" w:ascii="Times New Roman" w:hAnsi="Times New Roman" w:eastAsia="仿宋_GB2312" w:cs="Times New Roman"/>
          <w:spacing w:val="11"/>
          <w:sz w:val="32"/>
          <w:szCs w:val="32"/>
          <w:lang w:val="en-US" w:eastAsia="zh-CN"/>
        </w:rPr>
        <w:t>支付、财务核算，杜绝超支现象的发生。</w:t>
      </w:r>
    </w:p>
    <w:p>
      <w:pPr>
        <w:keepNext w:val="0"/>
        <w:keepLines w:val="0"/>
        <w:pageBreakBefore w:val="0"/>
        <w:widowControl/>
        <w:kinsoku/>
        <w:wordWrap/>
        <w:overflowPunct/>
        <w:topLinePunct w:val="0"/>
        <w:autoSpaceDE/>
        <w:autoSpaceDN/>
        <w:bidi w:val="0"/>
        <w:adjustRightInd/>
        <w:snapToGrid/>
        <w:spacing w:line="610" w:lineRule="exact"/>
        <w:ind w:firstLine="684" w:firstLineChars="200"/>
        <w:jc w:val="both"/>
        <w:textAlignment w:val="auto"/>
        <w:rPr>
          <w:rFonts w:hint="eastAsia" w:eastAsia="仿宋_GB2312" w:cs="Times New Roman"/>
          <w:spacing w:val="11"/>
          <w:sz w:val="32"/>
          <w:szCs w:val="32"/>
          <w:lang w:val="en-US" w:eastAsia="zh-CN"/>
        </w:rPr>
      </w:pPr>
      <w:r>
        <w:rPr>
          <w:rFonts w:hint="eastAsia" w:ascii="Times New Roman" w:hAnsi="Times New Roman" w:eastAsia="仿宋_GB2312" w:cs="Times New Roman"/>
          <w:spacing w:val="11"/>
          <w:sz w:val="32"/>
          <w:szCs w:val="32"/>
          <w:lang w:val="en-US" w:eastAsia="zh-CN"/>
        </w:rPr>
        <w:t>4.</w:t>
      </w:r>
      <w:r>
        <w:rPr>
          <w:rFonts w:hint="eastAsia" w:eastAsia="仿宋_GB2312" w:cs="Times New Roman"/>
          <w:spacing w:val="11"/>
          <w:sz w:val="32"/>
          <w:szCs w:val="32"/>
          <w:lang w:val="en-US" w:eastAsia="zh-CN"/>
        </w:rPr>
        <w:t>对相关人员加强学习培训，切实提高部门预算收支管理水平。</w:t>
      </w:r>
    </w:p>
    <w:p>
      <w:pPr>
        <w:pStyle w:val="7"/>
        <w:rPr>
          <w:rFonts w:hint="default"/>
          <w:lang w:val="en-US" w:eastAsia="zh-CN"/>
        </w:rPr>
      </w:pP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仿宋_GB2312" w:cs="Times New Roman"/>
          <w:sz w:val="32"/>
          <w:szCs w:val="32"/>
        </w:rPr>
      </w:pPr>
      <w:r>
        <w:rPr>
          <w:rFonts w:hint="eastAsia" w:eastAsia="黑体" w:cs="Times New Roman"/>
          <w:sz w:val="32"/>
          <w:szCs w:val="32"/>
          <w:lang w:eastAsia="zh-CN"/>
        </w:rPr>
        <w:t>七</w:t>
      </w:r>
      <w:r>
        <w:rPr>
          <w:rFonts w:hint="default" w:ascii="Times New Roman" w:hAnsi="Times New Roman" w:eastAsia="黑体" w:cs="Times New Roman"/>
          <w:sz w:val="32"/>
          <w:szCs w:val="32"/>
        </w:rPr>
        <w:t>、其他需要说明的情况</w:t>
      </w:r>
    </w:p>
    <w:p>
      <w:pPr>
        <w:keepNext w:val="0"/>
        <w:keepLines w:val="0"/>
        <w:pageBreakBefore w:val="0"/>
        <w:kinsoku/>
        <w:wordWrap/>
        <w:overflowPunct/>
        <w:topLinePunct w:val="0"/>
        <w:autoSpaceDE/>
        <w:autoSpaceDN/>
        <w:bidi w:val="0"/>
        <w:adjustRightInd/>
        <w:snapToGrid/>
        <w:spacing w:line="560" w:lineRule="exact"/>
        <w:ind w:firstLine="1280" w:firstLineChars="400"/>
        <w:jc w:val="left"/>
        <w:textAlignment w:val="auto"/>
        <w:outlineLvl w:val="0"/>
        <w:rPr>
          <w:rFonts w:hint="eastAsia" w:ascii="仿宋_GB2312" w:eastAsia="仿宋_GB2312"/>
          <w:sz w:val="32"/>
          <w:szCs w:val="32"/>
          <w:lang w:val="en-US" w:eastAsia="zh-CN"/>
        </w:rPr>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ascii="仿宋_GB2312" w:eastAsia="仿宋_GB2312"/>
          <w:sz w:val="32"/>
          <w:szCs w:val="32"/>
          <w:lang w:val="en-US" w:eastAsia="zh-CN"/>
        </w:rPr>
        <w:t>无</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lang w:val="en-US" w:eastAsia="zh-CN"/>
        </w:rPr>
      </w:pPr>
      <w:r>
        <w:rPr>
          <w:rFonts w:hint="eastAsia" w:ascii="黑体" w:hAnsi="黑体" w:eastAsia="黑体"/>
          <w:sz w:val="32"/>
          <w:szCs w:val="32"/>
        </w:rPr>
        <w:t>附件</w:t>
      </w:r>
      <w:r>
        <w:rPr>
          <w:rFonts w:hint="eastAsia" w:ascii="黑体" w:hAnsi="黑体" w:eastAsia="黑体"/>
          <w:sz w:val="32"/>
          <w:szCs w:val="32"/>
          <w:lang w:val="en-US" w:eastAsia="zh-CN"/>
        </w:rPr>
        <w:t>4</w:t>
      </w: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lang w:eastAsia="zh-CN"/>
        </w:rPr>
        <w:t>华容县水利局</w:t>
      </w:r>
      <w:r>
        <w:rPr>
          <w:rFonts w:hint="eastAsia" w:ascii="方正小标宋简体" w:hAnsi="方正小标宋简体" w:eastAsia="方正小标宋简体" w:cs="方正小标宋简体"/>
          <w:color w:val="000000"/>
          <w:sz w:val="44"/>
          <w:szCs w:val="44"/>
        </w:rPr>
        <w:t>项目支出绩效评价</w:t>
      </w:r>
      <w:r>
        <w:rPr>
          <w:rFonts w:hint="eastAsia" w:ascii="方正小标宋简体" w:hAnsi="方正小标宋简体" w:eastAsia="方正小标宋简体" w:cs="方正小标宋简体"/>
          <w:color w:val="000000"/>
          <w:sz w:val="44"/>
          <w:szCs w:val="44"/>
          <w:lang w:eastAsia="zh-CN"/>
        </w:rPr>
        <w:t>评分表</w:t>
      </w:r>
      <w:r>
        <w:rPr>
          <w:rFonts w:hint="eastAsia" w:ascii="方正小标宋简体" w:hAnsi="方正小标宋简体" w:eastAsia="方正小标宋简体" w:cs="方正小标宋简体"/>
          <w:color w:val="000000"/>
          <w:sz w:val="44"/>
          <w:szCs w:val="44"/>
        </w:rPr>
        <w:t>（</w:t>
      </w:r>
      <w:r>
        <w:rPr>
          <w:rFonts w:hint="eastAsia" w:ascii="方正小标宋简体" w:hAnsi="方正小标宋简体" w:eastAsia="方正小标宋简体" w:cs="方正小标宋简体"/>
          <w:color w:val="000000"/>
          <w:sz w:val="44"/>
          <w:szCs w:val="44"/>
          <w:lang w:eastAsia="zh-CN"/>
        </w:rPr>
        <w:t>共性</w:t>
      </w:r>
      <w:r>
        <w:rPr>
          <w:rFonts w:hint="eastAsia" w:ascii="方正小标宋简体" w:hAnsi="方正小标宋简体" w:eastAsia="方正小标宋简体" w:cs="方正小标宋简体"/>
          <w:color w:val="000000"/>
          <w:sz w:val="44"/>
          <w:szCs w:val="44"/>
        </w:rPr>
        <w:t>）</w:t>
      </w:r>
    </w:p>
    <w:tbl>
      <w:tblPr>
        <w:tblStyle w:val="14"/>
        <w:tblW w:w="9820" w:type="dxa"/>
        <w:jc w:val="center"/>
        <w:tblLayout w:type="fixed"/>
        <w:tblCellMar>
          <w:top w:w="0" w:type="dxa"/>
          <w:left w:w="108" w:type="dxa"/>
          <w:bottom w:w="0" w:type="dxa"/>
          <w:right w:w="108" w:type="dxa"/>
        </w:tblCellMar>
      </w:tblPr>
      <w:tblGrid>
        <w:gridCol w:w="702"/>
        <w:gridCol w:w="540"/>
        <w:gridCol w:w="703"/>
        <w:gridCol w:w="540"/>
        <w:gridCol w:w="803"/>
        <w:gridCol w:w="550"/>
        <w:gridCol w:w="2407"/>
        <w:gridCol w:w="2772"/>
        <w:gridCol w:w="803"/>
      </w:tblGrid>
      <w:tr>
        <w:tblPrEx>
          <w:tblCellMar>
            <w:top w:w="0" w:type="dxa"/>
            <w:left w:w="108" w:type="dxa"/>
            <w:bottom w:w="0" w:type="dxa"/>
            <w:right w:w="108" w:type="dxa"/>
          </w:tblCellMar>
        </w:tblPrEx>
        <w:trPr>
          <w:trHeight w:val="582" w:hRule="atLeast"/>
          <w:tblHeader/>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一级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703"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二级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803"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三级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5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240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具体指标</w:t>
            </w:r>
          </w:p>
        </w:tc>
        <w:tc>
          <w:tcPr>
            <w:tcW w:w="277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评价标准</w:t>
            </w:r>
          </w:p>
        </w:tc>
        <w:tc>
          <w:tcPr>
            <w:tcW w:w="80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rPr>
            </w:pPr>
            <w:r>
              <w:rPr>
                <w:rFonts w:hint="eastAsia" w:ascii="仿宋_GB2312" w:hAnsi="宋体" w:eastAsia="仿宋_GB2312" w:cs="宋体"/>
                <w:b/>
                <w:bCs/>
                <w:kern w:val="0"/>
                <w:sz w:val="18"/>
                <w:szCs w:val="18"/>
              </w:rPr>
              <w:t>自评</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24"/>
              </w:rPr>
            </w:pPr>
            <w:r>
              <w:rPr>
                <w:rFonts w:hint="eastAsia" w:ascii="仿宋_GB2312" w:hAnsi="宋体" w:eastAsia="仿宋_GB2312" w:cs="宋体"/>
                <w:b/>
                <w:bCs/>
                <w:kern w:val="0"/>
                <w:sz w:val="18"/>
                <w:szCs w:val="18"/>
              </w:rPr>
              <w:t>得分</w:t>
            </w:r>
          </w:p>
        </w:tc>
      </w:tr>
      <w:tr>
        <w:tblPrEx>
          <w:tblCellMar>
            <w:top w:w="0" w:type="dxa"/>
            <w:left w:w="108" w:type="dxa"/>
            <w:bottom w:w="0" w:type="dxa"/>
            <w:right w:w="108" w:type="dxa"/>
          </w:tblCellMar>
        </w:tblPrEx>
        <w:trPr>
          <w:trHeight w:val="967" w:hRule="atLeast"/>
          <w:jc w:val="center"/>
        </w:trPr>
        <w:tc>
          <w:tcPr>
            <w:tcW w:w="702" w:type="dxa"/>
            <w:vMerge w:val="restart"/>
            <w:tcBorders>
              <w:top w:val="nil"/>
              <w:left w:val="single" w:color="000000" w:sz="4" w:space="0"/>
              <w:bottom w:val="single" w:color="000000" w:sz="4" w:space="0"/>
              <w:right w:val="single" w:color="000000" w:sz="4" w:space="0"/>
            </w:tcBorders>
            <w:textDirection w:val="tbLrV"/>
            <w:vAlign w:val="center"/>
          </w:tcPr>
          <w:p>
            <w:pPr>
              <w:keepNext w:val="0"/>
              <w:keepLines w:val="0"/>
              <w:widowControl/>
              <w:suppressLineNumbers w:val="0"/>
              <w:spacing w:before="0" w:beforeAutospacing="0" w:after="0" w:afterAutospacing="0" w:line="240" w:lineRule="exact"/>
              <w:ind w:left="113" w:right="113"/>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项目决策</w:t>
            </w:r>
          </w:p>
        </w:tc>
        <w:tc>
          <w:tcPr>
            <w:tcW w:w="540" w:type="dxa"/>
            <w:vMerge w:val="restart"/>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20</w:t>
            </w:r>
          </w:p>
        </w:tc>
        <w:tc>
          <w:tcPr>
            <w:tcW w:w="703" w:type="dxa"/>
            <w:tcBorders>
              <w:top w:val="nil"/>
              <w:left w:val="nil"/>
              <w:bottom w:val="single" w:color="000000" w:sz="4" w:space="0"/>
              <w:right w:val="single" w:color="000000" w:sz="4" w:space="0"/>
            </w:tcBorders>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项目目标</w:t>
            </w:r>
          </w:p>
        </w:tc>
        <w:tc>
          <w:tcPr>
            <w:tcW w:w="54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目标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内容</w:t>
            </w: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设立了项目绩效目标；目标明确；目标细化；目标量化</w:t>
            </w:r>
          </w:p>
        </w:tc>
        <w:tc>
          <w:tcPr>
            <w:tcW w:w="2772"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①设有目标（1分）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②目标明确（1分）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③目标细化（1分）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④目标量化（1分）</w:t>
            </w: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1277" w:hRule="atLeast"/>
          <w:jc w:val="center"/>
        </w:trPr>
        <w:tc>
          <w:tcPr>
            <w:tcW w:w="702"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决策过程</w:t>
            </w:r>
          </w:p>
        </w:tc>
        <w:tc>
          <w:tcPr>
            <w:tcW w:w="540" w:type="dxa"/>
            <w:vMerge w:val="restart"/>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依据</w:t>
            </w: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有关法律法规的明确规定；某一经济社会发展规划；某部门年度工作计划；某一实际问题和需求</w:t>
            </w:r>
          </w:p>
        </w:tc>
        <w:tc>
          <w:tcPr>
            <w:tcW w:w="2772"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①符合法律法规（1分）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②符合经济社会发展规划（1分）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③部门年度工作计划（1分）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6"/>
                <w:kern w:val="0"/>
                <w:sz w:val="18"/>
                <w:szCs w:val="18"/>
                <w:lang w:eastAsia="zh-CN"/>
              </w:rPr>
            </w:pPr>
            <w:r>
              <w:rPr>
                <w:rFonts w:hint="eastAsia" w:ascii="仿宋_GB2312" w:hAnsi="宋体" w:eastAsia="仿宋_GB2312" w:cs="宋体"/>
                <w:spacing w:val="-6"/>
                <w:kern w:val="0"/>
                <w:sz w:val="18"/>
                <w:szCs w:val="18"/>
              </w:rPr>
              <w:t>④针对某一实际问题和需求（1分）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以上③需提供佐证资料。</w:t>
            </w: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983" w:hRule="atLeast"/>
          <w:jc w:val="center"/>
        </w:trPr>
        <w:tc>
          <w:tcPr>
            <w:tcW w:w="702"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程序</w:t>
            </w: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项目符合申报条件；申报、批复程序符合相关管理办法；项目调整履行了相应手续</w:t>
            </w:r>
          </w:p>
        </w:tc>
        <w:tc>
          <w:tcPr>
            <w:tcW w:w="2772"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①符合申报条件（2分）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②项目申报、批复程序符合管理办法（1分）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③项目调整履行了相应手续（1分）</w:t>
            </w: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967" w:hRule="atLeast"/>
          <w:jc w:val="center"/>
        </w:trPr>
        <w:tc>
          <w:tcPr>
            <w:tcW w:w="702"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w:t>
            </w:r>
          </w:p>
        </w:tc>
        <w:tc>
          <w:tcPr>
            <w:tcW w:w="540" w:type="dxa"/>
            <w:vMerge w:val="restart"/>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办法</w:t>
            </w: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根据需要制定的相关资金管理办法；管理办法中有明确资金分配办法；资金分配因素全面、合理</w:t>
            </w:r>
          </w:p>
        </w:tc>
        <w:tc>
          <w:tcPr>
            <w:tcW w:w="2772"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①有相应的资金管理办法（1分）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②办法健全、规范（1分）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③因素全面合理（1分）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58" w:hRule="atLeast"/>
          <w:jc w:val="center"/>
        </w:trPr>
        <w:tc>
          <w:tcPr>
            <w:tcW w:w="702"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结果</w:t>
            </w: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资金分配符合相关管理办法；分配结果公平合理</w:t>
            </w:r>
          </w:p>
        </w:tc>
        <w:tc>
          <w:tcPr>
            <w:tcW w:w="2772"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①符合分配办法（2分）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②分配公平合理（3分）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此项需提供相应的资金分配方案。</w:t>
            </w: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438" w:hRule="atLeast"/>
          <w:jc w:val="center"/>
        </w:trPr>
        <w:tc>
          <w:tcPr>
            <w:tcW w:w="702" w:type="dxa"/>
            <w:vMerge w:val="restart"/>
            <w:tcBorders>
              <w:top w:val="nil"/>
              <w:left w:val="single" w:color="000000" w:sz="4" w:space="0"/>
              <w:right w:val="single" w:color="000000" w:sz="4" w:space="0"/>
            </w:tcBorders>
            <w:textDirection w:val="tbLrV"/>
            <w:vAlign w:val="center"/>
          </w:tcPr>
          <w:p>
            <w:pPr>
              <w:keepNext w:val="0"/>
              <w:keepLines w:val="0"/>
              <w:widowControl/>
              <w:suppressLineNumbers w:val="0"/>
              <w:spacing w:before="0" w:beforeAutospacing="0" w:after="0" w:afterAutospacing="0" w:line="240" w:lineRule="exact"/>
              <w:ind w:left="113" w:right="113" w:firstLine="2520" w:firstLineChars="1400"/>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r>
              <w:rPr>
                <w:rFonts w:hint="eastAsia" w:ascii="仿宋_GB2312" w:hAnsi="宋体" w:eastAsia="仿宋_GB2312" w:cs="宋体"/>
                <w:kern w:val="0"/>
                <w:sz w:val="18"/>
                <w:szCs w:val="18"/>
                <w:lang w:eastAsia="zh-CN"/>
              </w:rPr>
              <w:t>管理</w:t>
            </w:r>
          </w:p>
        </w:tc>
        <w:tc>
          <w:tcPr>
            <w:tcW w:w="540" w:type="dxa"/>
            <w:vMerge w:val="restart"/>
            <w:tcBorders>
              <w:top w:val="nil"/>
              <w:left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25</w:t>
            </w:r>
          </w:p>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资金到位</w:t>
            </w:r>
          </w:p>
        </w:tc>
        <w:tc>
          <w:tcPr>
            <w:tcW w:w="540" w:type="dxa"/>
            <w:vMerge w:val="restart"/>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到位率</w:t>
            </w: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实际到位/计划到位*100%</w:t>
            </w:r>
          </w:p>
        </w:tc>
        <w:tc>
          <w:tcPr>
            <w:tcW w:w="2772"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根据项目资金的实际到位率计算得分（3分）</w:t>
            </w: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2</w:t>
            </w:r>
          </w:p>
        </w:tc>
      </w:tr>
      <w:tr>
        <w:tblPrEx>
          <w:tblCellMar>
            <w:top w:w="0" w:type="dxa"/>
            <w:left w:w="108" w:type="dxa"/>
            <w:bottom w:w="0" w:type="dxa"/>
            <w:right w:w="108" w:type="dxa"/>
          </w:tblCellMar>
        </w:tblPrEx>
        <w:trPr>
          <w:trHeight w:val="744" w:hRule="atLeast"/>
          <w:jc w:val="center"/>
        </w:trPr>
        <w:tc>
          <w:tcPr>
            <w:tcW w:w="702"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到位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资金及时到位；若未及时到位，是否影响项目进度</w:t>
            </w:r>
          </w:p>
        </w:tc>
        <w:tc>
          <w:tcPr>
            <w:tcW w:w="2772"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①到位及时（2分）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10"/>
                <w:kern w:val="0"/>
                <w:sz w:val="18"/>
                <w:szCs w:val="18"/>
                <w:lang w:eastAsia="zh-CN"/>
              </w:rPr>
            </w:pPr>
            <w:r>
              <w:rPr>
                <w:rFonts w:hint="eastAsia" w:ascii="仿宋_GB2312" w:hAnsi="宋体" w:eastAsia="仿宋_GB2312" w:cs="宋体"/>
                <w:spacing w:val="-10"/>
                <w:kern w:val="0"/>
                <w:sz w:val="18"/>
                <w:szCs w:val="18"/>
              </w:rPr>
              <w:t>②不及时但未影响项目进度 （1分）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③不及时并影响项目进度（0.5分）</w:t>
            </w: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1168" w:hRule="atLeast"/>
          <w:jc w:val="center"/>
        </w:trPr>
        <w:tc>
          <w:tcPr>
            <w:tcW w:w="702"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w:t>
            </w:r>
          </w:p>
        </w:tc>
        <w:tc>
          <w:tcPr>
            <w:tcW w:w="540" w:type="dxa"/>
            <w:vMerge w:val="restart"/>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资金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使用</w:t>
            </w: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7</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支出依据合规，无虚列项目支出情况；无截留挤占挪用情况；无超标准开支情况；无超预算情况</w:t>
            </w:r>
          </w:p>
        </w:tc>
        <w:tc>
          <w:tcPr>
            <w:tcW w:w="2772"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 xml:space="preserve">①虚列套取扣4-7分 </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②依据不合规扣2分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③截留、挤占、挪用扣3-6分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④超标准开支扣2-5分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⑤超预算扣2-5分</w:t>
            </w: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r>
      <w:tr>
        <w:tblPrEx>
          <w:tblCellMar>
            <w:top w:w="0" w:type="dxa"/>
            <w:left w:w="108" w:type="dxa"/>
            <w:bottom w:w="0" w:type="dxa"/>
            <w:right w:w="108" w:type="dxa"/>
          </w:tblCellMar>
        </w:tblPrEx>
        <w:trPr>
          <w:trHeight w:val="871" w:hRule="atLeast"/>
          <w:jc w:val="center"/>
        </w:trPr>
        <w:tc>
          <w:tcPr>
            <w:tcW w:w="702"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财务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管理</w:t>
            </w: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资金管理、费用支出等制度健全；制度执行严格；会计核算规范</w:t>
            </w:r>
          </w:p>
        </w:tc>
        <w:tc>
          <w:tcPr>
            <w:tcW w:w="2772"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①财务制度健全（1分）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②严格执行制度（1分）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③会计核算规范（1分）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532" w:hRule="atLeast"/>
          <w:jc w:val="center"/>
        </w:trPr>
        <w:tc>
          <w:tcPr>
            <w:tcW w:w="702" w:type="dxa"/>
            <w:vMerge w:val="continue"/>
            <w:tcBorders>
              <w:left w:val="single" w:color="000000" w:sz="4" w:space="0"/>
              <w:right w:val="single" w:color="000000" w:sz="4" w:space="0"/>
            </w:tcBorders>
            <w:shd w:val="clear" w:color="auto" w:fill="auto"/>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shd w:val="clear" w:color="auto" w:fill="auto"/>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组织实施</w:t>
            </w:r>
          </w:p>
        </w:tc>
        <w:tc>
          <w:tcPr>
            <w:tcW w:w="540"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组织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机构健全、分工明确</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①机构健全、分工明确  （1分）</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支撑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条件</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项目实施单位是否提供或具备了必备的人员、场地和设备等条件</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具备人员、场地、设备条件（1分）</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实施</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项目按计划开工；按计划进度开展；按计划完工</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①按计划开工（1分）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②按计划开展（1分）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③按计划完工（1分）</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45" w:hRule="atLeast"/>
          <w:jc w:val="center"/>
        </w:trPr>
        <w:tc>
          <w:tcPr>
            <w:tcW w:w="702"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管理</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制度</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项目管理制度健全；严格执行相关管理制度</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①管理制度健全（2分）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②制度执行严格（3分）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restart"/>
            <w:tcBorders>
              <w:top w:val="single" w:color="auto"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项目绩效</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55</w:t>
            </w:r>
          </w:p>
        </w:tc>
        <w:tc>
          <w:tcPr>
            <w:tcW w:w="703" w:type="dxa"/>
            <w:vMerge w:val="restart"/>
            <w:tcBorders>
              <w:top w:val="single" w:color="auto"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15</w:t>
            </w:r>
          </w:p>
        </w:tc>
        <w:tc>
          <w:tcPr>
            <w:tcW w:w="803" w:type="dxa"/>
            <w:tcBorders>
              <w:top w:val="single" w:color="auto"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数量</w:t>
            </w:r>
          </w:p>
        </w:tc>
        <w:tc>
          <w:tcPr>
            <w:tcW w:w="550" w:type="dxa"/>
            <w:tcBorders>
              <w:top w:val="single" w:color="auto"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single" w:color="auto"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目标完成率=目标完成数/预定目标数×100%</w:t>
            </w:r>
          </w:p>
        </w:tc>
        <w:tc>
          <w:tcPr>
            <w:tcW w:w="2772" w:type="dxa"/>
            <w:tcBorders>
              <w:top w:val="single" w:color="auto"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完成绩效目标100%得5分，未完成100%的同比例扣减。</w:t>
            </w:r>
          </w:p>
        </w:tc>
        <w:tc>
          <w:tcPr>
            <w:tcW w:w="80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质量</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目标完成质量=实际达到的效果/预定目标×100%</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项目产出质量达到绩效目标100%得4分，未完成100%的同比例扣减。</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项目资金使用的预定目标是否如期完成，未完成的理由是否充分</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项目产出时效达到绩效目标得3分，未如期完成且无充分理由的扣3分。</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成本</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项目产出成本是否按绩效目标控制</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项目产出成本按绩效目标控制得3分，未完成的，按超支比例扣减。</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shd w:val="clear" w:color="auto" w:fill="auto"/>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项目效果</w:t>
            </w:r>
          </w:p>
        </w:tc>
        <w:tc>
          <w:tcPr>
            <w:tcW w:w="540"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40</w:t>
            </w: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经济</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项目实施对经济发展所带来的直接或间接影响情况。</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完成绩效目标设定的经济效益得8分，未完成的，按完成情况酌情扣分。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社会</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项目实施对社会发展所带来的直接或间接影响情况。</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完成绩效目标设定的社会效益得8分，未完成的，按完成情况酌情扣分。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生态</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项目实施对生态环境所带来的直接或间接影响情况。</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完成绩效目标设定的积极的环境效益得8分，未完成的，按完成情况酌情扣分。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可持续</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影响</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项目后续运行及成效发挥的可持续影响情况。</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完成绩效设定目标的得8分，未完成的，按完成情况酌情扣分。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服务</w:t>
            </w:r>
          </w:p>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对象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满意度</w:t>
            </w: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服务对象满意率=项目区被调查人数中表示满意的人数(户数)/ 被调查人数(户数)×100%</w:t>
            </w:r>
          </w:p>
        </w:tc>
        <w:tc>
          <w:tcPr>
            <w:tcW w:w="2772" w:type="dxa"/>
            <w:tcBorders>
              <w:top w:val="nil"/>
              <w:left w:val="nil"/>
              <w:bottom w:val="single" w:color="000000" w:sz="4" w:space="0"/>
              <w:right w:val="nil"/>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满意率达90%（含）以上的得8分，80%（含）-90%得6分，70%（含）-80%得4分，60%（含）-70%得2分，60%以下不得分。</w:t>
            </w: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860" w:hRule="atLeast"/>
          <w:jc w:val="center"/>
        </w:trPr>
        <w:tc>
          <w:tcPr>
            <w:tcW w:w="702"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总分</w:t>
            </w:r>
          </w:p>
        </w:tc>
        <w:tc>
          <w:tcPr>
            <w:tcW w:w="54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7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4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2772" w:type="dxa"/>
            <w:tcBorders>
              <w:top w:val="nil"/>
              <w:left w:val="nil"/>
              <w:bottom w:val="single" w:color="000000" w:sz="4" w:space="0"/>
              <w:right w:val="nil"/>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98</w:t>
            </w:r>
          </w:p>
        </w:tc>
      </w:tr>
    </w:tbl>
    <w:p>
      <w:pPr>
        <w:adjustRightInd w:val="0"/>
        <w:snapToGrid w:val="0"/>
        <w:spacing w:before="156" w:beforeLines="50"/>
        <w:ind w:left="840" w:hanging="840" w:hangingChars="400"/>
        <w:contextualSpacing/>
        <w:rPr>
          <w:rFonts w:hint="eastAsia" w:ascii="仿宋_GB2312" w:eastAsia="仿宋_GB2312"/>
        </w:rPr>
      </w:pPr>
      <w:r>
        <w:rPr>
          <w:rFonts w:hint="eastAsia" w:ascii="仿宋_GB2312" w:eastAsia="仿宋_GB2312"/>
        </w:rPr>
        <w:t>备注：</w:t>
      </w:r>
      <w:r>
        <w:rPr>
          <w:rFonts w:hint="eastAsia" w:ascii="仿宋_GB2312" w:eastAsia="仿宋_GB2312"/>
          <w:lang w:val="en-US" w:eastAsia="zh-CN"/>
        </w:rPr>
        <w:t>1、</w:t>
      </w:r>
      <w:r>
        <w:rPr>
          <w:rFonts w:hint="eastAsia" w:ascii="仿宋_GB2312" w:eastAsia="仿宋_GB2312"/>
        </w:rPr>
        <w:t>部门（单位）根据项目实际，在《项目支出绩效评价指标</w:t>
      </w:r>
      <w:r>
        <w:rPr>
          <w:rFonts w:hint="eastAsia" w:ascii="仿宋_GB2312" w:eastAsia="仿宋_GB2312"/>
          <w:lang w:eastAsia="zh-CN"/>
        </w:rPr>
        <w:t>评分表</w:t>
      </w:r>
      <w:r>
        <w:rPr>
          <w:rFonts w:hint="eastAsia" w:ascii="仿宋_GB2312" w:eastAsia="仿宋_GB2312"/>
        </w:rPr>
        <w:t>（</w:t>
      </w:r>
      <w:r>
        <w:rPr>
          <w:rFonts w:hint="eastAsia" w:ascii="仿宋_GB2312" w:eastAsia="仿宋_GB2312"/>
          <w:lang w:eastAsia="zh-CN"/>
        </w:rPr>
        <w:t>共性</w:t>
      </w:r>
      <w:r>
        <w:rPr>
          <w:rFonts w:hint="eastAsia" w:ascii="仿宋_GB2312" w:eastAsia="仿宋_GB2312"/>
        </w:rPr>
        <w:t>）》上进一步完善、量化、细化个性指标，形成本项目的指标体系。</w:t>
      </w:r>
    </w:p>
    <w:p>
      <w:pPr>
        <w:adjustRightInd w:val="0"/>
        <w:snapToGrid w:val="0"/>
        <w:spacing w:before="156" w:beforeLines="50"/>
        <w:ind w:firstLine="630" w:firstLineChars="300"/>
        <w:contextualSpacing/>
        <w:rPr>
          <w:rFonts w:hint="eastAsia" w:eastAsia="仿宋_GB2312"/>
          <w:sz w:val="32"/>
          <w:lang w:eastAsia="zh-CN"/>
        </w:rPr>
      </w:pPr>
      <w:r>
        <w:rPr>
          <w:rFonts w:hint="eastAsia" w:ascii="仿宋_GB2312" w:eastAsia="仿宋_GB2312"/>
          <w:lang w:val="en-US" w:eastAsia="zh-CN"/>
        </w:rPr>
        <w:t>2、</w:t>
      </w:r>
      <w:r>
        <w:rPr>
          <w:rFonts w:hint="eastAsia" w:ascii="仿宋_GB2312" w:eastAsia="仿宋_GB2312"/>
          <w:lang w:eastAsia="zh-CN"/>
        </w:rPr>
        <w:t>一个一级项目一张表。</w:t>
      </w:r>
    </w:p>
    <w:p/>
    <w:p>
      <w:pPr>
        <w:pStyle w:val="2"/>
        <w:rPr>
          <w:rFonts w:hint="eastAsia"/>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spacing w:line="240" w:lineRule="auto"/>
        <w:ind w:firstLine="0" w:firstLineChars="0"/>
        <w:jc w:val="left"/>
        <w:outlineLvl w:val="0"/>
        <w:rPr>
          <w:rFonts w:hint="eastAsia" w:ascii="Times New Roman" w:hAnsi="Times New Roman" w:eastAsia="黑体" w:cs="Times New Roman"/>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5</w:t>
      </w:r>
    </w:p>
    <w:p>
      <w:pPr>
        <w:widowControl/>
        <w:spacing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lang w:eastAsia="zh-CN"/>
        </w:rPr>
        <w:t>华容县水利局</w:t>
      </w:r>
      <w:r>
        <w:rPr>
          <w:rFonts w:hint="eastAsia" w:ascii="方正小标宋简体" w:hAnsi="方正小标宋简体" w:eastAsia="方正小标宋简体" w:cs="方正小标宋简体"/>
          <w:color w:val="000000"/>
          <w:sz w:val="44"/>
          <w:szCs w:val="44"/>
        </w:rPr>
        <w:t>202</w:t>
      </w:r>
      <w:r>
        <w:rPr>
          <w:rFonts w:hint="eastAsia" w:ascii="方正小标宋简体" w:hAnsi="方正小标宋简体" w:eastAsia="方正小标宋简体" w:cs="方正小标宋简体"/>
          <w:color w:val="000000"/>
          <w:sz w:val="44"/>
          <w:szCs w:val="44"/>
          <w:lang w:val="en-US" w:eastAsia="zh-CN"/>
        </w:rPr>
        <w:t>2</w:t>
      </w:r>
      <w:r>
        <w:rPr>
          <w:rFonts w:hint="eastAsia" w:ascii="方正小标宋简体" w:hAnsi="方正小标宋简体" w:eastAsia="方正小标宋简体" w:cs="方正小标宋简体"/>
          <w:color w:val="000000"/>
          <w:sz w:val="44"/>
          <w:szCs w:val="44"/>
        </w:rPr>
        <w:t>年度项目支出绩效自评表</w:t>
      </w:r>
    </w:p>
    <w:tbl>
      <w:tblPr>
        <w:tblStyle w:val="14"/>
        <w:tblW w:w="9851" w:type="dxa"/>
        <w:jc w:val="center"/>
        <w:tblLayout w:type="fixed"/>
        <w:tblCellMar>
          <w:top w:w="0" w:type="dxa"/>
          <w:left w:w="108" w:type="dxa"/>
          <w:bottom w:w="0" w:type="dxa"/>
          <w:right w:w="108" w:type="dxa"/>
        </w:tblCellMar>
      </w:tblPr>
      <w:tblGrid>
        <w:gridCol w:w="1080"/>
        <w:gridCol w:w="1080"/>
        <w:gridCol w:w="1080"/>
        <w:gridCol w:w="1224"/>
        <w:gridCol w:w="1134"/>
        <w:gridCol w:w="1134"/>
        <w:gridCol w:w="828"/>
        <w:gridCol w:w="873"/>
        <w:gridCol w:w="1418"/>
      </w:tblGrid>
      <w:tr>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eastAsia="zh-CN"/>
              </w:rPr>
              <w:t>华容县</w:t>
            </w:r>
            <w:r>
              <w:rPr>
                <w:rFonts w:hint="eastAsia" w:eastAsia="仿宋_GB2312" w:cs="Times New Roman"/>
                <w:color w:val="000000"/>
                <w:sz w:val="20"/>
                <w:szCs w:val="20"/>
                <w:lang w:val="en-US" w:eastAsia="zh-CN"/>
              </w:rPr>
              <w:t>2022年度水利发展资金</w:t>
            </w:r>
          </w:p>
        </w:tc>
      </w:tr>
      <w:tr>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single" w:color="auto" w:sz="4" w:space="0"/>
              <w:left w:val="nil"/>
              <w:bottom w:val="single" w:color="auto"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项目资金</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（万元）</w:t>
            </w:r>
          </w:p>
        </w:tc>
        <w:tc>
          <w:tcPr>
            <w:tcW w:w="2160" w:type="dxa"/>
            <w:gridSpan w:val="2"/>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年初</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全年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执行数</w:t>
            </w:r>
          </w:p>
        </w:tc>
        <w:tc>
          <w:tcPr>
            <w:tcW w:w="828"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分值</w:t>
            </w:r>
          </w:p>
        </w:tc>
        <w:tc>
          <w:tcPr>
            <w:tcW w:w="873"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执行率</w:t>
            </w:r>
          </w:p>
        </w:tc>
        <w:tc>
          <w:tcPr>
            <w:tcW w:w="1418"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得分</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年度资金总额</w:t>
            </w: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3679</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100%</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其中：当年财政拨款</w:t>
            </w: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3679</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上年结转资金</w:t>
            </w: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其他资金</w:t>
            </w: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实际完成情况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4518" w:type="dxa"/>
            <w:gridSpan w:val="4"/>
            <w:tcBorders>
              <w:top w:val="single" w:color="auto" w:sz="4" w:space="0"/>
              <w:left w:val="nil"/>
              <w:bottom w:val="single" w:color="auto"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完成3座一般中型灌区续建与节水配套改造、5座小型水库处险加固、14座小型水库标准化建设、45座水库维修养护及32个农村供水工程维修养护</w:t>
            </w:r>
          </w:p>
        </w:tc>
        <w:tc>
          <w:tcPr>
            <w:tcW w:w="4253" w:type="dxa"/>
            <w:gridSpan w:val="4"/>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完成了3座一般中型灌区续建与节水配套改造、5座小型水库处险加固、14座小型水库标准化建设、45座水库维修养护及32个农村供水工程维修养护</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标</w:t>
            </w:r>
          </w:p>
        </w:tc>
        <w:tc>
          <w:tcPr>
            <w:tcW w:w="108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一级指标</w:t>
            </w:r>
          </w:p>
        </w:tc>
        <w:tc>
          <w:tcPr>
            <w:tcW w:w="108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二级指标</w:t>
            </w: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三级指标</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指标值</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完成值</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分值</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得分</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偏差原因分析及改进措施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产出指标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(50分)</w:t>
            </w:r>
          </w:p>
        </w:tc>
        <w:tc>
          <w:tcPr>
            <w:tcW w:w="1080" w:type="dxa"/>
            <w:vMerge w:val="restart"/>
            <w:tcBorders>
              <w:top w:val="nil"/>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数量指标</w:t>
            </w: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中型灌区节水配套改造面积</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4.71</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4.71</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200" w:firstLineChars="10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5</w:t>
            </w: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农村饮水工程维修养护数量</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32</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32</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200" w:firstLineChars="10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5</w:t>
            </w: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小型水库工程维修养护座数</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59</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59</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质量指标</w:t>
            </w: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截至2023年6月底，完工项目初步验收率</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100%</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100%</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3</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545" w:hRule="atLeast"/>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工程验收合格率</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100%</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100%</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已建工程是否存在质量问题</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否</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b w:val="0"/>
                <w:bCs w:val="0"/>
                <w:color w:val="000000"/>
                <w:sz w:val="20"/>
                <w:szCs w:val="20"/>
              </w:rPr>
            </w:pPr>
            <w:r>
              <w:rPr>
                <w:rFonts w:hint="default" w:ascii="Times New Roman" w:hAnsi="Times New Roman" w:eastAsia="仿宋_GB2312" w:cs="Times New Roman"/>
                <w:b w:val="0"/>
                <w:bCs w:val="0"/>
                <w:color w:val="000000"/>
                <w:sz w:val="20"/>
                <w:szCs w:val="20"/>
              </w:rPr>
              <w:t>否</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时效指标</w:t>
            </w: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截至2022年底，投资完成比例</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80%</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100%</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成本指标</w:t>
            </w: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单价是否控制在批复概算单价内</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是</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是</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效益指标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（30分）</w:t>
            </w:r>
          </w:p>
        </w:tc>
        <w:tc>
          <w:tcPr>
            <w:tcW w:w="1080" w:type="dxa"/>
            <w:vMerge w:val="restart"/>
            <w:tcBorders>
              <w:top w:val="nil"/>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eastAsia="zh-CN"/>
              </w:rPr>
              <w:t>改</w:t>
            </w:r>
            <w:r>
              <w:rPr>
                <w:rFonts w:hint="default" w:ascii="Times New Roman" w:hAnsi="Times New Roman" w:eastAsia="仿宋_GB2312" w:cs="Times New Roman"/>
                <w:color w:val="000000"/>
                <w:sz w:val="20"/>
                <w:szCs w:val="20"/>
              </w:rPr>
              <w:t>善灌溉面积</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2.47</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2.47</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新增粮食综合生产能力</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162</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162</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农村饮水工程维修养护覆盖服务人口</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27.54</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27.54</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新增年节水能力</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268</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268</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可持续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影响指标</w:t>
            </w:r>
          </w:p>
        </w:tc>
        <w:tc>
          <w:tcPr>
            <w:tcW w:w="12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建工程是否良性运行</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是</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是</w:t>
            </w:r>
          </w:p>
        </w:tc>
        <w:tc>
          <w:tcPr>
            <w:tcW w:w="8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14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工程是否达到设计使用年限</w:t>
            </w:r>
          </w:p>
        </w:tc>
        <w:tc>
          <w:tcPr>
            <w:tcW w:w="1134" w:type="dxa"/>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是</w:t>
            </w:r>
          </w:p>
        </w:tc>
        <w:tc>
          <w:tcPr>
            <w:tcW w:w="1134" w:type="dxa"/>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是</w:t>
            </w:r>
          </w:p>
        </w:tc>
        <w:tc>
          <w:tcPr>
            <w:tcW w:w="828" w:type="dxa"/>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1418" w:type="dxa"/>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（10分）</w:t>
            </w:r>
          </w:p>
        </w:tc>
        <w:tc>
          <w:tcPr>
            <w:tcW w:w="1080" w:type="dxa"/>
            <w:vMerge w:val="restart"/>
            <w:tcBorders>
              <w:top w:val="nil"/>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服务对象满意度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受益群众满意度</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90%</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总分</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100</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98</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bl>
    <w:p>
      <w:pPr>
        <w:rPr>
          <w:rFonts w:hint="eastAsia" w:ascii="新宋体" w:hAnsi="新宋体" w:eastAsia="新宋体" w:cs="新宋体"/>
          <w:sz w:val="21"/>
          <w:szCs w:val="21"/>
          <w:lang w:eastAsia="zh-CN"/>
        </w:rPr>
      </w:pPr>
      <w:r>
        <w:rPr>
          <w:rFonts w:hint="eastAsia" w:ascii="新宋体" w:hAnsi="新宋体" w:eastAsia="新宋体" w:cs="新宋体"/>
          <w:sz w:val="21"/>
          <w:szCs w:val="21"/>
        </w:rPr>
        <w:t>备注：一个一级项目支出一张表。</w:t>
      </w:r>
      <w:r>
        <w:rPr>
          <w:rFonts w:hint="eastAsia" w:ascii="新宋体" w:hAnsi="新宋体" w:eastAsia="新宋体" w:cs="新宋体"/>
          <w:sz w:val="21"/>
          <w:szCs w:val="21"/>
          <w:lang w:eastAsia="zh-CN"/>
        </w:rPr>
        <w:t>如，</w:t>
      </w:r>
      <w:r>
        <w:rPr>
          <w:rFonts w:hint="eastAsia" w:ascii="新宋体" w:hAnsi="新宋体" w:eastAsia="新宋体" w:cs="新宋体"/>
          <w:sz w:val="21"/>
          <w:szCs w:val="21"/>
        </w:rPr>
        <w:t>业务工作经费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运行维护经费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lang w:val="en-US" w:eastAsia="zh-CN"/>
        </w:rPr>
        <w:t>XX项目</w:t>
      </w:r>
      <w:r>
        <w:rPr>
          <w:rFonts w:hint="eastAsia" w:ascii="新宋体" w:hAnsi="新宋体" w:eastAsia="新宋体" w:cs="新宋体"/>
          <w:sz w:val="21"/>
          <w:szCs w:val="21"/>
          <w:lang w:eastAsia="zh-CN"/>
        </w:rPr>
        <w:t>资金…各一张表。</w:t>
      </w:r>
    </w:p>
    <w:p>
      <w:pPr>
        <w:pStyle w:val="2"/>
        <w:rPr>
          <w:rFonts w:hint="eastAsia"/>
        </w:rPr>
      </w:pPr>
    </w:p>
    <w:p>
      <w:pPr>
        <w:rPr>
          <w:rFonts w:hint="eastAsia"/>
        </w:rPr>
      </w:pPr>
    </w:p>
    <w:p>
      <w:pPr>
        <w:jc w:val="left"/>
        <w:rPr>
          <w:rFonts w:hint="eastAsia" w:ascii="新宋体" w:hAnsi="新宋体" w:eastAsia="新宋体" w:cs="新宋体"/>
          <w:sz w:val="21"/>
          <w:szCs w:val="21"/>
        </w:rPr>
      </w:pPr>
      <w:r>
        <w:rPr>
          <w:rFonts w:hint="eastAsia" w:ascii="新宋体" w:hAnsi="新宋体" w:eastAsia="新宋体" w:cs="新宋体"/>
          <w:sz w:val="21"/>
          <w:szCs w:val="21"/>
        </w:rPr>
        <w:t>填表人：</w:t>
      </w:r>
      <w:r>
        <w:rPr>
          <w:rFonts w:hint="eastAsia" w:ascii="新宋体" w:hAnsi="新宋体" w:eastAsia="新宋体" w:cs="新宋体"/>
          <w:sz w:val="21"/>
          <w:szCs w:val="21"/>
          <w:lang w:eastAsia="zh-CN"/>
        </w:rPr>
        <w:t>吴涛</w:t>
      </w:r>
      <w:r>
        <w:rPr>
          <w:rFonts w:hint="eastAsia" w:ascii="新宋体" w:hAnsi="新宋体" w:eastAsia="新宋体" w:cs="新宋体"/>
          <w:sz w:val="21"/>
          <w:szCs w:val="21"/>
        </w:rPr>
        <w:t xml:space="preserve">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填报日期：</w:t>
      </w:r>
      <w:r>
        <w:rPr>
          <w:rFonts w:hint="eastAsia" w:ascii="新宋体" w:hAnsi="新宋体" w:eastAsia="新宋体" w:cs="新宋体"/>
          <w:sz w:val="21"/>
          <w:szCs w:val="21"/>
          <w:lang w:val="en-US" w:eastAsia="zh-CN"/>
        </w:rPr>
        <w:t xml:space="preserve">2023年7月7日   </w:t>
      </w:r>
      <w:r>
        <w:rPr>
          <w:rFonts w:hint="eastAsia" w:ascii="新宋体" w:hAnsi="新宋体" w:eastAsia="新宋体" w:cs="新宋体"/>
          <w:sz w:val="21"/>
          <w:szCs w:val="21"/>
        </w:rPr>
        <w:t>联系电话：</w:t>
      </w:r>
      <w:r>
        <w:rPr>
          <w:rFonts w:hint="eastAsia" w:ascii="新宋体" w:hAnsi="新宋体" w:eastAsia="新宋体" w:cs="新宋体"/>
          <w:sz w:val="21"/>
          <w:szCs w:val="21"/>
          <w:lang w:val="en-US" w:eastAsia="zh-CN"/>
        </w:rPr>
        <w:t xml:space="preserve">15197065012 </w:t>
      </w:r>
      <w:r>
        <w:rPr>
          <w:rFonts w:hint="eastAsia" w:ascii="新宋体" w:hAnsi="新宋体" w:eastAsia="新宋体" w:cs="新宋体"/>
          <w:sz w:val="21"/>
          <w:szCs w:val="21"/>
        </w:rPr>
        <w:t xml:space="preserve">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单位负责人签字：</w:t>
      </w:r>
    </w:p>
    <w:p>
      <w:pPr>
        <w:spacing w:line="240" w:lineRule="auto"/>
        <w:ind w:firstLine="0" w:firstLineChars="0"/>
        <w:jc w:val="left"/>
        <w:outlineLvl w:val="0"/>
        <w:rPr>
          <w:rFonts w:hint="eastAsia" w:ascii="新宋体" w:hAnsi="新宋体" w:eastAsia="新宋体" w:cs="新宋体"/>
          <w:sz w:val="21"/>
          <w:szCs w:val="21"/>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6</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华容县水利局</w:t>
      </w:r>
      <w:r>
        <w:rPr>
          <w:rFonts w:hint="eastAsia" w:ascii="方正小标宋简体" w:hAnsi="方正小标宋简体" w:eastAsia="方正小标宋简体" w:cs="方正小标宋简体"/>
          <w:sz w:val="44"/>
          <w:szCs w:val="44"/>
        </w:rPr>
        <w:t>部门</w:t>
      </w:r>
      <w:r>
        <w:rPr>
          <w:rFonts w:hint="eastAsia" w:ascii="方正小标宋简体" w:eastAsia="方正小标宋简体"/>
          <w:sz w:val="44"/>
          <w:szCs w:val="44"/>
          <w:lang w:val="en-US" w:eastAsia="zh-CN"/>
        </w:rPr>
        <w:t>水利发展资金</w:t>
      </w:r>
      <w:r>
        <w:rPr>
          <w:rFonts w:hint="eastAsia" w:ascii="方正小标宋简体" w:hAnsi="方正小标宋简体" w:eastAsia="方正小标宋简体" w:cs="方正小标宋简体"/>
          <w:sz w:val="44"/>
          <w:szCs w:val="44"/>
          <w:lang w:eastAsia="zh-CN"/>
        </w:rPr>
        <w:t>项目</w:t>
      </w:r>
      <w:r>
        <w:rPr>
          <w:rFonts w:hint="eastAsia" w:ascii="方正小标宋简体" w:hAnsi="方正小标宋简体" w:eastAsia="方正小标宋简体" w:cs="方正小标宋简体"/>
          <w:sz w:val="44"/>
          <w:szCs w:val="44"/>
        </w:rPr>
        <w:t>支出绩效自评报告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2023</w:t>
      </w:r>
      <w:r>
        <w:rPr>
          <w:rFonts w:hint="default" w:ascii="Times New Roman" w:hAnsi="Times New Roman" w:eastAsia="楷体_GB2312" w:cs="Times New Roman"/>
          <w:sz w:val="32"/>
          <w:szCs w:val="32"/>
        </w:rPr>
        <w:t xml:space="preserve">年 </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 xml:space="preserve"> 月 </w:t>
      </w:r>
      <w:r>
        <w:rPr>
          <w:rFonts w:hint="eastAsia" w:eastAsia="楷体_GB2312" w:cs="Times New Roman"/>
          <w:sz w:val="32"/>
          <w:szCs w:val="32"/>
          <w:lang w:val="en-US" w:eastAsia="zh-CN"/>
        </w:rPr>
        <w:t>12</w:t>
      </w:r>
      <w:r>
        <w:rPr>
          <w:rFonts w:hint="default" w:ascii="Times New Roman" w:hAnsi="Times New Roman" w:eastAsia="楷体_GB2312" w:cs="Times New Roman"/>
          <w:sz w:val="32"/>
          <w:szCs w:val="32"/>
        </w:rPr>
        <w:t xml:space="preserve"> 日</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华容县水利局</w:t>
      </w:r>
      <w:r>
        <w:rPr>
          <w:rFonts w:hint="eastAsia" w:ascii="方正小标宋简体" w:hAnsi="方正小标宋简体" w:eastAsia="方正小标宋简体" w:cs="方正小标宋简体"/>
          <w:sz w:val="44"/>
          <w:szCs w:val="44"/>
        </w:rPr>
        <w:t>部门</w:t>
      </w:r>
      <w:r>
        <w:rPr>
          <w:rFonts w:hint="eastAsia" w:ascii="方正小标宋简体" w:eastAsia="方正小标宋简体"/>
          <w:sz w:val="44"/>
          <w:szCs w:val="44"/>
          <w:lang w:val="en-US" w:eastAsia="zh-CN"/>
        </w:rPr>
        <w:t>水利发展资金</w:t>
      </w:r>
      <w:r>
        <w:rPr>
          <w:rFonts w:hint="eastAsia" w:ascii="方正小标宋简体" w:hAnsi="方正小标宋简体" w:eastAsia="方正小标宋简体" w:cs="方正小标宋简体"/>
          <w:sz w:val="44"/>
          <w:szCs w:val="44"/>
          <w:lang w:eastAsia="zh-CN"/>
        </w:rPr>
        <w:t>项目</w:t>
      </w:r>
      <w:r>
        <w:rPr>
          <w:rFonts w:hint="eastAsia" w:ascii="方正小标宋简体" w:hAnsi="方正小标宋简体" w:eastAsia="方正小标宋简体" w:cs="方正小标宋简体"/>
          <w:sz w:val="44"/>
          <w:szCs w:val="44"/>
        </w:rPr>
        <w:t>支出绩效自评报告</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一、基本情况</w:t>
      </w:r>
    </w:p>
    <w:p>
      <w:pPr>
        <w:keepNext w:val="0"/>
        <w:keepLines w:val="0"/>
        <w:pageBreakBefore w:val="0"/>
        <w:widowControl w:val="0"/>
        <w:kinsoku/>
        <w:wordWrap/>
        <w:overflowPunct/>
        <w:topLinePunct w:val="0"/>
        <w:autoSpaceDE/>
        <w:autoSpaceDN/>
        <w:bidi w:val="0"/>
        <w:adjustRightInd/>
        <w:snapToGrid/>
        <w:spacing w:line="600" w:lineRule="exact"/>
        <w:ind w:firstLine="640"/>
        <w:rPr>
          <w:rFonts w:hint="eastAsia" w:eastAsia="仿宋_GB2312"/>
          <w:sz w:val="30"/>
          <w:szCs w:val="30"/>
        </w:rPr>
      </w:pPr>
      <w:r>
        <w:rPr>
          <w:rFonts w:hint="eastAsia" w:eastAsia="仿宋_GB2312"/>
          <w:sz w:val="30"/>
          <w:szCs w:val="30"/>
        </w:rPr>
        <w:t>(一)项目概况。2021年12月8日，湖南省财政厅下发《关于提前下达2022年第一批中央水利发展资金的通知》（湘财预〔2021〕276号）下达华容县第一批水利发展资金</w:t>
      </w:r>
      <w:r>
        <w:rPr>
          <w:rFonts w:hint="eastAsia" w:eastAsia="仿宋_GB2312"/>
          <w:sz w:val="30"/>
          <w:szCs w:val="30"/>
          <w:lang w:val="en-US" w:eastAsia="zh-CN"/>
        </w:rPr>
        <w:t>2699</w:t>
      </w:r>
      <w:r>
        <w:rPr>
          <w:rFonts w:hint="eastAsia" w:eastAsia="仿宋_GB2312"/>
          <w:sz w:val="30"/>
          <w:szCs w:val="30"/>
        </w:rPr>
        <w:t>万元，其中</w:t>
      </w:r>
      <w:r>
        <w:rPr>
          <w:rFonts w:hint="eastAsia" w:eastAsia="仿宋_GB2312"/>
          <w:sz w:val="30"/>
          <w:szCs w:val="30"/>
          <w:lang w:val="en-US" w:eastAsia="zh-CN"/>
        </w:rPr>
        <w:t>小型水库除险加固项目532万元；</w:t>
      </w:r>
      <w:r>
        <w:rPr>
          <w:rFonts w:hint="eastAsia" w:eastAsia="仿宋_GB2312"/>
          <w:sz w:val="30"/>
          <w:szCs w:val="30"/>
        </w:rPr>
        <w:t>中型灌区续建配套与节水改造项目</w:t>
      </w:r>
      <w:r>
        <w:rPr>
          <w:rFonts w:hint="eastAsia" w:eastAsia="仿宋_GB2312"/>
          <w:sz w:val="30"/>
          <w:szCs w:val="30"/>
          <w:lang w:val="en-US" w:eastAsia="zh-CN"/>
        </w:rPr>
        <w:t>1931</w:t>
      </w:r>
      <w:r>
        <w:rPr>
          <w:rFonts w:hint="eastAsia" w:eastAsia="仿宋_GB2312"/>
          <w:sz w:val="30"/>
          <w:szCs w:val="30"/>
        </w:rPr>
        <w:t>万元（华一水库灌区</w:t>
      </w:r>
      <w:r>
        <w:rPr>
          <w:rFonts w:hint="eastAsia" w:eastAsia="仿宋_GB2312"/>
          <w:sz w:val="30"/>
          <w:szCs w:val="30"/>
          <w:lang w:val="en-US" w:eastAsia="zh-CN"/>
        </w:rPr>
        <w:t>585</w:t>
      </w:r>
      <w:r>
        <w:rPr>
          <w:rFonts w:hint="eastAsia" w:eastAsia="仿宋_GB2312"/>
          <w:sz w:val="30"/>
          <w:szCs w:val="30"/>
        </w:rPr>
        <w:t>万元、新华垸灌区</w:t>
      </w:r>
      <w:r>
        <w:rPr>
          <w:rFonts w:hint="eastAsia" w:eastAsia="仿宋_GB2312"/>
          <w:sz w:val="30"/>
          <w:szCs w:val="30"/>
          <w:lang w:val="en-US" w:eastAsia="zh-CN"/>
        </w:rPr>
        <w:t>1075</w:t>
      </w:r>
      <w:r>
        <w:rPr>
          <w:rFonts w:hint="eastAsia" w:eastAsia="仿宋_GB2312"/>
          <w:sz w:val="30"/>
          <w:szCs w:val="30"/>
        </w:rPr>
        <w:t>万元、告丰灌区</w:t>
      </w:r>
      <w:r>
        <w:rPr>
          <w:rFonts w:hint="eastAsia" w:eastAsia="仿宋_GB2312"/>
          <w:sz w:val="30"/>
          <w:szCs w:val="30"/>
          <w:lang w:val="en-US" w:eastAsia="zh-CN"/>
        </w:rPr>
        <w:t>271</w:t>
      </w:r>
      <w:r>
        <w:rPr>
          <w:rFonts w:hint="eastAsia" w:eastAsia="仿宋_GB2312"/>
          <w:sz w:val="30"/>
          <w:szCs w:val="30"/>
        </w:rPr>
        <w:t>万元）</w:t>
      </w:r>
      <w:r>
        <w:rPr>
          <w:rFonts w:hint="eastAsia" w:eastAsia="仿宋_GB2312"/>
          <w:sz w:val="30"/>
          <w:szCs w:val="30"/>
          <w:lang w:eastAsia="zh-CN"/>
        </w:rPr>
        <w:t>；</w:t>
      </w:r>
      <w:r>
        <w:rPr>
          <w:rFonts w:hint="eastAsia" w:eastAsia="仿宋_GB2312"/>
          <w:sz w:val="30"/>
          <w:szCs w:val="30"/>
        </w:rPr>
        <w:t>水利工程维修养护项目2</w:t>
      </w:r>
      <w:r>
        <w:rPr>
          <w:rFonts w:hint="eastAsia" w:eastAsia="仿宋_GB2312"/>
          <w:sz w:val="30"/>
          <w:szCs w:val="30"/>
          <w:lang w:val="en-US" w:eastAsia="zh-CN"/>
        </w:rPr>
        <w:t>36</w:t>
      </w:r>
      <w:r>
        <w:rPr>
          <w:rFonts w:hint="eastAsia" w:eastAsia="仿宋_GB2312"/>
          <w:sz w:val="30"/>
          <w:szCs w:val="30"/>
        </w:rPr>
        <w:t>万元（小型水库</w:t>
      </w:r>
      <w:r>
        <w:rPr>
          <w:rFonts w:hint="eastAsia" w:eastAsia="仿宋_GB2312"/>
          <w:sz w:val="30"/>
          <w:szCs w:val="30"/>
          <w:lang w:val="en-US" w:eastAsia="zh-CN"/>
        </w:rPr>
        <w:t>工程80</w:t>
      </w:r>
      <w:r>
        <w:rPr>
          <w:rFonts w:hint="eastAsia" w:eastAsia="仿宋_GB2312"/>
          <w:sz w:val="30"/>
          <w:szCs w:val="30"/>
        </w:rPr>
        <w:t>万元、农村供水工程</w:t>
      </w:r>
      <w:r>
        <w:rPr>
          <w:rFonts w:hint="eastAsia" w:eastAsia="仿宋_GB2312"/>
          <w:sz w:val="30"/>
          <w:szCs w:val="30"/>
          <w:lang w:val="en-US" w:eastAsia="zh-CN"/>
        </w:rPr>
        <w:t>156</w:t>
      </w:r>
      <w:r>
        <w:rPr>
          <w:rFonts w:hint="eastAsia" w:eastAsia="仿宋_GB2312"/>
          <w:sz w:val="30"/>
          <w:szCs w:val="30"/>
        </w:rPr>
        <w:t>万元）。</w:t>
      </w:r>
    </w:p>
    <w:p>
      <w:pPr>
        <w:keepNext w:val="0"/>
        <w:keepLines w:val="0"/>
        <w:pageBreakBefore w:val="0"/>
        <w:widowControl w:val="0"/>
        <w:kinsoku/>
        <w:wordWrap/>
        <w:overflowPunct/>
        <w:topLinePunct w:val="0"/>
        <w:autoSpaceDE/>
        <w:autoSpaceDN/>
        <w:bidi w:val="0"/>
        <w:adjustRightInd/>
        <w:snapToGrid/>
        <w:spacing w:line="600" w:lineRule="exact"/>
        <w:ind w:firstLine="640"/>
        <w:rPr>
          <w:rFonts w:hint="default" w:eastAsia="仿宋_GB2312"/>
          <w:sz w:val="30"/>
          <w:szCs w:val="30"/>
          <w:lang w:val="en-US" w:eastAsia="zh-CN"/>
        </w:rPr>
      </w:pPr>
      <w:r>
        <w:rPr>
          <w:rFonts w:hint="eastAsia" w:eastAsia="仿宋_GB2312"/>
          <w:sz w:val="30"/>
          <w:szCs w:val="30"/>
          <w:lang w:eastAsia="zh-CN"/>
        </w:rPr>
        <w:t>2022年5月29日，湖南省财政厅下发《关于下达2022年第二批地方政府新增债务限额的通知》（湘财预〔2022〕61号）文件下达</w:t>
      </w:r>
      <w:r>
        <w:rPr>
          <w:rFonts w:hint="eastAsia" w:eastAsia="仿宋_GB2312"/>
          <w:sz w:val="30"/>
          <w:szCs w:val="30"/>
          <w:lang w:val="en-US" w:eastAsia="zh-CN"/>
        </w:rPr>
        <w:t>地方政府一般债务资金509万元（小型水库除险加固418万元，小型水库维修养护91万元）。</w:t>
      </w:r>
    </w:p>
    <w:p>
      <w:pPr>
        <w:keepNext w:val="0"/>
        <w:keepLines w:val="0"/>
        <w:pageBreakBefore w:val="0"/>
        <w:widowControl w:val="0"/>
        <w:kinsoku/>
        <w:wordWrap/>
        <w:overflowPunct/>
        <w:topLinePunct w:val="0"/>
        <w:autoSpaceDE/>
        <w:autoSpaceDN/>
        <w:bidi w:val="0"/>
        <w:adjustRightInd/>
        <w:snapToGrid/>
        <w:spacing w:line="600" w:lineRule="exact"/>
        <w:ind w:firstLine="640"/>
        <w:rPr>
          <w:rFonts w:hint="eastAsia" w:eastAsia="仿宋_GB2312"/>
          <w:sz w:val="30"/>
          <w:szCs w:val="30"/>
          <w:lang w:val="en-US" w:eastAsia="zh-CN"/>
        </w:rPr>
      </w:pPr>
      <w:r>
        <w:rPr>
          <w:rFonts w:hint="eastAsia" w:eastAsia="仿宋_GB2312"/>
          <w:sz w:val="30"/>
          <w:szCs w:val="30"/>
          <w:lang w:eastAsia="zh-CN"/>
        </w:rPr>
        <w:t>2022年6月20日，湖南省财政厅下发《关于下达2022年度省级水利发展资金的通知》（湘财农指〔2022〕15号）文件下达</w:t>
      </w:r>
      <w:r>
        <w:rPr>
          <w:rFonts w:hint="eastAsia" w:eastAsia="仿宋_GB2312"/>
          <w:sz w:val="30"/>
          <w:szCs w:val="30"/>
        </w:rPr>
        <w:t>中型灌区续建配套与节水改造项目</w:t>
      </w:r>
      <w:r>
        <w:rPr>
          <w:rFonts w:hint="eastAsia" w:eastAsia="仿宋_GB2312"/>
          <w:sz w:val="30"/>
          <w:szCs w:val="30"/>
          <w:lang w:eastAsia="zh-CN"/>
        </w:rPr>
        <w:t>省级补助资金471万元</w:t>
      </w:r>
      <w:r>
        <w:rPr>
          <w:rFonts w:hint="eastAsia" w:eastAsia="仿宋_GB2312"/>
          <w:sz w:val="30"/>
          <w:szCs w:val="30"/>
        </w:rPr>
        <w:t>（华一水库灌区</w:t>
      </w:r>
      <w:r>
        <w:rPr>
          <w:rFonts w:hint="eastAsia" w:eastAsia="仿宋_GB2312"/>
          <w:sz w:val="30"/>
          <w:szCs w:val="30"/>
          <w:lang w:val="en-US" w:eastAsia="zh-CN"/>
        </w:rPr>
        <w:t>148</w:t>
      </w:r>
      <w:r>
        <w:rPr>
          <w:rFonts w:hint="eastAsia" w:eastAsia="仿宋_GB2312"/>
          <w:sz w:val="30"/>
          <w:szCs w:val="30"/>
        </w:rPr>
        <w:t>万元、新华垸灌区</w:t>
      </w:r>
      <w:r>
        <w:rPr>
          <w:rFonts w:hint="eastAsia" w:eastAsia="仿宋_GB2312"/>
          <w:sz w:val="30"/>
          <w:szCs w:val="30"/>
          <w:lang w:val="en-US" w:eastAsia="zh-CN"/>
        </w:rPr>
        <w:t>258</w:t>
      </w:r>
      <w:r>
        <w:rPr>
          <w:rFonts w:hint="eastAsia" w:eastAsia="仿宋_GB2312"/>
          <w:sz w:val="30"/>
          <w:szCs w:val="30"/>
        </w:rPr>
        <w:t>万元、告丰灌区</w:t>
      </w:r>
      <w:r>
        <w:rPr>
          <w:rFonts w:hint="eastAsia" w:eastAsia="仿宋_GB2312"/>
          <w:sz w:val="30"/>
          <w:szCs w:val="30"/>
          <w:lang w:val="en-US" w:eastAsia="zh-CN"/>
        </w:rPr>
        <w:t>65</w:t>
      </w:r>
      <w:r>
        <w:rPr>
          <w:rFonts w:hint="eastAsia" w:eastAsia="仿宋_GB2312"/>
          <w:sz w:val="30"/>
          <w:szCs w:val="30"/>
        </w:rPr>
        <w:t>万元）</w:t>
      </w:r>
      <w:r>
        <w:rPr>
          <w:rFonts w:hint="eastAsia" w:eastAsia="仿宋_GB2312"/>
          <w:sz w:val="30"/>
          <w:szCs w:val="30"/>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rPr>
          <w:rFonts w:hint="eastAsia" w:eastAsia="仿宋_GB2312"/>
          <w:sz w:val="30"/>
          <w:szCs w:val="30"/>
        </w:rPr>
      </w:pPr>
      <w:r>
        <w:rPr>
          <w:rFonts w:hint="eastAsia" w:eastAsia="仿宋_GB2312"/>
          <w:sz w:val="30"/>
          <w:szCs w:val="30"/>
        </w:rPr>
        <w:t>(二)项目绩效目标。包括总体目标和阶段性目标。</w:t>
      </w:r>
      <w:r>
        <w:rPr>
          <w:rFonts w:hint="eastAsia" w:eastAsia="仿宋_GB2312"/>
          <w:sz w:val="30"/>
          <w:szCs w:val="30"/>
          <w:lang w:val="en-US" w:eastAsia="zh-CN"/>
        </w:rPr>
        <w:t>1</w:t>
      </w:r>
      <w:r>
        <w:rPr>
          <w:rFonts w:hint="eastAsia" w:eastAsia="仿宋_GB2312"/>
          <w:sz w:val="30"/>
          <w:szCs w:val="30"/>
        </w:rPr>
        <w:t>.</w:t>
      </w:r>
      <w:r>
        <w:rPr>
          <w:rFonts w:hint="eastAsia" w:eastAsia="仿宋_GB2312"/>
          <w:sz w:val="30"/>
          <w:szCs w:val="30"/>
          <w:lang w:val="en-US" w:eastAsia="zh-CN"/>
        </w:rPr>
        <w:t>小型水库建设及除险加固</w:t>
      </w:r>
      <w:r>
        <w:rPr>
          <w:rFonts w:hint="eastAsia" w:eastAsia="仿宋_GB2312"/>
          <w:sz w:val="30"/>
          <w:szCs w:val="30"/>
        </w:rPr>
        <w:t>：本次绩效评价的</w:t>
      </w:r>
      <w:r>
        <w:rPr>
          <w:rFonts w:hint="eastAsia" w:eastAsia="仿宋_GB2312"/>
          <w:sz w:val="30"/>
          <w:szCs w:val="30"/>
          <w:lang w:val="en-US" w:eastAsia="zh-CN"/>
        </w:rPr>
        <w:t>小型水库除险加固为华容县5座小（2）型水库（易家湾、李家湾、燕子庵、烂泥湾、砖头湾）除险加固，涉及</w:t>
      </w:r>
      <w:r>
        <w:rPr>
          <w:rFonts w:hint="eastAsia" w:eastAsia="仿宋_GB2312"/>
          <w:sz w:val="30"/>
          <w:szCs w:val="30"/>
        </w:rPr>
        <w:t>资金为</w:t>
      </w:r>
      <w:r>
        <w:rPr>
          <w:rFonts w:hint="eastAsia" w:eastAsia="仿宋_GB2312"/>
          <w:sz w:val="30"/>
          <w:szCs w:val="30"/>
          <w:lang w:val="en-US" w:eastAsia="zh-CN"/>
        </w:rPr>
        <w:t>950</w:t>
      </w:r>
      <w:r>
        <w:rPr>
          <w:rFonts w:hint="eastAsia" w:eastAsia="仿宋_GB2312"/>
          <w:sz w:val="30"/>
          <w:szCs w:val="30"/>
        </w:rPr>
        <w:t>万元</w:t>
      </w:r>
      <w:r>
        <w:rPr>
          <w:rFonts w:hint="eastAsia" w:eastAsia="仿宋_GB2312"/>
          <w:sz w:val="30"/>
          <w:szCs w:val="30"/>
          <w:lang w:eastAsia="zh-CN"/>
        </w:rPr>
        <w:t>，</w:t>
      </w:r>
      <w:r>
        <w:rPr>
          <w:rFonts w:hint="eastAsia" w:eastAsia="仿宋_GB2312"/>
          <w:sz w:val="30"/>
          <w:szCs w:val="30"/>
          <w:lang w:val="en-US" w:eastAsia="zh-CN"/>
        </w:rPr>
        <w:t>其中中央水利发展资金532万元，地方政府一般债418万元，</w:t>
      </w:r>
      <w:r>
        <w:rPr>
          <w:rFonts w:hint="eastAsia" w:eastAsia="仿宋_GB2312"/>
          <w:sz w:val="30"/>
          <w:szCs w:val="30"/>
          <w:lang w:eastAsia="zh-CN"/>
        </w:rPr>
        <w:t>主要建设内容</w:t>
      </w:r>
      <w:r>
        <w:rPr>
          <w:rFonts w:hint="eastAsia" w:eastAsia="仿宋_GB2312"/>
          <w:sz w:val="30"/>
          <w:szCs w:val="30"/>
          <w:lang w:val="en-US" w:eastAsia="zh-CN"/>
        </w:rPr>
        <w:t>为</w:t>
      </w:r>
      <w:r>
        <w:rPr>
          <w:rFonts w:hint="eastAsia" w:eastAsia="仿宋_GB2312"/>
          <w:sz w:val="30"/>
          <w:szCs w:val="30"/>
          <w:lang w:eastAsia="zh-CN"/>
        </w:rPr>
        <w:t>大坝临水面砼六方块护坡、背水坡草皮护坡、贴坡排水、大坝防渗、溢洪道整治、放水设施整治、上坝公路及其它附属设施建设</w:t>
      </w:r>
      <w:r>
        <w:rPr>
          <w:rFonts w:hint="eastAsia" w:eastAsia="仿宋_GB2312"/>
          <w:sz w:val="30"/>
          <w:szCs w:val="30"/>
          <w:lang w:val="en-US" w:eastAsia="zh-CN"/>
        </w:rPr>
        <w:t>等</w:t>
      </w:r>
      <w:r>
        <w:rPr>
          <w:rFonts w:hint="eastAsia" w:eastAsia="仿宋_GB2312"/>
          <w:sz w:val="30"/>
          <w:szCs w:val="30"/>
          <w:lang w:eastAsia="zh-CN"/>
        </w:rPr>
        <w:t>，目前</w:t>
      </w:r>
      <w:r>
        <w:rPr>
          <w:rFonts w:hint="eastAsia" w:eastAsia="仿宋_GB2312"/>
          <w:sz w:val="30"/>
          <w:szCs w:val="30"/>
          <w:lang w:val="en-US" w:eastAsia="zh-CN"/>
        </w:rPr>
        <w:t>工程已于</w:t>
      </w:r>
      <w:r>
        <w:rPr>
          <w:rFonts w:hint="eastAsia" w:eastAsia="仿宋_GB2312"/>
          <w:sz w:val="30"/>
          <w:szCs w:val="30"/>
          <w:lang w:eastAsia="zh-CN"/>
        </w:rPr>
        <w:t>2022年</w:t>
      </w:r>
      <w:r>
        <w:rPr>
          <w:rFonts w:hint="eastAsia" w:eastAsia="仿宋_GB2312"/>
          <w:sz w:val="30"/>
          <w:szCs w:val="30"/>
          <w:lang w:val="en-US" w:eastAsia="zh-CN"/>
        </w:rPr>
        <w:t>9</w:t>
      </w:r>
      <w:r>
        <w:rPr>
          <w:rFonts w:hint="eastAsia" w:eastAsia="仿宋_GB2312"/>
          <w:sz w:val="30"/>
          <w:szCs w:val="30"/>
          <w:lang w:eastAsia="zh-CN"/>
        </w:rPr>
        <w:t>月</w:t>
      </w:r>
      <w:r>
        <w:rPr>
          <w:rFonts w:hint="eastAsia" w:eastAsia="仿宋_GB2312"/>
          <w:sz w:val="30"/>
          <w:szCs w:val="30"/>
          <w:lang w:val="en-US" w:eastAsia="zh-CN"/>
        </w:rPr>
        <w:t>开工，2022年12月完工</w:t>
      </w:r>
      <w:r>
        <w:rPr>
          <w:rFonts w:hint="eastAsia" w:eastAsia="仿宋_GB2312"/>
          <w:sz w:val="30"/>
          <w:szCs w:val="30"/>
          <w:lang w:eastAsia="zh-CN"/>
        </w:rPr>
        <w:t>，</w:t>
      </w:r>
      <w:r>
        <w:rPr>
          <w:rFonts w:hint="eastAsia" w:eastAsia="仿宋_GB2312"/>
          <w:sz w:val="30"/>
          <w:szCs w:val="30"/>
          <w:lang w:val="en-US" w:eastAsia="zh-CN"/>
        </w:rPr>
        <w:t>相关资金拨付也严格按照工程建设进度给予拨付</w:t>
      </w:r>
      <w:r>
        <w:rPr>
          <w:rFonts w:hint="eastAsia" w:eastAsia="仿宋_GB2312"/>
          <w:sz w:val="30"/>
          <w:szCs w:val="30"/>
        </w:rPr>
        <w:t>。</w:t>
      </w:r>
    </w:p>
    <w:p>
      <w:pPr>
        <w:keepNext w:val="0"/>
        <w:keepLines w:val="0"/>
        <w:pageBreakBefore w:val="0"/>
        <w:widowControl w:val="0"/>
        <w:kinsoku/>
        <w:wordWrap/>
        <w:overflowPunct/>
        <w:topLinePunct w:val="0"/>
        <w:autoSpaceDE/>
        <w:autoSpaceDN/>
        <w:bidi w:val="0"/>
        <w:adjustRightInd/>
        <w:snapToGrid/>
        <w:spacing w:line="600" w:lineRule="exact"/>
        <w:ind w:firstLine="640"/>
        <w:rPr>
          <w:rFonts w:hint="eastAsia" w:eastAsia="仿宋_GB2312"/>
          <w:sz w:val="30"/>
          <w:szCs w:val="30"/>
        </w:rPr>
      </w:pPr>
      <w:r>
        <w:rPr>
          <w:rFonts w:hint="eastAsia" w:eastAsia="仿宋_GB2312"/>
          <w:sz w:val="30"/>
          <w:szCs w:val="30"/>
          <w:lang w:val="en-US" w:eastAsia="zh-CN"/>
        </w:rPr>
        <w:t>2.中型灌区续建配套与节水改造项目</w:t>
      </w:r>
      <w:r>
        <w:rPr>
          <w:rFonts w:hint="eastAsia" w:eastAsia="仿宋_GB2312"/>
          <w:sz w:val="30"/>
          <w:szCs w:val="30"/>
        </w:rPr>
        <w:t>：本次绩效评价的</w:t>
      </w:r>
      <w:r>
        <w:rPr>
          <w:rFonts w:hint="eastAsia" w:eastAsia="仿宋_GB2312"/>
          <w:sz w:val="30"/>
          <w:szCs w:val="30"/>
          <w:lang w:val="en-US" w:eastAsia="zh-CN"/>
        </w:rPr>
        <w:t>中型灌区续建配套与节水改造项目总体建设任务为完成3座灌区（华一水库灌区、新华垸灌区、告丰灌区）续建配套与节水改造，涉及资金为2402万元，其中中央资金1931万元，省级配套资金471万元，主要建设内容为灌溉渠道疏挖衬砌、小型机埠新建维修、小型涵闸新建及改造、标准信息化建设等，目前2022年度工程建设任务已于2022年12月份底全面完工，相关资金拨付也严格按照工程建设进度给予拨付</w:t>
      </w:r>
      <w:r>
        <w:rPr>
          <w:rFonts w:hint="eastAsia" w:eastAsia="仿宋_GB2312"/>
          <w:sz w:val="30"/>
          <w:szCs w:val="30"/>
        </w:rPr>
        <w:t>。</w:t>
      </w:r>
    </w:p>
    <w:p>
      <w:pPr>
        <w:keepNext w:val="0"/>
        <w:keepLines w:val="0"/>
        <w:pageBreakBefore w:val="0"/>
        <w:widowControl w:val="0"/>
        <w:kinsoku/>
        <w:wordWrap/>
        <w:overflowPunct/>
        <w:topLinePunct w:val="0"/>
        <w:autoSpaceDE/>
        <w:autoSpaceDN/>
        <w:bidi w:val="0"/>
        <w:adjustRightInd/>
        <w:snapToGrid/>
        <w:spacing w:line="600" w:lineRule="exact"/>
        <w:ind w:firstLine="640"/>
        <w:rPr>
          <w:rFonts w:hint="eastAsia" w:eastAsia="仿宋_GB2312"/>
          <w:sz w:val="30"/>
          <w:szCs w:val="30"/>
        </w:rPr>
      </w:pPr>
      <w:r>
        <w:rPr>
          <w:rFonts w:hint="eastAsia" w:eastAsia="仿宋_GB2312"/>
          <w:sz w:val="30"/>
          <w:szCs w:val="30"/>
          <w:lang w:val="en-US" w:eastAsia="zh-CN"/>
        </w:rPr>
        <w:t>3</w:t>
      </w:r>
      <w:r>
        <w:rPr>
          <w:rFonts w:hint="eastAsia" w:eastAsia="仿宋_GB2312"/>
          <w:sz w:val="30"/>
          <w:szCs w:val="30"/>
        </w:rPr>
        <w:t xml:space="preserve">. </w:t>
      </w:r>
      <w:r>
        <w:rPr>
          <w:rFonts w:hint="eastAsia" w:eastAsia="仿宋_GB2312"/>
          <w:sz w:val="30"/>
          <w:szCs w:val="30"/>
          <w:lang w:val="en-US" w:eastAsia="zh-CN"/>
        </w:rPr>
        <w:t>水利工程设施</w:t>
      </w:r>
      <w:r>
        <w:rPr>
          <w:rFonts w:hint="eastAsia" w:eastAsia="仿宋_GB2312"/>
          <w:sz w:val="30"/>
          <w:szCs w:val="30"/>
        </w:rPr>
        <w:t>维修养护：</w:t>
      </w:r>
      <w:r>
        <w:rPr>
          <w:rFonts w:hint="eastAsia" w:eastAsia="仿宋_GB2312"/>
          <w:sz w:val="30"/>
          <w:szCs w:val="30"/>
          <w:lang w:val="en-US" w:eastAsia="zh-CN"/>
        </w:rPr>
        <w:t>本次绩效评价的水利工程设施维修养护为14座小型水库管理标准化创建工作、45座小型水库维修养护工作及32处农村供水工程维修养护，涉及资金为327万元，其中中央资金236万元，地方政府一般债91万元，其中水库标准化建设主要内容为管理房新建及维修，大坝日常管养，大坝坝顶及上坝公路建设，护栏安装，溢洪道整治及大坝坡面整治等；水库维修养护主要建设内容为大坝坡面及溢洪道清基扫障、管理设施更新及相关附属建筑物维修养护等，工程于2022年11月已完工，总体形象进度为100%，32个农村供水工程维修养护主要建设内容为打水井、更换消毒设备、石英砂、管网维修等，工程于2022年10月已完工，目前总体形象进度为100%，相关资金拨付也严格按照工程建设进度给予拨付。</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二、绩效评价工作开展情况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(一)绩效评价目的、对象和范围。</w:t>
      </w:r>
    </w:p>
    <w:p>
      <w:pPr>
        <w:keepNext w:val="0"/>
        <w:keepLines w:val="0"/>
        <w:pageBreakBefore w:val="0"/>
        <w:widowControl w:val="0"/>
        <w:kinsoku/>
        <w:wordWrap/>
        <w:overflowPunct/>
        <w:topLinePunct w:val="0"/>
        <w:autoSpaceDE/>
        <w:autoSpaceDN/>
        <w:bidi w:val="0"/>
        <w:adjustRightInd/>
        <w:snapToGrid/>
        <w:spacing w:line="600" w:lineRule="exact"/>
        <w:ind w:firstLine="640"/>
        <w:rPr>
          <w:rFonts w:hint="eastAsia" w:eastAsia="仿宋_GB2312"/>
          <w:sz w:val="30"/>
          <w:szCs w:val="30"/>
          <w:lang w:val="en-US" w:eastAsia="zh-CN"/>
        </w:rPr>
      </w:pPr>
      <w:r>
        <w:rPr>
          <w:rFonts w:hint="eastAsia" w:eastAsia="仿宋_GB2312"/>
          <w:sz w:val="30"/>
          <w:szCs w:val="30"/>
          <w:lang w:val="en-US" w:eastAsia="zh-CN"/>
        </w:rPr>
        <w:t>本次绩效自评工作以湖南省水利厅、财政厅下发的《关于开展2022年度水利发展资金绩效评价的通知》（湘水函〔2023〕221号）、2022 年度中央财政水利发展资金绩效自评报告大纲、2022 年度中央财政水利发展资金绩效自评表等相关文件资料为依据。</w:t>
      </w:r>
    </w:p>
    <w:p>
      <w:pPr>
        <w:keepNext w:val="0"/>
        <w:keepLines w:val="0"/>
        <w:pageBreakBefore w:val="0"/>
        <w:widowControl w:val="0"/>
        <w:kinsoku/>
        <w:wordWrap/>
        <w:overflowPunct/>
        <w:topLinePunct w:val="0"/>
        <w:autoSpaceDE/>
        <w:autoSpaceDN/>
        <w:bidi w:val="0"/>
        <w:adjustRightInd/>
        <w:snapToGrid/>
        <w:spacing w:line="600" w:lineRule="exact"/>
        <w:ind w:firstLine="640"/>
        <w:rPr>
          <w:rFonts w:hint="eastAsia" w:eastAsia="仿宋_GB2312"/>
          <w:sz w:val="30"/>
          <w:szCs w:val="30"/>
          <w:lang w:val="en-US" w:eastAsia="zh-CN"/>
        </w:rPr>
      </w:pPr>
    </w:p>
    <w:p>
      <w:pPr>
        <w:keepNext w:val="0"/>
        <w:keepLines w:val="0"/>
        <w:pageBreakBefore w:val="0"/>
        <w:numPr>
          <w:ilvl w:val="0"/>
          <w:numId w:val="4"/>
        </w:numPr>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绩效评价原则、评价指标体系(附表说明)、评价方法、 评价标准等。</w:t>
      </w:r>
    </w:p>
    <w:p>
      <w:pPr>
        <w:keepNext w:val="0"/>
        <w:keepLines w:val="0"/>
        <w:pageBreakBefore w:val="0"/>
        <w:widowControl w:val="0"/>
        <w:kinsoku/>
        <w:wordWrap/>
        <w:overflowPunct/>
        <w:topLinePunct w:val="0"/>
        <w:autoSpaceDE/>
        <w:autoSpaceDN/>
        <w:bidi w:val="0"/>
        <w:adjustRightInd/>
        <w:snapToGrid/>
        <w:spacing w:line="600" w:lineRule="exact"/>
        <w:ind w:firstLine="640"/>
        <w:rPr>
          <w:rFonts w:hint="eastAsia" w:eastAsia="仿宋_GB2312"/>
          <w:sz w:val="30"/>
          <w:szCs w:val="30"/>
          <w:lang w:val="en-US" w:eastAsia="zh-CN"/>
        </w:rPr>
      </w:pPr>
      <w:r>
        <w:rPr>
          <w:rFonts w:hint="eastAsia" w:eastAsia="仿宋_GB2312"/>
          <w:sz w:val="30"/>
          <w:szCs w:val="30"/>
          <w:lang w:val="en-US" w:eastAsia="zh-CN"/>
        </w:rPr>
        <w:t>根据省财政厅、水利厅相关工作进展安排，我单位领导召集相关主管人员及项目执行单位召开专题会议，成立了绩效评价领导工作小组，领会精神，布置工作任务，统一自评标准，制定了工作方案，确保了绩效评价工作扎实开展。依据相关工作方案，项目单位积极组织本次绩效评价相关资料；深入项目区进行民意满意度测评；到项目区进行现场评价；根据综合意见形成自评报告。</w:t>
      </w:r>
    </w:p>
    <w:p>
      <w:pPr>
        <w:pStyle w:val="11"/>
        <w:numPr>
          <w:ilvl w:val="0"/>
          <w:numId w:val="0"/>
        </w:numPr>
        <w:ind w:leftChars="0"/>
        <w:rPr>
          <w:rFonts w:hint="eastAsia"/>
        </w:rPr>
      </w:pPr>
    </w:p>
    <w:p>
      <w:pPr>
        <w:keepNext w:val="0"/>
        <w:keepLines w:val="0"/>
        <w:pageBreakBefore w:val="0"/>
        <w:numPr>
          <w:ilvl w:val="0"/>
          <w:numId w:val="4"/>
        </w:numPr>
        <w:kinsoku/>
        <w:wordWrap/>
        <w:overflowPunct/>
        <w:topLinePunct w:val="0"/>
        <w:autoSpaceDE/>
        <w:autoSpaceDN/>
        <w:bidi w:val="0"/>
        <w:adjustRightInd/>
        <w:snapToGrid/>
        <w:spacing w:line="610" w:lineRule="exact"/>
        <w:ind w:left="0" w:leftChars="0" w:firstLine="600" w:firstLineChars="200"/>
        <w:textAlignment w:val="auto"/>
        <w:rPr>
          <w:rFonts w:hint="eastAsia" w:eastAsia="仿宋_GB2312"/>
          <w:b w:val="0"/>
          <w:bCs w:val="0"/>
          <w:sz w:val="30"/>
          <w:szCs w:val="30"/>
        </w:rPr>
      </w:pPr>
      <w:r>
        <w:rPr>
          <w:rFonts w:hint="eastAsia" w:eastAsia="仿宋_GB2312"/>
          <w:b w:val="0"/>
          <w:bCs w:val="0"/>
          <w:sz w:val="30"/>
          <w:szCs w:val="30"/>
        </w:rPr>
        <w:t>绩效评价工作过程。</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通过绩效评价，认真总结经验教训，查找存在问题，从而进一步提高资金使用效益。对于绩效评价的结果及时在公开栏和政府网站进行公开，接受群众监督。</w:t>
      </w:r>
    </w:p>
    <w:p>
      <w:pPr>
        <w:pStyle w:val="11"/>
        <w:numPr>
          <w:ilvl w:val="0"/>
          <w:numId w:val="0"/>
        </w:numPr>
        <w:rPr>
          <w:rFonts w:hint="eastAsia"/>
        </w:rPr>
      </w:pP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 xml:space="preserve">三、综合评价情况及评价结论 </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根据本项目绩效目标完成和指标自评打分情况，综合结论：绩效自评总分为 98 分，绩效评价等级为优秀。</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项目总体执行情况：2022年我县中央财政水利发展资金项目按照实施方案如期开工，进展顺序按期完工，达到了的工程设计目标和建设时效。</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资金管理情况：做到专款专用，专账核算，审批控制合理有效，管理范围，无资金管理问题。</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项目实施成效情况：成效明显，各项目按期完工，工程质量初验合格，项目批复时设定的各项绩效目标完成得很好。</w:t>
      </w:r>
    </w:p>
    <w:p>
      <w:pPr>
        <w:pStyle w:val="11"/>
        <w:rPr>
          <w:rFonts w:hint="eastAsia"/>
        </w:rPr>
      </w:pP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四、绩效评价指标分析</w:t>
      </w:r>
    </w:p>
    <w:p>
      <w:pPr>
        <w:keepNext w:val="0"/>
        <w:keepLines w:val="0"/>
        <w:pageBreakBefore w:val="0"/>
        <w:kinsoku/>
        <w:wordWrap/>
        <w:overflowPunct/>
        <w:topLinePunct w:val="0"/>
        <w:autoSpaceDE/>
        <w:autoSpaceDN/>
        <w:bidi w:val="0"/>
        <w:adjustRightInd/>
        <w:snapToGrid/>
        <w:spacing w:line="610" w:lineRule="exact"/>
        <w:ind w:firstLine="602" w:firstLineChars="200"/>
        <w:textAlignment w:val="auto"/>
        <w:rPr>
          <w:rFonts w:hint="eastAsia" w:eastAsia="仿宋_GB2312"/>
          <w:b/>
          <w:bCs/>
          <w:sz w:val="30"/>
          <w:szCs w:val="30"/>
        </w:rPr>
      </w:pPr>
      <w:r>
        <w:rPr>
          <w:rFonts w:hint="eastAsia" w:eastAsia="仿宋_GB2312"/>
          <w:b/>
          <w:bCs/>
          <w:sz w:val="30"/>
          <w:szCs w:val="30"/>
        </w:rPr>
        <w:t>(一)项目决策情况。</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1．组织实施</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为了完成项目建设任务，由华容县水利局、华容县水利建设项目管理中心、华一水库管理所作为项目法人，全面负责项目建设，对项目进度、质量、安全、资金管理全面负责。工程建设实行了项目法人负责制、建设监理制、招标投标制、工程质量终身负责制和工程建设绩效考核制度等管理制度。按照工程建设要求组建了符合工程管理需要项目法人机构全面负责工程建设，工程采取公开招标形式选取资质高、信誉好的施工单位、监理单位和质量检测单位，实行工程质量终身负责制，提高了工程建设各参建单位和人员质量意识，建立了绩效考核制度，加快了工程建设进度。</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2．绩效管理</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严格执行《中共中央国务院关于全面实施预算绩效管理的意见》、《中央财政水利发展资金绩效管理暂行办法》（财农〔2017〕30号）、《财政部关于开展2022年度中央对地方转移支付预算执行情况绩效自评工作的通知》(财监〔2023〕1号)和《财政部办公厅水利部办公厅关于开展2022年度水利相关转移支付绩效评价工作的通知》(财办农〔2023〕14号)和湖南省水利厅、财政厅下发的《关于开展2022年度水利发展资金绩效评价的通知》（湘水函[2023]221号）有关规定，合理申报项目绩效目标，组织实施中注重绩效管理，确保了项目绩效目标的实现。自评材料填报质量情况、绩效目标及自评材料均在规定时限内及时报送，项目严格按照相关程序及流程完成。</w:t>
      </w:r>
    </w:p>
    <w:p>
      <w:pPr>
        <w:pStyle w:val="11"/>
        <w:rPr>
          <w:rFonts w:hint="eastAsia"/>
        </w:rPr>
      </w:pPr>
    </w:p>
    <w:p>
      <w:pPr>
        <w:keepNext w:val="0"/>
        <w:keepLines w:val="0"/>
        <w:pageBreakBefore w:val="0"/>
        <w:numPr>
          <w:ilvl w:val="0"/>
          <w:numId w:val="5"/>
        </w:numPr>
        <w:kinsoku/>
        <w:wordWrap/>
        <w:overflowPunct/>
        <w:topLinePunct w:val="0"/>
        <w:autoSpaceDE/>
        <w:autoSpaceDN/>
        <w:bidi w:val="0"/>
        <w:adjustRightInd/>
        <w:snapToGrid/>
        <w:spacing w:line="610" w:lineRule="exact"/>
        <w:ind w:firstLine="602" w:firstLineChars="200"/>
        <w:textAlignment w:val="auto"/>
        <w:rPr>
          <w:rFonts w:hint="eastAsia" w:eastAsia="仿宋_GB2312"/>
          <w:b/>
          <w:bCs/>
          <w:sz w:val="30"/>
          <w:szCs w:val="30"/>
        </w:rPr>
      </w:pPr>
      <w:r>
        <w:rPr>
          <w:rFonts w:hint="eastAsia" w:eastAsia="仿宋_GB2312"/>
          <w:b/>
          <w:bCs/>
          <w:sz w:val="30"/>
          <w:szCs w:val="30"/>
        </w:rPr>
        <w:t>项目过程情况。</w:t>
      </w:r>
    </w:p>
    <w:p>
      <w:pPr>
        <w:keepNext w:val="0"/>
        <w:keepLines w:val="0"/>
        <w:pageBreakBefore w:val="0"/>
        <w:widowControl w:val="0"/>
        <w:kinsoku/>
        <w:wordWrap/>
        <w:overflowPunct/>
        <w:topLinePunct w:val="0"/>
        <w:autoSpaceDE/>
        <w:autoSpaceDN/>
        <w:bidi w:val="0"/>
        <w:adjustRightInd/>
        <w:snapToGrid/>
        <w:spacing w:line="600" w:lineRule="exact"/>
        <w:ind w:firstLine="643"/>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1．资金到位情况</w:t>
      </w:r>
    </w:p>
    <w:p>
      <w:pPr>
        <w:keepNext w:val="0"/>
        <w:keepLines w:val="0"/>
        <w:pageBreakBefore w:val="0"/>
        <w:widowControl w:val="0"/>
        <w:kinsoku/>
        <w:wordWrap/>
        <w:overflowPunct/>
        <w:topLinePunct w:val="0"/>
        <w:autoSpaceDE/>
        <w:autoSpaceDN/>
        <w:bidi w:val="0"/>
        <w:adjustRightInd/>
        <w:snapToGrid/>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华容县2022年中央财政水利发展资金项目共3大项，截止目前，共计下达中央专项资金2699万元，现已全部到位，资金到位率100%。</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表3-1 2022年度中央和省级财政资金到位情况表</w:t>
      </w:r>
    </w:p>
    <w:tbl>
      <w:tblPr>
        <w:tblStyle w:val="14"/>
        <w:tblW w:w="9517" w:type="dxa"/>
        <w:jc w:val="center"/>
        <w:tblLayout w:type="fixed"/>
        <w:tblCellMar>
          <w:top w:w="0" w:type="dxa"/>
          <w:left w:w="51" w:type="dxa"/>
          <w:bottom w:w="0" w:type="dxa"/>
          <w:right w:w="51" w:type="dxa"/>
        </w:tblCellMar>
      </w:tblPr>
      <w:tblGrid>
        <w:gridCol w:w="2771"/>
        <w:gridCol w:w="941"/>
        <w:gridCol w:w="736"/>
        <w:gridCol w:w="589"/>
        <w:gridCol w:w="737"/>
        <w:gridCol w:w="663"/>
        <w:gridCol w:w="884"/>
        <w:gridCol w:w="1018"/>
        <w:gridCol w:w="1178"/>
      </w:tblGrid>
      <w:tr>
        <w:tblPrEx>
          <w:tblCellMar>
            <w:top w:w="0" w:type="dxa"/>
            <w:left w:w="51" w:type="dxa"/>
            <w:bottom w:w="0" w:type="dxa"/>
            <w:right w:w="51" w:type="dxa"/>
          </w:tblCellMar>
        </w:tblPrEx>
        <w:trPr>
          <w:trHeight w:val="715" w:hRule="atLeast"/>
          <w:tblHeader/>
          <w:jc w:val="center"/>
        </w:trPr>
        <w:tc>
          <w:tcPr>
            <w:tcW w:w="2771"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分  类</w:t>
            </w:r>
          </w:p>
        </w:tc>
        <w:tc>
          <w:tcPr>
            <w:tcW w:w="941"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批复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预算数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（万元）</w:t>
            </w:r>
          </w:p>
        </w:tc>
        <w:tc>
          <w:tcPr>
            <w:tcW w:w="5805" w:type="dxa"/>
            <w:gridSpan w:val="7"/>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扣除国家级脱贫县资金后</w:t>
            </w:r>
          </w:p>
        </w:tc>
      </w:tr>
      <w:tr>
        <w:tblPrEx>
          <w:tblCellMar>
            <w:top w:w="0" w:type="dxa"/>
            <w:left w:w="51" w:type="dxa"/>
            <w:bottom w:w="0" w:type="dxa"/>
            <w:right w:w="51" w:type="dxa"/>
          </w:tblCellMar>
        </w:tblPrEx>
        <w:trPr>
          <w:trHeight w:val="715" w:hRule="atLeast"/>
          <w:tblHeader/>
          <w:jc w:val="center"/>
        </w:trPr>
        <w:tc>
          <w:tcPr>
            <w:tcW w:w="2771"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p>
        </w:tc>
        <w:tc>
          <w:tcPr>
            <w:tcW w:w="941"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p>
        </w:tc>
        <w:tc>
          <w:tcPr>
            <w:tcW w:w="2062"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预算数（万元）</w:t>
            </w:r>
          </w:p>
        </w:tc>
        <w:tc>
          <w:tcPr>
            <w:tcW w:w="2565"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财政到位资金（万元）</w:t>
            </w:r>
          </w:p>
        </w:tc>
        <w:tc>
          <w:tcPr>
            <w:tcW w:w="1178"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中央和省级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财政资金</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到位率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w:t>
            </w:r>
          </w:p>
        </w:tc>
      </w:tr>
      <w:tr>
        <w:tblPrEx>
          <w:tblCellMar>
            <w:top w:w="0" w:type="dxa"/>
            <w:left w:w="51" w:type="dxa"/>
            <w:bottom w:w="0" w:type="dxa"/>
            <w:right w:w="51" w:type="dxa"/>
          </w:tblCellMar>
        </w:tblPrEx>
        <w:trPr>
          <w:trHeight w:val="715" w:hRule="atLeast"/>
          <w:tblHeader/>
          <w:jc w:val="center"/>
        </w:trPr>
        <w:tc>
          <w:tcPr>
            <w:tcW w:w="2771"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p>
        </w:tc>
        <w:tc>
          <w:tcPr>
            <w:tcW w:w="941"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p>
        </w:tc>
        <w:tc>
          <w:tcPr>
            <w:tcW w:w="73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总投资</w:t>
            </w:r>
          </w:p>
        </w:tc>
        <w:tc>
          <w:tcPr>
            <w:tcW w:w="13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其中</w:t>
            </w:r>
          </w:p>
        </w:tc>
        <w:tc>
          <w:tcPr>
            <w:tcW w:w="66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小计</w:t>
            </w:r>
          </w:p>
        </w:tc>
        <w:tc>
          <w:tcPr>
            <w:tcW w:w="190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其中</w:t>
            </w:r>
          </w:p>
        </w:tc>
        <w:tc>
          <w:tcPr>
            <w:tcW w:w="117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p>
        </w:tc>
      </w:tr>
      <w:tr>
        <w:tblPrEx>
          <w:tblCellMar>
            <w:top w:w="0" w:type="dxa"/>
            <w:left w:w="51" w:type="dxa"/>
            <w:bottom w:w="0" w:type="dxa"/>
            <w:right w:w="51" w:type="dxa"/>
          </w:tblCellMar>
        </w:tblPrEx>
        <w:trPr>
          <w:trHeight w:val="1560" w:hRule="atLeast"/>
          <w:tblHeader/>
          <w:jc w:val="center"/>
        </w:trPr>
        <w:tc>
          <w:tcPr>
            <w:tcW w:w="2771"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p>
        </w:tc>
        <w:tc>
          <w:tcPr>
            <w:tcW w:w="941"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p>
        </w:tc>
        <w:tc>
          <w:tcPr>
            <w:tcW w:w="73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p>
        </w:tc>
        <w:tc>
          <w:tcPr>
            <w:tcW w:w="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中央</w:t>
            </w:r>
          </w:p>
        </w:tc>
        <w:tc>
          <w:tcPr>
            <w:tcW w:w="7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省级</w:t>
            </w:r>
          </w:p>
        </w:tc>
        <w:tc>
          <w:tcPr>
            <w:tcW w:w="66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p>
        </w:tc>
        <w:tc>
          <w:tcPr>
            <w:tcW w:w="8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中央</w:t>
            </w:r>
          </w:p>
        </w:tc>
        <w:tc>
          <w:tcPr>
            <w:tcW w:w="1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省级</w:t>
            </w:r>
          </w:p>
        </w:tc>
        <w:tc>
          <w:tcPr>
            <w:tcW w:w="117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p>
        </w:tc>
      </w:tr>
      <w:tr>
        <w:tblPrEx>
          <w:tblCellMar>
            <w:top w:w="0" w:type="dxa"/>
            <w:left w:w="51" w:type="dxa"/>
            <w:bottom w:w="0" w:type="dxa"/>
            <w:right w:w="51" w:type="dxa"/>
          </w:tblCellMar>
        </w:tblPrEx>
        <w:trPr>
          <w:trHeight w:val="778" w:hRule="exact"/>
          <w:jc w:val="center"/>
        </w:trPr>
        <w:tc>
          <w:tcPr>
            <w:tcW w:w="27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小型水库建设及除险加固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950</w:t>
            </w:r>
          </w:p>
        </w:tc>
        <w:tc>
          <w:tcPr>
            <w:tcW w:w="7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950</w:t>
            </w:r>
          </w:p>
        </w:tc>
        <w:tc>
          <w:tcPr>
            <w:tcW w:w="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532</w:t>
            </w:r>
          </w:p>
        </w:tc>
        <w:tc>
          <w:tcPr>
            <w:tcW w:w="7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0</w:t>
            </w:r>
          </w:p>
        </w:tc>
        <w:tc>
          <w:tcPr>
            <w:tcW w:w="6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950</w:t>
            </w:r>
          </w:p>
        </w:tc>
        <w:tc>
          <w:tcPr>
            <w:tcW w:w="8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532</w:t>
            </w:r>
          </w:p>
        </w:tc>
        <w:tc>
          <w:tcPr>
            <w:tcW w:w="1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0</w:t>
            </w:r>
          </w:p>
        </w:tc>
        <w:tc>
          <w:tcPr>
            <w:tcW w:w="11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100%</w:t>
            </w:r>
          </w:p>
        </w:tc>
      </w:tr>
      <w:tr>
        <w:tblPrEx>
          <w:tblCellMar>
            <w:top w:w="0" w:type="dxa"/>
            <w:left w:w="51" w:type="dxa"/>
            <w:bottom w:w="0" w:type="dxa"/>
            <w:right w:w="51" w:type="dxa"/>
          </w:tblCellMar>
        </w:tblPrEx>
        <w:trPr>
          <w:trHeight w:val="883" w:hRule="exact"/>
          <w:jc w:val="center"/>
        </w:trPr>
        <w:tc>
          <w:tcPr>
            <w:tcW w:w="27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中型灌区续建配套与节水改造</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2402</w:t>
            </w:r>
          </w:p>
        </w:tc>
        <w:tc>
          <w:tcPr>
            <w:tcW w:w="7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2402</w:t>
            </w:r>
          </w:p>
        </w:tc>
        <w:tc>
          <w:tcPr>
            <w:tcW w:w="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1931</w:t>
            </w:r>
          </w:p>
        </w:tc>
        <w:tc>
          <w:tcPr>
            <w:tcW w:w="7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471</w:t>
            </w:r>
          </w:p>
        </w:tc>
        <w:tc>
          <w:tcPr>
            <w:tcW w:w="6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2402</w:t>
            </w:r>
          </w:p>
        </w:tc>
        <w:tc>
          <w:tcPr>
            <w:tcW w:w="8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1931</w:t>
            </w:r>
          </w:p>
        </w:tc>
        <w:tc>
          <w:tcPr>
            <w:tcW w:w="1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471</w:t>
            </w:r>
          </w:p>
        </w:tc>
        <w:tc>
          <w:tcPr>
            <w:tcW w:w="11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100%</w:t>
            </w:r>
          </w:p>
        </w:tc>
      </w:tr>
      <w:tr>
        <w:tblPrEx>
          <w:tblCellMar>
            <w:top w:w="0" w:type="dxa"/>
            <w:left w:w="51" w:type="dxa"/>
            <w:bottom w:w="0" w:type="dxa"/>
            <w:right w:w="51" w:type="dxa"/>
          </w:tblCellMar>
        </w:tblPrEx>
        <w:trPr>
          <w:trHeight w:val="1003" w:hRule="exact"/>
          <w:jc w:val="center"/>
        </w:trPr>
        <w:tc>
          <w:tcPr>
            <w:tcW w:w="27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水利工程设施维修养护</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327</w:t>
            </w:r>
          </w:p>
        </w:tc>
        <w:tc>
          <w:tcPr>
            <w:tcW w:w="7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327</w:t>
            </w:r>
          </w:p>
        </w:tc>
        <w:tc>
          <w:tcPr>
            <w:tcW w:w="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236</w:t>
            </w:r>
          </w:p>
        </w:tc>
        <w:tc>
          <w:tcPr>
            <w:tcW w:w="7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0</w:t>
            </w:r>
          </w:p>
        </w:tc>
        <w:tc>
          <w:tcPr>
            <w:tcW w:w="6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327</w:t>
            </w:r>
          </w:p>
        </w:tc>
        <w:tc>
          <w:tcPr>
            <w:tcW w:w="8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236</w:t>
            </w:r>
          </w:p>
        </w:tc>
        <w:tc>
          <w:tcPr>
            <w:tcW w:w="1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0</w:t>
            </w:r>
          </w:p>
        </w:tc>
        <w:tc>
          <w:tcPr>
            <w:tcW w:w="11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100%</w:t>
            </w:r>
          </w:p>
        </w:tc>
      </w:tr>
      <w:tr>
        <w:tblPrEx>
          <w:tblCellMar>
            <w:top w:w="0" w:type="dxa"/>
            <w:left w:w="51" w:type="dxa"/>
            <w:bottom w:w="0" w:type="dxa"/>
            <w:right w:w="51" w:type="dxa"/>
          </w:tblCellMar>
        </w:tblPrEx>
        <w:trPr>
          <w:trHeight w:val="675" w:hRule="exact"/>
          <w:jc w:val="center"/>
        </w:trPr>
        <w:tc>
          <w:tcPr>
            <w:tcW w:w="27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小计</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3679</w:t>
            </w:r>
          </w:p>
        </w:tc>
        <w:tc>
          <w:tcPr>
            <w:tcW w:w="7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3679</w:t>
            </w:r>
          </w:p>
        </w:tc>
        <w:tc>
          <w:tcPr>
            <w:tcW w:w="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2699</w:t>
            </w:r>
          </w:p>
        </w:tc>
        <w:tc>
          <w:tcPr>
            <w:tcW w:w="7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471</w:t>
            </w:r>
          </w:p>
        </w:tc>
        <w:tc>
          <w:tcPr>
            <w:tcW w:w="6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3679</w:t>
            </w:r>
          </w:p>
        </w:tc>
        <w:tc>
          <w:tcPr>
            <w:tcW w:w="8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2699</w:t>
            </w:r>
          </w:p>
        </w:tc>
        <w:tc>
          <w:tcPr>
            <w:tcW w:w="1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471</w:t>
            </w:r>
          </w:p>
        </w:tc>
        <w:tc>
          <w:tcPr>
            <w:tcW w:w="11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100%</w:t>
            </w:r>
          </w:p>
        </w:tc>
      </w:tr>
    </w:tbl>
    <w:p>
      <w:pPr>
        <w:keepNext w:val="0"/>
        <w:keepLines w:val="0"/>
        <w:pageBreakBefore w:val="0"/>
        <w:widowControl w:val="0"/>
        <w:kinsoku/>
        <w:wordWrap/>
        <w:overflowPunct/>
        <w:topLinePunct w:val="0"/>
        <w:autoSpaceDE/>
        <w:autoSpaceDN/>
        <w:bidi w:val="0"/>
        <w:adjustRightInd/>
        <w:snapToGrid/>
        <w:spacing w:line="600" w:lineRule="exact"/>
        <w:ind w:firstLine="0" w:firstLineChars="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注：财政资金到位率=(中央+省级财政到位资金)/（中央+省级资金预算数）</w:t>
      </w:r>
    </w:p>
    <w:p>
      <w:pPr>
        <w:keepNext w:val="0"/>
        <w:keepLines w:val="0"/>
        <w:pageBreakBefore w:val="0"/>
        <w:widowControl w:val="0"/>
        <w:kinsoku/>
        <w:wordWrap/>
        <w:overflowPunct/>
        <w:topLinePunct w:val="0"/>
        <w:autoSpaceDE/>
        <w:autoSpaceDN/>
        <w:bidi w:val="0"/>
        <w:adjustRightInd/>
        <w:snapToGrid/>
        <w:spacing w:line="600" w:lineRule="exact"/>
        <w:ind w:firstLine="643"/>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2．资金执行情况</w:t>
      </w:r>
    </w:p>
    <w:p>
      <w:pPr>
        <w:keepNext w:val="0"/>
        <w:keepLines w:val="0"/>
        <w:pageBreakBefore w:val="0"/>
        <w:widowControl w:val="0"/>
        <w:kinsoku/>
        <w:wordWrap/>
        <w:overflowPunct/>
        <w:topLinePunct w:val="0"/>
        <w:autoSpaceDE/>
        <w:autoSpaceDN/>
        <w:bidi w:val="0"/>
        <w:adjustRightInd/>
        <w:snapToGrid/>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截至2022年12月底，合计完成投资3679万元，投资完成率100%。2023年6月底，合计完成投资3679万元，投资完成率100%。</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表3-2  2022年度水利发展资金执行情况表</w:t>
      </w:r>
    </w:p>
    <w:tbl>
      <w:tblPr>
        <w:tblStyle w:val="14"/>
        <w:tblW w:w="8210" w:type="dxa"/>
        <w:jc w:val="center"/>
        <w:tblLayout w:type="fixed"/>
        <w:tblCellMar>
          <w:top w:w="0" w:type="dxa"/>
          <w:left w:w="51" w:type="dxa"/>
          <w:bottom w:w="0" w:type="dxa"/>
          <w:right w:w="51" w:type="dxa"/>
        </w:tblCellMar>
      </w:tblPr>
      <w:tblGrid>
        <w:gridCol w:w="2867"/>
        <w:gridCol w:w="976"/>
        <w:gridCol w:w="1104"/>
        <w:gridCol w:w="1148"/>
        <w:gridCol w:w="1117"/>
        <w:gridCol w:w="998"/>
      </w:tblGrid>
      <w:tr>
        <w:tblPrEx>
          <w:tblCellMar>
            <w:top w:w="0" w:type="dxa"/>
            <w:left w:w="51" w:type="dxa"/>
            <w:bottom w:w="0" w:type="dxa"/>
            <w:right w:w="51" w:type="dxa"/>
          </w:tblCellMar>
        </w:tblPrEx>
        <w:trPr>
          <w:trHeight w:val="547" w:hRule="exact"/>
          <w:tblHeader/>
          <w:jc w:val="center"/>
        </w:trPr>
        <w:tc>
          <w:tcPr>
            <w:tcW w:w="2867"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分  类</w:t>
            </w:r>
          </w:p>
        </w:tc>
        <w:tc>
          <w:tcPr>
            <w:tcW w:w="97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投资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（万元）</w:t>
            </w:r>
          </w:p>
        </w:tc>
        <w:tc>
          <w:tcPr>
            <w:tcW w:w="2252"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完成投资（万元）</w:t>
            </w:r>
          </w:p>
        </w:tc>
        <w:tc>
          <w:tcPr>
            <w:tcW w:w="2115"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投资完成率（%）</w:t>
            </w:r>
          </w:p>
        </w:tc>
      </w:tr>
      <w:tr>
        <w:tblPrEx>
          <w:tblCellMar>
            <w:top w:w="0" w:type="dxa"/>
            <w:left w:w="51" w:type="dxa"/>
            <w:bottom w:w="0" w:type="dxa"/>
            <w:right w:w="51" w:type="dxa"/>
          </w:tblCellMar>
        </w:tblPrEx>
        <w:trPr>
          <w:trHeight w:val="260" w:hRule="atLeast"/>
          <w:tblHeader/>
          <w:jc w:val="center"/>
        </w:trPr>
        <w:tc>
          <w:tcPr>
            <w:tcW w:w="286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p>
        </w:tc>
        <w:tc>
          <w:tcPr>
            <w:tcW w:w="97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p>
        </w:tc>
        <w:tc>
          <w:tcPr>
            <w:tcW w:w="2252"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p>
        </w:tc>
        <w:tc>
          <w:tcPr>
            <w:tcW w:w="2115"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p>
        </w:tc>
      </w:tr>
      <w:tr>
        <w:tblPrEx>
          <w:tblCellMar>
            <w:top w:w="0" w:type="dxa"/>
            <w:left w:w="51" w:type="dxa"/>
            <w:bottom w:w="0" w:type="dxa"/>
            <w:right w:w="51" w:type="dxa"/>
          </w:tblCellMar>
        </w:tblPrEx>
        <w:trPr>
          <w:trHeight w:val="782" w:hRule="atLeast"/>
          <w:tblHeader/>
          <w:jc w:val="center"/>
        </w:trPr>
        <w:tc>
          <w:tcPr>
            <w:tcW w:w="286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p>
        </w:tc>
        <w:tc>
          <w:tcPr>
            <w:tcW w:w="97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p>
        </w:tc>
        <w:tc>
          <w:tcPr>
            <w:tcW w:w="110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截至2022年12月底</w:t>
            </w:r>
          </w:p>
        </w:tc>
        <w:tc>
          <w:tcPr>
            <w:tcW w:w="114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截至2023年6月底</w:t>
            </w:r>
          </w:p>
        </w:tc>
        <w:tc>
          <w:tcPr>
            <w:tcW w:w="111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截至2022年12月底</w:t>
            </w:r>
          </w:p>
        </w:tc>
        <w:tc>
          <w:tcPr>
            <w:tcW w:w="99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截至2023年6月底</w:t>
            </w:r>
          </w:p>
        </w:tc>
      </w:tr>
      <w:tr>
        <w:tblPrEx>
          <w:tblCellMar>
            <w:top w:w="0" w:type="dxa"/>
            <w:left w:w="51" w:type="dxa"/>
            <w:bottom w:w="0" w:type="dxa"/>
            <w:right w:w="51" w:type="dxa"/>
          </w:tblCellMar>
        </w:tblPrEx>
        <w:trPr>
          <w:trHeight w:val="731" w:hRule="exact"/>
          <w:jc w:val="center"/>
        </w:trPr>
        <w:tc>
          <w:tcPr>
            <w:tcW w:w="28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left"/>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小型水库建设及除险加固</w:t>
            </w:r>
          </w:p>
        </w:tc>
        <w:tc>
          <w:tcPr>
            <w:tcW w:w="97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950</w:t>
            </w:r>
          </w:p>
        </w:tc>
        <w:tc>
          <w:tcPr>
            <w:tcW w:w="110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950</w:t>
            </w:r>
          </w:p>
        </w:tc>
        <w:tc>
          <w:tcPr>
            <w:tcW w:w="114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950</w:t>
            </w:r>
          </w:p>
        </w:tc>
        <w:tc>
          <w:tcPr>
            <w:tcW w:w="111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100%</w:t>
            </w:r>
          </w:p>
        </w:tc>
        <w:tc>
          <w:tcPr>
            <w:tcW w:w="99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100%</w:t>
            </w:r>
          </w:p>
        </w:tc>
      </w:tr>
      <w:tr>
        <w:tblPrEx>
          <w:tblCellMar>
            <w:top w:w="0" w:type="dxa"/>
            <w:left w:w="51" w:type="dxa"/>
            <w:bottom w:w="0" w:type="dxa"/>
            <w:right w:w="51" w:type="dxa"/>
          </w:tblCellMar>
        </w:tblPrEx>
        <w:trPr>
          <w:trHeight w:val="731" w:hRule="exact"/>
          <w:jc w:val="center"/>
        </w:trPr>
        <w:tc>
          <w:tcPr>
            <w:tcW w:w="28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left"/>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中型灌区续建配套与节水改造</w:t>
            </w:r>
          </w:p>
        </w:tc>
        <w:tc>
          <w:tcPr>
            <w:tcW w:w="97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2402</w:t>
            </w:r>
          </w:p>
        </w:tc>
        <w:tc>
          <w:tcPr>
            <w:tcW w:w="110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2402</w:t>
            </w:r>
          </w:p>
        </w:tc>
        <w:tc>
          <w:tcPr>
            <w:tcW w:w="114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2402</w:t>
            </w:r>
          </w:p>
        </w:tc>
        <w:tc>
          <w:tcPr>
            <w:tcW w:w="111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100%</w:t>
            </w:r>
          </w:p>
        </w:tc>
        <w:tc>
          <w:tcPr>
            <w:tcW w:w="99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100%</w:t>
            </w:r>
          </w:p>
        </w:tc>
      </w:tr>
      <w:tr>
        <w:tblPrEx>
          <w:tblCellMar>
            <w:top w:w="0" w:type="dxa"/>
            <w:left w:w="51" w:type="dxa"/>
            <w:bottom w:w="0" w:type="dxa"/>
            <w:right w:w="51" w:type="dxa"/>
          </w:tblCellMar>
        </w:tblPrEx>
        <w:trPr>
          <w:trHeight w:val="731" w:hRule="exact"/>
          <w:jc w:val="center"/>
        </w:trPr>
        <w:tc>
          <w:tcPr>
            <w:tcW w:w="28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left"/>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水利工程设施维修养护</w:t>
            </w:r>
          </w:p>
        </w:tc>
        <w:tc>
          <w:tcPr>
            <w:tcW w:w="97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327</w:t>
            </w:r>
          </w:p>
        </w:tc>
        <w:tc>
          <w:tcPr>
            <w:tcW w:w="110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327</w:t>
            </w:r>
          </w:p>
        </w:tc>
        <w:tc>
          <w:tcPr>
            <w:tcW w:w="114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327</w:t>
            </w:r>
          </w:p>
        </w:tc>
        <w:tc>
          <w:tcPr>
            <w:tcW w:w="111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100%</w:t>
            </w:r>
          </w:p>
        </w:tc>
        <w:tc>
          <w:tcPr>
            <w:tcW w:w="99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100%</w:t>
            </w:r>
          </w:p>
        </w:tc>
      </w:tr>
      <w:tr>
        <w:tblPrEx>
          <w:tblCellMar>
            <w:top w:w="0" w:type="dxa"/>
            <w:left w:w="51" w:type="dxa"/>
            <w:bottom w:w="0" w:type="dxa"/>
            <w:right w:w="51" w:type="dxa"/>
          </w:tblCellMar>
        </w:tblPrEx>
        <w:trPr>
          <w:trHeight w:val="731" w:hRule="exact"/>
          <w:jc w:val="center"/>
        </w:trPr>
        <w:tc>
          <w:tcPr>
            <w:tcW w:w="28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小计</w:t>
            </w:r>
          </w:p>
        </w:tc>
        <w:tc>
          <w:tcPr>
            <w:tcW w:w="97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leftChars="0" w:right="0" w:firstLine="0" w:firstLineChars="0"/>
              <w:jc w:val="center"/>
              <w:textAlignment w:val="center"/>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3679</w:t>
            </w:r>
          </w:p>
        </w:tc>
        <w:tc>
          <w:tcPr>
            <w:tcW w:w="110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00" w:firstLineChars="200"/>
              <w:jc w:val="both"/>
              <w:textAlignment w:val="center"/>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3679</w:t>
            </w:r>
          </w:p>
        </w:tc>
        <w:tc>
          <w:tcPr>
            <w:tcW w:w="114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00" w:firstLineChars="200"/>
              <w:jc w:val="both"/>
              <w:textAlignment w:val="center"/>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3679</w:t>
            </w:r>
          </w:p>
        </w:tc>
        <w:tc>
          <w:tcPr>
            <w:tcW w:w="111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default"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100%</w:t>
            </w:r>
          </w:p>
        </w:tc>
        <w:tc>
          <w:tcPr>
            <w:tcW w:w="99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default"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100%</w:t>
            </w:r>
          </w:p>
        </w:tc>
      </w:tr>
    </w:tbl>
    <w:p>
      <w:pPr>
        <w:keepNext w:val="0"/>
        <w:keepLines w:val="0"/>
        <w:pageBreakBefore w:val="0"/>
        <w:widowControl w:val="0"/>
        <w:kinsoku/>
        <w:wordWrap/>
        <w:overflowPunct/>
        <w:topLinePunct w:val="0"/>
        <w:autoSpaceDE/>
        <w:autoSpaceDN/>
        <w:bidi w:val="0"/>
        <w:adjustRightInd/>
        <w:snapToGrid/>
        <w:spacing w:line="600" w:lineRule="exact"/>
        <w:ind w:firstLine="40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注：1、根据扣除国家级贫困县资金后的投资（A）、完成投资（B）（包括中央财政资金、地方财政资金和其他资金）计算投资完成率（B/A）；2、表中数据不含国家级贫困县；3.脱贫县参照此表单独统计。</w:t>
      </w:r>
    </w:p>
    <w:p>
      <w:pPr>
        <w:keepNext w:val="0"/>
        <w:keepLines w:val="0"/>
        <w:pageBreakBefore w:val="0"/>
        <w:widowControl w:val="0"/>
        <w:kinsoku/>
        <w:wordWrap/>
        <w:overflowPunct/>
        <w:topLinePunct w:val="0"/>
        <w:autoSpaceDE/>
        <w:autoSpaceDN/>
        <w:bidi w:val="0"/>
        <w:adjustRightInd/>
        <w:snapToGrid/>
        <w:spacing w:line="600" w:lineRule="exact"/>
        <w:ind w:firstLine="643"/>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3．资金管理情况</w:t>
      </w:r>
    </w:p>
    <w:p>
      <w:pPr>
        <w:keepNext w:val="0"/>
        <w:keepLines w:val="0"/>
        <w:pageBreakBefore w:val="0"/>
        <w:widowControl w:val="0"/>
        <w:kinsoku/>
        <w:wordWrap/>
        <w:overflowPunct/>
        <w:topLinePunct w:val="0"/>
        <w:autoSpaceDE/>
        <w:autoSpaceDN/>
        <w:bidi w:val="0"/>
        <w:adjustRightInd/>
        <w:snapToGrid/>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中央资金下达后，均由我县国库集中支付核算中心设立的专户，实行专户专账管理。项目法人在资金管理上严格做到专户专帐、专款专用，坚持多支笔签字，一支笔审签。一是严格按工程进度拨款，按照合同条款支付工程进度款，即不超前，也不无故拖后；二是严格工程款报批审核制度，按照监理签证——现场管理机构复核——县水利局批准的资金支付逐级申报审批程序，层层把关。工程完工后，由建设单位组织合同工程完工验收，再办理工程完工结算，然后聘请相关审计单位进行工程完工审计，并留5％的质量保证金，质保金期限为一年，一年内无质量问题或出现质量问题由施工单位负责维修后，质量保证金再退还给施工单位。无挤占、挪用、滞留等违规使用资金情况。</w:t>
      </w:r>
    </w:p>
    <w:p>
      <w:pPr>
        <w:pStyle w:val="11"/>
        <w:numPr>
          <w:ilvl w:val="0"/>
          <w:numId w:val="0"/>
        </w:numPr>
        <w:ind w:leftChars="0"/>
        <w:rPr>
          <w:rFonts w:hint="eastAsia"/>
        </w:rPr>
      </w:pPr>
    </w:p>
    <w:p>
      <w:pPr>
        <w:keepNext w:val="0"/>
        <w:keepLines w:val="0"/>
        <w:pageBreakBefore w:val="0"/>
        <w:widowControl w:val="0"/>
        <w:kinsoku/>
        <w:wordWrap/>
        <w:overflowPunct/>
        <w:topLinePunct w:val="0"/>
        <w:autoSpaceDE/>
        <w:autoSpaceDN/>
        <w:bidi w:val="0"/>
        <w:adjustRightInd/>
        <w:snapToGrid/>
        <w:spacing w:line="600" w:lineRule="exact"/>
        <w:ind w:firstLine="643"/>
        <w:rPr>
          <w:rFonts w:hint="eastAsia" w:eastAsia="仿宋_GB2312"/>
          <w:b/>
          <w:bCs/>
          <w:sz w:val="30"/>
          <w:szCs w:val="30"/>
        </w:rPr>
      </w:pPr>
      <w:r>
        <w:rPr>
          <w:rFonts w:hint="eastAsia" w:eastAsia="仿宋_GB2312"/>
          <w:b/>
          <w:bCs/>
          <w:sz w:val="30"/>
          <w:szCs w:val="30"/>
        </w:rPr>
        <w:t>(三)项目产出情况。</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1．项目数量指标</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华容县2022年水利发展资金计划实施项目数量6个，实际完成项目6个，完成了3座一般中型灌区续建与节水配套改造（其中华一水库灌区项目法人为华一水库管理所）、5座小型水库处险加固、14座小型水库标准化建设、45座水库维修养护及32个农村供水工程维修养护。</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表3-3  2022年度水利发展资金项目数量指标情况表</w:t>
      </w:r>
    </w:p>
    <w:tbl>
      <w:tblPr>
        <w:tblStyle w:val="14"/>
        <w:tblW w:w="5313" w:type="pct"/>
        <w:jc w:val="center"/>
        <w:tblLayout w:type="autofit"/>
        <w:tblCellMar>
          <w:top w:w="0" w:type="dxa"/>
          <w:left w:w="10" w:type="dxa"/>
          <w:bottom w:w="0" w:type="dxa"/>
          <w:right w:w="10" w:type="dxa"/>
        </w:tblCellMar>
      </w:tblPr>
      <w:tblGrid>
        <w:gridCol w:w="2407"/>
        <w:gridCol w:w="3893"/>
        <w:gridCol w:w="1454"/>
        <w:gridCol w:w="870"/>
        <w:gridCol w:w="1037"/>
      </w:tblGrid>
      <w:tr>
        <w:tblPrEx>
          <w:tblCellMar>
            <w:top w:w="0" w:type="dxa"/>
            <w:left w:w="10" w:type="dxa"/>
            <w:bottom w:w="0" w:type="dxa"/>
            <w:right w:w="10" w:type="dxa"/>
          </w:tblCellMar>
        </w:tblPrEx>
        <w:trPr>
          <w:trHeight w:val="1196" w:hRule="exact"/>
          <w:jc w:val="center"/>
        </w:trPr>
        <w:tc>
          <w:tcPr>
            <w:tcW w:w="1246" w:type="pct"/>
            <w:tcBorders>
              <w:top w:val="single" w:color="auto" w:sz="4" w:space="0"/>
              <w:lef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类别</w:t>
            </w:r>
          </w:p>
        </w:tc>
        <w:tc>
          <w:tcPr>
            <w:tcW w:w="2015" w:type="pct"/>
            <w:tcBorders>
              <w:top w:val="single" w:color="auto" w:sz="4" w:space="0"/>
              <w:lef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数量指标</w:t>
            </w:r>
          </w:p>
        </w:tc>
        <w:tc>
          <w:tcPr>
            <w:tcW w:w="753" w:type="pct"/>
            <w:tcBorders>
              <w:top w:val="single" w:color="auto" w:sz="4" w:space="0"/>
              <w:lef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单位</w:t>
            </w:r>
          </w:p>
        </w:tc>
        <w:tc>
          <w:tcPr>
            <w:tcW w:w="448" w:type="pct"/>
            <w:tcBorders>
              <w:top w:val="single" w:color="auto" w:sz="4" w:space="0"/>
              <w:lef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预期</w:t>
            </w:r>
          </w:p>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指标值</w:t>
            </w:r>
          </w:p>
        </w:tc>
        <w:tc>
          <w:tcPr>
            <w:tcW w:w="537" w:type="pct"/>
            <w:tcBorders>
              <w:top w:val="single" w:color="auto" w:sz="4" w:space="0"/>
              <w:left w:val="single" w:color="auto" w:sz="4" w:space="0"/>
              <w:righ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实际完成</w:t>
            </w:r>
          </w:p>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指标值</w:t>
            </w:r>
          </w:p>
        </w:tc>
      </w:tr>
      <w:tr>
        <w:tblPrEx>
          <w:tblCellMar>
            <w:top w:w="0" w:type="dxa"/>
            <w:left w:w="10" w:type="dxa"/>
            <w:bottom w:w="0" w:type="dxa"/>
            <w:right w:w="10" w:type="dxa"/>
          </w:tblCellMar>
        </w:tblPrEx>
        <w:trPr>
          <w:trHeight w:val="593" w:hRule="exact"/>
          <w:jc w:val="center"/>
        </w:trPr>
        <w:tc>
          <w:tcPr>
            <w:tcW w:w="1246" w:type="pct"/>
            <w:tcBorders>
              <w:top w:val="single" w:color="auto" w:sz="4" w:space="0"/>
              <w:lef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小型水库除险加固</w:t>
            </w:r>
          </w:p>
        </w:tc>
        <w:tc>
          <w:tcPr>
            <w:tcW w:w="2015" w:type="pct"/>
            <w:tcBorders>
              <w:top w:val="single" w:color="auto" w:sz="4" w:space="0"/>
              <w:lef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小型病险水库除险加固座数</w:t>
            </w:r>
          </w:p>
        </w:tc>
        <w:tc>
          <w:tcPr>
            <w:tcW w:w="753" w:type="pct"/>
            <w:tcBorders>
              <w:top w:val="single" w:color="auto" w:sz="4" w:space="0"/>
              <w:lef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座</w:t>
            </w:r>
          </w:p>
        </w:tc>
        <w:tc>
          <w:tcPr>
            <w:tcW w:w="448" w:type="pct"/>
            <w:tcBorders>
              <w:top w:val="single" w:color="auto" w:sz="4" w:space="0"/>
              <w:lef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5</w:t>
            </w:r>
          </w:p>
        </w:tc>
        <w:tc>
          <w:tcPr>
            <w:tcW w:w="537" w:type="pct"/>
            <w:tcBorders>
              <w:top w:val="single" w:color="auto" w:sz="4" w:space="0"/>
              <w:left w:val="single" w:color="auto" w:sz="4" w:space="0"/>
              <w:righ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5</w:t>
            </w:r>
          </w:p>
        </w:tc>
      </w:tr>
      <w:tr>
        <w:tblPrEx>
          <w:tblCellMar>
            <w:top w:w="0" w:type="dxa"/>
            <w:left w:w="10" w:type="dxa"/>
            <w:bottom w:w="0" w:type="dxa"/>
            <w:right w:w="10" w:type="dxa"/>
          </w:tblCellMar>
        </w:tblPrEx>
        <w:trPr>
          <w:trHeight w:val="593" w:hRule="exact"/>
          <w:jc w:val="center"/>
        </w:trPr>
        <w:tc>
          <w:tcPr>
            <w:tcW w:w="1246" w:type="pct"/>
            <w:tcBorders>
              <w:top w:val="single" w:color="auto" w:sz="4" w:space="0"/>
              <w:left w:val="single" w:color="auto" w:sz="4" w:space="0"/>
              <w:bottom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中型灌区节水改造</w:t>
            </w:r>
          </w:p>
        </w:tc>
        <w:tc>
          <w:tcPr>
            <w:tcW w:w="2015" w:type="pct"/>
            <w:tcBorders>
              <w:top w:val="single" w:color="auto" w:sz="4" w:space="0"/>
              <w:left w:val="single" w:color="auto" w:sz="4" w:space="0"/>
              <w:bottom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重点中型灌区节水配套改造数量</w:t>
            </w:r>
          </w:p>
        </w:tc>
        <w:tc>
          <w:tcPr>
            <w:tcW w:w="753" w:type="pct"/>
            <w:tcBorders>
              <w:top w:val="single" w:color="auto" w:sz="4" w:space="0"/>
              <w:left w:val="single" w:color="auto" w:sz="4" w:space="0"/>
              <w:bottom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个</w:t>
            </w:r>
          </w:p>
        </w:tc>
        <w:tc>
          <w:tcPr>
            <w:tcW w:w="448" w:type="pct"/>
            <w:tcBorders>
              <w:top w:val="single" w:color="auto" w:sz="4" w:space="0"/>
              <w:left w:val="single" w:color="auto" w:sz="4" w:space="0"/>
              <w:bottom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3</w:t>
            </w:r>
          </w:p>
        </w:tc>
        <w:tc>
          <w:tcPr>
            <w:tcW w:w="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3</w:t>
            </w:r>
          </w:p>
        </w:tc>
      </w:tr>
      <w:tr>
        <w:tblPrEx>
          <w:tblCellMar>
            <w:top w:w="0" w:type="dxa"/>
            <w:left w:w="10" w:type="dxa"/>
            <w:bottom w:w="0" w:type="dxa"/>
            <w:right w:w="10" w:type="dxa"/>
          </w:tblCellMar>
        </w:tblPrEx>
        <w:trPr>
          <w:trHeight w:val="593" w:hRule="exact"/>
          <w:jc w:val="center"/>
        </w:trPr>
        <w:tc>
          <w:tcPr>
            <w:tcW w:w="1246" w:type="pct"/>
            <w:vMerge w:val="restart"/>
            <w:tcBorders>
              <w:top w:val="single" w:color="auto" w:sz="4" w:space="0"/>
              <w:left w:val="single" w:color="auto" w:sz="4" w:space="0"/>
              <w:righ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水利工程维修养护</w:t>
            </w:r>
          </w:p>
        </w:tc>
        <w:tc>
          <w:tcPr>
            <w:tcW w:w="201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小型水库标准化建设</w:t>
            </w:r>
          </w:p>
        </w:tc>
        <w:tc>
          <w:tcPr>
            <w:tcW w:w="75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座</w:t>
            </w:r>
          </w:p>
        </w:tc>
        <w:tc>
          <w:tcPr>
            <w:tcW w:w="44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14</w:t>
            </w:r>
          </w:p>
        </w:tc>
        <w:tc>
          <w:tcPr>
            <w:tcW w:w="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14</w:t>
            </w:r>
          </w:p>
        </w:tc>
      </w:tr>
      <w:tr>
        <w:tblPrEx>
          <w:tblCellMar>
            <w:top w:w="0" w:type="dxa"/>
            <w:left w:w="10" w:type="dxa"/>
            <w:bottom w:w="0" w:type="dxa"/>
            <w:right w:w="10" w:type="dxa"/>
          </w:tblCellMar>
        </w:tblPrEx>
        <w:trPr>
          <w:trHeight w:val="626" w:hRule="exact"/>
          <w:jc w:val="center"/>
        </w:trPr>
        <w:tc>
          <w:tcPr>
            <w:tcW w:w="1246" w:type="pct"/>
            <w:vMerge w:val="continue"/>
            <w:tcBorders>
              <w:left w:val="single" w:color="auto" w:sz="4" w:space="0"/>
              <w:righ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p>
        </w:tc>
        <w:tc>
          <w:tcPr>
            <w:tcW w:w="201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小型水库工程维修养护座数</w:t>
            </w:r>
          </w:p>
        </w:tc>
        <w:tc>
          <w:tcPr>
            <w:tcW w:w="75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座</w:t>
            </w:r>
          </w:p>
        </w:tc>
        <w:tc>
          <w:tcPr>
            <w:tcW w:w="44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45</w:t>
            </w:r>
          </w:p>
        </w:tc>
        <w:tc>
          <w:tcPr>
            <w:tcW w:w="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45</w:t>
            </w:r>
          </w:p>
        </w:tc>
      </w:tr>
      <w:tr>
        <w:tblPrEx>
          <w:tblCellMar>
            <w:top w:w="0" w:type="dxa"/>
            <w:left w:w="10" w:type="dxa"/>
            <w:bottom w:w="0" w:type="dxa"/>
            <w:right w:w="10" w:type="dxa"/>
          </w:tblCellMar>
        </w:tblPrEx>
        <w:trPr>
          <w:trHeight w:val="626" w:hRule="exact"/>
          <w:jc w:val="center"/>
        </w:trPr>
        <w:tc>
          <w:tcPr>
            <w:tcW w:w="1246" w:type="pct"/>
            <w:vMerge w:val="continue"/>
            <w:tcBorders>
              <w:left w:val="single" w:color="auto" w:sz="4" w:space="0"/>
              <w:bottom w:val="single" w:color="auto" w:sz="4" w:space="0"/>
              <w:righ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p>
        </w:tc>
        <w:tc>
          <w:tcPr>
            <w:tcW w:w="352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农村饮水工程维修养护数</w:t>
            </w:r>
          </w:p>
        </w:tc>
        <w:tc>
          <w:tcPr>
            <w:tcW w:w="131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处</w:t>
            </w:r>
          </w:p>
        </w:tc>
        <w:tc>
          <w:tcPr>
            <w:tcW w:w="78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32</w:t>
            </w:r>
          </w:p>
        </w:tc>
        <w:tc>
          <w:tcPr>
            <w:tcW w:w="94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32</w:t>
            </w:r>
          </w:p>
        </w:tc>
      </w:tr>
    </w:tbl>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注：表中数据不含国家级脱贫县，脱贫县参照此表单独统计</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2．项目质量指标</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华容县2022年水利发展资金计划实施项目严格执行相关工程建设质量监督及管理相关规定，未出现相关单元工程质量不合格情况，整体工程质量合格率达到100%</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3．项目时效指标</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小型水库除险加固：该项目于2022年9月正式开工建设，2022年12月底已全面完工，根据省厅相关文件要求，按照批复内容，在规定的时间内完成了项目建设任务，项目按合同约定时间按时开工，未出现开工延迟现象，项目年度预算严格按照预算管理要求及标准执行。</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中型灌区节水改造：华容县2021-2022年灌区续建配套与节水改造工程于2021年10月26日进场施工，2022年12月底建设任务已全部完工，根据省厅相关文件要求，按照批复内容，在规定的时间内完成了项目建设任务，项目按合同约定时间按时开工，未出现开工延迟现象，项目年度预算严格按照预算管理要求及标准执行。</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水利工程维修养护：14座小型水库标准化建设及45座小型水库维修养护工程于2022年12月全面完工；32个农村供水工程维修养护2022年12月份已全面完工，总体形象进度为100%。根据省厅相关文件要求，按照批复内容，在规定的时间内完成了项目建设任务，项目按合同约定时间按时开工，未出现开工延迟现象，项目年度预算严格按照预算管理要求及标准执行。</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表3-4 2022年度水利发展资金项目实施情况表</w:t>
      </w:r>
    </w:p>
    <w:tbl>
      <w:tblPr>
        <w:tblStyle w:val="14"/>
        <w:tblW w:w="8759" w:type="dxa"/>
        <w:tblInd w:w="-91" w:type="dxa"/>
        <w:tblLayout w:type="fixed"/>
        <w:tblCellMar>
          <w:top w:w="0" w:type="dxa"/>
          <w:left w:w="51" w:type="dxa"/>
          <w:bottom w:w="0" w:type="dxa"/>
          <w:right w:w="51" w:type="dxa"/>
        </w:tblCellMar>
      </w:tblPr>
      <w:tblGrid>
        <w:gridCol w:w="2720"/>
        <w:gridCol w:w="561"/>
        <w:gridCol w:w="983"/>
        <w:gridCol w:w="955"/>
        <w:gridCol w:w="730"/>
        <w:gridCol w:w="844"/>
        <w:gridCol w:w="983"/>
        <w:gridCol w:w="983"/>
      </w:tblGrid>
      <w:tr>
        <w:tblPrEx>
          <w:tblCellMar>
            <w:top w:w="0" w:type="dxa"/>
            <w:left w:w="51" w:type="dxa"/>
            <w:bottom w:w="0" w:type="dxa"/>
            <w:right w:w="51" w:type="dxa"/>
          </w:tblCellMar>
        </w:tblPrEx>
        <w:trPr>
          <w:trHeight w:val="1530" w:hRule="atLeast"/>
          <w:tblHeader/>
        </w:trPr>
        <w:tc>
          <w:tcPr>
            <w:tcW w:w="2720" w:type="dxa"/>
            <w:vMerge w:val="restart"/>
            <w:tcBorders>
              <w:top w:val="single" w:color="auto" w:sz="4" w:space="0"/>
              <w:left w:val="single" w:color="auto" w:sz="4" w:space="0"/>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both"/>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分  类</w:t>
            </w:r>
          </w:p>
        </w:tc>
        <w:tc>
          <w:tcPr>
            <w:tcW w:w="4073" w:type="dxa"/>
            <w:gridSpan w:val="5"/>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both"/>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实施项目数（个）</w:t>
            </w:r>
          </w:p>
        </w:tc>
        <w:tc>
          <w:tcPr>
            <w:tcW w:w="983" w:type="dxa"/>
            <w:vMerge w:val="restart"/>
            <w:tcBorders>
              <w:top w:val="single" w:color="auto" w:sz="4" w:space="0"/>
              <w:left w:val="single" w:color="auto" w:sz="4" w:space="0"/>
              <w:bottom w:val="single" w:color="000000"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项目</w:t>
            </w:r>
          </w:p>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完工率</w:t>
            </w:r>
          </w:p>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w:t>
            </w:r>
          </w:p>
        </w:tc>
        <w:tc>
          <w:tcPr>
            <w:tcW w:w="983" w:type="dxa"/>
            <w:vMerge w:val="restart"/>
            <w:tcBorders>
              <w:top w:val="single" w:color="auto" w:sz="4" w:space="0"/>
              <w:left w:val="single" w:color="auto" w:sz="4" w:space="0"/>
              <w:bottom w:val="single" w:color="000000"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项目</w:t>
            </w:r>
          </w:p>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验收率</w:t>
            </w:r>
          </w:p>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w:t>
            </w:r>
          </w:p>
        </w:tc>
      </w:tr>
      <w:tr>
        <w:tblPrEx>
          <w:tblCellMar>
            <w:top w:w="0" w:type="dxa"/>
            <w:left w:w="51" w:type="dxa"/>
            <w:bottom w:w="0" w:type="dxa"/>
            <w:right w:w="51" w:type="dxa"/>
          </w:tblCellMar>
        </w:tblPrEx>
        <w:trPr>
          <w:trHeight w:val="1768" w:hRule="atLeast"/>
          <w:tblHeader/>
        </w:trPr>
        <w:tc>
          <w:tcPr>
            <w:tcW w:w="2720" w:type="dxa"/>
            <w:vMerge w:val="continue"/>
            <w:tcBorders>
              <w:top w:val="single" w:color="auto" w:sz="4" w:space="0"/>
              <w:left w:val="single" w:color="auto" w:sz="4" w:space="0"/>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both"/>
              <w:rPr>
                <w:rFonts w:hint="eastAsia" w:asciiTheme="minorEastAsia" w:hAnsiTheme="minorEastAsia" w:eastAsiaTheme="minorEastAsia" w:cstheme="minorEastAsia"/>
                <w:bCs w:val="0"/>
                <w:kern w:val="2"/>
                <w:sz w:val="18"/>
                <w:szCs w:val="18"/>
                <w:lang w:val="en-US" w:eastAsia="zh-CN" w:bidi="ar-SA"/>
              </w:rPr>
            </w:pPr>
          </w:p>
        </w:tc>
        <w:tc>
          <w:tcPr>
            <w:tcW w:w="561" w:type="dxa"/>
            <w:tcBorders>
              <w:top w:val="nil"/>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总数</w:t>
            </w:r>
          </w:p>
        </w:tc>
        <w:tc>
          <w:tcPr>
            <w:tcW w:w="983" w:type="dxa"/>
            <w:tcBorders>
              <w:top w:val="nil"/>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项目开工</w:t>
            </w:r>
          </w:p>
        </w:tc>
        <w:tc>
          <w:tcPr>
            <w:tcW w:w="955" w:type="dxa"/>
            <w:tcBorders>
              <w:top w:val="nil"/>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项目完工</w:t>
            </w:r>
          </w:p>
        </w:tc>
        <w:tc>
          <w:tcPr>
            <w:tcW w:w="730" w:type="dxa"/>
            <w:tcBorders>
              <w:top w:val="nil"/>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完工</w:t>
            </w:r>
          </w:p>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验收</w:t>
            </w:r>
          </w:p>
        </w:tc>
        <w:tc>
          <w:tcPr>
            <w:tcW w:w="844" w:type="dxa"/>
            <w:tcBorders>
              <w:top w:val="nil"/>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验收</w:t>
            </w:r>
          </w:p>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合格</w:t>
            </w:r>
          </w:p>
        </w:tc>
        <w:tc>
          <w:tcPr>
            <w:tcW w:w="983" w:type="dxa"/>
            <w:vMerge w:val="continue"/>
            <w:tcBorders>
              <w:top w:val="single" w:color="auto" w:sz="4" w:space="0"/>
              <w:left w:val="single" w:color="auto" w:sz="4" w:space="0"/>
              <w:bottom w:val="single" w:color="000000"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both"/>
              <w:rPr>
                <w:rFonts w:hint="eastAsia" w:asciiTheme="minorEastAsia" w:hAnsiTheme="minorEastAsia" w:eastAsiaTheme="minorEastAsia" w:cstheme="minorEastAsia"/>
                <w:bCs w:val="0"/>
                <w:kern w:val="2"/>
                <w:sz w:val="18"/>
                <w:szCs w:val="18"/>
                <w:lang w:val="en-US" w:eastAsia="zh-CN" w:bidi="ar-SA"/>
              </w:rPr>
            </w:pPr>
          </w:p>
        </w:tc>
        <w:tc>
          <w:tcPr>
            <w:tcW w:w="983" w:type="dxa"/>
            <w:vMerge w:val="continue"/>
            <w:tcBorders>
              <w:top w:val="single" w:color="auto" w:sz="4" w:space="0"/>
              <w:left w:val="single" w:color="auto" w:sz="4" w:space="0"/>
              <w:bottom w:val="single" w:color="000000"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both"/>
              <w:rPr>
                <w:rFonts w:hint="eastAsia" w:asciiTheme="minorEastAsia" w:hAnsiTheme="minorEastAsia" w:eastAsiaTheme="minorEastAsia" w:cstheme="minorEastAsia"/>
                <w:bCs w:val="0"/>
                <w:kern w:val="2"/>
                <w:sz w:val="18"/>
                <w:szCs w:val="18"/>
                <w:lang w:val="en-US" w:eastAsia="zh-CN" w:bidi="ar-SA"/>
              </w:rPr>
            </w:pPr>
          </w:p>
        </w:tc>
      </w:tr>
      <w:tr>
        <w:tblPrEx>
          <w:tblCellMar>
            <w:top w:w="0" w:type="dxa"/>
            <w:left w:w="51" w:type="dxa"/>
            <w:bottom w:w="0" w:type="dxa"/>
            <w:right w:w="51" w:type="dxa"/>
          </w:tblCellMar>
        </w:tblPrEx>
        <w:trPr>
          <w:trHeight w:val="610" w:hRule="exact"/>
        </w:trPr>
        <w:tc>
          <w:tcPr>
            <w:tcW w:w="2720" w:type="dxa"/>
            <w:tcBorders>
              <w:top w:val="single" w:color="auto" w:sz="4" w:space="0"/>
              <w:left w:val="single" w:color="auto" w:sz="4" w:space="0"/>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both"/>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小型水库建设及除险加固</w:t>
            </w:r>
          </w:p>
        </w:tc>
        <w:tc>
          <w:tcPr>
            <w:tcW w:w="561"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both"/>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1</w:t>
            </w:r>
          </w:p>
        </w:tc>
        <w:tc>
          <w:tcPr>
            <w:tcW w:w="983"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both"/>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1</w:t>
            </w:r>
          </w:p>
        </w:tc>
        <w:tc>
          <w:tcPr>
            <w:tcW w:w="955"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both"/>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1</w:t>
            </w:r>
          </w:p>
        </w:tc>
        <w:tc>
          <w:tcPr>
            <w:tcW w:w="730"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both"/>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1</w:t>
            </w:r>
          </w:p>
        </w:tc>
        <w:tc>
          <w:tcPr>
            <w:tcW w:w="844"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both"/>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1</w:t>
            </w:r>
          </w:p>
        </w:tc>
        <w:tc>
          <w:tcPr>
            <w:tcW w:w="983"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both"/>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100%</w:t>
            </w:r>
          </w:p>
        </w:tc>
        <w:tc>
          <w:tcPr>
            <w:tcW w:w="983"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both"/>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100%</w:t>
            </w:r>
          </w:p>
        </w:tc>
      </w:tr>
      <w:tr>
        <w:tblPrEx>
          <w:tblCellMar>
            <w:top w:w="0" w:type="dxa"/>
            <w:left w:w="51" w:type="dxa"/>
            <w:bottom w:w="0" w:type="dxa"/>
            <w:right w:w="51" w:type="dxa"/>
          </w:tblCellMar>
        </w:tblPrEx>
        <w:trPr>
          <w:trHeight w:val="610" w:hRule="exact"/>
        </w:trPr>
        <w:tc>
          <w:tcPr>
            <w:tcW w:w="2720" w:type="dxa"/>
            <w:tcBorders>
              <w:top w:val="single" w:color="auto" w:sz="4" w:space="0"/>
              <w:left w:val="single" w:color="auto" w:sz="4" w:space="0"/>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both"/>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中型灌区续建配套与节水改造</w:t>
            </w:r>
          </w:p>
        </w:tc>
        <w:tc>
          <w:tcPr>
            <w:tcW w:w="561"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both"/>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2</w:t>
            </w:r>
          </w:p>
        </w:tc>
        <w:tc>
          <w:tcPr>
            <w:tcW w:w="983"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both"/>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2</w:t>
            </w:r>
          </w:p>
        </w:tc>
        <w:tc>
          <w:tcPr>
            <w:tcW w:w="955"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both"/>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2</w:t>
            </w:r>
          </w:p>
        </w:tc>
        <w:tc>
          <w:tcPr>
            <w:tcW w:w="730"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both"/>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2</w:t>
            </w:r>
          </w:p>
        </w:tc>
        <w:tc>
          <w:tcPr>
            <w:tcW w:w="844"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both"/>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2</w:t>
            </w:r>
          </w:p>
        </w:tc>
        <w:tc>
          <w:tcPr>
            <w:tcW w:w="983"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both"/>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100%</w:t>
            </w:r>
          </w:p>
        </w:tc>
        <w:tc>
          <w:tcPr>
            <w:tcW w:w="983"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both"/>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100%</w:t>
            </w:r>
          </w:p>
        </w:tc>
      </w:tr>
      <w:tr>
        <w:tblPrEx>
          <w:tblCellMar>
            <w:top w:w="0" w:type="dxa"/>
            <w:left w:w="51" w:type="dxa"/>
            <w:bottom w:w="0" w:type="dxa"/>
            <w:right w:w="51" w:type="dxa"/>
          </w:tblCellMar>
        </w:tblPrEx>
        <w:trPr>
          <w:trHeight w:val="610" w:hRule="exact"/>
        </w:trPr>
        <w:tc>
          <w:tcPr>
            <w:tcW w:w="2720" w:type="dxa"/>
            <w:tcBorders>
              <w:top w:val="single" w:color="auto" w:sz="4" w:space="0"/>
              <w:left w:val="single" w:color="auto" w:sz="4" w:space="0"/>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both"/>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水利工程设施维修养护</w:t>
            </w:r>
          </w:p>
        </w:tc>
        <w:tc>
          <w:tcPr>
            <w:tcW w:w="561"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91</w:t>
            </w:r>
          </w:p>
        </w:tc>
        <w:tc>
          <w:tcPr>
            <w:tcW w:w="983"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91</w:t>
            </w:r>
          </w:p>
        </w:tc>
        <w:tc>
          <w:tcPr>
            <w:tcW w:w="955"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91</w:t>
            </w:r>
          </w:p>
        </w:tc>
        <w:tc>
          <w:tcPr>
            <w:tcW w:w="730"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91</w:t>
            </w:r>
          </w:p>
        </w:tc>
        <w:tc>
          <w:tcPr>
            <w:tcW w:w="844"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91</w:t>
            </w:r>
          </w:p>
        </w:tc>
        <w:tc>
          <w:tcPr>
            <w:tcW w:w="983"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100%</w:t>
            </w:r>
          </w:p>
        </w:tc>
        <w:tc>
          <w:tcPr>
            <w:tcW w:w="983"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100%</w:t>
            </w:r>
          </w:p>
        </w:tc>
      </w:tr>
      <w:tr>
        <w:tblPrEx>
          <w:tblCellMar>
            <w:top w:w="0" w:type="dxa"/>
            <w:left w:w="51" w:type="dxa"/>
            <w:bottom w:w="0" w:type="dxa"/>
            <w:right w:w="51" w:type="dxa"/>
          </w:tblCellMar>
        </w:tblPrEx>
        <w:trPr>
          <w:trHeight w:val="625" w:hRule="exact"/>
        </w:trPr>
        <w:tc>
          <w:tcPr>
            <w:tcW w:w="2720" w:type="dxa"/>
            <w:tcBorders>
              <w:top w:val="single" w:color="auto" w:sz="4" w:space="0"/>
              <w:left w:val="single" w:color="auto" w:sz="4" w:space="0"/>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both"/>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小  计</w:t>
            </w:r>
          </w:p>
        </w:tc>
        <w:tc>
          <w:tcPr>
            <w:tcW w:w="561"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94</w:t>
            </w:r>
          </w:p>
        </w:tc>
        <w:tc>
          <w:tcPr>
            <w:tcW w:w="983"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94</w:t>
            </w:r>
          </w:p>
        </w:tc>
        <w:tc>
          <w:tcPr>
            <w:tcW w:w="955"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94</w:t>
            </w:r>
          </w:p>
        </w:tc>
        <w:tc>
          <w:tcPr>
            <w:tcW w:w="730"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94</w:t>
            </w:r>
          </w:p>
        </w:tc>
        <w:tc>
          <w:tcPr>
            <w:tcW w:w="844"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94</w:t>
            </w:r>
          </w:p>
        </w:tc>
        <w:tc>
          <w:tcPr>
            <w:tcW w:w="983"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100%</w:t>
            </w:r>
          </w:p>
        </w:tc>
        <w:tc>
          <w:tcPr>
            <w:tcW w:w="983"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100%</w:t>
            </w:r>
          </w:p>
        </w:tc>
      </w:tr>
    </w:tbl>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4．项目成本指标</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所有项目总投资均控制在批复概算投资内。</w:t>
      </w:r>
    </w:p>
    <w:p>
      <w:pPr>
        <w:pStyle w:val="4"/>
        <w:keepNext w:val="0"/>
        <w:keepLines w:val="0"/>
        <w:pageBreakBefore w:val="0"/>
        <w:widowControl w:val="0"/>
        <w:kinsoku/>
        <w:wordWrap/>
        <w:overflowPunct/>
        <w:topLinePunct w:val="0"/>
        <w:autoSpaceDE/>
        <w:autoSpaceDN/>
        <w:bidi w:val="0"/>
        <w:adjustRightInd/>
        <w:snapToGrid/>
        <w:spacing w:line="600" w:lineRule="exact"/>
        <w:ind w:firstLine="643"/>
        <w:rPr>
          <w:rFonts w:ascii="仿宋_GB2312"/>
          <w:b/>
          <w:bCs w:val="0"/>
          <w:sz w:val="32"/>
        </w:rPr>
      </w:pPr>
      <w:r>
        <w:rPr>
          <w:rFonts w:hint="eastAsia" w:eastAsia="仿宋_GB2312"/>
          <w:b/>
          <w:bCs w:val="0"/>
          <w:sz w:val="30"/>
          <w:szCs w:val="30"/>
        </w:rPr>
        <w:t>(四)项目效益情况。</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1．项目实施的经济效益分析</w:t>
      </w:r>
    </w:p>
    <w:tbl>
      <w:tblPr>
        <w:tblStyle w:val="14"/>
        <w:tblW w:w="5027" w:type="pct"/>
        <w:tblInd w:w="0" w:type="dxa"/>
        <w:tblLayout w:type="autofit"/>
        <w:tblCellMar>
          <w:top w:w="15" w:type="dxa"/>
          <w:left w:w="15" w:type="dxa"/>
          <w:bottom w:w="15" w:type="dxa"/>
          <w:right w:w="15" w:type="dxa"/>
        </w:tblCellMar>
      </w:tblPr>
      <w:tblGrid>
        <w:gridCol w:w="3039"/>
        <w:gridCol w:w="1710"/>
        <w:gridCol w:w="2424"/>
        <w:gridCol w:w="1978"/>
      </w:tblGrid>
      <w:tr>
        <w:tblPrEx>
          <w:tblCellMar>
            <w:top w:w="15" w:type="dxa"/>
            <w:left w:w="15" w:type="dxa"/>
            <w:bottom w:w="15" w:type="dxa"/>
            <w:right w:w="15" w:type="dxa"/>
          </w:tblCellMar>
        </w:tblPrEx>
        <w:trPr>
          <w:trHeight w:val="608" w:hRule="exact"/>
        </w:trPr>
        <w:tc>
          <w:tcPr>
            <w:tcW w:w="166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left"/>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经济效益指标</w:t>
            </w:r>
          </w:p>
        </w:tc>
        <w:tc>
          <w:tcPr>
            <w:tcW w:w="93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left"/>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单位</w:t>
            </w:r>
          </w:p>
        </w:tc>
        <w:tc>
          <w:tcPr>
            <w:tcW w:w="132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left"/>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批复调整后</w:t>
            </w:r>
          </w:p>
          <w:p>
            <w:pPr>
              <w:pStyle w:val="3"/>
              <w:keepNext w:val="0"/>
              <w:keepLines w:val="0"/>
              <w:widowControl w:val="0"/>
              <w:suppressLineNumbers w:val="0"/>
              <w:shd w:val="clear" w:color="auto" w:fill="FFFFFF"/>
              <w:spacing w:before="0" w:beforeAutospacing="0" w:after="0" w:afterAutospacing="0" w:line="600" w:lineRule="exact"/>
              <w:ind w:left="0" w:right="0" w:firstLine="640"/>
              <w:jc w:val="left"/>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年度指标值</w:t>
            </w:r>
          </w:p>
        </w:tc>
        <w:tc>
          <w:tcPr>
            <w:tcW w:w="108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left"/>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全年完成值</w:t>
            </w:r>
          </w:p>
        </w:tc>
      </w:tr>
      <w:tr>
        <w:tblPrEx>
          <w:tblCellMar>
            <w:top w:w="15" w:type="dxa"/>
            <w:left w:w="15" w:type="dxa"/>
            <w:bottom w:w="15" w:type="dxa"/>
            <w:right w:w="15" w:type="dxa"/>
          </w:tblCellMar>
        </w:tblPrEx>
        <w:trPr>
          <w:trHeight w:val="608" w:hRule="exact"/>
        </w:trPr>
        <w:tc>
          <w:tcPr>
            <w:tcW w:w="1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left"/>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1.改善灌溉面积</w:t>
            </w:r>
          </w:p>
        </w:tc>
        <w:tc>
          <w:tcPr>
            <w:tcW w:w="93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left"/>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万亩</w:t>
            </w:r>
          </w:p>
        </w:tc>
        <w:tc>
          <w:tcPr>
            <w:tcW w:w="1324" w:type="pct"/>
            <w:tcBorders>
              <w:top w:val="single" w:color="000000" w:sz="4" w:space="0"/>
              <w:left w:val="single" w:color="000000" w:sz="4" w:space="0"/>
              <w:bottom w:val="single" w:color="000000" w:sz="4" w:space="0"/>
              <w:right w:val="single" w:color="000000"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left"/>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2.47</w:t>
            </w:r>
          </w:p>
        </w:tc>
        <w:tc>
          <w:tcPr>
            <w:tcW w:w="1080" w:type="pct"/>
            <w:tcBorders>
              <w:top w:val="single" w:color="000000" w:sz="4" w:space="0"/>
              <w:left w:val="single" w:color="000000" w:sz="4" w:space="0"/>
              <w:bottom w:val="single" w:color="000000" w:sz="4" w:space="0"/>
              <w:right w:val="single" w:color="000000"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left"/>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2.47</w:t>
            </w:r>
          </w:p>
        </w:tc>
      </w:tr>
      <w:tr>
        <w:tblPrEx>
          <w:tblCellMar>
            <w:top w:w="15" w:type="dxa"/>
            <w:left w:w="15" w:type="dxa"/>
            <w:bottom w:w="15" w:type="dxa"/>
            <w:right w:w="15" w:type="dxa"/>
          </w:tblCellMar>
        </w:tblPrEx>
        <w:trPr>
          <w:trHeight w:val="608" w:hRule="exact"/>
        </w:trPr>
        <w:tc>
          <w:tcPr>
            <w:tcW w:w="1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left"/>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2、新增粮食综合生产能力</w:t>
            </w:r>
          </w:p>
        </w:tc>
        <w:tc>
          <w:tcPr>
            <w:tcW w:w="93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left"/>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万公斤</w:t>
            </w:r>
          </w:p>
        </w:tc>
        <w:tc>
          <w:tcPr>
            <w:tcW w:w="1324" w:type="pct"/>
            <w:tcBorders>
              <w:top w:val="single" w:color="000000" w:sz="4" w:space="0"/>
              <w:left w:val="single" w:color="000000" w:sz="4" w:space="0"/>
              <w:bottom w:val="single" w:color="000000" w:sz="4" w:space="0"/>
              <w:right w:val="single" w:color="000000"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left"/>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162</w:t>
            </w:r>
          </w:p>
        </w:tc>
        <w:tc>
          <w:tcPr>
            <w:tcW w:w="1080" w:type="pct"/>
            <w:tcBorders>
              <w:top w:val="single" w:color="000000" w:sz="4" w:space="0"/>
              <w:left w:val="single" w:color="000000" w:sz="4" w:space="0"/>
              <w:bottom w:val="single" w:color="000000" w:sz="4" w:space="0"/>
              <w:right w:val="single" w:color="000000"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left"/>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162</w:t>
            </w:r>
          </w:p>
        </w:tc>
      </w:tr>
    </w:tbl>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2．项目实施的社会效益分析</w:t>
      </w:r>
    </w:p>
    <w:tbl>
      <w:tblPr>
        <w:tblStyle w:val="14"/>
        <w:tblW w:w="5035" w:type="pct"/>
        <w:tblInd w:w="0" w:type="dxa"/>
        <w:tblLayout w:type="autofit"/>
        <w:tblCellMar>
          <w:top w:w="15" w:type="dxa"/>
          <w:left w:w="15" w:type="dxa"/>
          <w:bottom w:w="15" w:type="dxa"/>
          <w:right w:w="15" w:type="dxa"/>
        </w:tblCellMar>
      </w:tblPr>
      <w:tblGrid>
        <w:gridCol w:w="4641"/>
        <w:gridCol w:w="1157"/>
        <w:gridCol w:w="2169"/>
        <w:gridCol w:w="1199"/>
      </w:tblGrid>
      <w:tr>
        <w:tblPrEx>
          <w:tblCellMar>
            <w:top w:w="15" w:type="dxa"/>
            <w:left w:w="15" w:type="dxa"/>
            <w:bottom w:w="15" w:type="dxa"/>
            <w:right w:w="15" w:type="dxa"/>
          </w:tblCellMar>
        </w:tblPrEx>
        <w:trPr>
          <w:trHeight w:val="576" w:hRule="exact"/>
          <w:tblHeader/>
        </w:trPr>
        <w:tc>
          <w:tcPr>
            <w:tcW w:w="25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left"/>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社会效益指标</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单位</w:t>
            </w:r>
          </w:p>
        </w:tc>
        <w:tc>
          <w:tcPr>
            <w:tcW w:w="118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left"/>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批复调整后</w:t>
            </w:r>
          </w:p>
          <w:p>
            <w:pPr>
              <w:pStyle w:val="3"/>
              <w:keepNext w:val="0"/>
              <w:keepLines w:val="0"/>
              <w:widowControl w:val="0"/>
              <w:suppressLineNumbers w:val="0"/>
              <w:shd w:val="clear" w:color="auto" w:fill="FFFFFF"/>
              <w:spacing w:before="0" w:beforeAutospacing="0" w:after="0" w:afterAutospacing="0" w:line="600" w:lineRule="exact"/>
              <w:ind w:left="0" w:right="0" w:firstLine="640"/>
              <w:jc w:val="left"/>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年度指标值</w:t>
            </w:r>
          </w:p>
        </w:tc>
        <w:tc>
          <w:tcPr>
            <w:tcW w:w="6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全年完成值</w:t>
            </w:r>
          </w:p>
        </w:tc>
      </w:tr>
      <w:tr>
        <w:tblPrEx>
          <w:tblCellMar>
            <w:top w:w="15" w:type="dxa"/>
            <w:left w:w="15" w:type="dxa"/>
            <w:bottom w:w="15" w:type="dxa"/>
            <w:right w:w="15" w:type="dxa"/>
          </w:tblCellMar>
        </w:tblPrEx>
        <w:trPr>
          <w:trHeight w:val="576" w:hRule="exact"/>
        </w:trPr>
        <w:tc>
          <w:tcPr>
            <w:tcW w:w="253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left"/>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1.农村饮水工程维修养护覆盖服务人口</w:t>
            </w:r>
          </w:p>
        </w:tc>
        <w:tc>
          <w:tcPr>
            <w:tcW w:w="631" w:type="pct"/>
            <w:tcBorders>
              <w:top w:val="single" w:color="000000" w:sz="4" w:space="0"/>
              <w:left w:val="single" w:color="000000" w:sz="4" w:space="0"/>
              <w:bottom w:val="single" w:color="000000" w:sz="4" w:space="0"/>
              <w:right w:val="single" w:color="000000"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万人</w:t>
            </w:r>
          </w:p>
        </w:tc>
        <w:tc>
          <w:tcPr>
            <w:tcW w:w="1183" w:type="pct"/>
            <w:tcBorders>
              <w:top w:val="single" w:color="000000" w:sz="4" w:space="0"/>
              <w:left w:val="single" w:color="000000" w:sz="4" w:space="0"/>
              <w:bottom w:val="single" w:color="000000" w:sz="4" w:space="0"/>
              <w:right w:val="single" w:color="000000"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left"/>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27.54</w:t>
            </w:r>
          </w:p>
        </w:tc>
        <w:tc>
          <w:tcPr>
            <w:tcW w:w="654" w:type="pct"/>
            <w:tcBorders>
              <w:top w:val="single" w:color="000000" w:sz="4" w:space="0"/>
              <w:left w:val="single" w:color="000000" w:sz="4" w:space="0"/>
              <w:bottom w:val="single" w:color="000000" w:sz="4" w:space="0"/>
              <w:right w:val="single" w:color="000000"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27.54</w:t>
            </w:r>
          </w:p>
        </w:tc>
      </w:tr>
    </w:tbl>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3．项目实施的生态效益分析</w:t>
      </w:r>
    </w:p>
    <w:tbl>
      <w:tblPr>
        <w:tblStyle w:val="14"/>
        <w:tblW w:w="5038" w:type="pct"/>
        <w:tblInd w:w="0" w:type="dxa"/>
        <w:tblLayout w:type="autofit"/>
        <w:tblCellMar>
          <w:top w:w="15" w:type="dxa"/>
          <w:left w:w="15" w:type="dxa"/>
          <w:bottom w:w="15" w:type="dxa"/>
          <w:right w:w="15" w:type="dxa"/>
        </w:tblCellMar>
      </w:tblPr>
      <w:tblGrid>
        <w:gridCol w:w="4644"/>
        <w:gridCol w:w="1157"/>
        <w:gridCol w:w="2170"/>
        <w:gridCol w:w="1200"/>
      </w:tblGrid>
      <w:tr>
        <w:tblPrEx>
          <w:tblCellMar>
            <w:top w:w="15" w:type="dxa"/>
            <w:left w:w="15" w:type="dxa"/>
            <w:bottom w:w="15" w:type="dxa"/>
            <w:right w:w="15" w:type="dxa"/>
          </w:tblCellMar>
        </w:tblPrEx>
        <w:trPr>
          <w:trHeight w:val="1262" w:hRule="exact"/>
        </w:trPr>
        <w:tc>
          <w:tcPr>
            <w:tcW w:w="25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left"/>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生态效益指标</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单位</w:t>
            </w:r>
          </w:p>
        </w:tc>
        <w:tc>
          <w:tcPr>
            <w:tcW w:w="118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left"/>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批复调整后</w:t>
            </w:r>
          </w:p>
          <w:p>
            <w:pPr>
              <w:pStyle w:val="3"/>
              <w:keepNext w:val="0"/>
              <w:keepLines w:val="0"/>
              <w:widowControl w:val="0"/>
              <w:suppressLineNumbers w:val="0"/>
              <w:shd w:val="clear" w:color="auto" w:fill="FFFFFF"/>
              <w:spacing w:before="0" w:beforeAutospacing="0" w:after="0" w:afterAutospacing="0" w:line="600" w:lineRule="exact"/>
              <w:ind w:left="0" w:right="0" w:firstLine="640"/>
              <w:jc w:val="left"/>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年度指标值</w:t>
            </w:r>
          </w:p>
        </w:tc>
        <w:tc>
          <w:tcPr>
            <w:tcW w:w="6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全年</w:t>
            </w:r>
          </w:p>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完成值</w:t>
            </w:r>
          </w:p>
        </w:tc>
      </w:tr>
      <w:tr>
        <w:tblPrEx>
          <w:tblCellMar>
            <w:top w:w="15" w:type="dxa"/>
            <w:left w:w="15" w:type="dxa"/>
            <w:bottom w:w="15" w:type="dxa"/>
            <w:right w:w="15" w:type="dxa"/>
          </w:tblCellMar>
        </w:tblPrEx>
        <w:trPr>
          <w:trHeight w:val="1066" w:hRule="exact"/>
        </w:trPr>
        <w:tc>
          <w:tcPr>
            <w:tcW w:w="253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left"/>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1.中型灌区新增年节水能力</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万立方米</w:t>
            </w:r>
          </w:p>
        </w:tc>
        <w:tc>
          <w:tcPr>
            <w:tcW w:w="1183" w:type="pct"/>
            <w:tcBorders>
              <w:top w:val="single" w:color="000000" w:sz="4" w:space="0"/>
              <w:left w:val="single" w:color="000000" w:sz="4" w:space="0"/>
              <w:bottom w:val="single" w:color="000000" w:sz="4" w:space="0"/>
              <w:right w:val="single" w:color="000000"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left"/>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268</w:t>
            </w:r>
          </w:p>
        </w:tc>
        <w:tc>
          <w:tcPr>
            <w:tcW w:w="654" w:type="pct"/>
            <w:tcBorders>
              <w:top w:val="single" w:color="000000" w:sz="4" w:space="0"/>
              <w:left w:val="single" w:color="000000" w:sz="4" w:space="0"/>
              <w:bottom w:val="single" w:color="000000" w:sz="4" w:space="0"/>
              <w:right w:val="single" w:color="000000"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268</w:t>
            </w:r>
          </w:p>
        </w:tc>
      </w:tr>
    </w:tbl>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4．项目实施的可持续影响分析</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项目实施后，运行情况较好，促进了农业发展，实现了项目区域内的农业水资源的可持续利用，使农村灌溉水平得到了极大提高，生态环境得到了有效改善，从而促进农村社会、经济的可持续发。</w:t>
      </w:r>
    </w:p>
    <w:p>
      <w:pPr>
        <w:keepNext w:val="0"/>
        <w:keepLines w:val="0"/>
        <w:pageBreakBefore w:val="0"/>
        <w:numPr>
          <w:ilvl w:val="0"/>
          <w:numId w:val="6"/>
        </w:numPr>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主要经验及做法、存在的问题及原因分析</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600" w:lineRule="exact"/>
        <w:ind w:firstLine="600" w:firstLineChars="200"/>
        <w:jc w:val="both"/>
        <w:rPr>
          <w:rFonts w:ascii="仿宋_GB2312" w:hAnsi="Times New Roman" w:eastAsia="仿宋_GB2312" w:cs="Times New Roman"/>
          <w:kern w:val="2"/>
          <w:sz w:val="32"/>
          <w:szCs w:val="32"/>
        </w:rPr>
      </w:pPr>
      <w:r>
        <w:rPr>
          <w:rFonts w:hint="eastAsia" w:ascii="Times New Roman" w:hAnsi="Times New Roman" w:eastAsia="仿宋_GB2312" w:cs="Times New Roman"/>
          <w:bCs w:val="0"/>
          <w:kern w:val="2"/>
          <w:sz w:val="30"/>
          <w:szCs w:val="30"/>
          <w:lang w:val="en-US" w:eastAsia="zh-CN" w:bidi="ar-SA"/>
        </w:rPr>
        <w:t>本项目各项实际指标均达到绩效目标，项目将先进行分部工程完工验收，在一年质保期后再进行完工验收，相关其它各项指标未偏离绩效目标情况。</w:t>
      </w:r>
    </w:p>
    <w:p>
      <w:pPr>
        <w:pStyle w:val="11"/>
        <w:numPr>
          <w:ilvl w:val="0"/>
          <w:numId w:val="0"/>
        </w:numPr>
        <w:ind w:leftChars="0"/>
        <w:rPr>
          <w:rFonts w:hint="eastAsia"/>
        </w:rPr>
      </w:pPr>
    </w:p>
    <w:p>
      <w:pPr>
        <w:keepNext w:val="0"/>
        <w:keepLines w:val="0"/>
        <w:pageBreakBefore w:val="0"/>
        <w:widowControl/>
        <w:kinsoku/>
        <w:wordWrap/>
        <w:overflowPunct/>
        <w:topLinePunct w:val="0"/>
        <w:autoSpaceDE/>
        <w:autoSpaceDN/>
        <w:bidi w:val="0"/>
        <w:adjustRightInd/>
        <w:snapToGrid/>
        <w:spacing w:line="610" w:lineRule="exact"/>
        <w:ind w:firstLine="600" w:firstLineChars="200"/>
        <w:jc w:val="both"/>
        <w:textAlignment w:val="auto"/>
        <w:rPr>
          <w:rFonts w:hint="eastAsia" w:ascii="黑体" w:hAnsi="黑体" w:eastAsia="黑体" w:cs="黑体"/>
          <w:sz w:val="30"/>
          <w:szCs w:val="30"/>
        </w:rPr>
      </w:pPr>
      <w:r>
        <w:rPr>
          <w:rFonts w:hint="eastAsia" w:ascii="黑体" w:hAnsi="黑体" w:eastAsia="黑体" w:cs="黑体"/>
          <w:sz w:val="30"/>
          <w:szCs w:val="30"/>
          <w:lang w:eastAsia="zh-CN"/>
        </w:rPr>
        <w:t>六</w:t>
      </w:r>
      <w:r>
        <w:rPr>
          <w:rFonts w:hint="eastAsia" w:ascii="黑体" w:hAnsi="黑体" w:eastAsia="黑体" w:cs="黑体"/>
          <w:sz w:val="30"/>
          <w:szCs w:val="30"/>
        </w:rPr>
        <w:t>、其他需要说明的问题</w:t>
      </w:r>
    </w:p>
    <w:p>
      <w:pPr>
        <w:keepNext w:val="0"/>
        <w:keepLines w:val="0"/>
        <w:pageBreakBefore w:val="0"/>
        <w:widowControl/>
        <w:kinsoku/>
        <w:wordWrap/>
        <w:overflowPunct/>
        <w:topLinePunct w:val="0"/>
        <w:autoSpaceDE/>
        <w:autoSpaceDN/>
        <w:bidi w:val="0"/>
        <w:adjustRightInd/>
        <w:snapToGrid/>
        <w:spacing w:line="610" w:lineRule="exact"/>
        <w:ind w:firstLine="1200" w:firstLineChars="400"/>
        <w:jc w:val="both"/>
        <w:textAlignment w:val="auto"/>
        <w:rPr>
          <w:rFonts w:hint="eastAsia" w:ascii="黑体" w:hAnsi="黑体" w:eastAsia="黑体" w:cs="黑体"/>
          <w:sz w:val="30"/>
          <w:szCs w:val="30"/>
          <w:lang w:eastAsia="zh-CN"/>
        </w:rPr>
      </w:pPr>
      <w:r>
        <w:rPr>
          <w:rFonts w:hint="eastAsia" w:ascii="黑体" w:hAnsi="黑体" w:eastAsia="黑体" w:cs="黑体"/>
          <w:sz w:val="30"/>
          <w:szCs w:val="30"/>
          <w:lang w:eastAsia="zh-CN"/>
        </w:rPr>
        <w:t>无</w:t>
      </w:r>
    </w:p>
    <w:p>
      <w:pPr>
        <w:pStyle w:val="11"/>
        <w:rPr>
          <w:rFonts w:hint="eastAsia" w:ascii="黑体" w:hAnsi="黑体" w:eastAsia="黑体" w:cs="黑体"/>
          <w:sz w:val="30"/>
          <w:szCs w:val="30"/>
          <w:lang w:eastAsia="zh-CN"/>
        </w:rPr>
      </w:pPr>
    </w:p>
    <w:p>
      <w:pPr>
        <w:rPr>
          <w:rFonts w:hint="eastAsia" w:ascii="黑体" w:hAnsi="黑体" w:eastAsia="黑体" w:cs="黑体"/>
          <w:sz w:val="30"/>
          <w:szCs w:val="30"/>
          <w:lang w:eastAsia="zh-CN"/>
        </w:rPr>
      </w:pPr>
    </w:p>
    <w:p>
      <w:pPr>
        <w:pStyle w:val="11"/>
        <w:rPr>
          <w:rFonts w:hint="eastAsia" w:ascii="黑体" w:hAnsi="黑体" w:eastAsia="黑体" w:cs="黑体"/>
          <w:sz w:val="30"/>
          <w:szCs w:val="30"/>
          <w:lang w:eastAsia="zh-CN"/>
        </w:rPr>
      </w:pPr>
    </w:p>
    <w:p>
      <w:pPr>
        <w:rPr>
          <w:rFonts w:hint="eastAsia" w:ascii="黑体" w:hAnsi="黑体" w:eastAsia="黑体" w:cs="黑体"/>
          <w:sz w:val="30"/>
          <w:szCs w:val="30"/>
          <w:lang w:eastAsia="zh-CN"/>
        </w:rPr>
      </w:pPr>
    </w:p>
    <w:p>
      <w:pPr>
        <w:pStyle w:val="11"/>
        <w:rPr>
          <w:rFonts w:hint="eastAsia" w:ascii="黑体" w:hAnsi="黑体" w:eastAsia="黑体" w:cs="黑体"/>
          <w:sz w:val="30"/>
          <w:szCs w:val="30"/>
          <w:lang w:eastAsia="zh-CN"/>
        </w:rPr>
      </w:pPr>
    </w:p>
    <w:p>
      <w:pPr>
        <w:rPr>
          <w:rFonts w:hint="eastAsia" w:ascii="黑体" w:hAnsi="黑体" w:eastAsia="黑体" w:cs="黑体"/>
          <w:sz w:val="30"/>
          <w:szCs w:val="30"/>
          <w:lang w:eastAsia="zh-CN"/>
        </w:rPr>
      </w:pPr>
    </w:p>
    <w:p>
      <w:pPr>
        <w:pStyle w:val="11"/>
        <w:rPr>
          <w:rFonts w:hint="eastAsia" w:ascii="黑体" w:hAnsi="黑体" w:eastAsia="黑体" w:cs="黑体"/>
          <w:sz w:val="30"/>
          <w:szCs w:val="30"/>
          <w:lang w:eastAsia="zh-CN"/>
        </w:rPr>
      </w:pP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both"/>
        <w:textAlignment w:val="auto"/>
        <w:rPr>
          <w:rFonts w:hint="eastAsia" w:ascii="方正小标宋简体" w:hAnsi="方正小标宋简体" w:eastAsia="方正小标宋简体" w:cs="方正小标宋简体"/>
          <w:color w:val="000000"/>
          <w:sz w:val="44"/>
          <w:szCs w:val="44"/>
          <w:lang w:eastAsia="zh-CN"/>
        </w:rPr>
      </w:pP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both"/>
        <w:textAlignment w:val="auto"/>
        <w:rPr>
          <w:rFonts w:hint="eastAsia" w:ascii="方正小标宋简体" w:hAnsi="方正小标宋简体" w:eastAsia="方正小标宋简体" w:cs="方正小标宋简体"/>
          <w:color w:val="000000"/>
          <w:sz w:val="44"/>
          <w:szCs w:val="44"/>
          <w:lang w:eastAsia="zh-CN"/>
        </w:rPr>
      </w:pP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both"/>
        <w:textAlignment w:val="auto"/>
        <w:rPr>
          <w:rFonts w:hint="eastAsia" w:ascii="方正小标宋简体" w:hAnsi="方正小标宋简体" w:eastAsia="方正小标宋简体" w:cs="方正小标宋简体"/>
          <w:color w:val="00000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lang w:val="en-US" w:eastAsia="zh-CN"/>
        </w:rPr>
      </w:pPr>
      <w:r>
        <w:rPr>
          <w:rFonts w:hint="eastAsia" w:ascii="黑体" w:hAnsi="黑体" w:eastAsia="黑体"/>
          <w:sz w:val="32"/>
          <w:szCs w:val="32"/>
        </w:rPr>
        <w:t>附件</w:t>
      </w:r>
      <w:r>
        <w:rPr>
          <w:rFonts w:hint="eastAsia" w:ascii="黑体" w:hAnsi="黑体" w:eastAsia="黑体"/>
          <w:sz w:val="32"/>
          <w:szCs w:val="32"/>
          <w:lang w:val="en-US" w:eastAsia="zh-CN"/>
        </w:rPr>
        <w:t>4</w:t>
      </w: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项目支出绩效评价</w:t>
      </w:r>
      <w:r>
        <w:rPr>
          <w:rFonts w:hint="eastAsia" w:ascii="方正小标宋简体" w:hAnsi="方正小标宋简体" w:eastAsia="方正小标宋简体" w:cs="方正小标宋简体"/>
          <w:color w:val="000000"/>
          <w:sz w:val="44"/>
          <w:szCs w:val="44"/>
          <w:lang w:eastAsia="zh-CN"/>
        </w:rPr>
        <w:t>评分表</w:t>
      </w:r>
      <w:r>
        <w:rPr>
          <w:rFonts w:hint="eastAsia" w:ascii="方正小标宋简体" w:hAnsi="方正小标宋简体" w:eastAsia="方正小标宋简体" w:cs="方正小标宋简体"/>
          <w:color w:val="000000"/>
          <w:sz w:val="44"/>
          <w:szCs w:val="44"/>
        </w:rPr>
        <w:t>（</w:t>
      </w:r>
      <w:r>
        <w:rPr>
          <w:rFonts w:hint="eastAsia" w:ascii="方正小标宋简体" w:hAnsi="方正小标宋简体" w:eastAsia="方正小标宋简体" w:cs="方正小标宋简体"/>
          <w:color w:val="000000"/>
          <w:sz w:val="44"/>
          <w:szCs w:val="44"/>
          <w:lang w:eastAsia="zh-CN"/>
        </w:rPr>
        <w:t>共性</w:t>
      </w:r>
      <w:r>
        <w:rPr>
          <w:rFonts w:hint="eastAsia" w:ascii="方正小标宋简体" w:hAnsi="方正小标宋简体" w:eastAsia="方正小标宋简体" w:cs="方正小标宋简体"/>
          <w:color w:val="000000"/>
          <w:sz w:val="44"/>
          <w:szCs w:val="44"/>
        </w:rPr>
        <w:t>）</w:t>
      </w:r>
    </w:p>
    <w:tbl>
      <w:tblPr>
        <w:tblStyle w:val="14"/>
        <w:tblW w:w="9820" w:type="dxa"/>
        <w:jc w:val="center"/>
        <w:tblLayout w:type="fixed"/>
        <w:tblCellMar>
          <w:top w:w="0" w:type="dxa"/>
          <w:left w:w="108" w:type="dxa"/>
          <w:bottom w:w="0" w:type="dxa"/>
          <w:right w:w="108" w:type="dxa"/>
        </w:tblCellMar>
      </w:tblPr>
      <w:tblGrid>
        <w:gridCol w:w="702"/>
        <w:gridCol w:w="540"/>
        <w:gridCol w:w="703"/>
        <w:gridCol w:w="540"/>
        <w:gridCol w:w="803"/>
        <w:gridCol w:w="550"/>
        <w:gridCol w:w="2407"/>
        <w:gridCol w:w="2772"/>
        <w:gridCol w:w="803"/>
      </w:tblGrid>
      <w:tr>
        <w:tblPrEx>
          <w:tblCellMar>
            <w:top w:w="0" w:type="dxa"/>
            <w:left w:w="108" w:type="dxa"/>
            <w:bottom w:w="0" w:type="dxa"/>
            <w:right w:w="108" w:type="dxa"/>
          </w:tblCellMar>
        </w:tblPrEx>
        <w:trPr>
          <w:trHeight w:val="582" w:hRule="atLeast"/>
          <w:tblHeader/>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一级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7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二级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8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三级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5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2407"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具体指标</w:t>
            </w:r>
          </w:p>
        </w:tc>
        <w:tc>
          <w:tcPr>
            <w:tcW w:w="2772"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评价标准</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rPr>
            </w:pPr>
            <w:r>
              <w:rPr>
                <w:rFonts w:hint="eastAsia" w:ascii="仿宋_GB2312" w:hAnsi="宋体" w:eastAsia="仿宋_GB2312" w:cs="宋体"/>
                <w:b/>
                <w:bCs/>
                <w:kern w:val="0"/>
                <w:sz w:val="18"/>
                <w:szCs w:val="18"/>
              </w:rPr>
              <w:t>自评</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24"/>
              </w:rPr>
            </w:pPr>
            <w:r>
              <w:rPr>
                <w:rFonts w:hint="eastAsia" w:ascii="仿宋_GB2312" w:hAnsi="宋体" w:eastAsia="仿宋_GB2312" w:cs="宋体"/>
                <w:b/>
                <w:bCs/>
                <w:kern w:val="0"/>
                <w:sz w:val="18"/>
                <w:szCs w:val="18"/>
              </w:rPr>
              <w:t>得分</w:t>
            </w:r>
          </w:p>
        </w:tc>
      </w:tr>
      <w:tr>
        <w:tblPrEx>
          <w:tblCellMar>
            <w:top w:w="0" w:type="dxa"/>
            <w:left w:w="108" w:type="dxa"/>
            <w:bottom w:w="0" w:type="dxa"/>
            <w:right w:w="108" w:type="dxa"/>
          </w:tblCellMar>
        </w:tblPrEx>
        <w:trPr>
          <w:trHeight w:val="967" w:hRule="atLeast"/>
          <w:jc w:val="center"/>
        </w:trPr>
        <w:tc>
          <w:tcPr>
            <w:tcW w:w="702" w:type="dxa"/>
            <w:vMerge w:val="restart"/>
            <w:tcBorders>
              <w:top w:val="nil"/>
              <w:left w:val="single" w:color="000000" w:sz="4" w:space="0"/>
              <w:bottom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项目决策</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20</w:t>
            </w:r>
          </w:p>
        </w:tc>
        <w:tc>
          <w:tcPr>
            <w:tcW w:w="703" w:type="dxa"/>
            <w:tcBorders>
              <w:top w:val="nil"/>
              <w:left w:val="nil"/>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项目目标</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目标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内容</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设立了项目绩效目标；目标明确；目标细化；目标量化</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①设有目标（1分）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②目标明确（1分）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③目标细化（1分）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④目标量化（1分）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127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决策过程</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依据</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有关法律法规的明确规定；某一经济社会发展规划；某部门年度工作计划；某一实际问题和需求</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①符合法律法规（1分）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②符合经济社会发展规划（1分）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③部门年度工作计划（1分）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6"/>
                <w:kern w:val="0"/>
                <w:sz w:val="18"/>
                <w:szCs w:val="18"/>
                <w:lang w:eastAsia="zh-CN"/>
              </w:rPr>
            </w:pPr>
            <w:r>
              <w:rPr>
                <w:rFonts w:hint="eastAsia" w:ascii="仿宋_GB2312" w:hAnsi="宋体" w:eastAsia="仿宋_GB2312" w:cs="宋体"/>
                <w:spacing w:val="-6"/>
                <w:kern w:val="0"/>
                <w:sz w:val="18"/>
                <w:szCs w:val="18"/>
              </w:rPr>
              <w:t>④针对某一实际问题和需求（1分）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以上③需提供佐证资料。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983"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程序</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项目符合申报条件；申报、批复程序符合相关管理办法；项目调整履行了相应手续</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①符合申报条件（2分）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②项目申报、批复程序符合管理办法（1分）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③项目调整履行了相应手续（1分）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96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办法</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根据需要制定的相关资金管理办法；管理办法中有明确资金分配办法；资金分配因素全面、合理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①有相应的资金管理办法（1分）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②办法健全、规范（1分）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③因素全面合理（1分）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58"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结果</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资金分配符合相关管理办法；分配结果公平合理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①符合分配办法（2分）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②分配公平合理（3分）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此项需提供相应的资金分配方案。</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438" w:hRule="atLeast"/>
          <w:jc w:val="center"/>
        </w:trPr>
        <w:tc>
          <w:tcPr>
            <w:tcW w:w="702" w:type="dxa"/>
            <w:vMerge w:val="restart"/>
            <w:tcBorders>
              <w:top w:val="nil"/>
              <w:left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firstLine="2520" w:firstLineChars="1400"/>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r>
              <w:rPr>
                <w:rFonts w:hint="eastAsia" w:ascii="仿宋_GB2312" w:hAnsi="宋体" w:eastAsia="仿宋_GB2312" w:cs="宋体"/>
                <w:kern w:val="0"/>
                <w:sz w:val="18"/>
                <w:szCs w:val="18"/>
                <w:lang w:eastAsia="zh-CN"/>
              </w:rPr>
              <w:t>管理</w:t>
            </w:r>
          </w:p>
        </w:tc>
        <w:tc>
          <w:tcPr>
            <w:tcW w:w="540" w:type="dxa"/>
            <w:vMerge w:val="restart"/>
            <w:tcBorders>
              <w:top w:val="nil"/>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25</w:t>
            </w:r>
          </w:p>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资金到位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到位率</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实际到位/计划到位*100%</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根据项目资金的实际到位率计算得分（3分）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44"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到位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资金及时到位；若未及时到位，是否影响项目进度</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①到位及时（2分）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10"/>
                <w:kern w:val="0"/>
                <w:sz w:val="18"/>
                <w:szCs w:val="18"/>
                <w:lang w:eastAsia="zh-CN"/>
              </w:rPr>
            </w:pPr>
            <w:r>
              <w:rPr>
                <w:rFonts w:hint="eastAsia" w:ascii="仿宋_GB2312" w:hAnsi="宋体" w:eastAsia="仿宋_GB2312" w:cs="宋体"/>
                <w:spacing w:val="-10"/>
                <w:kern w:val="0"/>
                <w:sz w:val="18"/>
                <w:szCs w:val="18"/>
              </w:rPr>
              <w:t>②不及时但未影响项目进度 （1分）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③不及时并影响项目进度（0.5分）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2</w:t>
            </w:r>
          </w:p>
        </w:tc>
      </w:tr>
      <w:tr>
        <w:tblPrEx>
          <w:tblCellMar>
            <w:top w:w="0" w:type="dxa"/>
            <w:left w:w="108" w:type="dxa"/>
            <w:bottom w:w="0" w:type="dxa"/>
            <w:right w:w="108" w:type="dxa"/>
          </w:tblCellMar>
        </w:tblPrEx>
        <w:trPr>
          <w:trHeight w:val="1168"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资金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使用</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7</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支出依据合规，无虚列项目支出情况；无截留挤占挪用情况；无超标准开支情况；无超预算情况</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 xml:space="preserve">①虚列套取扣4-7分 </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②依据不合规扣2分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③截留、挤占、挪用扣3-6分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④超标准开支扣2-5分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⑤超预算扣2-5分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r>
      <w:tr>
        <w:tblPrEx>
          <w:tblCellMar>
            <w:top w:w="0" w:type="dxa"/>
            <w:left w:w="108" w:type="dxa"/>
            <w:bottom w:w="0" w:type="dxa"/>
            <w:right w:w="108" w:type="dxa"/>
          </w:tblCellMar>
        </w:tblPrEx>
        <w:trPr>
          <w:trHeight w:val="871"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财务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管理</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资金管理、费用支出等制度健全；制度执行严格；会计核算规范</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①财务制度健全（1分）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②严格执行制度（1分）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③会计核算规范（1分）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532" w:hRule="atLeast"/>
          <w:jc w:val="center"/>
        </w:trPr>
        <w:tc>
          <w:tcPr>
            <w:tcW w:w="702" w:type="dxa"/>
            <w:vMerge w:val="continue"/>
            <w:tcBorders>
              <w:left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组织实施</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组织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机构健全、分工明确</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①机构健全、分工明确  （1分）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支撑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条件</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项目实施单位是否提供或具备了必备的人员、场地和设备等条件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具备人员、场地、设备条件（1分）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实施</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项目按计划开工；按计划进度开展；按计划完工</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①按计划开工（1分）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②按计划开展（1分）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③按计划完工（1分）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45" w:hRule="atLeast"/>
          <w:jc w:val="center"/>
        </w:trPr>
        <w:tc>
          <w:tcPr>
            <w:tcW w:w="702"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管理</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制度</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项目管理制度健全；严格执行相关管理制度</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①管理制度健全（2分）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②制度执行严格（3分）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项目绩效</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55</w:t>
            </w:r>
          </w:p>
        </w:tc>
        <w:tc>
          <w:tcPr>
            <w:tcW w:w="703"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15</w:t>
            </w:r>
          </w:p>
        </w:tc>
        <w:tc>
          <w:tcPr>
            <w:tcW w:w="803"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数量</w:t>
            </w:r>
          </w:p>
        </w:tc>
        <w:tc>
          <w:tcPr>
            <w:tcW w:w="550"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目标完成率=目标完成数/预定目标数×100%</w:t>
            </w:r>
          </w:p>
        </w:tc>
        <w:tc>
          <w:tcPr>
            <w:tcW w:w="2772"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完成绩效目标100%得5分，未完成100%的同比例扣减。</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质量</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目标完成质量=实际达到的效果/预定目标×100%</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项目产出质量达到绩效目标100%得4分，未完成100%的同比例扣减。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项目资金使用的预定目标是否如期完成，未完成的理由是否充分</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项目产出时效达到绩效目标得3分，未如期完成且无充分理由的扣3分。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成本</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项目产出成本是否按绩效目标控制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项目产出成本按绩效目标控制得3分，未完成的，按超支比例扣减。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项目效果</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经济</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项目实施对经济发展所带来的直接或间接影响情况。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完成绩效目标设定的经济效益得8分，未完成的，按完成情况酌情扣分。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社会</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项目实施对社会发展所带来的直接或间接影响情况。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完成绩效目标设定的社会效益得8分，未完成的，按完成情况酌情扣分。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生态</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项目实施对生态环境所带来的直接或间接影响情况。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完成绩效目标设定的积极的环境效益得8分，未完成的，按完成情况酌情扣分。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可持续</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影响</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项目后续运行及成效发挥的可持续影响情况。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完成绩效设定目标的得8分，未完成的，按完成情况酌情扣分。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服务</w:t>
            </w:r>
          </w:p>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对象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满意度</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服务对象满意率=项目区被调查人数中表示满意的人数(户数)/ 被调查人数(户数)×100%</w:t>
            </w: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满意率达90%（含）以上的得8分，80%（含）-90%得6分，70%（含）-80%得4分，60%（含）-70%得2分，60%以下不得分。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firstLine="240" w:firstLineChars="100"/>
              <w:jc w:val="left"/>
              <w:rPr>
                <w:rFonts w:hint="default" w:ascii="宋体" w:hAnsi="宋体" w:eastAsia="宋体" w:cs="宋体"/>
                <w:kern w:val="0"/>
                <w:sz w:val="24"/>
                <w:lang w:val="en-US" w:eastAsia="zh-CN"/>
              </w:rPr>
            </w:pPr>
            <w:r>
              <w:rPr>
                <w:rFonts w:hint="eastAsia" w:ascii="宋体" w:hAnsi="宋体" w:cs="宋体"/>
                <w:kern w:val="0"/>
                <w:sz w:val="24"/>
                <w:lang w:val="en-US" w:eastAsia="zh-CN"/>
              </w:rPr>
              <w:t>8</w:t>
            </w:r>
          </w:p>
        </w:tc>
      </w:tr>
      <w:tr>
        <w:tblPrEx>
          <w:tblCellMar>
            <w:top w:w="0" w:type="dxa"/>
            <w:left w:w="108" w:type="dxa"/>
            <w:bottom w:w="0" w:type="dxa"/>
            <w:right w:w="108" w:type="dxa"/>
          </w:tblCellMar>
        </w:tblPrEx>
        <w:trPr>
          <w:trHeight w:val="860" w:hRule="atLeast"/>
          <w:jc w:val="center"/>
        </w:trPr>
        <w:tc>
          <w:tcPr>
            <w:tcW w:w="702"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总分</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7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宋体" w:hAnsi="宋体" w:eastAsia="宋体" w:cs="宋体"/>
                <w:b/>
                <w:bCs/>
                <w:kern w:val="0"/>
                <w:sz w:val="24"/>
                <w:lang w:val="en-US" w:eastAsia="zh-CN"/>
              </w:rPr>
            </w:pPr>
            <w:r>
              <w:rPr>
                <w:rFonts w:hint="eastAsia" w:ascii="宋体" w:hAnsi="宋体" w:cs="宋体"/>
                <w:b/>
                <w:bCs/>
                <w:kern w:val="0"/>
                <w:sz w:val="24"/>
                <w:lang w:val="en-US" w:eastAsia="zh-CN"/>
              </w:rPr>
              <w:t xml:space="preserve"> 98</w:t>
            </w:r>
          </w:p>
        </w:tc>
      </w:tr>
    </w:tbl>
    <w:p>
      <w:pPr>
        <w:adjustRightInd w:val="0"/>
        <w:snapToGrid w:val="0"/>
        <w:spacing w:before="156" w:beforeLines="50"/>
        <w:ind w:left="840" w:hanging="840" w:hangingChars="400"/>
        <w:contextualSpacing/>
        <w:rPr>
          <w:rFonts w:hint="eastAsia" w:ascii="仿宋_GB2312" w:eastAsia="仿宋_GB2312"/>
        </w:rPr>
      </w:pPr>
      <w:r>
        <w:rPr>
          <w:rFonts w:hint="eastAsia" w:ascii="仿宋_GB2312" w:eastAsia="仿宋_GB2312"/>
        </w:rPr>
        <w:t>备注：</w:t>
      </w:r>
      <w:r>
        <w:rPr>
          <w:rFonts w:hint="eastAsia" w:ascii="仿宋_GB2312" w:eastAsia="仿宋_GB2312"/>
          <w:lang w:val="en-US" w:eastAsia="zh-CN"/>
        </w:rPr>
        <w:t>1、</w:t>
      </w:r>
      <w:r>
        <w:rPr>
          <w:rFonts w:hint="eastAsia" w:ascii="仿宋_GB2312" w:eastAsia="仿宋_GB2312"/>
        </w:rPr>
        <w:t>部门（单位）根据项目实际，在《项目支出绩效评价指标</w:t>
      </w:r>
      <w:r>
        <w:rPr>
          <w:rFonts w:hint="eastAsia" w:ascii="仿宋_GB2312" w:eastAsia="仿宋_GB2312"/>
          <w:lang w:eastAsia="zh-CN"/>
        </w:rPr>
        <w:t>评分表</w:t>
      </w:r>
      <w:r>
        <w:rPr>
          <w:rFonts w:hint="eastAsia" w:ascii="仿宋_GB2312" w:eastAsia="仿宋_GB2312"/>
        </w:rPr>
        <w:t>（</w:t>
      </w:r>
      <w:r>
        <w:rPr>
          <w:rFonts w:hint="eastAsia" w:ascii="仿宋_GB2312" w:eastAsia="仿宋_GB2312"/>
          <w:lang w:eastAsia="zh-CN"/>
        </w:rPr>
        <w:t>共性</w:t>
      </w:r>
      <w:r>
        <w:rPr>
          <w:rFonts w:hint="eastAsia" w:ascii="仿宋_GB2312" w:eastAsia="仿宋_GB2312"/>
        </w:rPr>
        <w:t>）》上进一步完善、量化、细化个性指标，形成本项目的指标体系。</w:t>
      </w:r>
    </w:p>
    <w:p>
      <w:pPr>
        <w:adjustRightInd w:val="0"/>
        <w:snapToGrid w:val="0"/>
        <w:spacing w:before="156" w:beforeLines="50"/>
        <w:ind w:firstLine="630" w:firstLineChars="300"/>
        <w:contextualSpacing/>
        <w:rPr>
          <w:rFonts w:hint="eastAsia" w:eastAsia="仿宋_GB2312"/>
          <w:sz w:val="32"/>
          <w:lang w:eastAsia="zh-CN"/>
        </w:rPr>
      </w:pPr>
      <w:r>
        <w:rPr>
          <w:rFonts w:hint="eastAsia" w:ascii="仿宋_GB2312" w:eastAsia="仿宋_GB2312"/>
          <w:lang w:val="en-US" w:eastAsia="zh-CN"/>
        </w:rPr>
        <w:t>2、</w:t>
      </w:r>
      <w:r>
        <w:rPr>
          <w:rFonts w:hint="eastAsia" w:ascii="仿宋_GB2312" w:eastAsia="仿宋_GB2312"/>
          <w:lang w:eastAsia="zh-CN"/>
        </w:rPr>
        <w:t>一个一级项目一张表。</w:t>
      </w:r>
    </w:p>
    <w:p/>
    <w:p>
      <w:pPr>
        <w:pStyle w:val="2"/>
        <w:rPr>
          <w:rFonts w:hint="eastAsia"/>
          <w:lang w:val="en-US" w:eastAsia="zh-CN"/>
        </w:rPr>
        <w:sectPr>
          <w:footerReference r:id="rId4" w:type="default"/>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spacing w:line="240" w:lineRule="auto"/>
        <w:ind w:firstLine="0" w:firstLineChars="0"/>
        <w:jc w:val="left"/>
        <w:outlineLvl w:val="0"/>
        <w:rPr>
          <w:rFonts w:hint="eastAsia" w:ascii="Times New Roman" w:hAnsi="Times New Roman" w:eastAsia="黑体" w:cs="Times New Roman"/>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5</w:t>
      </w:r>
    </w:p>
    <w:p>
      <w:pPr>
        <w:widowControl/>
        <w:spacing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w:t>
      </w:r>
      <w:r>
        <w:rPr>
          <w:rFonts w:hint="eastAsia" w:ascii="方正小标宋简体" w:hAnsi="方正小标宋简体" w:eastAsia="方正小标宋简体" w:cs="方正小标宋简体"/>
          <w:color w:val="000000"/>
          <w:sz w:val="44"/>
          <w:szCs w:val="44"/>
          <w:lang w:val="en-US" w:eastAsia="zh-CN"/>
        </w:rPr>
        <w:t>2</w:t>
      </w:r>
      <w:r>
        <w:rPr>
          <w:rFonts w:hint="eastAsia" w:ascii="方正小标宋简体" w:hAnsi="方正小标宋简体" w:eastAsia="方正小标宋简体" w:cs="方正小标宋简体"/>
          <w:color w:val="000000"/>
          <w:sz w:val="44"/>
          <w:szCs w:val="44"/>
        </w:rPr>
        <w:t>年度项目支出绩效自评表</w:t>
      </w:r>
    </w:p>
    <w:tbl>
      <w:tblPr>
        <w:tblStyle w:val="14"/>
        <w:tblW w:w="9799" w:type="dxa"/>
        <w:jc w:val="center"/>
        <w:tblLayout w:type="autofit"/>
        <w:tblCellMar>
          <w:top w:w="0" w:type="dxa"/>
          <w:left w:w="108" w:type="dxa"/>
          <w:bottom w:w="0" w:type="dxa"/>
          <w:right w:w="108" w:type="dxa"/>
        </w:tblCellMar>
      </w:tblPr>
      <w:tblGrid>
        <w:gridCol w:w="1071"/>
        <w:gridCol w:w="1071"/>
        <w:gridCol w:w="1075"/>
        <w:gridCol w:w="1215"/>
        <w:gridCol w:w="1133"/>
        <w:gridCol w:w="1125"/>
        <w:gridCol w:w="820"/>
        <w:gridCol w:w="867"/>
        <w:gridCol w:w="1422"/>
      </w:tblGrid>
      <w:tr>
        <w:tblPrEx>
          <w:tblCellMar>
            <w:top w:w="0" w:type="dxa"/>
            <w:left w:w="108" w:type="dxa"/>
            <w:bottom w:w="0" w:type="dxa"/>
            <w:right w:w="108" w:type="dxa"/>
          </w:tblCellMar>
        </w:tblPrEx>
        <w:trPr>
          <w:trHeight w:val="452" w:hRule="atLeast"/>
          <w:jc w:val="center"/>
        </w:trPr>
        <w:tc>
          <w:tcPr>
            <w:tcW w:w="10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出名称</w:t>
            </w:r>
          </w:p>
        </w:tc>
        <w:tc>
          <w:tcPr>
            <w:tcW w:w="8728" w:type="dxa"/>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河湖长制工作</w:t>
            </w:r>
          </w:p>
        </w:tc>
      </w:tr>
      <w:tr>
        <w:tblPrEx>
          <w:tblCellMar>
            <w:top w:w="0" w:type="dxa"/>
            <w:left w:w="108" w:type="dxa"/>
            <w:bottom w:w="0" w:type="dxa"/>
            <w:right w:w="108" w:type="dxa"/>
          </w:tblCellMar>
        </w:tblPrEx>
        <w:trPr>
          <w:trHeight w:val="231" w:hRule="atLeast"/>
          <w:jc w:val="center"/>
        </w:trPr>
        <w:tc>
          <w:tcPr>
            <w:tcW w:w="107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主管部门</w:t>
            </w:r>
          </w:p>
        </w:tc>
        <w:tc>
          <w:tcPr>
            <w:tcW w:w="4494"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华容县河长制工作委员会办公室</w:t>
            </w:r>
          </w:p>
        </w:tc>
        <w:tc>
          <w:tcPr>
            <w:tcW w:w="112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实施单位</w:t>
            </w:r>
          </w:p>
        </w:tc>
        <w:tc>
          <w:tcPr>
            <w:tcW w:w="3109"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452" w:hRule="atLeast"/>
          <w:jc w:val="center"/>
        </w:trPr>
        <w:tc>
          <w:tcPr>
            <w:tcW w:w="1071"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项目资金</w:t>
            </w:r>
            <w:r>
              <w:rPr>
                <w:rFonts w:hint="default" w:ascii="Times New Roman" w:hAnsi="Times New Roman" w:eastAsia="仿宋_GB2312" w:cs="Times New Roman"/>
                <w:color w:val="000000"/>
                <w:sz w:val="20"/>
                <w:szCs w:val="20"/>
              </w:rPr>
              <w:br w:type="textWrapping"/>
            </w:r>
            <w:r>
              <w:rPr>
                <w:rFonts w:hint="default" w:ascii="Times New Roman" w:hAnsi="Times New Roman" w:eastAsia="仿宋_GB2312" w:cs="Times New Roman"/>
                <w:color w:val="000000"/>
                <w:sz w:val="20"/>
                <w:szCs w:val="20"/>
              </w:rPr>
              <w:t>（万元）</w:t>
            </w:r>
          </w:p>
        </w:tc>
        <w:tc>
          <w:tcPr>
            <w:tcW w:w="2146"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1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年初</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全年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25"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执行数</w:t>
            </w:r>
          </w:p>
        </w:tc>
        <w:tc>
          <w:tcPr>
            <w:tcW w:w="820"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分值</w:t>
            </w:r>
          </w:p>
        </w:tc>
        <w:tc>
          <w:tcPr>
            <w:tcW w:w="867"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执行率</w:t>
            </w:r>
          </w:p>
        </w:tc>
        <w:tc>
          <w:tcPr>
            <w:tcW w:w="142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得分</w:t>
            </w:r>
          </w:p>
        </w:tc>
      </w:tr>
      <w:tr>
        <w:tblPrEx>
          <w:tblCellMar>
            <w:top w:w="0" w:type="dxa"/>
            <w:left w:w="108" w:type="dxa"/>
            <w:bottom w:w="0" w:type="dxa"/>
            <w:right w:w="108" w:type="dxa"/>
          </w:tblCellMar>
        </w:tblPrEx>
        <w:trPr>
          <w:trHeight w:val="231" w:hRule="atLeast"/>
          <w:jc w:val="center"/>
        </w:trPr>
        <w:tc>
          <w:tcPr>
            <w:tcW w:w="1071"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46"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highlight w:val="none"/>
              </w:rPr>
            </w:pPr>
            <w:r>
              <w:rPr>
                <w:rFonts w:hint="default" w:ascii="Times New Roman" w:hAnsi="Times New Roman" w:eastAsia="仿宋_GB2312" w:cs="Times New Roman"/>
                <w:color w:val="000000"/>
                <w:sz w:val="20"/>
                <w:szCs w:val="20"/>
                <w:highlight w:val="none"/>
              </w:rPr>
              <w:t>年度资金总额</w:t>
            </w:r>
          </w:p>
        </w:tc>
        <w:tc>
          <w:tcPr>
            <w:tcW w:w="121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highlight w:val="none"/>
                <w:lang w:val="en-US" w:eastAsia="zh-CN"/>
              </w:rPr>
            </w:pPr>
            <w:r>
              <w:rPr>
                <w:rFonts w:hint="eastAsia" w:eastAsia="仿宋_GB2312" w:cs="Times New Roman"/>
                <w:color w:val="000000"/>
                <w:sz w:val="20"/>
                <w:szCs w:val="20"/>
                <w:highlight w:val="none"/>
                <w:lang w:val="en-US" w:eastAsia="zh-CN"/>
              </w:rPr>
              <w:t>100</w:t>
            </w:r>
          </w:p>
        </w:tc>
        <w:tc>
          <w:tcPr>
            <w:tcW w:w="113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highlight w:val="none"/>
                <w:lang w:val="en-US" w:eastAsia="zh-CN"/>
              </w:rPr>
            </w:pPr>
            <w:r>
              <w:rPr>
                <w:rFonts w:hint="eastAsia" w:eastAsia="仿宋_GB2312" w:cs="Times New Roman"/>
                <w:color w:val="000000"/>
                <w:sz w:val="20"/>
                <w:szCs w:val="20"/>
                <w:highlight w:val="none"/>
                <w:lang w:val="en-US" w:eastAsia="zh-CN"/>
              </w:rPr>
              <w:t>100</w:t>
            </w:r>
          </w:p>
        </w:tc>
        <w:tc>
          <w:tcPr>
            <w:tcW w:w="112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highlight w:val="none"/>
                <w:lang w:val="en-US" w:eastAsia="zh-CN"/>
              </w:rPr>
            </w:pPr>
            <w:r>
              <w:rPr>
                <w:rFonts w:hint="eastAsia" w:eastAsia="仿宋_GB2312" w:cs="Times New Roman"/>
                <w:color w:val="000000"/>
                <w:sz w:val="20"/>
                <w:szCs w:val="20"/>
                <w:highlight w:val="none"/>
                <w:lang w:val="en-US" w:eastAsia="zh-CN"/>
              </w:rPr>
              <w:t>100</w:t>
            </w:r>
          </w:p>
        </w:tc>
        <w:tc>
          <w:tcPr>
            <w:tcW w:w="82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highlight w:val="none"/>
              </w:rPr>
            </w:pPr>
            <w:r>
              <w:rPr>
                <w:rFonts w:hint="default" w:ascii="Times New Roman" w:hAnsi="Times New Roman" w:eastAsia="仿宋_GB2312" w:cs="Times New Roman"/>
                <w:color w:val="000000"/>
                <w:sz w:val="20"/>
                <w:szCs w:val="20"/>
                <w:highlight w:val="none"/>
              </w:rPr>
              <w:t>10</w:t>
            </w:r>
          </w:p>
        </w:tc>
        <w:tc>
          <w:tcPr>
            <w:tcW w:w="86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highlight w:val="none"/>
                <w:lang w:val="en-US" w:eastAsia="zh-CN"/>
              </w:rPr>
            </w:pPr>
            <w:r>
              <w:rPr>
                <w:rFonts w:hint="eastAsia" w:eastAsia="仿宋_GB2312" w:cs="Times New Roman"/>
                <w:color w:val="000000"/>
                <w:sz w:val="20"/>
                <w:szCs w:val="20"/>
                <w:highlight w:val="none"/>
                <w:lang w:val="en-US" w:eastAsia="zh-CN"/>
              </w:rPr>
              <w:t>100</w:t>
            </w: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highlight w:val="none"/>
              </w:rPr>
            </w:pPr>
          </w:p>
        </w:tc>
      </w:tr>
      <w:tr>
        <w:tblPrEx>
          <w:tblCellMar>
            <w:top w:w="0" w:type="dxa"/>
            <w:left w:w="108" w:type="dxa"/>
            <w:bottom w:w="0" w:type="dxa"/>
            <w:right w:w="108" w:type="dxa"/>
          </w:tblCellMar>
        </w:tblPrEx>
        <w:trPr>
          <w:trHeight w:val="231" w:hRule="atLeast"/>
          <w:jc w:val="center"/>
        </w:trPr>
        <w:tc>
          <w:tcPr>
            <w:tcW w:w="1071"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46"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highlight w:val="none"/>
              </w:rPr>
            </w:pPr>
            <w:r>
              <w:rPr>
                <w:rFonts w:hint="default" w:ascii="Times New Roman" w:hAnsi="Times New Roman" w:eastAsia="仿宋_GB2312" w:cs="Times New Roman"/>
                <w:color w:val="000000"/>
                <w:sz w:val="20"/>
                <w:szCs w:val="20"/>
                <w:highlight w:val="none"/>
              </w:rPr>
              <w:t>其中：当年财政拨款</w:t>
            </w:r>
          </w:p>
        </w:tc>
        <w:tc>
          <w:tcPr>
            <w:tcW w:w="121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highlight w:val="none"/>
              </w:rPr>
            </w:pPr>
          </w:p>
        </w:tc>
        <w:tc>
          <w:tcPr>
            <w:tcW w:w="113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highlight w:val="none"/>
                <w:lang w:val="en-US" w:eastAsia="zh-CN"/>
              </w:rPr>
            </w:pPr>
            <w:r>
              <w:rPr>
                <w:rFonts w:hint="eastAsia" w:eastAsia="仿宋_GB2312" w:cs="Times New Roman"/>
                <w:color w:val="000000"/>
                <w:sz w:val="20"/>
                <w:szCs w:val="20"/>
                <w:highlight w:val="none"/>
                <w:lang w:val="en-US" w:eastAsia="zh-CN"/>
              </w:rPr>
              <w:t>100</w:t>
            </w:r>
          </w:p>
        </w:tc>
        <w:tc>
          <w:tcPr>
            <w:tcW w:w="112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highlight w:val="none"/>
                <w:lang w:val="en-US" w:eastAsia="zh-CN"/>
              </w:rPr>
            </w:pPr>
            <w:r>
              <w:rPr>
                <w:rFonts w:hint="eastAsia" w:eastAsia="仿宋_GB2312" w:cs="Times New Roman"/>
                <w:color w:val="000000"/>
                <w:sz w:val="20"/>
                <w:szCs w:val="20"/>
                <w:highlight w:val="none"/>
                <w:lang w:val="en-US" w:eastAsia="zh-CN"/>
              </w:rPr>
              <w:t>100</w:t>
            </w:r>
          </w:p>
        </w:tc>
        <w:tc>
          <w:tcPr>
            <w:tcW w:w="82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highlight w:val="none"/>
                <w:lang w:val="en-US" w:eastAsia="zh-CN"/>
              </w:rPr>
            </w:pPr>
            <w:r>
              <w:rPr>
                <w:rFonts w:hint="eastAsia" w:eastAsia="仿宋_GB2312" w:cs="Times New Roman"/>
                <w:color w:val="000000"/>
                <w:sz w:val="20"/>
                <w:szCs w:val="20"/>
                <w:highlight w:val="none"/>
                <w:lang w:val="en-US" w:eastAsia="zh-CN"/>
              </w:rPr>
              <w:t>10</w:t>
            </w:r>
          </w:p>
        </w:tc>
        <w:tc>
          <w:tcPr>
            <w:tcW w:w="86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highlight w:val="none"/>
                <w:lang w:val="en-US" w:eastAsia="zh-CN"/>
              </w:rPr>
            </w:pPr>
            <w:r>
              <w:rPr>
                <w:rFonts w:hint="eastAsia" w:eastAsia="仿宋_GB2312" w:cs="Times New Roman"/>
                <w:color w:val="000000"/>
                <w:sz w:val="20"/>
                <w:szCs w:val="20"/>
                <w:highlight w:val="none"/>
                <w:lang w:val="en-US" w:eastAsia="zh-CN"/>
              </w:rPr>
              <w:t>100</w:t>
            </w: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highlight w:val="none"/>
              </w:rPr>
            </w:pPr>
          </w:p>
        </w:tc>
      </w:tr>
      <w:tr>
        <w:tblPrEx>
          <w:tblCellMar>
            <w:top w:w="0" w:type="dxa"/>
            <w:left w:w="108" w:type="dxa"/>
            <w:bottom w:w="0" w:type="dxa"/>
            <w:right w:w="108" w:type="dxa"/>
          </w:tblCellMar>
        </w:tblPrEx>
        <w:trPr>
          <w:trHeight w:val="231" w:hRule="atLeast"/>
          <w:jc w:val="center"/>
        </w:trPr>
        <w:tc>
          <w:tcPr>
            <w:tcW w:w="1071"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46"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highlight w:val="none"/>
              </w:rPr>
            </w:pPr>
            <w:r>
              <w:rPr>
                <w:rFonts w:hint="default" w:ascii="Times New Roman" w:hAnsi="Times New Roman" w:eastAsia="仿宋_GB2312" w:cs="Times New Roman"/>
                <w:color w:val="000000"/>
                <w:sz w:val="20"/>
                <w:szCs w:val="20"/>
                <w:highlight w:val="none"/>
              </w:rPr>
              <w:t>上年结转资金</w:t>
            </w:r>
          </w:p>
        </w:tc>
        <w:tc>
          <w:tcPr>
            <w:tcW w:w="121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highlight w:val="none"/>
              </w:rPr>
            </w:pPr>
          </w:p>
        </w:tc>
        <w:tc>
          <w:tcPr>
            <w:tcW w:w="113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highlight w:val="none"/>
              </w:rPr>
            </w:pPr>
          </w:p>
        </w:tc>
        <w:tc>
          <w:tcPr>
            <w:tcW w:w="112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highlight w:val="none"/>
              </w:rPr>
            </w:pPr>
          </w:p>
        </w:tc>
        <w:tc>
          <w:tcPr>
            <w:tcW w:w="82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highlight w:val="none"/>
              </w:rPr>
            </w:pPr>
          </w:p>
        </w:tc>
        <w:tc>
          <w:tcPr>
            <w:tcW w:w="86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highlight w:val="none"/>
              </w:rPr>
            </w:pP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highlight w:val="none"/>
              </w:rPr>
            </w:pPr>
          </w:p>
        </w:tc>
      </w:tr>
      <w:tr>
        <w:tblPrEx>
          <w:tblCellMar>
            <w:top w:w="0" w:type="dxa"/>
            <w:left w:w="108" w:type="dxa"/>
            <w:bottom w:w="0" w:type="dxa"/>
            <w:right w:w="108" w:type="dxa"/>
          </w:tblCellMar>
        </w:tblPrEx>
        <w:trPr>
          <w:trHeight w:val="231" w:hRule="atLeast"/>
          <w:jc w:val="center"/>
        </w:trPr>
        <w:tc>
          <w:tcPr>
            <w:tcW w:w="1071"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46"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highlight w:val="none"/>
              </w:rPr>
            </w:pPr>
            <w:r>
              <w:rPr>
                <w:rFonts w:hint="default" w:ascii="Times New Roman" w:hAnsi="Times New Roman" w:eastAsia="仿宋_GB2312" w:cs="Times New Roman"/>
                <w:color w:val="000000"/>
                <w:sz w:val="20"/>
                <w:szCs w:val="20"/>
                <w:highlight w:val="none"/>
              </w:rPr>
              <w:t>其他资金</w:t>
            </w:r>
          </w:p>
        </w:tc>
        <w:tc>
          <w:tcPr>
            <w:tcW w:w="121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highlight w:val="none"/>
              </w:rPr>
            </w:pPr>
          </w:p>
        </w:tc>
        <w:tc>
          <w:tcPr>
            <w:tcW w:w="113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highlight w:val="none"/>
              </w:rPr>
            </w:pPr>
          </w:p>
        </w:tc>
        <w:tc>
          <w:tcPr>
            <w:tcW w:w="112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highlight w:val="none"/>
              </w:rPr>
            </w:pPr>
          </w:p>
        </w:tc>
        <w:tc>
          <w:tcPr>
            <w:tcW w:w="82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highlight w:val="none"/>
              </w:rPr>
            </w:pPr>
          </w:p>
        </w:tc>
        <w:tc>
          <w:tcPr>
            <w:tcW w:w="86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highlight w:val="none"/>
              </w:rPr>
            </w:pP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highlight w:val="none"/>
              </w:rPr>
            </w:pPr>
          </w:p>
        </w:tc>
      </w:tr>
      <w:tr>
        <w:tblPrEx>
          <w:tblCellMar>
            <w:top w:w="0" w:type="dxa"/>
            <w:left w:w="108" w:type="dxa"/>
            <w:bottom w:w="0" w:type="dxa"/>
            <w:right w:w="108" w:type="dxa"/>
          </w:tblCellMar>
        </w:tblPrEx>
        <w:trPr>
          <w:trHeight w:val="231" w:hRule="atLeast"/>
          <w:jc w:val="center"/>
        </w:trPr>
        <w:tc>
          <w:tcPr>
            <w:tcW w:w="1071"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年度总体目标</w:t>
            </w:r>
          </w:p>
        </w:tc>
        <w:tc>
          <w:tcPr>
            <w:tcW w:w="4494"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预期目标</w:t>
            </w:r>
          </w:p>
        </w:tc>
        <w:tc>
          <w:tcPr>
            <w:tcW w:w="4234"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实际完成情况　</w:t>
            </w:r>
          </w:p>
        </w:tc>
      </w:tr>
      <w:tr>
        <w:tblPrEx>
          <w:tblCellMar>
            <w:top w:w="0" w:type="dxa"/>
            <w:left w:w="108" w:type="dxa"/>
            <w:bottom w:w="0" w:type="dxa"/>
            <w:right w:w="108" w:type="dxa"/>
          </w:tblCellMar>
        </w:tblPrEx>
        <w:trPr>
          <w:trHeight w:val="231" w:hRule="atLeast"/>
          <w:jc w:val="center"/>
        </w:trPr>
        <w:tc>
          <w:tcPr>
            <w:tcW w:w="1071"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4494"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4234"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674" w:hRule="atLeast"/>
          <w:jc w:val="center"/>
        </w:trPr>
        <w:tc>
          <w:tcPr>
            <w:tcW w:w="1071" w:type="dxa"/>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标</w:t>
            </w:r>
          </w:p>
        </w:tc>
        <w:tc>
          <w:tcPr>
            <w:tcW w:w="107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一级指标</w:t>
            </w:r>
          </w:p>
        </w:tc>
        <w:tc>
          <w:tcPr>
            <w:tcW w:w="107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二级指标</w:t>
            </w:r>
          </w:p>
        </w:tc>
        <w:tc>
          <w:tcPr>
            <w:tcW w:w="121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三级指标</w:t>
            </w:r>
          </w:p>
        </w:tc>
        <w:tc>
          <w:tcPr>
            <w:tcW w:w="113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指标值</w:t>
            </w:r>
          </w:p>
        </w:tc>
        <w:tc>
          <w:tcPr>
            <w:tcW w:w="112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完成值</w:t>
            </w:r>
          </w:p>
        </w:tc>
        <w:tc>
          <w:tcPr>
            <w:tcW w:w="82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分值</w:t>
            </w:r>
          </w:p>
        </w:tc>
        <w:tc>
          <w:tcPr>
            <w:tcW w:w="86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得分</w:t>
            </w: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偏差原因分析及改进措施</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产出指标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(50分)</w:t>
            </w:r>
          </w:p>
        </w:tc>
        <w:tc>
          <w:tcPr>
            <w:tcW w:w="107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数量指标</w:t>
            </w:r>
          </w:p>
        </w:tc>
        <w:tc>
          <w:tcPr>
            <w:tcW w:w="121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16"/>
                <w:szCs w:val="16"/>
                <w:lang w:eastAsia="zh-CN"/>
              </w:rPr>
              <w:t>样板河湖建设、河湖保洁、河长制宣传等</w:t>
            </w:r>
          </w:p>
        </w:tc>
        <w:tc>
          <w:tcPr>
            <w:tcW w:w="1133"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100</w:t>
            </w:r>
            <w:r>
              <w:rPr>
                <w:rFonts w:hint="eastAsia" w:eastAsia="仿宋_GB2312" w:cs="Times New Roman"/>
                <w:color w:val="000000"/>
                <w:sz w:val="20"/>
                <w:szCs w:val="20"/>
                <w:lang w:val="en-US" w:eastAsia="zh-CN"/>
              </w:rPr>
              <w:t>万元</w:t>
            </w:r>
          </w:p>
        </w:tc>
        <w:tc>
          <w:tcPr>
            <w:tcW w:w="112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val="en-US" w:eastAsia="zh-CN"/>
              </w:rPr>
              <w:t>100</w:t>
            </w:r>
            <w:r>
              <w:rPr>
                <w:rFonts w:hint="eastAsia" w:eastAsia="仿宋_GB2312" w:cs="Times New Roman"/>
                <w:color w:val="000000"/>
                <w:sz w:val="20"/>
                <w:szCs w:val="20"/>
                <w:lang w:val="en-US" w:eastAsia="zh-CN"/>
              </w:rPr>
              <w:t>万元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20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67"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20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15"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3"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25"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67"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1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3"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2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67"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质量指标</w:t>
            </w:r>
          </w:p>
        </w:tc>
        <w:tc>
          <w:tcPr>
            <w:tcW w:w="121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16"/>
                <w:szCs w:val="16"/>
                <w:lang w:eastAsia="zh-CN"/>
              </w:rPr>
              <w:t>样板河湖建设、河湖保洁、河长制宣传等</w:t>
            </w:r>
          </w:p>
        </w:tc>
        <w:tc>
          <w:tcPr>
            <w:tcW w:w="1133"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200" w:right="0" w:hanging="200" w:hangingChars="10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通过验收合格</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2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验收</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200" w:firstLineChars="10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合格</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67"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15"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3"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25"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67"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1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3"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2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67"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时效指标</w:t>
            </w:r>
          </w:p>
        </w:tc>
        <w:tc>
          <w:tcPr>
            <w:tcW w:w="121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16"/>
                <w:szCs w:val="16"/>
                <w:lang w:eastAsia="zh-CN"/>
              </w:rPr>
              <w:t>样板河湖建设、河湖保洁、河长制宣传等</w:t>
            </w:r>
          </w:p>
        </w:tc>
        <w:tc>
          <w:tcPr>
            <w:tcW w:w="1133"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2022.12</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2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2022.12</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0" w:type="dxa"/>
            <w:vMerge w:val="restart"/>
            <w:tcBorders>
              <w:top w:val="nil"/>
              <w:left w:val="nil"/>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67"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15"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3"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25"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0" w:type="dxa"/>
            <w:vMerge w:val="continue"/>
            <w:tcBorders>
              <w:left w:val="nil"/>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67"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1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3"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2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0" w:type="dxa"/>
            <w:vMerge w:val="continue"/>
            <w:tcBorders>
              <w:left w:val="nil"/>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67"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成本指标</w:t>
            </w:r>
          </w:p>
        </w:tc>
        <w:tc>
          <w:tcPr>
            <w:tcW w:w="121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16"/>
                <w:szCs w:val="16"/>
                <w:lang w:eastAsia="zh-CN"/>
              </w:rPr>
              <w:t>样板河湖建设、河湖保洁、河长制宣传等</w:t>
            </w:r>
          </w:p>
        </w:tc>
        <w:tc>
          <w:tcPr>
            <w:tcW w:w="1133"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val="en-US" w:eastAsia="zh-CN"/>
              </w:rPr>
              <w:t>100</w:t>
            </w:r>
            <w:r>
              <w:rPr>
                <w:rFonts w:hint="eastAsia" w:eastAsia="仿宋_GB2312" w:cs="Times New Roman"/>
                <w:color w:val="000000"/>
                <w:sz w:val="20"/>
                <w:szCs w:val="20"/>
                <w:lang w:val="en-US" w:eastAsia="zh-CN"/>
              </w:rPr>
              <w:t>万元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2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val="en-US" w:eastAsia="zh-CN"/>
              </w:rPr>
              <w:t>100</w:t>
            </w:r>
            <w:r>
              <w:rPr>
                <w:rFonts w:hint="eastAsia" w:eastAsia="仿宋_GB2312" w:cs="Times New Roman"/>
                <w:color w:val="000000"/>
                <w:sz w:val="20"/>
                <w:szCs w:val="20"/>
                <w:lang w:val="en-US" w:eastAsia="zh-CN"/>
              </w:rPr>
              <w:t>万元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67"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15"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3"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25"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67"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1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3"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2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67"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效益指标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（30分）</w:t>
            </w:r>
          </w:p>
        </w:tc>
        <w:tc>
          <w:tcPr>
            <w:tcW w:w="107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1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16"/>
                <w:szCs w:val="16"/>
                <w:lang w:eastAsia="zh-CN"/>
              </w:rPr>
              <w:t>样板河湖建设、河湖保洁、河长制宣传等</w:t>
            </w:r>
          </w:p>
        </w:tc>
        <w:tc>
          <w:tcPr>
            <w:tcW w:w="1133"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河畅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200" w:firstLineChars="10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水清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2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lang w:eastAsia="zh-CN"/>
              </w:rPr>
            </w:pPr>
            <w:r>
              <w:rPr>
                <w:rFonts w:hint="eastAsia" w:eastAsia="仿宋_GB2312" w:cs="Times New Roman"/>
                <w:color w:val="000000"/>
                <w:sz w:val="20"/>
                <w:szCs w:val="20"/>
                <w:lang w:eastAsia="zh-CN"/>
              </w:rPr>
              <w:t>河湖管护效益明显</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67"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15"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3"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25"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67"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1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3"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2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67"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1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16"/>
                <w:szCs w:val="16"/>
                <w:lang w:eastAsia="zh-CN"/>
              </w:rPr>
              <w:t>样板河湖建设、河湖保洁、河长制宣传等</w:t>
            </w:r>
          </w:p>
        </w:tc>
        <w:tc>
          <w:tcPr>
            <w:tcW w:w="1133"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提高百姓幸福指数</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2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河湖长制深入人心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67"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15"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3"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25"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67"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435"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1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3"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2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67"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1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16"/>
                <w:szCs w:val="16"/>
                <w:lang w:eastAsia="zh-CN"/>
              </w:rPr>
              <w:t>样板河湖建设、河湖保洁、河长制宣传等</w:t>
            </w:r>
          </w:p>
        </w:tc>
        <w:tc>
          <w:tcPr>
            <w:tcW w:w="1133"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改善生态水环境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2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环境、水质、水体逐渐向好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67"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8</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15"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3"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25"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67"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435"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1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3"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2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67"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071"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可持续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影响指标</w:t>
            </w:r>
          </w:p>
        </w:tc>
        <w:tc>
          <w:tcPr>
            <w:tcW w:w="121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16"/>
                <w:szCs w:val="16"/>
                <w:lang w:eastAsia="zh-CN"/>
              </w:rPr>
              <w:t>样板河湖建设、河湖保洁、河长制宣传等</w:t>
            </w:r>
          </w:p>
        </w:tc>
        <w:tc>
          <w:tcPr>
            <w:tcW w:w="113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2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67"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15"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3"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25"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67"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2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2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67"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（10分）</w:t>
            </w:r>
          </w:p>
        </w:tc>
        <w:tc>
          <w:tcPr>
            <w:tcW w:w="107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服务对象满意度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tc>
        <w:tc>
          <w:tcPr>
            <w:tcW w:w="121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16"/>
                <w:szCs w:val="16"/>
                <w:lang w:eastAsia="zh-CN"/>
              </w:rPr>
              <w:t>样板河湖建设、河湖保洁、河长制宣传等</w:t>
            </w:r>
          </w:p>
        </w:tc>
        <w:tc>
          <w:tcPr>
            <w:tcW w:w="1133"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97%</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2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98%</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67"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15"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3"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25"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67"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1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3"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2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67"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9" w:hRule="atLeast"/>
          <w:jc w:val="center"/>
        </w:trPr>
        <w:tc>
          <w:tcPr>
            <w:tcW w:w="6690" w:type="dxa"/>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总分</w:t>
            </w:r>
          </w:p>
        </w:tc>
        <w:tc>
          <w:tcPr>
            <w:tcW w:w="82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100</w:t>
            </w:r>
          </w:p>
        </w:tc>
        <w:tc>
          <w:tcPr>
            <w:tcW w:w="86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98</w:t>
            </w: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bl>
    <w:p>
      <w:pPr>
        <w:rPr>
          <w:rFonts w:hint="eastAsia" w:ascii="新宋体" w:hAnsi="新宋体" w:eastAsia="新宋体" w:cs="新宋体"/>
          <w:sz w:val="21"/>
          <w:szCs w:val="21"/>
          <w:lang w:eastAsia="zh-CN"/>
        </w:rPr>
      </w:pPr>
      <w:r>
        <w:rPr>
          <w:rFonts w:hint="eastAsia" w:ascii="新宋体" w:hAnsi="新宋体" w:eastAsia="新宋体" w:cs="新宋体"/>
          <w:sz w:val="21"/>
          <w:szCs w:val="21"/>
        </w:rPr>
        <w:t>备注：一个一级项目支出一张表。</w:t>
      </w:r>
      <w:r>
        <w:rPr>
          <w:rFonts w:hint="eastAsia" w:ascii="新宋体" w:hAnsi="新宋体" w:eastAsia="新宋体" w:cs="新宋体"/>
          <w:sz w:val="21"/>
          <w:szCs w:val="21"/>
          <w:lang w:eastAsia="zh-CN"/>
        </w:rPr>
        <w:t>如，</w:t>
      </w:r>
      <w:r>
        <w:rPr>
          <w:rFonts w:hint="eastAsia" w:ascii="新宋体" w:hAnsi="新宋体" w:eastAsia="新宋体" w:cs="新宋体"/>
          <w:sz w:val="21"/>
          <w:szCs w:val="21"/>
        </w:rPr>
        <w:t>业务工作经费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运行维护经费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lang w:val="en-US" w:eastAsia="zh-CN"/>
        </w:rPr>
        <w:t>XX项目</w:t>
      </w:r>
      <w:r>
        <w:rPr>
          <w:rFonts w:hint="eastAsia" w:ascii="新宋体" w:hAnsi="新宋体" w:eastAsia="新宋体" w:cs="新宋体"/>
          <w:sz w:val="21"/>
          <w:szCs w:val="21"/>
          <w:lang w:eastAsia="zh-CN"/>
        </w:rPr>
        <w:t>资金…各一张表。</w:t>
      </w:r>
    </w:p>
    <w:p>
      <w:pPr>
        <w:pStyle w:val="2"/>
        <w:rPr>
          <w:rFonts w:hint="eastAsia"/>
        </w:rPr>
      </w:pPr>
    </w:p>
    <w:p>
      <w:pPr>
        <w:jc w:val="left"/>
        <w:rPr>
          <w:rFonts w:hint="eastAsia" w:ascii="新宋体" w:hAnsi="新宋体" w:eastAsia="新宋体" w:cs="新宋体"/>
          <w:sz w:val="21"/>
          <w:szCs w:val="21"/>
        </w:rPr>
      </w:pPr>
      <w:r>
        <w:rPr>
          <w:rFonts w:hint="eastAsia" w:ascii="新宋体" w:hAnsi="新宋体" w:eastAsia="新宋体" w:cs="新宋体"/>
          <w:sz w:val="21"/>
          <w:szCs w:val="21"/>
        </w:rPr>
        <w:t xml:space="preserve">填表人：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 xml:space="preserve">填报日期：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 xml:space="preserve">联系电话：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 xml:space="preserve"> 单位负责人签字：</w:t>
      </w:r>
    </w:p>
    <w:p>
      <w:pPr>
        <w:spacing w:line="240" w:lineRule="auto"/>
        <w:ind w:firstLine="0" w:firstLineChars="0"/>
        <w:jc w:val="left"/>
        <w:outlineLvl w:val="0"/>
        <w:rPr>
          <w:rFonts w:hint="eastAsia" w:ascii="新宋体" w:hAnsi="新宋体" w:eastAsia="新宋体" w:cs="新宋体"/>
          <w:sz w:val="21"/>
          <w:szCs w:val="21"/>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6</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eastAsia="zh-CN"/>
        </w:rPr>
        <w:t>度华容县水利局</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河湖长制工作项目</w:t>
      </w:r>
      <w:r>
        <w:rPr>
          <w:rFonts w:hint="eastAsia" w:ascii="方正小标宋简体" w:hAnsi="方正小标宋简体" w:eastAsia="方正小标宋简体" w:cs="方正小标宋简体"/>
          <w:sz w:val="44"/>
          <w:szCs w:val="44"/>
        </w:rPr>
        <w:t>支出绩效自评报告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年  月  日</w:t>
      </w:r>
    </w:p>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（此页为封面）</w:t>
      </w:r>
    </w:p>
    <w:p>
      <w:pPr>
        <w:jc w:val="center"/>
        <w:rPr>
          <w:rFonts w:hint="eastAsia" w:ascii="方正小标宋简体" w:hAnsi="方正小标宋简体" w:eastAsia="方正小标宋简体" w:cs="方正小标宋简体"/>
          <w:sz w:val="44"/>
          <w:szCs w:val="44"/>
          <w:lang w:eastAsia="zh-CN"/>
        </w:rPr>
      </w:pPr>
      <w:r>
        <w:rPr>
          <w:rFonts w:hint="default" w:ascii="Times New Roman" w:hAnsi="Times New Roman" w:eastAsia="仿宋_GB2312" w:cs="Times New Roman"/>
          <w:sz w:val="32"/>
          <w:szCs w:val="32"/>
        </w:rPr>
        <w:br w:type="page"/>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eastAsia="zh-CN"/>
        </w:rPr>
        <w:t>度华容县水利局</w:t>
      </w:r>
    </w:p>
    <w:p>
      <w:pPr>
        <w:jc w:val="center"/>
        <w:rPr>
          <w:rFonts w:hint="default" w:ascii="Times New Roman" w:hAnsi="Times New Roman" w:eastAsia="仿宋_GB2312" w:cs="Times New Roman"/>
          <w:sz w:val="32"/>
          <w:szCs w:val="32"/>
        </w:rPr>
      </w:pPr>
      <w:r>
        <w:rPr>
          <w:rFonts w:hint="eastAsia" w:ascii="方正小标宋简体" w:hAnsi="方正小标宋简体" w:eastAsia="方正小标宋简体" w:cs="方正小标宋简体"/>
          <w:sz w:val="44"/>
          <w:szCs w:val="44"/>
          <w:lang w:eastAsia="zh-CN"/>
        </w:rPr>
        <w:t>河湖长制工作项目</w:t>
      </w:r>
      <w:r>
        <w:rPr>
          <w:rFonts w:hint="eastAsia" w:ascii="方正小标宋简体" w:hAnsi="方正小标宋简体" w:eastAsia="方正小标宋简体" w:cs="方正小标宋简体"/>
          <w:sz w:val="44"/>
          <w:szCs w:val="44"/>
        </w:rPr>
        <w:t>支出绩效自评报告</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一、基本情况</w:t>
      </w:r>
    </w:p>
    <w:p>
      <w:pPr>
        <w:spacing w:line="54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2017年党中央国务院作出全面推行河长制、2018年作出全面实行湖长制的重大决策，通过实施“河长制”达到“河长治”，实现“水清、河畅、堤固、岸绿、景美”目标。我县是湖区大县、“洞庭水乡”，河长制湖长制任务繁重。华容县是典型的“洞庭水乡”，境内河流总长达202.5公里，长江干堤华容段32.7公里，大中型湖泊11个，500亩以上湖库31个，中小型水库61座，主干沟渠140条690公里，河湖长制工作任务繁重。全县16名县级河长、70名乡级河长、163名村级河长，分别按每季、按每月、按每周一次频次巡河，三级河湖长全年巡河巡湖上万次。180名民间河长、10169名护河志愿者共同参与河湖管护，开展河湖长制宣传3次，净河净滩净岸行动2次。县河长办组织开展的河湖保洁、河长制宣传、培训以及按市里统一要求制作河长制公示牌等基础性工作经费，支</w:t>
      </w:r>
      <w:r>
        <w:rPr>
          <w:rFonts w:hint="eastAsia" w:ascii="仿宋" w:hAnsi="仿宋" w:eastAsia="仿宋" w:cs="仿宋"/>
          <w:sz w:val="32"/>
          <w:szCs w:val="32"/>
          <w:highlight w:val="none"/>
          <w:lang w:val="en-US" w:eastAsia="zh-CN"/>
        </w:rPr>
        <w:t>出100</w:t>
      </w:r>
      <w:r>
        <w:rPr>
          <w:rFonts w:hint="eastAsia" w:ascii="仿宋" w:hAnsi="仿宋" w:eastAsia="仿宋" w:cs="仿宋"/>
          <w:sz w:val="32"/>
          <w:szCs w:val="32"/>
          <w:lang w:val="en-US" w:eastAsia="zh-CN"/>
        </w:rPr>
        <w:t>万元。县河长制办公室对财政专项经费使用高度重视，严格监管。从项目资金安排、项目实施情况到资金拨付，必须经过集体研究决定，严格履行报批手续，实行专款专用、专人负责、专账管理、及时拨付，充分发挥财政专项资金效益，确保项目实施效果。</w:t>
      </w:r>
    </w:p>
    <w:p>
      <w:pPr>
        <w:spacing w:line="54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全县水生态环境显著改善，岸线逐渐变绿，秩序逐渐变好了，水质逐渐变净。河湖治理管护取得了阶段性成效。</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lang w:eastAsia="zh-CN"/>
        </w:rPr>
        <w:t>二</w:t>
      </w:r>
      <w:r>
        <w:rPr>
          <w:rFonts w:hint="eastAsia" w:ascii="黑体" w:hAnsi="黑体" w:eastAsia="黑体" w:cs="黑体"/>
          <w:sz w:val="30"/>
          <w:szCs w:val="30"/>
        </w:rPr>
        <w:t xml:space="preserve">、综合评价情况及评价结论 </w:t>
      </w:r>
    </w:p>
    <w:p>
      <w:pPr>
        <w:pStyle w:val="2"/>
        <w:ind w:firstLine="640" w:firstLineChars="200"/>
        <w:rPr>
          <w:rFonts w:hint="default"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按照县财政局有关文件要求，我们对2022年河湖长制工作专项资金使用绩效进行了自评，填写了《华容县财政支出项目绩效评价自评报告》、《支出项目绩效自评表》。自评得分98分，考核等级为“优秀”。</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lang w:eastAsia="zh-CN"/>
        </w:rPr>
        <w:t>三</w:t>
      </w:r>
      <w:r>
        <w:rPr>
          <w:rFonts w:hint="eastAsia" w:ascii="黑体" w:hAnsi="黑体" w:eastAsia="黑体" w:cs="黑体"/>
          <w:sz w:val="30"/>
          <w:szCs w:val="30"/>
        </w:rPr>
        <w:t>、绩效评价指标分析</w:t>
      </w:r>
    </w:p>
    <w:p>
      <w:pPr>
        <w:pStyle w:val="12"/>
        <w:widowControl w:val="0"/>
        <w:spacing w:before="0" w:beforeAutospacing="0" w:after="0" w:afterAutospacing="0" w:line="540" w:lineRule="exact"/>
        <w:ind w:firstLine="602" w:firstLineChars="200"/>
        <w:jc w:val="both"/>
        <w:rPr>
          <w:rFonts w:hint="eastAsia" w:ascii="仿宋" w:hAnsi="仿宋" w:eastAsia="仿宋" w:cs="仿宋"/>
          <w:kern w:val="2"/>
          <w:sz w:val="32"/>
          <w:szCs w:val="32"/>
          <w:lang w:val="en-US" w:eastAsia="zh-CN" w:bidi="ar-SA"/>
        </w:rPr>
      </w:pPr>
      <w:r>
        <w:rPr>
          <w:rFonts w:hint="eastAsia" w:ascii="楷体_GB2312" w:hAnsi="仿宋" w:eastAsia="楷体_GB2312" w:cs="仿宋"/>
          <w:b/>
          <w:bCs/>
          <w:color w:val="231F20"/>
          <w:sz w:val="30"/>
          <w:szCs w:val="30"/>
        </w:rPr>
        <w:t>（一）</w:t>
      </w:r>
      <w:r>
        <w:rPr>
          <w:rFonts w:hint="eastAsia" w:ascii="楷体_GB2312" w:hAnsi="仿宋" w:eastAsia="楷体_GB2312" w:cs="仿宋"/>
          <w:b/>
          <w:bCs/>
          <w:color w:val="231F20"/>
          <w:sz w:val="30"/>
          <w:szCs w:val="30"/>
          <w:lang w:eastAsia="zh-CN"/>
        </w:rPr>
        <w:t>创建样板河湖</w:t>
      </w:r>
      <w:r>
        <w:rPr>
          <w:rFonts w:hint="eastAsia" w:ascii="楷体_GB2312" w:hAnsi="仿宋" w:eastAsia="楷体_GB2312" w:cs="仿宋"/>
          <w:b/>
          <w:bCs/>
          <w:color w:val="231F20"/>
          <w:sz w:val="30"/>
          <w:szCs w:val="30"/>
        </w:rPr>
        <w:t>。</w:t>
      </w:r>
      <w:r>
        <w:rPr>
          <w:rFonts w:hint="eastAsia" w:ascii="仿宋" w:hAnsi="仿宋" w:eastAsia="仿宋" w:cs="仿宋"/>
          <w:kern w:val="2"/>
          <w:sz w:val="32"/>
          <w:szCs w:val="32"/>
          <w:lang w:val="en-US" w:eastAsia="zh-CN" w:bidi="ar-SA"/>
        </w:rPr>
        <w:t>通过河湖水环境整治，河湖面貌明显改善和提升。全县各乡镇每年打造乡镇样板河湖，其中治河渡镇严家河获评湖南省美丽河湖、东山水库、华一水库获评岳阳市美丽河湖。长江岸线整治、华容河突出问题整治和东湖水系水环境综合整治取得了显著成效，“河畅、水清、岸绿、景美”画卷徐徐展开，增强了广大群众良好生态环境获得感、幸福感。</w:t>
      </w:r>
    </w:p>
    <w:p>
      <w:pPr>
        <w:pStyle w:val="12"/>
        <w:widowControl w:val="0"/>
        <w:spacing w:before="0" w:beforeAutospacing="0" w:after="0" w:afterAutospacing="0" w:line="540" w:lineRule="exact"/>
        <w:ind w:firstLine="602" w:firstLineChars="200"/>
        <w:jc w:val="both"/>
        <w:rPr>
          <w:rFonts w:hint="eastAsia" w:ascii="仿宋" w:hAnsi="仿宋" w:eastAsia="仿宋" w:cs="仿宋"/>
          <w:kern w:val="2"/>
          <w:sz w:val="32"/>
          <w:szCs w:val="32"/>
          <w:lang w:val="en-US" w:eastAsia="zh-CN" w:bidi="ar-SA"/>
        </w:rPr>
      </w:pPr>
      <w:r>
        <w:rPr>
          <w:rFonts w:hint="eastAsia" w:ascii="楷体_GB2312" w:hAnsi="仿宋" w:eastAsia="楷体_GB2312" w:cs="仿宋"/>
          <w:b/>
          <w:bCs/>
          <w:color w:val="231F20"/>
          <w:sz w:val="30"/>
          <w:szCs w:val="30"/>
        </w:rPr>
        <w:t>（</w:t>
      </w:r>
      <w:r>
        <w:rPr>
          <w:rFonts w:hint="eastAsia" w:ascii="楷体_GB2312" w:hAnsi="仿宋" w:eastAsia="楷体_GB2312" w:cs="仿宋"/>
          <w:b/>
          <w:bCs/>
          <w:color w:val="231F20"/>
          <w:sz w:val="30"/>
          <w:szCs w:val="30"/>
          <w:lang w:eastAsia="zh-CN"/>
        </w:rPr>
        <w:t>二</w:t>
      </w:r>
      <w:r>
        <w:rPr>
          <w:rFonts w:hint="eastAsia" w:ascii="楷体_GB2312" w:hAnsi="仿宋" w:eastAsia="楷体_GB2312" w:cs="仿宋"/>
          <w:b/>
          <w:bCs/>
          <w:color w:val="231F20"/>
          <w:sz w:val="30"/>
          <w:szCs w:val="30"/>
        </w:rPr>
        <w:t>）改善河湖水环境。</w:t>
      </w:r>
      <w:r>
        <w:rPr>
          <w:rFonts w:hint="eastAsia" w:ascii="仿宋" w:hAnsi="仿宋" w:eastAsia="仿宋" w:cs="仿宋"/>
          <w:kern w:val="2"/>
          <w:sz w:val="32"/>
          <w:szCs w:val="32"/>
          <w:lang w:val="en-US" w:eastAsia="zh-CN" w:bidi="ar-SA"/>
        </w:rPr>
        <w:t>通过开展河湖“清四乱”和常态保洁，清除了侵占河湖库渠岸线的违章违法建筑物、阻水物；清除了河道渠道网箱、拦网；清理了沟渠淤泥；及时清除沟渠水草杂物，增加了河湖库渠容量和水体流速，提高了排涝能力。</w:t>
      </w:r>
    </w:p>
    <w:p>
      <w:pPr>
        <w:spacing w:line="540" w:lineRule="exact"/>
        <w:ind w:firstLine="600" w:firstLineChars="200"/>
        <w:rPr>
          <w:rFonts w:hint="eastAsia" w:ascii="黑体" w:hAnsi="黑体" w:eastAsia="黑体" w:cs="黑体"/>
          <w:sz w:val="30"/>
          <w:szCs w:val="30"/>
        </w:rPr>
      </w:pPr>
      <w:r>
        <w:rPr>
          <w:rFonts w:hint="eastAsia" w:ascii="黑体" w:hAnsi="黑体" w:eastAsia="黑体" w:cs="黑体"/>
          <w:sz w:val="30"/>
          <w:szCs w:val="30"/>
          <w:lang w:eastAsia="zh-CN"/>
        </w:rPr>
        <w:t>四</w:t>
      </w:r>
      <w:r>
        <w:rPr>
          <w:rFonts w:hint="eastAsia" w:ascii="黑体" w:hAnsi="黑体" w:eastAsia="黑体" w:cs="黑体"/>
          <w:sz w:val="30"/>
          <w:szCs w:val="30"/>
        </w:rPr>
        <w:t>、主要经验及做法、存在的问题及原因分析</w:t>
      </w:r>
    </w:p>
    <w:p>
      <w:pPr>
        <w:spacing w:line="540" w:lineRule="exact"/>
        <w:ind w:firstLine="640" w:firstLineChars="200"/>
        <w:rPr>
          <w:rFonts w:hint="eastAsia" w:ascii="黑体" w:hAnsi="黑体" w:eastAsia="黑体"/>
          <w:sz w:val="32"/>
          <w:szCs w:val="32"/>
        </w:rPr>
      </w:pPr>
      <w:r>
        <w:rPr>
          <w:rFonts w:hint="eastAsia" w:ascii="黑体" w:hAnsi="黑体" w:eastAsia="黑体"/>
          <w:sz w:val="32"/>
          <w:szCs w:val="32"/>
          <w:lang w:eastAsia="zh-CN"/>
        </w:rPr>
        <w:t>（一）</w:t>
      </w:r>
      <w:r>
        <w:rPr>
          <w:rFonts w:hint="eastAsia" w:ascii="黑体" w:hAnsi="黑体" w:eastAsia="黑体"/>
          <w:sz w:val="32"/>
          <w:szCs w:val="32"/>
        </w:rPr>
        <w:t>履职尽责，河湖长制迈上新台阶</w:t>
      </w:r>
    </w:p>
    <w:p>
      <w:pPr>
        <w:spacing w:line="540" w:lineRule="exact"/>
        <w:ind w:firstLine="640" w:firstLineChars="200"/>
        <w:rPr>
          <w:rFonts w:hint="eastAsia" w:ascii="仿宋_GB2312" w:eastAsia="仿宋_GB2312"/>
          <w:sz w:val="32"/>
          <w:szCs w:val="32"/>
        </w:rPr>
      </w:pPr>
      <w:r>
        <w:rPr>
          <w:rFonts w:hint="eastAsia" w:ascii="仿宋_GB2312" w:eastAsia="仿宋_GB2312"/>
          <w:sz w:val="32"/>
          <w:szCs w:val="32"/>
        </w:rPr>
        <w:t>加强河湖长制组织领导，调整完善了县、乡、村三级河湖长体系，实行双总河长制，党政同责，由党政主要领导担任双总河长，全县河湖长共252名，辖区内4条省管、市管河湖，12条县管河湖由县级领导担任河湖长。</w:t>
      </w:r>
      <w:r>
        <w:rPr>
          <w:rFonts w:hint="eastAsia" w:ascii="仿宋_GB2312" w:eastAsia="仿宋_GB2312"/>
          <w:b/>
          <w:bCs/>
          <w:sz w:val="32"/>
          <w:szCs w:val="32"/>
        </w:rPr>
        <w:t>一是突出巡河抓履职。</w:t>
      </w:r>
      <w:r>
        <w:rPr>
          <w:rFonts w:hint="eastAsia" w:ascii="仿宋_GB2312" w:eastAsia="仿宋_GB2312"/>
          <w:sz w:val="32"/>
          <w:szCs w:val="32"/>
        </w:rPr>
        <w:t>今年，县委、县政府召开全县总河长会1次，县政府召开河湖长制工作推进会3次，发布县总河长令3个。落实水利部《河长湖长履职规范》，印发《关于务实巡河提升履职质效的通知》，压实河长管河治水职责。明确望、问、查、改“巡河四步法”和“五有”“六有”标准，做到脚踏实地尽责巡、水域岸上仔细查、问题交办闭环改。2022年，全县三级河湖长巡河湖8568次，县乡两级河湖长巡河湖APP打卡率100%。出台《华容县河长湖长履职评议办法》，组织县人大代表、政协委员、民间河长、社会人士，对乡级河湖长履职情况评议2次，开展了县级对乡级、乡级对村级河湖长工作评价，有效推动了河湖长履职尽责。</w:t>
      </w:r>
      <w:r>
        <w:rPr>
          <w:rFonts w:hint="eastAsia" w:ascii="仿宋_GB2312" w:eastAsia="仿宋_GB2312"/>
          <w:b/>
          <w:bCs/>
          <w:sz w:val="32"/>
          <w:szCs w:val="32"/>
        </w:rPr>
        <w:t>二是夯实基础抓能效。</w:t>
      </w:r>
      <w:r>
        <w:rPr>
          <w:rFonts w:hint="eastAsia" w:ascii="仿宋_GB2312" w:eastAsia="仿宋_GB2312"/>
          <w:sz w:val="32"/>
          <w:szCs w:val="32"/>
        </w:rPr>
        <w:t>加强河长办标准化建设，提升组织协调、督办落实能力。进一步健全了“一办两员”（河长办、办事员、保洁员）工作体系，提高了“六有”（有机构、有人员、有场所、有制度、有经费、有设备）标准，做到了乡镇河长办统一设在乡镇机关、河长办干事统一由乡镇政府行文明确、办公室内外统一宣传内容“三个统一”。各乡镇完善了河湖保洁制度，统筹农村人居环境河湖环境保洁工作，安排了专职保洁人员，各村将河湖长制纳入村规民约。组织乡镇和县河委会成员单位分管负责人、干事、联络员集中学习培训，“充电”赋能。我县乡镇河长办标准化建设工作在2022年全市总河长会议作了典型发言。</w:t>
      </w:r>
      <w:r>
        <w:rPr>
          <w:rFonts w:hint="eastAsia" w:ascii="仿宋_GB2312" w:eastAsia="仿宋_GB2312"/>
          <w:b/>
          <w:bCs/>
          <w:sz w:val="32"/>
          <w:szCs w:val="32"/>
        </w:rPr>
        <w:t>三是严格督查抓落实。</w:t>
      </w:r>
      <w:r>
        <w:rPr>
          <w:rFonts w:hint="eastAsia" w:ascii="仿宋_GB2312" w:eastAsia="仿宋_GB2312"/>
          <w:sz w:val="32"/>
          <w:szCs w:val="32"/>
        </w:rPr>
        <w:t>将河湖长制工作纳入县委、县政府绩效考核，制定并实施常态暗访督查、季度督查讲评、年度考核总评机制。今年，县河长办成立暗访督查专班，实行专人专职专设备、暗访全事项全覆盖全日制。暗访督查天天“在线”，发现问题“随手拍”，发到河湖长制工作微信群，及时通报。发现突出问题36个，摄制的暗访视频在全县总河长会上曝光，对问题整改不力的13名责任人员，县纪委监委进行了问责处理，有力推进了河湖长制走深走实。</w:t>
      </w:r>
    </w:p>
    <w:p>
      <w:pPr>
        <w:spacing w:line="540" w:lineRule="exact"/>
        <w:ind w:firstLine="640" w:firstLineChars="200"/>
        <w:rPr>
          <w:rFonts w:hint="eastAsia" w:ascii="黑体" w:hAnsi="黑体" w:eastAsia="黑体"/>
          <w:sz w:val="32"/>
          <w:szCs w:val="32"/>
        </w:rPr>
      </w:pPr>
      <w:r>
        <w:rPr>
          <w:rFonts w:hint="eastAsia" w:ascii="黑体" w:hAnsi="黑体" w:eastAsia="黑体"/>
          <w:sz w:val="32"/>
          <w:szCs w:val="32"/>
          <w:lang w:eastAsia="zh-CN"/>
        </w:rPr>
        <w:t>（二）</w:t>
      </w:r>
      <w:r>
        <w:rPr>
          <w:rFonts w:hint="eastAsia" w:ascii="黑体" w:hAnsi="黑体" w:eastAsia="黑体"/>
          <w:sz w:val="32"/>
          <w:szCs w:val="32"/>
        </w:rPr>
        <w:t>攻坚克难，河湖治理取得新成效</w:t>
      </w:r>
    </w:p>
    <w:p>
      <w:pPr>
        <w:spacing w:line="540" w:lineRule="exact"/>
        <w:ind w:firstLine="643" w:firstLineChars="200"/>
        <w:rPr>
          <w:rFonts w:hint="eastAsia" w:ascii="仿宋_GB2312" w:eastAsia="仿宋_GB2312"/>
          <w:sz w:val="32"/>
          <w:szCs w:val="32"/>
        </w:rPr>
      </w:pPr>
      <w:r>
        <w:rPr>
          <w:rFonts w:hint="eastAsia" w:ascii="仿宋_GB2312" w:eastAsia="仿宋_GB2312"/>
          <w:b/>
          <w:bCs/>
          <w:sz w:val="32"/>
          <w:szCs w:val="32"/>
        </w:rPr>
        <w:t>一是碍洪问题严查严治。</w:t>
      </w:r>
      <w:r>
        <w:rPr>
          <w:rFonts w:hint="eastAsia" w:ascii="仿宋_GB2312" w:eastAsia="仿宋_GB2312"/>
          <w:sz w:val="32"/>
          <w:szCs w:val="32"/>
        </w:rPr>
        <w:t>落实省第8号市第13号总河长令，开展妨碍河道行洪突出问题排查整治，明确排查责任主体，排查做到横向到边、纵向到底、无死角、全覆盖。以“时时放心不下”的责任感，组织核查专班，全方位开展巡查，全县共排查出17个问题。组织相关职能部门和专家对碍洪问题逐个论证，存在行洪安全隐患的10个问题实行了立行立改，没有防洪安全隐患的2个问题落实管控措施，建立了问题、任务、责任“三个清单”，实行闭环管控。</w:t>
      </w:r>
      <w:r>
        <w:rPr>
          <w:rFonts w:hint="eastAsia" w:ascii="仿宋_GB2312" w:eastAsia="仿宋_GB2312"/>
          <w:b/>
          <w:bCs/>
          <w:sz w:val="32"/>
          <w:szCs w:val="32"/>
        </w:rPr>
        <w:t>二是“清河净滩”保洁有力有效。</w:t>
      </w:r>
      <w:r>
        <w:rPr>
          <w:rFonts w:hint="eastAsia" w:ascii="仿宋_GB2312" w:eastAsia="仿宋_GB2312"/>
          <w:sz w:val="32"/>
          <w:szCs w:val="32"/>
        </w:rPr>
        <w:t>以清理漂浮物、阻水物、垃圾、废弃物为重点，对河湖库渠塘全面开展“清河净滩”，全县组织志愿者宣传和开展“清河净滩”保洁行动32次。共投入劳动力23300多人次，出动车辆1900多台次，打捞漂浮物19600多吨，清理垃圾580多吨，清理淤泥8730多立方，清理河道渠道730多公里、大小湖泊29个。在治河渡辖区华容河重点堤段投入10多万元安装铁丝网，有效解决了牛羊上堤污染水质的问题。</w:t>
      </w:r>
      <w:r>
        <w:rPr>
          <w:rFonts w:hint="eastAsia" w:ascii="仿宋_GB2312" w:eastAsia="仿宋_GB2312"/>
          <w:b/>
          <w:bCs/>
          <w:sz w:val="32"/>
          <w:szCs w:val="32"/>
        </w:rPr>
        <w:t>三是小微水体全治群治。</w:t>
      </w:r>
      <w:r>
        <w:rPr>
          <w:rFonts w:hint="eastAsia" w:ascii="仿宋_GB2312" w:hAnsi="宋体" w:eastAsia="仿宋_GB2312"/>
          <w:sz w:val="32"/>
          <w:szCs w:val="32"/>
        </w:rPr>
        <w:t>印发《华容县全面推行“微河长”制实施方案》，招募“微河长”1898名，小微水体管护全覆盖，</w:t>
      </w:r>
      <w:r>
        <w:rPr>
          <w:rFonts w:hint="eastAsia" w:ascii="仿宋_GB2312" w:eastAsia="仿宋_GB2312"/>
          <w:sz w:val="32"/>
          <w:szCs w:val="32"/>
        </w:rPr>
        <w:t>综合施治“一乡一方案”。在全县全面开展小微水体排查摸底建档，制定方案列出整治任务、措施、时限、责任人四张清单。实施“一渠一策”，出台了《入河入湖渠道小微水体整治工作方案》《入河入湖渠道生态治理技术方案》。指导各乡镇连村成片打造1个小微水体整治示范片，为小微水体整治打标立样；</w:t>
      </w:r>
      <w:r>
        <w:rPr>
          <w:rFonts w:hint="eastAsia" w:ascii="仿宋_GB2312" w:hAnsi="宋体" w:eastAsia="仿宋_GB2312"/>
          <w:sz w:val="32"/>
          <w:szCs w:val="32"/>
        </w:rPr>
        <w:t>按照“自己的渠塘自己管护”原则，建立宅间渠塘跟宅走、田间渠塘跟田走、林间渠塘跟林走、其他渠塘跟村走的“四走”管护责任制，有效破解了小微水体管护难题。</w:t>
      </w:r>
      <w:r>
        <w:rPr>
          <w:rFonts w:hint="eastAsia" w:ascii="仿宋_GB2312" w:hAnsi="宋体" w:eastAsia="仿宋_GB2312"/>
          <w:b/>
          <w:bCs/>
          <w:sz w:val="32"/>
          <w:szCs w:val="32"/>
        </w:rPr>
        <w:t>四是</w:t>
      </w:r>
      <w:r>
        <w:rPr>
          <w:rFonts w:hint="eastAsia" w:ascii="仿宋_GB2312" w:eastAsia="仿宋_GB2312"/>
          <w:b/>
          <w:bCs/>
          <w:sz w:val="32"/>
          <w:szCs w:val="32"/>
        </w:rPr>
        <w:t>交办问题立行立改。</w:t>
      </w:r>
      <w:r>
        <w:rPr>
          <w:rFonts w:hint="eastAsia" w:ascii="仿宋_GB2312" w:eastAsia="仿宋_GB2312"/>
          <w:sz w:val="32"/>
          <w:szCs w:val="32"/>
        </w:rPr>
        <w:t>今年省市交办我县9个问题和县本级暗访发现的36个问题，均以县总河长令向相关乡镇和县直单位交办，县河长办跟踪督办，省市交办问题整改销号率100%。对水利部河湖长制检查组交办问题，立行立改，并举一反三，已按要求进行整改。</w:t>
      </w:r>
    </w:p>
    <w:p>
      <w:pPr>
        <w:spacing w:line="540" w:lineRule="exact"/>
        <w:ind w:firstLine="640" w:firstLineChars="200"/>
        <w:rPr>
          <w:rFonts w:hint="eastAsia" w:ascii="黑体" w:hAnsi="黑体" w:eastAsia="黑体"/>
          <w:sz w:val="32"/>
          <w:szCs w:val="32"/>
        </w:rPr>
      </w:pPr>
      <w:r>
        <w:rPr>
          <w:rFonts w:hint="eastAsia" w:ascii="黑体" w:hAnsi="黑体" w:eastAsia="黑体"/>
          <w:sz w:val="32"/>
          <w:szCs w:val="32"/>
          <w:lang w:eastAsia="zh-CN"/>
        </w:rPr>
        <w:t>（三）</w:t>
      </w:r>
      <w:r>
        <w:rPr>
          <w:rFonts w:hint="eastAsia" w:ascii="黑体" w:hAnsi="黑体" w:eastAsia="黑体"/>
          <w:sz w:val="32"/>
          <w:szCs w:val="32"/>
        </w:rPr>
        <w:t>真抓实干，河湖保护开创新局面</w:t>
      </w:r>
    </w:p>
    <w:p>
      <w:pPr>
        <w:spacing w:line="540" w:lineRule="exact"/>
        <w:ind w:firstLine="643" w:firstLineChars="200"/>
        <w:rPr>
          <w:rFonts w:hint="eastAsia" w:ascii="黑体" w:hAnsi="黑体" w:eastAsia="黑体" w:cs="黑体"/>
          <w:spacing w:val="-6"/>
          <w:sz w:val="30"/>
          <w:szCs w:val="30"/>
          <w:lang w:val="en-US" w:eastAsia="zh-CN"/>
        </w:rPr>
      </w:pPr>
      <w:r>
        <w:rPr>
          <w:rFonts w:hint="eastAsia" w:ascii="仿宋_GB2312" w:eastAsia="仿宋_GB2312"/>
          <w:b/>
          <w:bCs/>
          <w:sz w:val="32"/>
          <w:szCs w:val="32"/>
        </w:rPr>
        <w:t>一是推进跨省界河流联治。</w:t>
      </w:r>
      <w:r>
        <w:rPr>
          <w:rFonts w:hint="eastAsia" w:ascii="仿宋_GB2312" w:eastAsia="仿宋_GB2312"/>
          <w:sz w:val="32"/>
          <w:szCs w:val="32"/>
        </w:rPr>
        <w:t>今年，我们与华容河上游的湖北省石首市、下游的君山区对接协商，建立华容河联防联控联治机制，湖南湖北两省三县市区签订了协作协议，开启了华容河由“分段治”到“全域治”新局面，推动华容河河长制工作迈上新台阶。</w:t>
      </w:r>
      <w:r>
        <w:rPr>
          <w:rFonts w:hint="eastAsia" w:ascii="仿宋_GB2312" w:eastAsia="仿宋_GB2312"/>
          <w:b/>
          <w:bCs/>
          <w:sz w:val="32"/>
          <w:szCs w:val="32"/>
        </w:rPr>
        <w:t>二是深化部门协作联动。</w:t>
      </w:r>
      <w:r>
        <w:rPr>
          <w:rFonts w:hint="eastAsia" w:ascii="仿宋_GB2312" w:eastAsia="仿宋_GB2312"/>
          <w:sz w:val="32"/>
          <w:szCs w:val="32"/>
        </w:rPr>
        <w:t>深化“河长+检察长”“河长+警长”协作机制。县检察院在县河长办设立“生态环境检察室”，参与巡河或处理涉水问题的警长（员）158人次，检察长（官）与县级河长巡河64次，县检察院向有关乡镇发出生态环境保护检察建议4个，向县人民法院提起公益诉讼案件4起，促进了河湖长制法制化，提升了河湖管护司法效能。</w:t>
      </w:r>
      <w:r>
        <w:rPr>
          <w:rFonts w:hint="eastAsia" w:ascii="仿宋_GB2312" w:eastAsia="仿宋_GB2312"/>
          <w:b/>
          <w:bCs/>
          <w:spacing w:val="-6"/>
          <w:sz w:val="32"/>
          <w:szCs w:val="32"/>
        </w:rPr>
        <w:t>三是创建省级示范河流。</w:t>
      </w:r>
      <w:r>
        <w:rPr>
          <w:rFonts w:hint="eastAsia" w:ascii="仿宋_GB2312" w:eastAsia="仿宋_GB2312"/>
          <w:spacing w:val="-6"/>
          <w:sz w:val="32"/>
          <w:szCs w:val="32"/>
        </w:rPr>
        <w:t>结合华容河治理项目，实施五大工程，创建省级示范河。河道治理工程方面，治理河道总长41.6公里，治理堤防总长56.525公里，完成清基7.75万方，粘土还坡7.84万方，块石反压平台8.46万方，恢复并优化了河道岸线形态。景观绿化工程方面，县城区河段栽植观赏植物，草皮护坡18.5万平方米，硬化黑化堤面11000米，架设路灯181杆5430米。滨水休闲工程方面，打造居民亲水空间，在城区两岸各建有1个大型滨水广场，修建游步道栈道4300米。河长制文化工程方面，在示范河核心区修建了1个河长制文化广场和1个河长制主题公园，通过体现河长制元素的彩绘、涂鸦和宣传窗，使河长制潜移默化，深入人心。社会群治工程方面，建立示范河长效管护机制，示范河段各村党支部设立“党员河长”，各社区组织志愿者认领管护河段竖立管护责任牌，公示政府河长、党员河长和民间河长管护区段，落实管护责任。目前，华容河省级示范河流创建任务圆满完成。</w:t>
      </w:r>
      <w:r>
        <w:rPr>
          <w:rFonts w:hint="eastAsia" w:ascii="仿宋_GB2312" w:eastAsia="仿宋_GB2312"/>
          <w:b/>
          <w:bCs/>
          <w:spacing w:val="-6"/>
          <w:sz w:val="32"/>
          <w:szCs w:val="32"/>
        </w:rPr>
        <w:t>四是建设美丽河湖亮点。</w:t>
      </w:r>
      <w:r>
        <w:rPr>
          <w:rFonts w:hint="eastAsia" w:ascii="仿宋_GB2312" w:eastAsia="仿宋_GB2312"/>
          <w:spacing w:val="-6"/>
          <w:sz w:val="32"/>
          <w:szCs w:val="32"/>
        </w:rPr>
        <w:t>出台细则“立标”，县河长办制订美丽河湖创建标准，各乡镇编制详细的创建方案。推广典型“树标”，组织参观学习湖南省“美丽河湖”、治河渡镇严家河、东山水库，全县对标对表开展美丽河湖亮点建设。务实创建“达标”，全县美丽河湖亮点建设做到有方案、有措施、有经费、有成效“四有”。把美丽河湖亮点建设纳入乡镇河湖长制工作重点督查考核内容，年底组织验收，对验收不合格的，挂牌督办，限期达标。今年全县15个美丽河湖建设亮点纷呈，圆满完成了省、市部署安排的河湖长制各项工作任务。</w:t>
      </w: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both"/>
        <w:textAlignment w:val="auto"/>
        <w:rPr>
          <w:rFonts w:hint="eastAsia" w:ascii="方正小标宋简体" w:hAnsi="方正小标宋简体" w:eastAsia="方正小标宋简体" w:cs="方正小标宋简体"/>
          <w:color w:val="000000"/>
          <w:sz w:val="44"/>
          <w:szCs w:val="44"/>
          <w:lang w:eastAsia="zh-CN"/>
        </w:rPr>
      </w:pP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both"/>
        <w:textAlignment w:val="auto"/>
        <w:rPr>
          <w:rFonts w:hint="eastAsia" w:ascii="方正小标宋简体" w:hAnsi="方正小标宋简体" w:eastAsia="方正小标宋简体" w:cs="方正小标宋简体"/>
          <w:color w:val="000000"/>
          <w:sz w:val="44"/>
          <w:szCs w:val="44"/>
          <w:lang w:eastAsia="zh-CN"/>
        </w:rPr>
      </w:pP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both"/>
        <w:textAlignment w:val="auto"/>
        <w:rPr>
          <w:rFonts w:hint="eastAsia" w:ascii="方正小标宋简体" w:hAnsi="方正小标宋简体" w:eastAsia="方正小标宋简体" w:cs="方正小标宋简体"/>
          <w:color w:val="000000"/>
          <w:sz w:val="44"/>
          <w:szCs w:val="44"/>
          <w:lang w:eastAsia="zh-CN"/>
        </w:rPr>
      </w:pP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both"/>
        <w:textAlignment w:val="auto"/>
        <w:rPr>
          <w:rFonts w:hint="eastAsia" w:ascii="方正小标宋简体" w:hAnsi="方正小标宋简体" w:eastAsia="方正小标宋简体" w:cs="方正小标宋简体"/>
          <w:color w:val="000000"/>
          <w:sz w:val="44"/>
          <w:szCs w:val="44"/>
          <w:lang w:eastAsia="zh-CN"/>
        </w:rPr>
      </w:pP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both"/>
        <w:textAlignment w:val="auto"/>
        <w:rPr>
          <w:rFonts w:hint="eastAsia" w:ascii="方正小标宋简体" w:hAnsi="方正小标宋简体" w:eastAsia="方正小标宋简体" w:cs="方正小标宋简体"/>
          <w:color w:val="000000"/>
          <w:sz w:val="44"/>
          <w:szCs w:val="44"/>
          <w:lang w:eastAsia="zh-CN"/>
        </w:rPr>
      </w:pP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both"/>
        <w:textAlignment w:val="auto"/>
        <w:rPr>
          <w:rFonts w:hint="eastAsia" w:ascii="方正小标宋简体" w:hAnsi="方正小标宋简体" w:eastAsia="方正小标宋简体" w:cs="方正小标宋简体"/>
          <w:color w:val="000000"/>
          <w:sz w:val="44"/>
          <w:szCs w:val="44"/>
          <w:lang w:eastAsia="zh-CN"/>
        </w:rPr>
      </w:pP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both"/>
        <w:textAlignment w:val="auto"/>
        <w:rPr>
          <w:rFonts w:hint="eastAsia" w:ascii="方正小标宋简体" w:hAnsi="方正小标宋简体" w:eastAsia="方正小标宋简体" w:cs="方正小标宋简体"/>
          <w:color w:val="000000"/>
          <w:sz w:val="44"/>
          <w:szCs w:val="44"/>
          <w:lang w:eastAsia="zh-CN"/>
        </w:rPr>
      </w:pP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both"/>
        <w:textAlignment w:val="auto"/>
        <w:rPr>
          <w:rFonts w:hint="eastAsia" w:ascii="方正小标宋简体" w:hAnsi="方正小标宋简体" w:eastAsia="方正小标宋简体" w:cs="方正小标宋简体"/>
          <w:color w:val="000000"/>
          <w:sz w:val="44"/>
          <w:szCs w:val="44"/>
          <w:lang w:eastAsia="zh-CN"/>
        </w:rPr>
      </w:pP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both"/>
        <w:textAlignment w:val="auto"/>
        <w:rPr>
          <w:rFonts w:hint="eastAsia" w:ascii="方正小标宋简体" w:hAnsi="方正小标宋简体" w:eastAsia="方正小标宋简体" w:cs="方正小标宋简体"/>
          <w:color w:val="000000"/>
          <w:sz w:val="44"/>
          <w:szCs w:val="44"/>
          <w:lang w:eastAsia="zh-CN"/>
        </w:rPr>
      </w:pP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both"/>
        <w:textAlignment w:val="auto"/>
        <w:rPr>
          <w:rFonts w:hint="eastAsia" w:ascii="方正小标宋简体" w:hAnsi="方正小标宋简体" w:eastAsia="方正小标宋简体" w:cs="方正小标宋简体"/>
          <w:color w:val="000000"/>
          <w:sz w:val="44"/>
          <w:szCs w:val="44"/>
          <w:lang w:eastAsia="zh-CN"/>
        </w:rPr>
      </w:pP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both"/>
        <w:textAlignment w:val="auto"/>
        <w:rPr>
          <w:rFonts w:hint="default" w:ascii="方正小标宋简体" w:hAnsi="方正小标宋简体" w:eastAsia="方正小标宋简体" w:cs="方正小标宋简体"/>
          <w:color w:val="000000"/>
          <w:sz w:val="44"/>
          <w:szCs w:val="44"/>
          <w:lang w:val="en-US" w:eastAsia="zh-CN"/>
        </w:rPr>
      </w:pPr>
      <w:r>
        <w:rPr>
          <w:rFonts w:hint="eastAsia" w:ascii="方正小标宋简体" w:hAnsi="方正小标宋简体" w:eastAsia="方正小标宋简体" w:cs="方正小标宋简体"/>
          <w:color w:val="000000"/>
          <w:sz w:val="44"/>
          <w:szCs w:val="44"/>
          <w:lang w:eastAsia="zh-CN"/>
        </w:rPr>
        <w:t>附件</w:t>
      </w:r>
      <w:r>
        <w:rPr>
          <w:rFonts w:hint="eastAsia" w:ascii="方正小标宋简体" w:hAnsi="方正小标宋简体" w:eastAsia="方正小标宋简体" w:cs="方正小标宋简体"/>
          <w:color w:val="000000"/>
          <w:sz w:val="44"/>
          <w:szCs w:val="44"/>
          <w:lang w:val="en-US" w:eastAsia="zh-CN"/>
        </w:rPr>
        <w:t>4</w:t>
      </w: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color w:val="000000"/>
          <w:sz w:val="36"/>
          <w:szCs w:val="36"/>
        </w:rPr>
      </w:pPr>
      <w:r>
        <w:rPr>
          <w:rFonts w:hint="eastAsia" w:ascii="方正小标宋简体" w:hAnsi="方正小标宋简体" w:eastAsia="方正小标宋简体" w:cs="方正小标宋简体"/>
          <w:color w:val="000000"/>
          <w:sz w:val="36"/>
          <w:szCs w:val="36"/>
          <w:lang w:eastAsia="zh-CN"/>
        </w:rPr>
        <w:t>华容县库区移民事务中心</w:t>
      </w:r>
      <w:r>
        <w:rPr>
          <w:rFonts w:hint="eastAsia" w:ascii="方正小标宋简体" w:hAnsi="方正小标宋简体" w:eastAsia="方正小标宋简体" w:cs="方正小标宋简体"/>
          <w:color w:val="000000"/>
          <w:sz w:val="36"/>
          <w:szCs w:val="36"/>
        </w:rPr>
        <w:t>项目支出绩效评价</w:t>
      </w:r>
      <w:r>
        <w:rPr>
          <w:rFonts w:hint="eastAsia" w:ascii="方正小标宋简体" w:hAnsi="方正小标宋简体" w:eastAsia="方正小标宋简体" w:cs="方正小标宋简体"/>
          <w:color w:val="000000"/>
          <w:sz w:val="36"/>
          <w:szCs w:val="36"/>
          <w:lang w:eastAsia="zh-CN"/>
        </w:rPr>
        <w:t>评分表</w:t>
      </w:r>
    </w:p>
    <w:tbl>
      <w:tblPr>
        <w:tblStyle w:val="14"/>
        <w:tblW w:w="9820" w:type="dxa"/>
        <w:jc w:val="center"/>
        <w:tblLayout w:type="fixed"/>
        <w:tblCellMar>
          <w:top w:w="0" w:type="dxa"/>
          <w:left w:w="108" w:type="dxa"/>
          <w:bottom w:w="0" w:type="dxa"/>
          <w:right w:w="108" w:type="dxa"/>
        </w:tblCellMar>
      </w:tblPr>
      <w:tblGrid>
        <w:gridCol w:w="702"/>
        <w:gridCol w:w="540"/>
        <w:gridCol w:w="703"/>
        <w:gridCol w:w="540"/>
        <w:gridCol w:w="803"/>
        <w:gridCol w:w="550"/>
        <w:gridCol w:w="2407"/>
        <w:gridCol w:w="2772"/>
        <w:gridCol w:w="803"/>
      </w:tblGrid>
      <w:tr>
        <w:tblPrEx>
          <w:tblCellMar>
            <w:top w:w="0" w:type="dxa"/>
            <w:left w:w="108" w:type="dxa"/>
            <w:bottom w:w="0" w:type="dxa"/>
            <w:right w:w="108" w:type="dxa"/>
          </w:tblCellMar>
        </w:tblPrEx>
        <w:trPr>
          <w:trHeight w:val="582" w:hRule="atLeast"/>
          <w:tblHeader/>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一级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703"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二级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803"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三级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5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240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具体指标</w:t>
            </w:r>
          </w:p>
        </w:tc>
        <w:tc>
          <w:tcPr>
            <w:tcW w:w="277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评价标准</w:t>
            </w:r>
          </w:p>
        </w:tc>
        <w:tc>
          <w:tcPr>
            <w:tcW w:w="80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rPr>
            </w:pPr>
            <w:r>
              <w:rPr>
                <w:rFonts w:hint="eastAsia" w:ascii="仿宋_GB2312" w:hAnsi="宋体" w:eastAsia="仿宋_GB2312" w:cs="宋体"/>
                <w:b/>
                <w:bCs/>
                <w:kern w:val="0"/>
                <w:sz w:val="18"/>
                <w:szCs w:val="18"/>
              </w:rPr>
              <w:t>自评</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24"/>
              </w:rPr>
            </w:pPr>
            <w:r>
              <w:rPr>
                <w:rFonts w:hint="eastAsia" w:ascii="仿宋_GB2312" w:hAnsi="宋体" w:eastAsia="仿宋_GB2312" w:cs="宋体"/>
                <w:b/>
                <w:bCs/>
                <w:kern w:val="0"/>
                <w:sz w:val="18"/>
                <w:szCs w:val="18"/>
              </w:rPr>
              <w:t>得分</w:t>
            </w:r>
          </w:p>
        </w:tc>
      </w:tr>
      <w:tr>
        <w:tblPrEx>
          <w:tblCellMar>
            <w:top w:w="0" w:type="dxa"/>
            <w:left w:w="108" w:type="dxa"/>
            <w:bottom w:w="0" w:type="dxa"/>
            <w:right w:w="108" w:type="dxa"/>
          </w:tblCellMar>
        </w:tblPrEx>
        <w:trPr>
          <w:trHeight w:val="967" w:hRule="atLeast"/>
          <w:jc w:val="center"/>
        </w:trPr>
        <w:tc>
          <w:tcPr>
            <w:tcW w:w="702" w:type="dxa"/>
            <w:vMerge w:val="restart"/>
            <w:tcBorders>
              <w:top w:val="nil"/>
              <w:left w:val="single" w:color="000000" w:sz="4" w:space="0"/>
              <w:bottom w:val="single" w:color="000000" w:sz="4" w:space="0"/>
              <w:right w:val="single" w:color="000000" w:sz="4" w:space="0"/>
            </w:tcBorders>
            <w:textDirection w:val="tbLrV"/>
            <w:vAlign w:val="center"/>
          </w:tcPr>
          <w:p>
            <w:pPr>
              <w:keepNext w:val="0"/>
              <w:keepLines w:val="0"/>
              <w:widowControl/>
              <w:suppressLineNumbers w:val="0"/>
              <w:spacing w:before="0" w:beforeAutospacing="0" w:after="0" w:afterAutospacing="0" w:line="240" w:lineRule="exact"/>
              <w:ind w:left="113" w:right="113"/>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项目决策</w:t>
            </w:r>
          </w:p>
        </w:tc>
        <w:tc>
          <w:tcPr>
            <w:tcW w:w="540" w:type="dxa"/>
            <w:vMerge w:val="restart"/>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20</w:t>
            </w:r>
          </w:p>
        </w:tc>
        <w:tc>
          <w:tcPr>
            <w:tcW w:w="703" w:type="dxa"/>
            <w:tcBorders>
              <w:top w:val="nil"/>
              <w:left w:val="nil"/>
              <w:bottom w:val="single" w:color="000000" w:sz="4" w:space="0"/>
              <w:right w:val="single" w:color="000000" w:sz="4" w:space="0"/>
            </w:tcBorders>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项目目标</w:t>
            </w:r>
          </w:p>
        </w:tc>
        <w:tc>
          <w:tcPr>
            <w:tcW w:w="54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目标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内容</w:t>
            </w: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设立了项目绩效目标；目标明确；目标细化；目标量化</w:t>
            </w:r>
          </w:p>
        </w:tc>
        <w:tc>
          <w:tcPr>
            <w:tcW w:w="2772"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①设有目标（1分）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②目标明确（1分）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③目标细化（1分）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④目标量化（1分）</w:t>
            </w: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1277" w:hRule="atLeast"/>
          <w:jc w:val="center"/>
        </w:trPr>
        <w:tc>
          <w:tcPr>
            <w:tcW w:w="702"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决策过程</w:t>
            </w:r>
          </w:p>
        </w:tc>
        <w:tc>
          <w:tcPr>
            <w:tcW w:w="540" w:type="dxa"/>
            <w:vMerge w:val="restart"/>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依据</w:t>
            </w: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有关法律法规的明确规定；某一经济社会发展规划；某部门年度工作计划；某一实际问题和需求</w:t>
            </w:r>
          </w:p>
        </w:tc>
        <w:tc>
          <w:tcPr>
            <w:tcW w:w="2772"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①符合法律法规（1分）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②符合经济社会发展规划（1分）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③部门年度工作计划（1分）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6"/>
                <w:kern w:val="0"/>
                <w:sz w:val="18"/>
                <w:szCs w:val="18"/>
                <w:lang w:eastAsia="zh-CN"/>
              </w:rPr>
            </w:pPr>
            <w:r>
              <w:rPr>
                <w:rFonts w:hint="eastAsia" w:ascii="仿宋_GB2312" w:hAnsi="宋体" w:eastAsia="仿宋_GB2312" w:cs="宋体"/>
                <w:spacing w:val="-6"/>
                <w:kern w:val="0"/>
                <w:sz w:val="18"/>
                <w:szCs w:val="18"/>
              </w:rPr>
              <w:t>④针对某一实际问题和需求（1分）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以上③需提供佐证资料。</w:t>
            </w: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983" w:hRule="atLeast"/>
          <w:jc w:val="center"/>
        </w:trPr>
        <w:tc>
          <w:tcPr>
            <w:tcW w:w="702"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程序</w:t>
            </w: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项目符合申报条件；申报、批复程序符合相关管理办法；项目调整履行了相应手续</w:t>
            </w:r>
          </w:p>
        </w:tc>
        <w:tc>
          <w:tcPr>
            <w:tcW w:w="2772"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①符合申报条件（2分）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②项目申报、批复程序符合管理办法（1分）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③项目调整履行了相应手续（1分）</w:t>
            </w: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967" w:hRule="atLeast"/>
          <w:jc w:val="center"/>
        </w:trPr>
        <w:tc>
          <w:tcPr>
            <w:tcW w:w="702"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w:t>
            </w:r>
          </w:p>
        </w:tc>
        <w:tc>
          <w:tcPr>
            <w:tcW w:w="540" w:type="dxa"/>
            <w:vMerge w:val="restart"/>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办法</w:t>
            </w: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根据需要制定的相关资金管理办法；管理办法中有明确资金分配办法；资金分配因素全面、合理</w:t>
            </w:r>
          </w:p>
        </w:tc>
        <w:tc>
          <w:tcPr>
            <w:tcW w:w="2772"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①有相应的资金管理办法（1分）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②办法健全、规范（1分）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③因素全面合理（1分）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58" w:hRule="atLeast"/>
          <w:jc w:val="center"/>
        </w:trPr>
        <w:tc>
          <w:tcPr>
            <w:tcW w:w="702"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结果</w:t>
            </w: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资金分配符合相关管理办法；分配结果公平合理</w:t>
            </w:r>
          </w:p>
        </w:tc>
        <w:tc>
          <w:tcPr>
            <w:tcW w:w="2772"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①符合分配办法（2分）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②分配公平合理（3分）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此项需提供相应的资金分配方案。</w:t>
            </w: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438" w:hRule="atLeast"/>
          <w:jc w:val="center"/>
        </w:trPr>
        <w:tc>
          <w:tcPr>
            <w:tcW w:w="702" w:type="dxa"/>
            <w:vMerge w:val="restart"/>
            <w:tcBorders>
              <w:top w:val="nil"/>
              <w:left w:val="single" w:color="000000" w:sz="4" w:space="0"/>
              <w:right w:val="single" w:color="000000" w:sz="4" w:space="0"/>
            </w:tcBorders>
            <w:textDirection w:val="tbLrV"/>
            <w:vAlign w:val="center"/>
          </w:tcPr>
          <w:p>
            <w:pPr>
              <w:keepNext w:val="0"/>
              <w:keepLines w:val="0"/>
              <w:widowControl/>
              <w:suppressLineNumbers w:val="0"/>
              <w:spacing w:before="0" w:beforeAutospacing="0" w:after="0" w:afterAutospacing="0" w:line="240" w:lineRule="exact"/>
              <w:ind w:left="113" w:right="113" w:firstLine="2520" w:firstLineChars="1400"/>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r>
              <w:rPr>
                <w:rFonts w:hint="eastAsia" w:ascii="仿宋_GB2312" w:hAnsi="宋体" w:eastAsia="仿宋_GB2312" w:cs="宋体"/>
                <w:kern w:val="0"/>
                <w:sz w:val="18"/>
                <w:szCs w:val="18"/>
                <w:lang w:eastAsia="zh-CN"/>
              </w:rPr>
              <w:t>管理</w:t>
            </w:r>
          </w:p>
        </w:tc>
        <w:tc>
          <w:tcPr>
            <w:tcW w:w="540" w:type="dxa"/>
            <w:vMerge w:val="restart"/>
            <w:tcBorders>
              <w:top w:val="nil"/>
              <w:left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25</w:t>
            </w:r>
          </w:p>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资金到位</w:t>
            </w:r>
          </w:p>
        </w:tc>
        <w:tc>
          <w:tcPr>
            <w:tcW w:w="540" w:type="dxa"/>
            <w:vMerge w:val="restart"/>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到位率</w:t>
            </w: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实际到位/计划到位*100%</w:t>
            </w:r>
          </w:p>
        </w:tc>
        <w:tc>
          <w:tcPr>
            <w:tcW w:w="2772"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根据项目资金的实际到位率计算得分（3分）</w:t>
            </w: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44" w:hRule="atLeast"/>
          <w:jc w:val="center"/>
        </w:trPr>
        <w:tc>
          <w:tcPr>
            <w:tcW w:w="702"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到位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资金及时到位；若未及时到位，是否影响项目进度</w:t>
            </w:r>
          </w:p>
        </w:tc>
        <w:tc>
          <w:tcPr>
            <w:tcW w:w="2772"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①到位及时（2分）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10"/>
                <w:kern w:val="0"/>
                <w:sz w:val="18"/>
                <w:szCs w:val="18"/>
                <w:lang w:eastAsia="zh-CN"/>
              </w:rPr>
            </w:pPr>
            <w:r>
              <w:rPr>
                <w:rFonts w:hint="eastAsia" w:ascii="仿宋_GB2312" w:hAnsi="宋体" w:eastAsia="仿宋_GB2312" w:cs="宋体"/>
                <w:spacing w:val="-10"/>
                <w:kern w:val="0"/>
                <w:sz w:val="18"/>
                <w:szCs w:val="18"/>
              </w:rPr>
              <w:t>②不及时但未影响项目进度 （1分）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③不及时并影响项目进度（0.5分）</w:t>
            </w: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2</w:t>
            </w:r>
          </w:p>
        </w:tc>
      </w:tr>
      <w:tr>
        <w:tblPrEx>
          <w:tblCellMar>
            <w:top w:w="0" w:type="dxa"/>
            <w:left w:w="108" w:type="dxa"/>
            <w:bottom w:w="0" w:type="dxa"/>
            <w:right w:w="108" w:type="dxa"/>
          </w:tblCellMar>
        </w:tblPrEx>
        <w:trPr>
          <w:trHeight w:val="1168" w:hRule="atLeast"/>
          <w:jc w:val="center"/>
        </w:trPr>
        <w:tc>
          <w:tcPr>
            <w:tcW w:w="702"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w:t>
            </w:r>
          </w:p>
        </w:tc>
        <w:tc>
          <w:tcPr>
            <w:tcW w:w="540" w:type="dxa"/>
            <w:vMerge w:val="restart"/>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资金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使用</w:t>
            </w: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7</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支出依据合规，无虚列项目支出情况；无截留挤占挪用情况；无超标准开支情况；无超预算情况</w:t>
            </w:r>
          </w:p>
        </w:tc>
        <w:tc>
          <w:tcPr>
            <w:tcW w:w="2772"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 xml:space="preserve">①虚列套取扣4-7分 </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②依据不合规扣2分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③截留、挤占、挪用扣3-6分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④超标准开支扣2-5分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⑤超预算扣2-5分</w:t>
            </w: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r>
      <w:tr>
        <w:tblPrEx>
          <w:tblCellMar>
            <w:top w:w="0" w:type="dxa"/>
            <w:left w:w="108" w:type="dxa"/>
            <w:bottom w:w="0" w:type="dxa"/>
            <w:right w:w="108" w:type="dxa"/>
          </w:tblCellMar>
        </w:tblPrEx>
        <w:trPr>
          <w:trHeight w:val="871" w:hRule="atLeast"/>
          <w:jc w:val="center"/>
        </w:trPr>
        <w:tc>
          <w:tcPr>
            <w:tcW w:w="702"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财务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管理</w:t>
            </w: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资金管理、费用支出等制度健全；制度执行严格；会计核算规范</w:t>
            </w:r>
          </w:p>
        </w:tc>
        <w:tc>
          <w:tcPr>
            <w:tcW w:w="2772"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①财务制度健全（1分）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②严格执行制度（1分）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③会计核算规范（1分）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532" w:hRule="atLeast"/>
          <w:jc w:val="center"/>
        </w:trPr>
        <w:tc>
          <w:tcPr>
            <w:tcW w:w="702" w:type="dxa"/>
            <w:vMerge w:val="continue"/>
            <w:tcBorders>
              <w:left w:val="single" w:color="000000" w:sz="4" w:space="0"/>
              <w:right w:val="single" w:color="000000" w:sz="4" w:space="0"/>
            </w:tcBorders>
            <w:shd w:val="clear" w:color="auto" w:fill="auto"/>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shd w:val="clear" w:color="auto" w:fill="auto"/>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组织实施</w:t>
            </w:r>
          </w:p>
        </w:tc>
        <w:tc>
          <w:tcPr>
            <w:tcW w:w="540"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组织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机构健全、分工明确</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①机构健全、分工明确  （1分）</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支撑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条件</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项目实施单位是否提供或具备了必备的人员、场地和设备等条件</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具备人员、场地、设备条件（1分）</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实施</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项目按计划开工；按计划进度开展；按计划完工</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①按计划开工（1分）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②按计划开展（1分）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③按计划完工（1分）</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45" w:hRule="atLeast"/>
          <w:jc w:val="center"/>
        </w:trPr>
        <w:tc>
          <w:tcPr>
            <w:tcW w:w="702"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管理</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制度</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项目管理制度健全；严格执行相关管理制度</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①管理制度健全（2分）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②制度执行严格（3分）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restart"/>
            <w:tcBorders>
              <w:top w:val="single" w:color="auto"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项目绩效</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55</w:t>
            </w:r>
          </w:p>
        </w:tc>
        <w:tc>
          <w:tcPr>
            <w:tcW w:w="703" w:type="dxa"/>
            <w:vMerge w:val="restart"/>
            <w:tcBorders>
              <w:top w:val="single" w:color="auto"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15</w:t>
            </w:r>
          </w:p>
        </w:tc>
        <w:tc>
          <w:tcPr>
            <w:tcW w:w="803" w:type="dxa"/>
            <w:tcBorders>
              <w:top w:val="single" w:color="auto"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数量</w:t>
            </w:r>
          </w:p>
        </w:tc>
        <w:tc>
          <w:tcPr>
            <w:tcW w:w="550" w:type="dxa"/>
            <w:tcBorders>
              <w:top w:val="single" w:color="auto"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single" w:color="auto"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目标完成率=目标完成数/预定目标数×100%</w:t>
            </w:r>
          </w:p>
        </w:tc>
        <w:tc>
          <w:tcPr>
            <w:tcW w:w="2772" w:type="dxa"/>
            <w:tcBorders>
              <w:top w:val="single" w:color="auto"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完成绩效目标100%得5分，未完成100%的同比例扣减。</w:t>
            </w:r>
          </w:p>
        </w:tc>
        <w:tc>
          <w:tcPr>
            <w:tcW w:w="80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质量</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目标完成质量=实际达到的效果/预定目标×100%</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项目产出质量达到绩效目标100%得4分，未完成100%的同比例扣减。</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项目资金使用的预定目标是否如期完成，未完成的理由是否充分</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项目产出时效达到绩效目标得3分，未如期完成且无充分理由的扣3分。</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成本</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项目产出成本是否按绩效目标控制</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项目产出成本按绩效目标控制得3分，未完成的，按超支比例扣减。</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shd w:val="clear" w:color="auto" w:fill="auto"/>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项目效果</w:t>
            </w:r>
          </w:p>
        </w:tc>
        <w:tc>
          <w:tcPr>
            <w:tcW w:w="540"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40</w:t>
            </w: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经济</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项目实施对经济发展所带来的直接或间接影响情况。</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完成绩效目标设定的经济效益得8分，未完成的，按完成情况酌情扣分。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社会</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项目实施对社会发展所带来的直接或间接影响情况。</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完成绩效目标设定的社会效益得8分，未完成的，按完成情况酌情扣分。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生态</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项目实施对生态环境所带来的直接或间接影响情况。</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完成绩效目标设定的积极的环境效益得8分，未完成的，按完成情况酌情扣分。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可持续</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影响</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项目后续运行及成效发挥的可持续影响情况。</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完成绩效设定目标的得8分，未完成的，按完成情况酌情扣分。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服务</w:t>
            </w:r>
          </w:p>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对象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满意度</w:t>
            </w: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服务对象满意率=项目区被调查人数中表示满意的人数(户数)/ 被调查人数(户数)×100%</w:t>
            </w:r>
          </w:p>
        </w:tc>
        <w:tc>
          <w:tcPr>
            <w:tcW w:w="2772" w:type="dxa"/>
            <w:tcBorders>
              <w:top w:val="nil"/>
              <w:left w:val="nil"/>
              <w:bottom w:val="single" w:color="000000" w:sz="4" w:space="0"/>
              <w:right w:val="nil"/>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满意率达90%（含）以上的得8分，80%（含）-90%得6分，70%（含）-80%得4分，60%（含）-70%得2分，60%以下不得分。</w:t>
            </w: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cs="宋体" w:eastAsiaTheme="minorEastAsia"/>
                <w:kern w:val="0"/>
                <w:sz w:val="24"/>
                <w:lang w:val="en-US" w:eastAsia="zh-CN"/>
              </w:rPr>
            </w:pPr>
            <w:r>
              <w:rPr>
                <w:rFonts w:hint="eastAsia" w:ascii="宋体" w:hAnsi="宋体" w:cs="宋体"/>
                <w:kern w:val="0"/>
                <w:sz w:val="24"/>
                <w:lang w:val="en-US" w:eastAsia="zh-CN"/>
              </w:rPr>
              <w:t>7</w:t>
            </w:r>
          </w:p>
        </w:tc>
      </w:tr>
      <w:tr>
        <w:tblPrEx>
          <w:tblCellMar>
            <w:top w:w="0" w:type="dxa"/>
            <w:left w:w="108" w:type="dxa"/>
            <w:bottom w:w="0" w:type="dxa"/>
            <w:right w:w="108" w:type="dxa"/>
          </w:tblCellMar>
        </w:tblPrEx>
        <w:trPr>
          <w:trHeight w:val="860" w:hRule="atLeast"/>
          <w:jc w:val="center"/>
        </w:trPr>
        <w:tc>
          <w:tcPr>
            <w:tcW w:w="702"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总分</w:t>
            </w:r>
          </w:p>
        </w:tc>
        <w:tc>
          <w:tcPr>
            <w:tcW w:w="54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7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4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2772" w:type="dxa"/>
            <w:tcBorders>
              <w:top w:val="nil"/>
              <w:left w:val="nil"/>
              <w:bottom w:val="single" w:color="000000" w:sz="4" w:space="0"/>
              <w:right w:val="nil"/>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left"/>
              <w:rPr>
                <w:rFonts w:hint="eastAsia" w:ascii="宋体" w:hAnsi="宋体" w:cs="宋体" w:eastAsiaTheme="minorEastAsia"/>
                <w:b/>
                <w:bCs/>
                <w:kern w:val="0"/>
                <w:sz w:val="24"/>
                <w:lang w:val="en-US" w:eastAsia="zh-CN"/>
              </w:rPr>
            </w:pPr>
            <w:r>
              <w:rPr>
                <w:rFonts w:hint="eastAsia" w:ascii="宋体" w:hAnsi="宋体" w:cs="宋体"/>
                <w:b/>
                <w:bCs/>
                <w:kern w:val="0"/>
                <w:sz w:val="24"/>
                <w:lang w:val="en-US" w:eastAsia="zh-CN"/>
              </w:rPr>
              <w:t>97</w:t>
            </w:r>
          </w:p>
        </w:tc>
      </w:tr>
    </w:tbl>
    <w:p>
      <w:pPr>
        <w:adjustRightInd w:val="0"/>
        <w:snapToGrid w:val="0"/>
        <w:spacing w:before="156" w:beforeLines="50"/>
        <w:ind w:left="840" w:hanging="840" w:hangingChars="400"/>
        <w:contextualSpacing/>
        <w:rPr>
          <w:rFonts w:hint="eastAsia" w:ascii="仿宋_GB2312" w:eastAsia="仿宋_GB2312"/>
        </w:rPr>
      </w:pPr>
    </w:p>
    <w:p>
      <w:pPr>
        <w:adjustRightInd w:val="0"/>
        <w:snapToGrid w:val="0"/>
        <w:spacing w:before="156" w:beforeLines="50"/>
        <w:ind w:left="840" w:hanging="840" w:hangingChars="400"/>
        <w:contextualSpacing/>
        <w:rPr>
          <w:rFonts w:hint="eastAsia" w:ascii="仿宋_GB2312" w:eastAsia="仿宋_GB2312"/>
        </w:rPr>
      </w:pPr>
    </w:p>
    <w:p>
      <w:pPr>
        <w:adjustRightInd w:val="0"/>
        <w:snapToGrid w:val="0"/>
        <w:spacing w:before="156" w:beforeLines="50"/>
        <w:ind w:left="840" w:hanging="840" w:hangingChars="400"/>
        <w:contextualSpacing/>
        <w:rPr>
          <w:rFonts w:hint="eastAsia" w:ascii="仿宋_GB2312" w:eastAsia="仿宋_GB2312"/>
        </w:rPr>
      </w:pPr>
      <w:r>
        <w:rPr>
          <w:rFonts w:hint="eastAsia" w:ascii="仿宋_GB2312" w:eastAsia="仿宋_GB2312"/>
        </w:rPr>
        <w:t>备注：</w:t>
      </w:r>
      <w:r>
        <w:rPr>
          <w:rFonts w:hint="eastAsia" w:ascii="仿宋_GB2312" w:eastAsia="仿宋_GB2312"/>
          <w:lang w:val="en-US" w:eastAsia="zh-CN"/>
        </w:rPr>
        <w:t>1、</w:t>
      </w:r>
      <w:r>
        <w:rPr>
          <w:rFonts w:hint="eastAsia" w:ascii="仿宋_GB2312" w:eastAsia="仿宋_GB2312"/>
        </w:rPr>
        <w:t>部门（单位）根据项目实际，在《项目支出绩效评价指标</w:t>
      </w:r>
      <w:r>
        <w:rPr>
          <w:rFonts w:hint="eastAsia" w:ascii="仿宋_GB2312" w:eastAsia="仿宋_GB2312"/>
          <w:lang w:eastAsia="zh-CN"/>
        </w:rPr>
        <w:t>评分表</w:t>
      </w:r>
      <w:r>
        <w:rPr>
          <w:rFonts w:hint="eastAsia" w:ascii="仿宋_GB2312" w:eastAsia="仿宋_GB2312"/>
        </w:rPr>
        <w:t>（</w:t>
      </w:r>
      <w:r>
        <w:rPr>
          <w:rFonts w:hint="eastAsia" w:ascii="仿宋_GB2312" w:eastAsia="仿宋_GB2312"/>
          <w:lang w:eastAsia="zh-CN"/>
        </w:rPr>
        <w:t>共性</w:t>
      </w:r>
      <w:r>
        <w:rPr>
          <w:rFonts w:hint="eastAsia" w:ascii="仿宋_GB2312" w:eastAsia="仿宋_GB2312"/>
        </w:rPr>
        <w:t>）》上进一步完善、量化、细化个性指标，形成本项目的指标体系。</w:t>
      </w:r>
    </w:p>
    <w:p>
      <w:pPr>
        <w:adjustRightInd w:val="0"/>
        <w:snapToGrid w:val="0"/>
        <w:spacing w:before="156" w:beforeLines="50"/>
        <w:ind w:firstLine="630" w:firstLineChars="300"/>
        <w:contextualSpacing/>
        <w:rPr>
          <w:rFonts w:hint="eastAsia" w:ascii="黑体" w:hAnsi="黑体" w:eastAsia="黑体" w:cs="黑体"/>
          <w:sz w:val="32"/>
          <w:szCs w:val="32"/>
        </w:rPr>
      </w:pPr>
      <w:r>
        <w:rPr>
          <w:rFonts w:hint="eastAsia" w:ascii="仿宋_GB2312" w:eastAsia="仿宋_GB2312"/>
          <w:lang w:val="en-US" w:eastAsia="zh-CN"/>
        </w:rPr>
        <w:t>2、</w:t>
      </w:r>
      <w:r>
        <w:rPr>
          <w:rFonts w:hint="eastAsia" w:ascii="仿宋_GB2312" w:eastAsia="仿宋_GB2312"/>
          <w:lang w:eastAsia="zh-CN"/>
        </w:rPr>
        <w:t>一个一级项目一张表。</w:t>
      </w:r>
    </w:p>
    <w:p>
      <w:pPr>
        <w:jc w:val="left"/>
        <w:outlineLvl w:val="0"/>
        <w:rPr>
          <w:rFonts w:eastAsia="黑体"/>
          <w:sz w:val="32"/>
          <w:szCs w:val="32"/>
        </w:rPr>
      </w:pPr>
      <w:r>
        <w:rPr>
          <w:rFonts w:hint="eastAsia" w:ascii="黑体" w:hAnsi="黑体" w:eastAsia="黑体" w:cs="黑体"/>
          <w:sz w:val="32"/>
          <w:szCs w:val="32"/>
        </w:rPr>
        <w:t>附件5</w:t>
      </w:r>
    </w:p>
    <w:p>
      <w:pPr>
        <w:widowControl/>
        <w:spacing w:line="600" w:lineRule="exact"/>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36"/>
          <w:szCs w:val="36"/>
          <w:lang w:eastAsia="zh-CN"/>
        </w:rPr>
        <w:t>华容县库区移民事务中心2022年度项目支出绩效自评表</w:t>
      </w:r>
    </w:p>
    <w:tbl>
      <w:tblPr>
        <w:tblStyle w:val="14"/>
        <w:tblW w:w="9851" w:type="dxa"/>
        <w:jc w:val="center"/>
        <w:tblLayout w:type="fixed"/>
        <w:tblCellMar>
          <w:top w:w="0" w:type="dxa"/>
          <w:left w:w="108" w:type="dxa"/>
          <w:bottom w:w="0" w:type="dxa"/>
          <w:right w:w="108" w:type="dxa"/>
        </w:tblCellMar>
      </w:tblPr>
      <w:tblGrid>
        <w:gridCol w:w="1061"/>
        <w:gridCol w:w="1099"/>
        <w:gridCol w:w="1080"/>
        <w:gridCol w:w="1224"/>
        <w:gridCol w:w="692"/>
        <w:gridCol w:w="885"/>
        <w:gridCol w:w="900"/>
        <w:gridCol w:w="619"/>
        <w:gridCol w:w="236"/>
        <w:gridCol w:w="637"/>
        <w:gridCol w:w="158"/>
        <w:gridCol w:w="1260"/>
      </w:tblGrid>
      <w:tr>
        <w:tblPrEx>
          <w:tblCellMar>
            <w:top w:w="0" w:type="dxa"/>
            <w:left w:w="108" w:type="dxa"/>
            <w:bottom w:w="0" w:type="dxa"/>
            <w:right w:w="108" w:type="dxa"/>
          </w:tblCellMar>
        </w:tblPrEx>
        <w:trPr>
          <w:trHeight w:val="603" w:hRule="atLeast"/>
          <w:jc w:val="center"/>
        </w:trPr>
        <w:tc>
          <w:tcPr>
            <w:tcW w:w="106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项目支</w:t>
            </w:r>
          </w:p>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出名称</w:t>
            </w:r>
          </w:p>
        </w:tc>
        <w:tc>
          <w:tcPr>
            <w:tcW w:w="8790" w:type="dxa"/>
            <w:gridSpan w:val="11"/>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仿宋_GB2312"/>
                <w:color w:val="000000"/>
                <w:sz w:val="20"/>
                <w:szCs w:val="20"/>
              </w:rPr>
              <w:t>后扶基金专项</w:t>
            </w:r>
          </w:p>
        </w:tc>
      </w:tr>
      <w:tr>
        <w:tblPrEx>
          <w:tblCellMar>
            <w:top w:w="0" w:type="dxa"/>
            <w:left w:w="108" w:type="dxa"/>
            <w:bottom w:w="0" w:type="dxa"/>
            <w:right w:w="108" w:type="dxa"/>
          </w:tblCellMar>
        </w:tblPrEx>
        <w:trPr>
          <w:trHeight w:val="556" w:hRule="atLeast"/>
          <w:jc w:val="center"/>
        </w:trPr>
        <w:tc>
          <w:tcPr>
            <w:tcW w:w="106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r>
              <w:rPr>
                <w:rFonts w:hint="default" w:eastAsia="仿宋_GB2312"/>
                <w:color w:val="000000"/>
                <w:sz w:val="20"/>
                <w:szCs w:val="20"/>
              </w:rPr>
              <w:t>主管部门</w:t>
            </w:r>
          </w:p>
        </w:tc>
        <w:tc>
          <w:tcPr>
            <w:tcW w:w="4980" w:type="dxa"/>
            <w:gridSpan w:val="5"/>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eastAsia="仿宋_GB2312"/>
                <w:color w:val="000000"/>
                <w:sz w:val="20"/>
                <w:szCs w:val="20"/>
                <w:lang w:val="en-US" w:eastAsia="zh-CN"/>
              </w:rPr>
            </w:pPr>
            <w:r>
              <w:rPr>
                <w:rFonts w:hint="eastAsia" w:eastAsia="仿宋_GB2312"/>
                <w:color w:val="000000"/>
                <w:sz w:val="20"/>
                <w:szCs w:val="20"/>
                <w:lang w:val="en-US" w:eastAsia="zh-CN"/>
              </w:rPr>
              <w:t>库区移民中心</w:t>
            </w:r>
          </w:p>
        </w:tc>
        <w:tc>
          <w:tcPr>
            <w:tcW w:w="900"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实施单位</w:t>
            </w:r>
          </w:p>
        </w:tc>
        <w:tc>
          <w:tcPr>
            <w:tcW w:w="2910" w:type="dxa"/>
            <w:gridSpan w:val="5"/>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p>
        </w:tc>
      </w:tr>
      <w:tr>
        <w:tblPrEx>
          <w:tblCellMar>
            <w:top w:w="0" w:type="dxa"/>
            <w:left w:w="108" w:type="dxa"/>
            <w:bottom w:w="0" w:type="dxa"/>
            <w:right w:w="108" w:type="dxa"/>
          </w:tblCellMar>
        </w:tblPrEx>
        <w:trPr>
          <w:jc w:val="center"/>
        </w:trPr>
        <w:tc>
          <w:tcPr>
            <w:tcW w:w="1061" w:type="dxa"/>
            <w:vMerge w:val="restart"/>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项目资金</w:t>
            </w:r>
            <w:r>
              <w:rPr>
                <w:rFonts w:hint="default" w:eastAsia="仿宋_GB2312"/>
                <w:color w:val="000000"/>
                <w:sz w:val="20"/>
                <w:szCs w:val="20"/>
              </w:rPr>
              <w:br w:type="textWrapping"/>
            </w:r>
            <w:r>
              <w:rPr>
                <w:rFonts w:hint="default" w:eastAsia="仿宋_GB2312"/>
                <w:color w:val="000000"/>
                <w:sz w:val="20"/>
                <w:szCs w:val="20"/>
              </w:rPr>
              <w:t>（万元）</w:t>
            </w:r>
          </w:p>
        </w:tc>
        <w:tc>
          <w:tcPr>
            <w:tcW w:w="2179"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p>
        </w:tc>
        <w:tc>
          <w:tcPr>
            <w:tcW w:w="122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年初</w:t>
            </w:r>
          </w:p>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预算数</w:t>
            </w:r>
          </w:p>
        </w:tc>
        <w:tc>
          <w:tcPr>
            <w:tcW w:w="1577"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全年</w:t>
            </w:r>
          </w:p>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预算数</w:t>
            </w:r>
          </w:p>
        </w:tc>
        <w:tc>
          <w:tcPr>
            <w:tcW w:w="900"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sz w:val="20"/>
                <w:szCs w:val="20"/>
              </w:rPr>
            </w:pPr>
            <w:r>
              <w:rPr>
                <w:rFonts w:hint="default" w:eastAsia="仿宋_GB2312"/>
                <w:sz w:val="20"/>
                <w:szCs w:val="20"/>
              </w:rPr>
              <w:t>全年</w:t>
            </w:r>
          </w:p>
          <w:p>
            <w:pPr>
              <w:keepNext w:val="0"/>
              <w:keepLines w:val="0"/>
              <w:suppressLineNumbers w:val="0"/>
              <w:spacing w:before="0" w:beforeAutospacing="0" w:after="0" w:afterAutospacing="0" w:line="260" w:lineRule="exact"/>
              <w:ind w:left="0" w:right="0"/>
              <w:jc w:val="center"/>
              <w:rPr>
                <w:rFonts w:hint="default" w:eastAsia="仿宋_GB2312"/>
                <w:sz w:val="20"/>
                <w:szCs w:val="20"/>
              </w:rPr>
            </w:pPr>
            <w:r>
              <w:rPr>
                <w:rFonts w:hint="default" w:eastAsia="仿宋_GB2312"/>
                <w:sz w:val="20"/>
                <w:szCs w:val="20"/>
              </w:rPr>
              <w:t>执行数</w:t>
            </w:r>
          </w:p>
        </w:tc>
        <w:tc>
          <w:tcPr>
            <w:tcW w:w="619"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sz w:val="20"/>
                <w:szCs w:val="20"/>
              </w:rPr>
            </w:pPr>
            <w:r>
              <w:rPr>
                <w:rFonts w:hint="default" w:eastAsia="仿宋_GB2312"/>
                <w:sz w:val="20"/>
                <w:szCs w:val="20"/>
              </w:rPr>
              <w:t>分值</w:t>
            </w:r>
          </w:p>
        </w:tc>
        <w:tc>
          <w:tcPr>
            <w:tcW w:w="873" w:type="dxa"/>
            <w:gridSpan w:val="2"/>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sz w:val="20"/>
                <w:szCs w:val="20"/>
              </w:rPr>
            </w:pPr>
            <w:r>
              <w:rPr>
                <w:rFonts w:hint="default" w:eastAsia="仿宋_GB2312"/>
                <w:sz w:val="20"/>
                <w:szCs w:val="20"/>
              </w:rPr>
              <w:t>执行率</w:t>
            </w:r>
          </w:p>
        </w:tc>
        <w:tc>
          <w:tcPr>
            <w:tcW w:w="1418" w:type="dxa"/>
            <w:gridSpan w:val="2"/>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sz w:val="20"/>
                <w:szCs w:val="20"/>
              </w:rPr>
            </w:pPr>
            <w:r>
              <w:rPr>
                <w:rFonts w:hint="default" w:eastAsia="仿宋_GB2312"/>
                <w:sz w:val="20"/>
                <w:szCs w:val="20"/>
              </w:rPr>
              <w:t>得分</w:t>
            </w:r>
          </w:p>
        </w:tc>
      </w:tr>
      <w:tr>
        <w:tblPrEx>
          <w:tblCellMar>
            <w:top w:w="0" w:type="dxa"/>
            <w:left w:w="108" w:type="dxa"/>
            <w:bottom w:w="0" w:type="dxa"/>
            <w:right w:w="108" w:type="dxa"/>
          </w:tblCellMar>
        </w:tblPrEx>
        <w:trPr>
          <w:trHeight w:val="389" w:hRule="atLeast"/>
          <w:jc w:val="center"/>
        </w:trPr>
        <w:tc>
          <w:tcPr>
            <w:tcW w:w="1061"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p>
        </w:tc>
        <w:tc>
          <w:tcPr>
            <w:tcW w:w="2179"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r>
              <w:rPr>
                <w:rFonts w:hint="default" w:eastAsia="仿宋_GB2312"/>
                <w:color w:val="000000"/>
                <w:sz w:val="20"/>
                <w:szCs w:val="20"/>
              </w:rPr>
              <w:t>年度资金总额</w:t>
            </w:r>
          </w:p>
        </w:tc>
        <w:tc>
          <w:tcPr>
            <w:tcW w:w="122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Theme="minorEastAsia"/>
                <w:color w:val="000000"/>
                <w:sz w:val="20"/>
                <w:szCs w:val="20"/>
              </w:rPr>
            </w:pPr>
            <w:r>
              <w:rPr>
                <w:rFonts w:hint="eastAsia" w:eastAsiaTheme="minorEastAsia"/>
                <w:color w:val="000000"/>
                <w:sz w:val="20"/>
                <w:szCs w:val="20"/>
              </w:rPr>
              <w:t>653.82</w:t>
            </w:r>
          </w:p>
        </w:tc>
        <w:tc>
          <w:tcPr>
            <w:tcW w:w="1577"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r>
              <w:rPr>
                <w:rFonts w:hint="eastAsia" w:eastAsia="仿宋_GB2312"/>
                <w:color w:val="000000"/>
                <w:sz w:val="20"/>
                <w:szCs w:val="20"/>
              </w:rPr>
              <w:t>257.06</w:t>
            </w: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r>
              <w:rPr>
                <w:rFonts w:hint="eastAsia" w:eastAsia="仿宋_GB2312"/>
                <w:color w:val="000000"/>
                <w:sz w:val="20"/>
                <w:szCs w:val="20"/>
              </w:rPr>
              <w:t>257.06</w:t>
            </w:r>
          </w:p>
        </w:tc>
        <w:tc>
          <w:tcPr>
            <w:tcW w:w="61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r>
              <w:rPr>
                <w:rFonts w:hint="default" w:eastAsia="仿宋_GB2312"/>
                <w:color w:val="000000"/>
                <w:sz w:val="20"/>
                <w:szCs w:val="20"/>
              </w:rPr>
              <w:t>10</w:t>
            </w:r>
          </w:p>
        </w:tc>
        <w:tc>
          <w:tcPr>
            <w:tcW w:w="873"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r>
              <w:rPr>
                <w:rFonts w:hint="eastAsia" w:eastAsia="仿宋_GB2312"/>
                <w:color w:val="000000"/>
                <w:sz w:val="20"/>
                <w:szCs w:val="20"/>
              </w:rPr>
              <w:t>100</w:t>
            </w:r>
          </w:p>
        </w:tc>
        <w:tc>
          <w:tcPr>
            <w:tcW w:w="141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eastAsiaTheme="minorEastAsia"/>
                <w:color w:val="000000"/>
                <w:sz w:val="20"/>
                <w:szCs w:val="20"/>
              </w:rPr>
            </w:pPr>
            <w:r>
              <w:rPr>
                <w:rFonts w:hint="eastAsia" w:eastAsiaTheme="minorEastAsia"/>
                <w:color w:val="000000"/>
                <w:sz w:val="20"/>
                <w:szCs w:val="20"/>
              </w:rPr>
              <w:t>10</w:t>
            </w:r>
          </w:p>
        </w:tc>
      </w:tr>
      <w:tr>
        <w:tblPrEx>
          <w:tblCellMar>
            <w:top w:w="0" w:type="dxa"/>
            <w:left w:w="108" w:type="dxa"/>
            <w:bottom w:w="0" w:type="dxa"/>
            <w:right w:w="108" w:type="dxa"/>
          </w:tblCellMar>
        </w:tblPrEx>
        <w:trPr>
          <w:trHeight w:val="409" w:hRule="atLeast"/>
          <w:jc w:val="center"/>
        </w:trPr>
        <w:tc>
          <w:tcPr>
            <w:tcW w:w="1061"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p>
        </w:tc>
        <w:tc>
          <w:tcPr>
            <w:tcW w:w="2179"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r>
              <w:rPr>
                <w:rFonts w:hint="default" w:eastAsia="仿宋_GB2312"/>
                <w:color w:val="000000"/>
                <w:sz w:val="20"/>
                <w:szCs w:val="20"/>
              </w:rPr>
              <w:t>其中：当年财政拨款</w:t>
            </w:r>
          </w:p>
        </w:tc>
        <w:tc>
          <w:tcPr>
            <w:tcW w:w="122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r>
              <w:rPr>
                <w:rFonts w:hint="eastAsia" w:eastAsia="仿宋_GB2312"/>
                <w:color w:val="000000"/>
                <w:sz w:val="20"/>
                <w:szCs w:val="20"/>
              </w:rPr>
              <w:t>0</w:t>
            </w:r>
          </w:p>
        </w:tc>
        <w:tc>
          <w:tcPr>
            <w:tcW w:w="1577"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r>
              <w:rPr>
                <w:rFonts w:hint="eastAsia" w:eastAsia="仿宋_GB2312"/>
                <w:color w:val="000000"/>
                <w:sz w:val="20"/>
                <w:szCs w:val="20"/>
              </w:rPr>
              <w:t>257.06</w:t>
            </w: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r>
              <w:rPr>
                <w:rFonts w:hint="eastAsia" w:eastAsia="仿宋_GB2312"/>
                <w:color w:val="000000"/>
                <w:sz w:val="20"/>
                <w:szCs w:val="20"/>
              </w:rPr>
              <w:t>257.06</w:t>
            </w:r>
          </w:p>
        </w:tc>
        <w:tc>
          <w:tcPr>
            <w:tcW w:w="61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eastAsiaTheme="minorEastAsia"/>
                <w:color w:val="000000"/>
                <w:sz w:val="20"/>
                <w:szCs w:val="20"/>
              </w:rPr>
            </w:pPr>
            <w:r>
              <w:rPr>
                <w:rFonts w:hint="eastAsia" w:eastAsiaTheme="minorEastAsia"/>
                <w:color w:val="000000"/>
                <w:sz w:val="20"/>
                <w:szCs w:val="20"/>
              </w:rPr>
              <w:t>10</w:t>
            </w:r>
          </w:p>
        </w:tc>
        <w:tc>
          <w:tcPr>
            <w:tcW w:w="873"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r>
              <w:rPr>
                <w:rFonts w:hint="eastAsia" w:eastAsia="仿宋_GB2312"/>
                <w:color w:val="000000"/>
                <w:sz w:val="20"/>
                <w:szCs w:val="20"/>
              </w:rPr>
              <w:t>100</w:t>
            </w:r>
          </w:p>
        </w:tc>
        <w:tc>
          <w:tcPr>
            <w:tcW w:w="141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eastAsiaTheme="minorEastAsia"/>
                <w:color w:val="000000"/>
                <w:sz w:val="20"/>
                <w:szCs w:val="20"/>
              </w:rPr>
            </w:pPr>
            <w:r>
              <w:rPr>
                <w:rFonts w:hint="eastAsia" w:eastAsiaTheme="minorEastAsia"/>
                <w:color w:val="000000"/>
                <w:sz w:val="20"/>
                <w:szCs w:val="20"/>
              </w:rPr>
              <w:t>10</w:t>
            </w:r>
          </w:p>
        </w:tc>
      </w:tr>
      <w:tr>
        <w:tblPrEx>
          <w:tblCellMar>
            <w:top w:w="0" w:type="dxa"/>
            <w:left w:w="108" w:type="dxa"/>
            <w:bottom w:w="0" w:type="dxa"/>
            <w:right w:w="108" w:type="dxa"/>
          </w:tblCellMar>
        </w:tblPrEx>
        <w:trPr>
          <w:trHeight w:val="415" w:hRule="atLeast"/>
          <w:jc w:val="center"/>
        </w:trPr>
        <w:tc>
          <w:tcPr>
            <w:tcW w:w="1061"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p>
        </w:tc>
        <w:tc>
          <w:tcPr>
            <w:tcW w:w="2179"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firstLine="600" w:firstLineChars="300"/>
              <w:jc w:val="left"/>
              <w:rPr>
                <w:rFonts w:hint="default" w:eastAsia="仿宋_GB2312"/>
                <w:color w:val="000000"/>
                <w:sz w:val="20"/>
                <w:szCs w:val="20"/>
              </w:rPr>
            </w:pPr>
            <w:r>
              <w:rPr>
                <w:rFonts w:hint="default" w:eastAsia="仿宋_GB2312"/>
                <w:color w:val="000000"/>
                <w:sz w:val="20"/>
                <w:szCs w:val="20"/>
              </w:rPr>
              <w:t>上年结转资金</w:t>
            </w:r>
          </w:p>
        </w:tc>
        <w:tc>
          <w:tcPr>
            <w:tcW w:w="122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p>
        </w:tc>
        <w:tc>
          <w:tcPr>
            <w:tcW w:w="1577"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p>
        </w:tc>
        <w:tc>
          <w:tcPr>
            <w:tcW w:w="61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p>
        </w:tc>
        <w:tc>
          <w:tcPr>
            <w:tcW w:w="873"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p>
        </w:tc>
        <w:tc>
          <w:tcPr>
            <w:tcW w:w="141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p>
        </w:tc>
      </w:tr>
      <w:tr>
        <w:tblPrEx>
          <w:tblCellMar>
            <w:top w:w="0" w:type="dxa"/>
            <w:left w:w="108" w:type="dxa"/>
            <w:bottom w:w="0" w:type="dxa"/>
            <w:right w:w="108" w:type="dxa"/>
          </w:tblCellMar>
        </w:tblPrEx>
        <w:trPr>
          <w:trHeight w:val="440" w:hRule="atLeast"/>
          <w:jc w:val="center"/>
        </w:trPr>
        <w:tc>
          <w:tcPr>
            <w:tcW w:w="1061"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p>
        </w:tc>
        <w:tc>
          <w:tcPr>
            <w:tcW w:w="2179"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firstLine="600" w:firstLineChars="300"/>
              <w:jc w:val="left"/>
              <w:rPr>
                <w:rFonts w:hint="default" w:eastAsia="仿宋_GB2312"/>
                <w:color w:val="000000"/>
                <w:sz w:val="20"/>
                <w:szCs w:val="20"/>
              </w:rPr>
            </w:pPr>
            <w:r>
              <w:rPr>
                <w:rFonts w:hint="default" w:eastAsia="仿宋_GB2312"/>
                <w:color w:val="000000"/>
                <w:sz w:val="20"/>
                <w:szCs w:val="20"/>
              </w:rPr>
              <w:t>其他资金</w:t>
            </w:r>
          </w:p>
        </w:tc>
        <w:tc>
          <w:tcPr>
            <w:tcW w:w="122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p>
        </w:tc>
        <w:tc>
          <w:tcPr>
            <w:tcW w:w="1577"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p>
        </w:tc>
        <w:tc>
          <w:tcPr>
            <w:tcW w:w="61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p>
        </w:tc>
        <w:tc>
          <w:tcPr>
            <w:tcW w:w="873"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p>
        </w:tc>
        <w:tc>
          <w:tcPr>
            <w:tcW w:w="141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p>
        </w:tc>
      </w:tr>
      <w:tr>
        <w:tblPrEx>
          <w:tblCellMar>
            <w:top w:w="0" w:type="dxa"/>
            <w:left w:w="108" w:type="dxa"/>
            <w:bottom w:w="0" w:type="dxa"/>
            <w:right w:w="108" w:type="dxa"/>
          </w:tblCellMar>
        </w:tblPrEx>
        <w:trPr>
          <w:trHeight w:val="587" w:hRule="atLeast"/>
          <w:jc w:val="center"/>
        </w:trPr>
        <w:tc>
          <w:tcPr>
            <w:tcW w:w="1061" w:type="dxa"/>
            <w:vMerge w:val="restart"/>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年度总体目标</w:t>
            </w:r>
          </w:p>
        </w:tc>
        <w:tc>
          <w:tcPr>
            <w:tcW w:w="4980" w:type="dxa"/>
            <w:gridSpan w:val="5"/>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预期目标</w:t>
            </w:r>
          </w:p>
        </w:tc>
        <w:tc>
          <w:tcPr>
            <w:tcW w:w="3810" w:type="dxa"/>
            <w:gridSpan w:val="6"/>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实际完成情况　</w:t>
            </w:r>
          </w:p>
        </w:tc>
      </w:tr>
      <w:tr>
        <w:tblPrEx>
          <w:tblCellMar>
            <w:top w:w="0" w:type="dxa"/>
            <w:left w:w="108" w:type="dxa"/>
            <w:bottom w:w="0" w:type="dxa"/>
            <w:right w:w="108" w:type="dxa"/>
          </w:tblCellMar>
        </w:tblPrEx>
        <w:trPr>
          <w:jc w:val="center"/>
        </w:trPr>
        <w:tc>
          <w:tcPr>
            <w:tcW w:w="1061"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p>
        </w:tc>
        <w:tc>
          <w:tcPr>
            <w:tcW w:w="4980" w:type="dxa"/>
            <w:gridSpan w:val="5"/>
            <w:tcBorders>
              <w:top w:val="single" w:color="auto" w:sz="4" w:space="0"/>
              <w:left w:val="nil"/>
              <w:bottom w:val="single" w:color="auto" w:sz="4" w:space="0"/>
              <w:right w:val="single" w:color="000000" w:sz="4" w:space="0"/>
            </w:tcBorders>
            <w:vAlign w:val="center"/>
          </w:tcPr>
          <w:p>
            <w:pPr>
              <w:keepNext w:val="0"/>
              <w:keepLines w:val="0"/>
              <w:suppressLineNumbers w:val="0"/>
              <w:spacing w:before="0" w:beforeAutospacing="0" w:after="0" w:afterAutospacing="0"/>
              <w:ind w:left="0" w:right="0" w:firstLine="360" w:firstLineChars="200"/>
              <w:rPr>
                <w:rFonts w:hint="eastAsia" w:cs="仿宋" w:asciiTheme="minorEastAsia" w:hAnsiTheme="minorEastAsia"/>
                <w:color w:val="000000" w:themeColor="text1"/>
                <w:sz w:val="18"/>
                <w:szCs w:val="18"/>
                <w14:textFill>
                  <w14:solidFill>
                    <w14:schemeClr w14:val="tx1"/>
                  </w14:solidFill>
                </w14:textFill>
              </w:rPr>
            </w:pPr>
            <w:r>
              <w:rPr>
                <w:rFonts w:hint="eastAsia" w:asciiTheme="minorEastAsia" w:hAnsiTheme="minorEastAsia"/>
                <w:sz w:val="18"/>
                <w:szCs w:val="18"/>
              </w:rPr>
              <w:t>加强水库移民后期扶持资金支出管理，提高财政资金使用效益。</w:t>
            </w:r>
          </w:p>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c>
          <w:tcPr>
            <w:tcW w:w="3810" w:type="dxa"/>
            <w:gridSpan w:val="6"/>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360" w:firstLineChars="200"/>
              <w:rPr>
                <w:rFonts w:hint="eastAsia" w:cs="仿宋" w:asciiTheme="minorEastAsia" w:hAnsiTheme="minorEastAsia"/>
                <w:color w:val="000000" w:themeColor="text1"/>
                <w:sz w:val="18"/>
                <w:szCs w:val="18"/>
                <w14:textFill>
                  <w14:solidFill>
                    <w14:schemeClr w14:val="tx1"/>
                  </w14:solidFill>
                </w14:textFill>
              </w:rPr>
            </w:pPr>
            <w:r>
              <w:rPr>
                <w:rFonts w:hint="eastAsia" w:cs="仿宋" w:asciiTheme="minorEastAsia" w:hAnsiTheme="minorEastAsia"/>
                <w:color w:val="000000" w:themeColor="text1"/>
                <w:sz w:val="18"/>
                <w:szCs w:val="18"/>
                <w14:textFill>
                  <w14:solidFill>
                    <w14:schemeClr w14:val="tx1"/>
                  </w14:solidFill>
                </w14:textFill>
              </w:rPr>
              <w:t>完成2022年后扶基金专项</w:t>
            </w:r>
            <w:r>
              <w:rPr>
                <w:rFonts w:hint="eastAsia" w:cs="仿宋" w:asciiTheme="minorEastAsia" w:hAnsiTheme="minorEastAsia"/>
                <w:color w:val="000000" w:themeColor="text1"/>
                <w:sz w:val="18"/>
                <w:szCs w:val="18"/>
                <w:lang w:val="en-US" w:eastAsia="zh-CN"/>
                <w14:textFill>
                  <w14:solidFill>
                    <w14:schemeClr w14:val="tx1"/>
                  </w14:solidFill>
                </w14:textFill>
              </w:rPr>
              <w:t>257.06</w:t>
            </w:r>
            <w:r>
              <w:rPr>
                <w:rFonts w:hint="eastAsia" w:cs="仿宋" w:asciiTheme="minorEastAsia" w:hAnsiTheme="minorEastAsia"/>
                <w:color w:val="000000" w:themeColor="text1"/>
                <w:sz w:val="18"/>
                <w:szCs w:val="18"/>
                <w14:textFill>
                  <w14:solidFill>
                    <w14:schemeClr w14:val="tx1"/>
                  </w14:solidFill>
                </w14:textFill>
              </w:rPr>
              <w:t>万元</w:t>
            </w:r>
            <w:r>
              <w:rPr>
                <w:rFonts w:hint="eastAsia" w:cs="仿宋" w:asciiTheme="minorEastAsia" w:hAnsiTheme="minorEastAsia"/>
                <w:color w:val="000000" w:themeColor="text1"/>
                <w:sz w:val="18"/>
                <w:szCs w:val="18"/>
                <w:lang w:eastAsia="zh-CN"/>
                <w14:textFill>
                  <w14:solidFill>
                    <w14:schemeClr w14:val="tx1"/>
                  </w14:solidFill>
                </w14:textFill>
              </w:rPr>
              <w:t>，</w:t>
            </w:r>
            <w:r>
              <w:rPr>
                <w:rFonts w:hint="eastAsia" w:cs="仿宋" w:asciiTheme="minorEastAsia" w:hAnsiTheme="minorEastAsia"/>
                <w:color w:val="000000" w:themeColor="text1"/>
                <w:sz w:val="18"/>
                <w:szCs w:val="18"/>
                <w14:textFill>
                  <w14:solidFill>
                    <w14:schemeClr w14:val="tx1"/>
                  </w14:solidFill>
                </w14:textFill>
              </w:rPr>
              <w:t>资金完成率100%</w:t>
            </w:r>
            <w:r>
              <w:rPr>
                <w:rFonts w:hint="eastAsia" w:cs="仿宋" w:asciiTheme="minorEastAsia" w:hAnsiTheme="minorEastAsia"/>
                <w:color w:val="000000" w:themeColor="text1"/>
                <w:sz w:val="18"/>
                <w:szCs w:val="18"/>
                <w:lang w:eastAsia="zh-CN"/>
                <w14:textFill>
                  <w14:solidFill>
                    <w14:schemeClr w14:val="tx1"/>
                  </w14:solidFill>
                </w14:textFill>
              </w:rPr>
              <w:t>。</w:t>
            </w:r>
            <w:r>
              <w:rPr>
                <w:rFonts w:hint="eastAsia" w:cs="仿宋" w:asciiTheme="minorEastAsia" w:hAnsiTheme="minorEastAsia"/>
                <w:color w:val="000000" w:themeColor="text1"/>
                <w:sz w:val="18"/>
                <w:szCs w:val="18"/>
                <w14:textFill>
                  <w14:solidFill>
                    <w14:schemeClr w14:val="tx1"/>
                  </w14:solidFill>
                </w14:textFill>
              </w:rPr>
              <w:t>后期扶持受益移民人口3251人。</w:t>
            </w:r>
          </w:p>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p>
        </w:tc>
      </w:tr>
      <w:tr>
        <w:tblPrEx>
          <w:tblCellMar>
            <w:top w:w="0" w:type="dxa"/>
            <w:left w:w="108" w:type="dxa"/>
            <w:bottom w:w="0" w:type="dxa"/>
            <w:right w:w="108" w:type="dxa"/>
          </w:tblCellMar>
        </w:tblPrEx>
        <w:trPr>
          <w:trHeight w:val="702" w:hRule="atLeast"/>
          <w:jc w:val="center"/>
        </w:trPr>
        <w:tc>
          <w:tcPr>
            <w:tcW w:w="1061" w:type="dxa"/>
            <w:vMerge w:val="restart"/>
            <w:tcBorders>
              <w:top w:val="nil"/>
              <w:left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绩</w:t>
            </w:r>
          </w:p>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效</w:t>
            </w:r>
          </w:p>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指</w:t>
            </w:r>
          </w:p>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标</w:t>
            </w:r>
          </w:p>
        </w:tc>
        <w:tc>
          <w:tcPr>
            <w:tcW w:w="109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一级指标</w:t>
            </w:r>
          </w:p>
        </w:tc>
        <w:tc>
          <w:tcPr>
            <w:tcW w:w="108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二级指标</w:t>
            </w:r>
          </w:p>
        </w:tc>
        <w:tc>
          <w:tcPr>
            <w:tcW w:w="1916"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三级指标</w:t>
            </w:r>
          </w:p>
        </w:tc>
        <w:tc>
          <w:tcPr>
            <w:tcW w:w="8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年度</w:t>
            </w:r>
          </w:p>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指标值</w:t>
            </w: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实际</w:t>
            </w:r>
          </w:p>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完成值</w:t>
            </w:r>
          </w:p>
        </w:tc>
        <w:tc>
          <w:tcPr>
            <w:tcW w:w="85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分值</w:t>
            </w:r>
          </w:p>
        </w:tc>
        <w:tc>
          <w:tcPr>
            <w:tcW w:w="79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得分</w:t>
            </w:r>
          </w:p>
        </w:tc>
        <w:tc>
          <w:tcPr>
            <w:tcW w:w="126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rPr>
                <w:rFonts w:hint="default" w:eastAsia="仿宋_GB2312"/>
                <w:color w:val="000000"/>
                <w:sz w:val="20"/>
                <w:szCs w:val="20"/>
              </w:rPr>
            </w:pPr>
            <w:r>
              <w:rPr>
                <w:rFonts w:hint="default" w:eastAsia="仿宋_GB2312"/>
                <w:color w:val="000000"/>
                <w:sz w:val="20"/>
                <w:szCs w:val="20"/>
              </w:rPr>
              <w:t>偏差原因分析及改进措施</w:t>
            </w:r>
          </w:p>
        </w:tc>
      </w:tr>
      <w:tr>
        <w:tblPrEx>
          <w:tblCellMar>
            <w:top w:w="0" w:type="dxa"/>
            <w:left w:w="108" w:type="dxa"/>
            <w:bottom w:w="0" w:type="dxa"/>
            <w:right w:w="108" w:type="dxa"/>
          </w:tblCellMar>
        </w:tblPrEx>
        <w:trPr>
          <w:jc w:val="center"/>
        </w:trPr>
        <w:tc>
          <w:tcPr>
            <w:tcW w:w="1061"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default" w:eastAsia="仿宋_GB2312"/>
                <w:color w:val="000000"/>
                <w:sz w:val="20"/>
                <w:szCs w:val="20"/>
              </w:rPr>
            </w:pPr>
          </w:p>
        </w:tc>
        <w:tc>
          <w:tcPr>
            <w:tcW w:w="1099" w:type="dxa"/>
            <w:vMerge w:val="restart"/>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产出指标</w:t>
            </w:r>
          </w:p>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(50分)</w:t>
            </w:r>
          </w:p>
        </w:tc>
        <w:tc>
          <w:tcPr>
            <w:tcW w:w="1080" w:type="dxa"/>
            <w:vMerge w:val="restart"/>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数量指标</w:t>
            </w:r>
          </w:p>
        </w:tc>
        <w:tc>
          <w:tcPr>
            <w:tcW w:w="1916"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r>
              <w:rPr>
                <w:rFonts w:hint="eastAsia" w:eastAsiaTheme="minorEastAsia"/>
                <w:color w:val="000000"/>
                <w:sz w:val="20"/>
                <w:szCs w:val="20"/>
              </w:rPr>
              <w:t>指标1:</w:t>
            </w:r>
            <w:r>
              <w:rPr>
                <w:rFonts w:hint="eastAsia" w:eastAsia="仿宋_GB2312"/>
                <w:color w:val="000000"/>
                <w:sz w:val="20"/>
                <w:szCs w:val="20"/>
              </w:rPr>
              <w:t>后期扶持受益移民人口（人）</w:t>
            </w:r>
          </w:p>
        </w:tc>
        <w:tc>
          <w:tcPr>
            <w:tcW w:w="8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3251人</w:t>
            </w: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3251人</w:t>
            </w:r>
          </w:p>
        </w:tc>
        <w:tc>
          <w:tcPr>
            <w:tcW w:w="85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10</w:t>
            </w:r>
          </w:p>
        </w:tc>
        <w:tc>
          <w:tcPr>
            <w:tcW w:w="79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10</w:t>
            </w:r>
          </w:p>
        </w:tc>
        <w:tc>
          <w:tcPr>
            <w:tcW w:w="126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r>
      <w:tr>
        <w:tblPrEx>
          <w:tblCellMar>
            <w:top w:w="0" w:type="dxa"/>
            <w:left w:w="108" w:type="dxa"/>
            <w:bottom w:w="0" w:type="dxa"/>
            <w:right w:w="108" w:type="dxa"/>
          </w:tblCellMar>
        </w:tblPrEx>
        <w:trPr>
          <w:trHeight w:val="785" w:hRule="atLeast"/>
          <w:jc w:val="center"/>
        </w:trPr>
        <w:tc>
          <w:tcPr>
            <w:tcW w:w="1061"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default" w:eastAsia="仿宋_GB2312"/>
                <w:color w:val="000000"/>
                <w:sz w:val="20"/>
                <w:szCs w:val="20"/>
              </w:rPr>
            </w:pPr>
          </w:p>
        </w:tc>
        <w:tc>
          <w:tcPr>
            <w:tcW w:w="1099"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default" w:eastAsia="仿宋_GB2312"/>
                <w:color w:val="000000"/>
                <w:sz w:val="20"/>
                <w:szCs w:val="20"/>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000000"/>
                <w:sz w:val="20"/>
                <w:szCs w:val="20"/>
              </w:rPr>
            </w:pPr>
          </w:p>
        </w:tc>
        <w:tc>
          <w:tcPr>
            <w:tcW w:w="1916"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r>
              <w:rPr>
                <w:rFonts w:hint="eastAsia" w:eastAsiaTheme="minorEastAsia"/>
                <w:color w:val="000000"/>
                <w:sz w:val="20"/>
                <w:szCs w:val="20"/>
              </w:rPr>
              <w:t>指标2:</w:t>
            </w:r>
            <w:r>
              <w:rPr>
                <w:rFonts w:hint="eastAsia" w:eastAsia="仿宋_GB2312"/>
                <w:color w:val="000000"/>
                <w:sz w:val="20"/>
                <w:szCs w:val="20"/>
              </w:rPr>
              <w:t>培</w:t>
            </w:r>
            <w:r>
              <w:rPr>
                <w:rFonts w:hint="eastAsia" w:ascii="宋体" w:hAnsi="宋体" w:cs="宋体"/>
                <w:color w:val="000000"/>
                <w:sz w:val="20"/>
                <w:szCs w:val="20"/>
              </w:rPr>
              <w:t>训</w:t>
            </w:r>
            <w:r>
              <w:rPr>
                <w:rFonts w:hint="eastAsia" w:ascii="MS Mincho" w:hAnsi="MS Mincho" w:eastAsia="MS Mincho" w:cs="MS Mincho"/>
                <w:color w:val="000000"/>
                <w:sz w:val="20"/>
                <w:szCs w:val="20"/>
              </w:rPr>
              <w:t>移民</w:t>
            </w:r>
            <w:r>
              <w:rPr>
                <w:rFonts w:hint="eastAsia" w:ascii="宋体" w:hAnsi="宋体" w:cs="宋体"/>
                <w:color w:val="000000"/>
                <w:sz w:val="20"/>
                <w:szCs w:val="20"/>
              </w:rPr>
              <w:t>劳动</w:t>
            </w:r>
            <w:r>
              <w:rPr>
                <w:rFonts w:hint="eastAsia" w:ascii="MS Mincho" w:hAnsi="MS Mincho" w:eastAsia="MS Mincho" w:cs="MS Mincho"/>
                <w:color w:val="000000"/>
                <w:sz w:val="20"/>
                <w:szCs w:val="20"/>
              </w:rPr>
              <w:t>力（人次）</w:t>
            </w:r>
          </w:p>
        </w:tc>
        <w:tc>
          <w:tcPr>
            <w:tcW w:w="8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531</w:t>
            </w: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531</w:t>
            </w:r>
          </w:p>
        </w:tc>
        <w:tc>
          <w:tcPr>
            <w:tcW w:w="85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79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126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r>
      <w:tr>
        <w:tblPrEx>
          <w:tblCellMar>
            <w:top w:w="0" w:type="dxa"/>
            <w:left w:w="108" w:type="dxa"/>
            <w:bottom w:w="0" w:type="dxa"/>
            <w:right w:w="108" w:type="dxa"/>
          </w:tblCellMar>
        </w:tblPrEx>
        <w:trPr>
          <w:trHeight w:val="615" w:hRule="atLeast"/>
          <w:jc w:val="center"/>
        </w:trPr>
        <w:tc>
          <w:tcPr>
            <w:tcW w:w="1061"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default" w:eastAsia="仿宋_GB2312"/>
                <w:color w:val="000000"/>
                <w:sz w:val="20"/>
                <w:szCs w:val="20"/>
              </w:rPr>
            </w:pPr>
          </w:p>
        </w:tc>
        <w:tc>
          <w:tcPr>
            <w:tcW w:w="1099"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default" w:eastAsia="仿宋_GB2312"/>
                <w:color w:val="000000"/>
                <w:sz w:val="20"/>
                <w:szCs w:val="20"/>
              </w:rPr>
            </w:pPr>
          </w:p>
        </w:tc>
        <w:tc>
          <w:tcPr>
            <w:tcW w:w="1080" w:type="dxa"/>
            <w:vMerge w:val="continue"/>
            <w:tcBorders>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c>
          <w:tcPr>
            <w:tcW w:w="1916"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r>
              <w:rPr>
                <w:rFonts w:hint="eastAsia" w:eastAsiaTheme="minorEastAsia"/>
                <w:color w:val="000000"/>
                <w:sz w:val="20"/>
                <w:szCs w:val="20"/>
              </w:rPr>
              <w:t>指标3:</w:t>
            </w:r>
            <w:r>
              <w:rPr>
                <w:rFonts w:hint="eastAsia" w:eastAsia="仿宋_GB2312"/>
                <w:color w:val="000000"/>
                <w:sz w:val="20"/>
                <w:szCs w:val="20"/>
              </w:rPr>
              <w:t>其他</w:t>
            </w:r>
            <w:r>
              <w:rPr>
                <w:rFonts w:hint="eastAsia" w:ascii="宋体" w:hAnsi="宋体" w:cs="宋体"/>
                <w:color w:val="000000"/>
                <w:sz w:val="20"/>
                <w:szCs w:val="20"/>
              </w:rPr>
              <w:t>项</w:t>
            </w:r>
            <w:r>
              <w:rPr>
                <w:rFonts w:hint="eastAsia" w:ascii="MS Mincho" w:hAnsi="MS Mincho" w:eastAsia="MS Mincho" w:cs="MS Mincho"/>
                <w:color w:val="000000"/>
                <w:sz w:val="20"/>
                <w:szCs w:val="20"/>
              </w:rPr>
              <w:t>目（个）</w:t>
            </w:r>
          </w:p>
        </w:tc>
        <w:tc>
          <w:tcPr>
            <w:tcW w:w="8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4</w:t>
            </w: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4</w:t>
            </w:r>
          </w:p>
        </w:tc>
        <w:tc>
          <w:tcPr>
            <w:tcW w:w="85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79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126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r>
      <w:tr>
        <w:tblPrEx>
          <w:tblCellMar>
            <w:top w:w="0" w:type="dxa"/>
            <w:left w:w="108" w:type="dxa"/>
            <w:bottom w:w="0" w:type="dxa"/>
            <w:right w:w="108" w:type="dxa"/>
          </w:tblCellMar>
        </w:tblPrEx>
        <w:trPr>
          <w:jc w:val="center"/>
        </w:trPr>
        <w:tc>
          <w:tcPr>
            <w:tcW w:w="1061"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default" w:eastAsia="仿宋_GB2312"/>
                <w:color w:val="000000"/>
                <w:sz w:val="20"/>
                <w:szCs w:val="20"/>
              </w:rPr>
            </w:pPr>
          </w:p>
        </w:tc>
        <w:tc>
          <w:tcPr>
            <w:tcW w:w="1099"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default" w:eastAsia="仿宋_GB2312"/>
                <w:color w:val="000000"/>
                <w:sz w:val="20"/>
                <w:szCs w:val="20"/>
              </w:rPr>
            </w:pPr>
          </w:p>
        </w:tc>
        <w:tc>
          <w:tcPr>
            <w:tcW w:w="1080" w:type="dxa"/>
            <w:vMerge w:val="restart"/>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质量指标</w:t>
            </w:r>
          </w:p>
        </w:tc>
        <w:tc>
          <w:tcPr>
            <w:tcW w:w="1916"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r>
              <w:rPr>
                <w:rFonts w:hint="eastAsia" w:eastAsiaTheme="minorEastAsia"/>
                <w:color w:val="000000"/>
                <w:sz w:val="20"/>
                <w:szCs w:val="20"/>
              </w:rPr>
              <w:t>指标1:</w:t>
            </w:r>
            <w:r>
              <w:rPr>
                <w:rFonts w:hint="eastAsia" w:eastAsia="仿宋_GB2312"/>
                <w:color w:val="000000"/>
                <w:sz w:val="20"/>
                <w:szCs w:val="20"/>
              </w:rPr>
              <w:t>培</w:t>
            </w:r>
            <w:r>
              <w:rPr>
                <w:rFonts w:hint="eastAsia" w:ascii="宋体" w:hAnsi="宋体" w:cs="宋体"/>
                <w:color w:val="000000"/>
                <w:sz w:val="20"/>
                <w:szCs w:val="20"/>
              </w:rPr>
              <w:t>训</w:t>
            </w:r>
            <w:r>
              <w:rPr>
                <w:rFonts w:hint="eastAsia" w:ascii="MS Mincho" w:hAnsi="MS Mincho" w:eastAsia="MS Mincho" w:cs="MS Mincho"/>
                <w:color w:val="000000"/>
                <w:sz w:val="20"/>
                <w:szCs w:val="20"/>
              </w:rPr>
              <w:t>合格率（</w:t>
            </w:r>
            <w:r>
              <w:rPr>
                <w:rFonts w:hint="eastAsia" w:eastAsia="仿宋_GB2312"/>
                <w:color w:val="000000"/>
                <w:sz w:val="20"/>
                <w:szCs w:val="20"/>
              </w:rPr>
              <w:t>%）</w:t>
            </w:r>
          </w:p>
        </w:tc>
        <w:tc>
          <w:tcPr>
            <w:tcW w:w="8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100%</w:t>
            </w: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100%</w:t>
            </w:r>
          </w:p>
        </w:tc>
        <w:tc>
          <w:tcPr>
            <w:tcW w:w="85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79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126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r>
      <w:tr>
        <w:tblPrEx>
          <w:tblCellMar>
            <w:top w:w="0" w:type="dxa"/>
            <w:left w:w="108" w:type="dxa"/>
            <w:bottom w:w="0" w:type="dxa"/>
            <w:right w:w="108" w:type="dxa"/>
          </w:tblCellMar>
        </w:tblPrEx>
        <w:trPr>
          <w:trHeight w:val="985" w:hRule="atLeast"/>
          <w:jc w:val="center"/>
        </w:trPr>
        <w:tc>
          <w:tcPr>
            <w:tcW w:w="1061"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default" w:eastAsia="仿宋_GB2312"/>
                <w:color w:val="000000"/>
                <w:sz w:val="20"/>
                <w:szCs w:val="20"/>
              </w:rPr>
            </w:pPr>
          </w:p>
        </w:tc>
        <w:tc>
          <w:tcPr>
            <w:tcW w:w="1099"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default" w:eastAsia="仿宋_GB2312"/>
                <w:color w:val="000000"/>
                <w:sz w:val="20"/>
                <w:szCs w:val="20"/>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000000"/>
                <w:sz w:val="20"/>
                <w:szCs w:val="20"/>
              </w:rPr>
            </w:pPr>
          </w:p>
        </w:tc>
        <w:tc>
          <w:tcPr>
            <w:tcW w:w="1916"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r>
              <w:rPr>
                <w:rFonts w:hint="eastAsia" w:ascii="宋体" w:hAnsi="宋体" w:cs="宋体"/>
                <w:color w:val="000000"/>
                <w:sz w:val="20"/>
                <w:szCs w:val="20"/>
              </w:rPr>
              <w:t>指标2:项</w:t>
            </w:r>
            <w:r>
              <w:rPr>
                <w:rFonts w:hint="eastAsia" w:ascii="MS Mincho" w:hAnsi="MS Mincho" w:eastAsia="MS Mincho" w:cs="MS Mincho"/>
                <w:color w:val="000000"/>
                <w:sz w:val="20"/>
                <w:szCs w:val="20"/>
              </w:rPr>
              <w:t>目（不含移民培</w:t>
            </w:r>
            <w:r>
              <w:rPr>
                <w:rFonts w:hint="eastAsia" w:ascii="宋体" w:hAnsi="宋体" w:cs="宋体"/>
                <w:color w:val="000000"/>
                <w:sz w:val="20"/>
                <w:szCs w:val="20"/>
              </w:rPr>
              <w:t>训</w:t>
            </w:r>
            <w:r>
              <w:rPr>
                <w:rFonts w:hint="eastAsia" w:ascii="MS Mincho" w:hAnsi="MS Mincho" w:eastAsia="MS Mincho" w:cs="MS Mincho"/>
                <w:color w:val="000000"/>
                <w:sz w:val="20"/>
                <w:szCs w:val="20"/>
              </w:rPr>
              <w:t>）</w:t>
            </w:r>
            <w:r>
              <w:rPr>
                <w:rFonts w:hint="eastAsia" w:ascii="宋体" w:hAnsi="宋体" w:cs="宋体"/>
                <w:color w:val="000000"/>
                <w:sz w:val="20"/>
                <w:szCs w:val="20"/>
              </w:rPr>
              <w:t>验</w:t>
            </w:r>
            <w:r>
              <w:rPr>
                <w:rFonts w:hint="eastAsia" w:ascii="MS Mincho" w:hAnsi="MS Mincho" w:eastAsia="MS Mincho" w:cs="MS Mincho"/>
                <w:color w:val="000000"/>
                <w:sz w:val="20"/>
                <w:szCs w:val="20"/>
              </w:rPr>
              <w:t>收合格率（</w:t>
            </w:r>
            <w:r>
              <w:rPr>
                <w:rFonts w:hint="eastAsia" w:eastAsia="仿宋_GB2312"/>
                <w:color w:val="000000"/>
                <w:sz w:val="20"/>
                <w:szCs w:val="20"/>
              </w:rPr>
              <w:t>%）</w:t>
            </w:r>
          </w:p>
        </w:tc>
        <w:tc>
          <w:tcPr>
            <w:tcW w:w="8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100%</w:t>
            </w: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100%</w:t>
            </w:r>
          </w:p>
        </w:tc>
        <w:tc>
          <w:tcPr>
            <w:tcW w:w="85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79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126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r>
      <w:tr>
        <w:tblPrEx>
          <w:tblCellMar>
            <w:top w:w="0" w:type="dxa"/>
            <w:left w:w="108" w:type="dxa"/>
            <w:bottom w:w="0" w:type="dxa"/>
            <w:right w:w="108" w:type="dxa"/>
          </w:tblCellMar>
        </w:tblPrEx>
        <w:trPr>
          <w:jc w:val="center"/>
        </w:trPr>
        <w:tc>
          <w:tcPr>
            <w:tcW w:w="1061"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default" w:eastAsia="仿宋_GB2312"/>
                <w:color w:val="000000"/>
                <w:sz w:val="20"/>
                <w:szCs w:val="20"/>
              </w:rPr>
            </w:pPr>
          </w:p>
        </w:tc>
        <w:tc>
          <w:tcPr>
            <w:tcW w:w="1099"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default" w:eastAsia="仿宋_GB2312"/>
                <w:color w:val="000000"/>
                <w:sz w:val="20"/>
                <w:szCs w:val="20"/>
              </w:rPr>
            </w:pPr>
          </w:p>
        </w:tc>
        <w:tc>
          <w:tcPr>
            <w:tcW w:w="1080" w:type="dxa"/>
            <w:vMerge w:val="restart"/>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时效指标</w:t>
            </w:r>
          </w:p>
        </w:tc>
        <w:tc>
          <w:tcPr>
            <w:tcW w:w="1916"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r>
              <w:rPr>
                <w:rFonts w:hint="eastAsia" w:eastAsiaTheme="minorEastAsia"/>
                <w:color w:val="000000"/>
                <w:sz w:val="20"/>
                <w:szCs w:val="20"/>
              </w:rPr>
              <w:t>指标1:</w:t>
            </w:r>
            <w:r>
              <w:rPr>
                <w:rFonts w:hint="eastAsia" w:eastAsia="仿宋_GB2312"/>
                <w:color w:val="000000"/>
                <w:sz w:val="20"/>
                <w:szCs w:val="20"/>
              </w:rPr>
              <w:t>直</w:t>
            </w:r>
            <w:r>
              <w:rPr>
                <w:rFonts w:hint="eastAsia" w:ascii="宋体" w:hAnsi="宋体" w:cs="宋体"/>
                <w:color w:val="000000"/>
                <w:sz w:val="20"/>
                <w:szCs w:val="20"/>
              </w:rPr>
              <w:t>补资</w:t>
            </w:r>
            <w:r>
              <w:rPr>
                <w:rFonts w:hint="eastAsia" w:ascii="MS Mincho" w:hAnsi="MS Mincho" w:eastAsia="MS Mincho" w:cs="MS Mincho"/>
                <w:color w:val="000000"/>
                <w:sz w:val="20"/>
                <w:szCs w:val="20"/>
              </w:rPr>
              <w:t>金按</w:t>
            </w:r>
            <w:r>
              <w:rPr>
                <w:rFonts w:hint="eastAsia" w:ascii="宋体" w:hAnsi="宋体" w:cs="宋体"/>
                <w:color w:val="000000"/>
                <w:sz w:val="20"/>
                <w:szCs w:val="20"/>
              </w:rPr>
              <w:t>时发</w:t>
            </w:r>
            <w:r>
              <w:rPr>
                <w:rFonts w:hint="eastAsia" w:ascii="MS Mincho" w:hAnsi="MS Mincho" w:eastAsia="MS Mincho" w:cs="MS Mincho"/>
                <w:color w:val="000000"/>
                <w:sz w:val="20"/>
                <w:szCs w:val="20"/>
              </w:rPr>
              <w:t>放率（</w:t>
            </w:r>
            <w:r>
              <w:rPr>
                <w:rFonts w:hint="eastAsia" w:eastAsia="仿宋_GB2312"/>
                <w:color w:val="000000"/>
                <w:sz w:val="20"/>
                <w:szCs w:val="20"/>
              </w:rPr>
              <w:t>%）</w:t>
            </w:r>
          </w:p>
        </w:tc>
        <w:tc>
          <w:tcPr>
            <w:tcW w:w="8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100%</w:t>
            </w: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100%</w:t>
            </w:r>
          </w:p>
        </w:tc>
        <w:tc>
          <w:tcPr>
            <w:tcW w:w="85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10</w:t>
            </w:r>
          </w:p>
        </w:tc>
        <w:tc>
          <w:tcPr>
            <w:tcW w:w="79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10</w:t>
            </w:r>
          </w:p>
        </w:tc>
        <w:tc>
          <w:tcPr>
            <w:tcW w:w="126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r>
      <w:tr>
        <w:tblPrEx>
          <w:tblCellMar>
            <w:top w:w="0" w:type="dxa"/>
            <w:left w:w="108" w:type="dxa"/>
            <w:bottom w:w="0" w:type="dxa"/>
            <w:right w:w="108" w:type="dxa"/>
          </w:tblCellMar>
        </w:tblPrEx>
        <w:trPr>
          <w:trHeight w:val="1105" w:hRule="atLeast"/>
          <w:jc w:val="center"/>
        </w:trPr>
        <w:tc>
          <w:tcPr>
            <w:tcW w:w="1061"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default" w:eastAsia="仿宋_GB2312"/>
                <w:color w:val="000000"/>
                <w:sz w:val="20"/>
                <w:szCs w:val="20"/>
              </w:rPr>
            </w:pPr>
          </w:p>
        </w:tc>
        <w:tc>
          <w:tcPr>
            <w:tcW w:w="1099"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default" w:eastAsia="仿宋_GB2312"/>
                <w:color w:val="000000"/>
                <w:sz w:val="20"/>
                <w:szCs w:val="20"/>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000000"/>
                <w:sz w:val="20"/>
                <w:szCs w:val="20"/>
              </w:rPr>
            </w:pPr>
          </w:p>
        </w:tc>
        <w:tc>
          <w:tcPr>
            <w:tcW w:w="1916"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r>
              <w:rPr>
                <w:rFonts w:hint="eastAsia" w:eastAsiaTheme="minorEastAsia"/>
                <w:color w:val="000000"/>
                <w:sz w:val="20"/>
                <w:szCs w:val="20"/>
              </w:rPr>
              <w:t>指标2:</w:t>
            </w:r>
            <w:r>
              <w:rPr>
                <w:rFonts w:hint="eastAsia" w:eastAsia="仿宋_GB2312"/>
                <w:color w:val="000000"/>
                <w:sz w:val="20"/>
                <w:szCs w:val="20"/>
              </w:rPr>
              <w:t>截至2022年底，</w:t>
            </w:r>
            <w:r>
              <w:rPr>
                <w:rFonts w:hint="eastAsia" w:ascii="宋体" w:hAnsi="宋体" w:cs="宋体"/>
                <w:color w:val="000000"/>
                <w:sz w:val="20"/>
                <w:szCs w:val="20"/>
              </w:rPr>
              <w:t>项</w:t>
            </w:r>
            <w:r>
              <w:rPr>
                <w:rFonts w:hint="eastAsia" w:ascii="MS Mincho" w:hAnsi="MS Mincho" w:eastAsia="MS Mincho" w:cs="MS Mincho"/>
                <w:color w:val="000000"/>
                <w:sz w:val="20"/>
                <w:szCs w:val="20"/>
              </w:rPr>
              <w:t>目</w:t>
            </w:r>
            <w:r>
              <w:rPr>
                <w:rFonts w:hint="eastAsia" w:ascii="宋体" w:hAnsi="宋体" w:cs="宋体"/>
                <w:color w:val="000000"/>
                <w:sz w:val="20"/>
                <w:szCs w:val="20"/>
              </w:rPr>
              <w:t>资</w:t>
            </w:r>
            <w:r>
              <w:rPr>
                <w:rFonts w:hint="eastAsia" w:ascii="MS Mincho" w:hAnsi="MS Mincho" w:eastAsia="MS Mincho" w:cs="MS Mincho"/>
                <w:color w:val="000000"/>
                <w:sz w:val="20"/>
                <w:szCs w:val="20"/>
              </w:rPr>
              <w:t>金完成率（</w:t>
            </w:r>
            <w:r>
              <w:rPr>
                <w:rFonts w:hint="eastAsia" w:eastAsia="仿宋_GB2312"/>
                <w:color w:val="000000"/>
                <w:sz w:val="20"/>
                <w:szCs w:val="20"/>
              </w:rPr>
              <w:t>%）</w:t>
            </w:r>
          </w:p>
        </w:tc>
        <w:tc>
          <w:tcPr>
            <w:tcW w:w="8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100%</w:t>
            </w: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100%</w:t>
            </w:r>
          </w:p>
        </w:tc>
        <w:tc>
          <w:tcPr>
            <w:tcW w:w="85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79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126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r>
      <w:tr>
        <w:tblPrEx>
          <w:tblCellMar>
            <w:top w:w="0" w:type="dxa"/>
            <w:left w:w="108" w:type="dxa"/>
            <w:bottom w:w="0" w:type="dxa"/>
            <w:right w:w="108" w:type="dxa"/>
          </w:tblCellMar>
        </w:tblPrEx>
        <w:trPr>
          <w:jc w:val="center"/>
        </w:trPr>
        <w:tc>
          <w:tcPr>
            <w:tcW w:w="1061"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default" w:eastAsia="仿宋_GB2312"/>
                <w:color w:val="000000"/>
                <w:sz w:val="20"/>
                <w:szCs w:val="20"/>
              </w:rPr>
            </w:pPr>
          </w:p>
        </w:tc>
        <w:tc>
          <w:tcPr>
            <w:tcW w:w="1099"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default" w:eastAsia="仿宋_GB2312"/>
                <w:color w:val="000000"/>
                <w:sz w:val="20"/>
                <w:szCs w:val="20"/>
              </w:rPr>
            </w:pPr>
          </w:p>
        </w:tc>
        <w:tc>
          <w:tcPr>
            <w:tcW w:w="1080" w:type="dxa"/>
            <w:vMerge w:val="continue"/>
            <w:tcBorders>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c>
          <w:tcPr>
            <w:tcW w:w="1916"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r>
              <w:rPr>
                <w:rFonts w:hint="eastAsia" w:eastAsiaTheme="minorEastAsia"/>
                <w:color w:val="000000"/>
                <w:sz w:val="20"/>
                <w:szCs w:val="20"/>
              </w:rPr>
              <w:t>指标3:</w:t>
            </w:r>
            <w:r>
              <w:rPr>
                <w:rFonts w:hint="eastAsia" w:eastAsia="仿宋_GB2312"/>
                <w:color w:val="000000"/>
                <w:sz w:val="20"/>
                <w:szCs w:val="20"/>
              </w:rPr>
              <w:t>截至2023年3月底，</w:t>
            </w:r>
            <w:r>
              <w:rPr>
                <w:rFonts w:hint="eastAsia" w:ascii="宋体" w:hAnsi="宋体" w:cs="宋体"/>
                <w:color w:val="000000"/>
                <w:sz w:val="20"/>
                <w:szCs w:val="20"/>
              </w:rPr>
              <w:t>项</w:t>
            </w:r>
            <w:r>
              <w:rPr>
                <w:rFonts w:hint="eastAsia" w:ascii="MS Mincho" w:hAnsi="MS Mincho" w:eastAsia="MS Mincho" w:cs="MS Mincho"/>
                <w:color w:val="000000"/>
                <w:sz w:val="20"/>
                <w:szCs w:val="20"/>
              </w:rPr>
              <w:t>目</w:t>
            </w:r>
            <w:r>
              <w:rPr>
                <w:rFonts w:hint="eastAsia" w:ascii="宋体" w:hAnsi="宋体" w:cs="宋体"/>
                <w:color w:val="000000"/>
                <w:sz w:val="20"/>
                <w:szCs w:val="20"/>
              </w:rPr>
              <w:t>资</w:t>
            </w:r>
            <w:r>
              <w:rPr>
                <w:rFonts w:hint="eastAsia" w:ascii="MS Mincho" w:hAnsi="MS Mincho" w:eastAsia="MS Mincho" w:cs="MS Mincho"/>
                <w:color w:val="000000"/>
                <w:sz w:val="20"/>
                <w:szCs w:val="20"/>
              </w:rPr>
              <w:t>金完成率（</w:t>
            </w:r>
            <w:r>
              <w:rPr>
                <w:rFonts w:hint="eastAsia" w:eastAsia="仿宋_GB2312"/>
                <w:color w:val="000000"/>
                <w:sz w:val="20"/>
                <w:szCs w:val="20"/>
              </w:rPr>
              <w:t>%）</w:t>
            </w:r>
          </w:p>
        </w:tc>
        <w:tc>
          <w:tcPr>
            <w:tcW w:w="8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100%</w:t>
            </w: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100%</w:t>
            </w:r>
          </w:p>
        </w:tc>
        <w:tc>
          <w:tcPr>
            <w:tcW w:w="85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79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126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r>
      <w:tr>
        <w:tblPrEx>
          <w:tblCellMar>
            <w:top w:w="0" w:type="dxa"/>
            <w:left w:w="108" w:type="dxa"/>
            <w:bottom w:w="0" w:type="dxa"/>
            <w:right w:w="108" w:type="dxa"/>
          </w:tblCellMar>
        </w:tblPrEx>
        <w:trPr>
          <w:trHeight w:val="770" w:hRule="atLeast"/>
          <w:jc w:val="center"/>
        </w:trPr>
        <w:tc>
          <w:tcPr>
            <w:tcW w:w="1061"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000000"/>
                <w:sz w:val="20"/>
                <w:szCs w:val="20"/>
              </w:rPr>
            </w:pPr>
          </w:p>
        </w:tc>
        <w:tc>
          <w:tcPr>
            <w:tcW w:w="1099"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000000"/>
                <w:sz w:val="20"/>
                <w:szCs w:val="20"/>
              </w:rPr>
            </w:pPr>
          </w:p>
        </w:tc>
        <w:tc>
          <w:tcPr>
            <w:tcW w:w="1080" w:type="dxa"/>
            <w:vMerge w:val="restart"/>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成本指标</w:t>
            </w:r>
          </w:p>
        </w:tc>
        <w:tc>
          <w:tcPr>
            <w:tcW w:w="1916"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指标1:</w:t>
            </w:r>
            <w:r>
              <w:rPr>
                <w:rFonts w:hint="eastAsia" w:eastAsia="仿宋_GB2312"/>
                <w:color w:val="000000"/>
                <w:sz w:val="20"/>
                <w:szCs w:val="20"/>
              </w:rPr>
              <w:t>直</w:t>
            </w:r>
            <w:r>
              <w:rPr>
                <w:rFonts w:hint="eastAsia" w:ascii="宋体" w:hAnsi="宋体" w:cs="宋体"/>
                <w:color w:val="000000"/>
                <w:sz w:val="20"/>
                <w:szCs w:val="20"/>
              </w:rPr>
              <w:t>补资</w:t>
            </w:r>
            <w:r>
              <w:rPr>
                <w:rFonts w:hint="eastAsia" w:ascii="MS Mincho" w:hAnsi="MS Mincho" w:eastAsia="MS Mincho" w:cs="MS Mincho"/>
                <w:color w:val="000000"/>
                <w:sz w:val="20"/>
                <w:szCs w:val="20"/>
              </w:rPr>
              <w:t>金</w:t>
            </w:r>
            <w:r>
              <w:rPr>
                <w:rFonts w:hint="eastAsia" w:ascii="宋体" w:hAnsi="宋体" w:cs="宋体"/>
                <w:color w:val="000000"/>
                <w:sz w:val="20"/>
                <w:szCs w:val="20"/>
              </w:rPr>
              <w:t>标</w:t>
            </w:r>
            <w:r>
              <w:rPr>
                <w:rFonts w:hint="eastAsia" w:ascii="MS Mincho" w:hAnsi="MS Mincho" w:eastAsia="MS Mincho" w:cs="MS Mincho"/>
                <w:color w:val="000000"/>
                <w:sz w:val="20"/>
                <w:szCs w:val="20"/>
              </w:rPr>
              <w:t>准符合率（</w:t>
            </w:r>
            <w:r>
              <w:rPr>
                <w:rFonts w:hint="eastAsia" w:eastAsia="仿宋_GB2312"/>
                <w:color w:val="000000"/>
                <w:sz w:val="20"/>
                <w:szCs w:val="20"/>
              </w:rPr>
              <w:t>%）</w:t>
            </w:r>
          </w:p>
        </w:tc>
        <w:tc>
          <w:tcPr>
            <w:tcW w:w="8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100%</w:t>
            </w: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100%</w:t>
            </w:r>
          </w:p>
        </w:tc>
        <w:tc>
          <w:tcPr>
            <w:tcW w:w="85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79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126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r>
      <w:tr>
        <w:tblPrEx>
          <w:tblCellMar>
            <w:top w:w="0" w:type="dxa"/>
            <w:left w:w="108" w:type="dxa"/>
            <w:bottom w:w="0" w:type="dxa"/>
            <w:right w:w="108" w:type="dxa"/>
          </w:tblCellMar>
        </w:tblPrEx>
        <w:trPr>
          <w:jc w:val="center"/>
        </w:trPr>
        <w:tc>
          <w:tcPr>
            <w:tcW w:w="1061"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000000"/>
                <w:sz w:val="20"/>
                <w:szCs w:val="20"/>
              </w:rPr>
            </w:pPr>
          </w:p>
        </w:tc>
        <w:tc>
          <w:tcPr>
            <w:tcW w:w="1099"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000000"/>
                <w:sz w:val="20"/>
                <w:szCs w:val="20"/>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000000"/>
                <w:sz w:val="20"/>
                <w:szCs w:val="20"/>
              </w:rPr>
            </w:pPr>
          </w:p>
        </w:tc>
        <w:tc>
          <w:tcPr>
            <w:tcW w:w="1916"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ascii="宋体" w:hAnsi="宋体" w:cs="宋体"/>
                <w:color w:val="000000"/>
                <w:sz w:val="20"/>
                <w:szCs w:val="20"/>
              </w:rPr>
              <w:t>指标2:项</w:t>
            </w:r>
            <w:r>
              <w:rPr>
                <w:rFonts w:hint="eastAsia" w:ascii="MS Mincho" w:hAnsi="MS Mincho" w:eastAsia="MS Mincho" w:cs="MS Mincho"/>
                <w:color w:val="000000"/>
                <w:sz w:val="20"/>
                <w:szCs w:val="20"/>
              </w:rPr>
              <w:t>目支出控制在批复的</w:t>
            </w:r>
            <w:r>
              <w:rPr>
                <w:rFonts w:hint="eastAsia" w:ascii="宋体" w:hAnsi="宋体" w:cs="宋体"/>
                <w:color w:val="000000"/>
                <w:sz w:val="20"/>
                <w:szCs w:val="20"/>
              </w:rPr>
              <w:t>预</w:t>
            </w:r>
            <w:r>
              <w:rPr>
                <w:rFonts w:hint="eastAsia" w:ascii="MS Mincho" w:hAnsi="MS Mincho" w:eastAsia="MS Mincho" w:cs="MS Mincho"/>
                <w:color w:val="000000"/>
                <w:sz w:val="20"/>
                <w:szCs w:val="20"/>
              </w:rPr>
              <w:t>算范</w:t>
            </w:r>
            <w:r>
              <w:rPr>
                <w:rFonts w:hint="eastAsia" w:ascii="宋体" w:hAnsi="宋体" w:cs="宋体"/>
                <w:color w:val="000000"/>
                <w:sz w:val="20"/>
                <w:szCs w:val="20"/>
              </w:rPr>
              <w:t>围</w:t>
            </w:r>
            <w:r>
              <w:rPr>
                <w:rFonts w:hint="eastAsia" w:ascii="MS Mincho" w:hAnsi="MS Mincho" w:eastAsia="MS Mincho" w:cs="MS Mincho"/>
                <w:color w:val="000000"/>
                <w:sz w:val="20"/>
                <w:szCs w:val="20"/>
              </w:rPr>
              <w:t>内的</w:t>
            </w:r>
            <w:r>
              <w:rPr>
                <w:rFonts w:hint="eastAsia" w:ascii="宋体" w:hAnsi="宋体" w:cs="宋体"/>
                <w:color w:val="000000"/>
                <w:sz w:val="20"/>
                <w:szCs w:val="20"/>
              </w:rPr>
              <w:t>项</w:t>
            </w:r>
            <w:r>
              <w:rPr>
                <w:rFonts w:hint="eastAsia" w:ascii="MS Mincho" w:hAnsi="MS Mincho" w:eastAsia="MS Mincho" w:cs="MS Mincho"/>
                <w:color w:val="000000"/>
                <w:sz w:val="20"/>
                <w:szCs w:val="20"/>
              </w:rPr>
              <w:t>目比例（</w:t>
            </w:r>
            <w:r>
              <w:rPr>
                <w:rFonts w:hint="eastAsia" w:eastAsia="仿宋_GB2312"/>
                <w:color w:val="000000"/>
                <w:sz w:val="20"/>
                <w:szCs w:val="20"/>
              </w:rPr>
              <w:t>%）</w:t>
            </w:r>
          </w:p>
        </w:tc>
        <w:tc>
          <w:tcPr>
            <w:tcW w:w="8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100%</w:t>
            </w: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100%</w:t>
            </w:r>
          </w:p>
        </w:tc>
        <w:tc>
          <w:tcPr>
            <w:tcW w:w="85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79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126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r>
      <w:tr>
        <w:tblPrEx>
          <w:tblCellMar>
            <w:top w:w="0" w:type="dxa"/>
            <w:left w:w="108" w:type="dxa"/>
            <w:bottom w:w="0" w:type="dxa"/>
            <w:right w:w="108" w:type="dxa"/>
          </w:tblCellMar>
        </w:tblPrEx>
        <w:trPr>
          <w:trHeight w:val="1259" w:hRule="atLeast"/>
          <w:jc w:val="center"/>
        </w:trPr>
        <w:tc>
          <w:tcPr>
            <w:tcW w:w="1061"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000000"/>
                <w:sz w:val="20"/>
                <w:szCs w:val="20"/>
              </w:rPr>
            </w:pPr>
          </w:p>
        </w:tc>
        <w:tc>
          <w:tcPr>
            <w:tcW w:w="1099" w:type="dxa"/>
            <w:vMerge w:val="restart"/>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效益指标</w:t>
            </w:r>
          </w:p>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（30分）</w:t>
            </w:r>
          </w:p>
        </w:tc>
        <w:tc>
          <w:tcPr>
            <w:tcW w:w="1080" w:type="dxa"/>
            <w:vMerge w:val="restart"/>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经济效</w:t>
            </w:r>
          </w:p>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益指标</w:t>
            </w:r>
          </w:p>
        </w:tc>
        <w:tc>
          <w:tcPr>
            <w:tcW w:w="1916"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指标1:</w:t>
            </w:r>
            <w:r>
              <w:rPr>
                <w:rFonts w:hint="eastAsia" w:eastAsia="仿宋_GB2312"/>
                <w:color w:val="000000"/>
                <w:sz w:val="20"/>
                <w:szCs w:val="20"/>
              </w:rPr>
              <w:t>增加移民人均可支配收入（元）</w:t>
            </w:r>
          </w:p>
        </w:tc>
        <w:tc>
          <w:tcPr>
            <w:tcW w:w="8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1773</w:t>
            </w: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1955</w:t>
            </w:r>
          </w:p>
        </w:tc>
        <w:tc>
          <w:tcPr>
            <w:tcW w:w="85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79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126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r>
      <w:tr>
        <w:tblPrEx>
          <w:tblCellMar>
            <w:top w:w="0" w:type="dxa"/>
            <w:left w:w="108" w:type="dxa"/>
            <w:bottom w:w="0" w:type="dxa"/>
            <w:right w:w="108" w:type="dxa"/>
          </w:tblCellMar>
        </w:tblPrEx>
        <w:trPr>
          <w:jc w:val="center"/>
        </w:trPr>
        <w:tc>
          <w:tcPr>
            <w:tcW w:w="1061"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000000"/>
                <w:sz w:val="20"/>
                <w:szCs w:val="20"/>
              </w:rPr>
            </w:pPr>
          </w:p>
        </w:tc>
        <w:tc>
          <w:tcPr>
            <w:tcW w:w="1099"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000000"/>
                <w:sz w:val="20"/>
                <w:szCs w:val="20"/>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000000"/>
                <w:sz w:val="20"/>
                <w:szCs w:val="20"/>
              </w:rPr>
            </w:pPr>
          </w:p>
        </w:tc>
        <w:tc>
          <w:tcPr>
            <w:tcW w:w="1916"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指标2:</w:t>
            </w:r>
            <w:r>
              <w:rPr>
                <w:rFonts w:hint="eastAsia" w:eastAsia="仿宋_GB2312"/>
                <w:color w:val="000000"/>
                <w:sz w:val="20"/>
                <w:szCs w:val="20"/>
              </w:rPr>
              <w:t>提高移民收入占当地</w:t>
            </w:r>
            <w:r>
              <w:rPr>
                <w:rFonts w:hint="eastAsia" w:ascii="宋体" w:hAnsi="宋体" w:cs="宋体"/>
                <w:color w:val="000000"/>
                <w:sz w:val="20"/>
                <w:szCs w:val="20"/>
              </w:rPr>
              <w:t>农</w:t>
            </w:r>
            <w:r>
              <w:rPr>
                <w:rFonts w:hint="eastAsia" w:ascii="MS Mincho" w:hAnsi="MS Mincho" w:eastAsia="MS Mincho" w:cs="MS Mincho"/>
                <w:color w:val="000000"/>
                <w:sz w:val="20"/>
                <w:szCs w:val="20"/>
              </w:rPr>
              <w:t>村居民收入比例（</w:t>
            </w:r>
            <w:r>
              <w:rPr>
                <w:rFonts w:hint="eastAsia" w:eastAsia="仿宋_GB2312"/>
                <w:color w:val="000000"/>
                <w:sz w:val="20"/>
                <w:szCs w:val="20"/>
              </w:rPr>
              <w:t>%）</w:t>
            </w:r>
          </w:p>
        </w:tc>
        <w:tc>
          <w:tcPr>
            <w:tcW w:w="8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1.11%</w:t>
            </w: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2.2%</w:t>
            </w:r>
          </w:p>
        </w:tc>
        <w:tc>
          <w:tcPr>
            <w:tcW w:w="85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79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126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r>
      <w:tr>
        <w:tblPrEx>
          <w:tblCellMar>
            <w:top w:w="0" w:type="dxa"/>
            <w:left w:w="108" w:type="dxa"/>
            <w:bottom w:w="0" w:type="dxa"/>
            <w:right w:w="108" w:type="dxa"/>
          </w:tblCellMar>
        </w:tblPrEx>
        <w:trPr>
          <w:trHeight w:val="1380" w:hRule="atLeast"/>
          <w:jc w:val="center"/>
        </w:trPr>
        <w:tc>
          <w:tcPr>
            <w:tcW w:w="1061"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000000"/>
                <w:sz w:val="20"/>
                <w:szCs w:val="20"/>
              </w:rPr>
            </w:pPr>
          </w:p>
        </w:tc>
        <w:tc>
          <w:tcPr>
            <w:tcW w:w="1099"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000000"/>
                <w:sz w:val="20"/>
                <w:szCs w:val="20"/>
              </w:rPr>
            </w:pPr>
          </w:p>
        </w:tc>
        <w:tc>
          <w:tcPr>
            <w:tcW w:w="1080" w:type="dxa"/>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社会效</w:t>
            </w:r>
          </w:p>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益指标</w:t>
            </w:r>
          </w:p>
        </w:tc>
        <w:tc>
          <w:tcPr>
            <w:tcW w:w="1916"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指标1:</w:t>
            </w:r>
            <w:r>
              <w:rPr>
                <w:rFonts w:hint="eastAsia" w:eastAsia="仿宋_GB2312"/>
                <w:color w:val="000000"/>
                <w:sz w:val="20"/>
                <w:szCs w:val="20"/>
              </w:rPr>
              <w:t>增加达到当地</w:t>
            </w:r>
            <w:r>
              <w:rPr>
                <w:rFonts w:hint="eastAsia" w:ascii="宋体" w:hAnsi="宋体" w:cs="宋体"/>
                <w:color w:val="000000"/>
                <w:sz w:val="20"/>
                <w:szCs w:val="20"/>
              </w:rPr>
              <w:t>县农</w:t>
            </w:r>
            <w:r>
              <w:rPr>
                <w:rFonts w:hint="eastAsia" w:ascii="MS Mincho" w:hAnsi="MS Mincho" w:eastAsia="MS Mincho" w:cs="MS Mincho"/>
                <w:color w:val="000000"/>
                <w:sz w:val="20"/>
                <w:szCs w:val="20"/>
              </w:rPr>
              <w:t>村居民平均收入水平移民人口（人）</w:t>
            </w:r>
          </w:p>
        </w:tc>
        <w:tc>
          <w:tcPr>
            <w:tcW w:w="8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267</w:t>
            </w: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320</w:t>
            </w:r>
          </w:p>
        </w:tc>
        <w:tc>
          <w:tcPr>
            <w:tcW w:w="85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79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126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r>
      <w:tr>
        <w:tblPrEx>
          <w:tblCellMar>
            <w:top w:w="0" w:type="dxa"/>
            <w:left w:w="108" w:type="dxa"/>
            <w:bottom w:w="0" w:type="dxa"/>
            <w:right w:w="108" w:type="dxa"/>
          </w:tblCellMar>
        </w:tblPrEx>
        <w:trPr>
          <w:trHeight w:val="1219" w:hRule="atLeast"/>
          <w:jc w:val="center"/>
        </w:trPr>
        <w:tc>
          <w:tcPr>
            <w:tcW w:w="1061"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000000"/>
                <w:sz w:val="20"/>
                <w:szCs w:val="20"/>
              </w:rPr>
            </w:pPr>
          </w:p>
        </w:tc>
        <w:tc>
          <w:tcPr>
            <w:tcW w:w="1099"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000000"/>
                <w:sz w:val="20"/>
                <w:szCs w:val="20"/>
              </w:rPr>
            </w:pPr>
          </w:p>
        </w:tc>
        <w:tc>
          <w:tcPr>
            <w:tcW w:w="1080" w:type="dxa"/>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生态效</w:t>
            </w:r>
          </w:p>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益指标</w:t>
            </w:r>
          </w:p>
        </w:tc>
        <w:tc>
          <w:tcPr>
            <w:tcW w:w="1916"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指标1:</w:t>
            </w:r>
            <w:r>
              <w:rPr>
                <w:rFonts w:hint="eastAsia" w:eastAsia="仿宋_GB2312"/>
                <w:color w:val="000000"/>
                <w:sz w:val="20"/>
                <w:szCs w:val="20"/>
              </w:rPr>
              <w:t>建成美</w:t>
            </w:r>
            <w:r>
              <w:rPr>
                <w:rFonts w:hint="eastAsia" w:ascii="宋体" w:hAnsi="宋体" w:cs="宋体"/>
                <w:color w:val="000000"/>
                <w:sz w:val="20"/>
                <w:szCs w:val="20"/>
              </w:rPr>
              <w:t>丽</w:t>
            </w:r>
            <w:r>
              <w:rPr>
                <w:rFonts w:hint="eastAsia" w:ascii="MS Mincho" w:hAnsi="MS Mincho" w:eastAsia="MS Mincho" w:cs="MS Mincho"/>
                <w:color w:val="000000"/>
                <w:sz w:val="20"/>
                <w:szCs w:val="20"/>
              </w:rPr>
              <w:t>移民村（个）</w:t>
            </w:r>
          </w:p>
        </w:tc>
        <w:tc>
          <w:tcPr>
            <w:tcW w:w="8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2</w:t>
            </w: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2</w:t>
            </w:r>
          </w:p>
        </w:tc>
        <w:tc>
          <w:tcPr>
            <w:tcW w:w="85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79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126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r>
      <w:tr>
        <w:tblPrEx>
          <w:tblCellMar>
            <w:top w:w="0" w:type="dxa"/>
            <w:left w:w="108" w:type="dxa"/>
            <w:bottom w:w="0" w:type="dxa"/>
            <w:right w:w="108" w:type="dxa"/>
          </w:tblCellMar>
        </w:tblPrEx>
        <w:trPr>
          <w:trHeight w:val="1015" w:hRule="atLeast"/>
          <w:jc w:val="center"/>
        </w:trPr>
        <w:tc>
          <w:tcPr>
            <w:tcW w:w="1061"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c>
          <w:tcPr>
            <w:tcW w:w="1099" w:type="dxa"/>
            <w:vMerge w:val="continue"/>
            <w:tcBorders>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c>
          <w:tcPr>
            <w:tcW w:w="1080" w:type="dxa"/>
            <w:tcBorders>
              <w:top w:val="single" w:color="auto" w:sz="4" w:space="0"/>
              <w:left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可持续</w:t>
            </w:r>
          </w:p>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影响指标</w:t>
            </w:r>
          </w:p>
        </w:tc>
        <w:tc>
          <w:tcPr>
            <w:tcW w:w="191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指标1:</w:t>
            </w:r>
            <w:r>
              <w:rPr>
                <w:rFonts w:hint="eastAsia" w:eastAsia="仿宋_GB2312"/>
                <w:color w:val="000000"/>
                <w:sz w:val="20"/>
                <w:szCs w:val="20"/>
              </w:rPr>
              <w:t>已建工程</w:t>
            </w:r>
            <w:r>
              <w:rPr>
                <w:rFonts w:hint="eastAsia" w:ascii="宋体" w:hAnsi="宋体" w:cs="宋体"/>
                <w:color w:val="000000"/>
                <w:sz w:val="20"/>
                <w:szCs w:val="20"/>
              </w:rPr>
              <w:t>项</w:t>
            </w:r>
            <w:r>
              <w:rPr>
                <w:rFonts w:hint="eastAsia" w:ascii="MS Mincho" w:hAnsi="MS Mincho" w:eastAsia="MS Mincho" w:cs="MS Mincho"/>
                <w:color w:val="000000"/>
                <w:sz w:val="20"/>
                <w:szCs w:val="20"/>
              </w:rPr>
              <w:t>目良性运行比例（</w:t>
            </w:r>
            <w:r>
              <w:rPr>
                <w:rFonts w:hint="eastAsia" w:eastAsia="仿宋_GB2312"/>
                <w:color w:val="000000"/>
                <w:sz w:val="20"/>
                <w:szCs w:val="20"/>
              </w:rPr>
              <w:t>%）</w:t>
            </w:r>
          </w:p>
        </w:tc>
        <w:tc>
          <w:tcPr>
            <w:tcW w:w="88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100%</w:t>
            </w:r>
          </w:p>
        </w:tc>
        <w:tc>
          <w:tcPr>
            <w:tcW w:w="9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100%</w:t>
            </w:r>
          </w:p>
        </w:tc>
        <w:tc>
          <w:tcPr>
            <w:tcW w:w="85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79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126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r>
      <w:tr>
        <w:tblPrEx>
          <w:tblCellMar>
            <w:top w:w="0" w:type="dxa"/>
            <w:left w:w="108" w:type="dxa"/>
            <w:bottom w:w="0" w:type="dxa"/>
            <w:right w:w="108" w:type="dxa"/>
          </w:tblCellMar>
        </w:tblPrEx>
        <w:trPr>
          <w:trHeight w:val="1106" w:hRule="atLeast"/>
          <w:jc w:val="center"/>
        </w:trPr>
        <w:tc>
          <w:tcPr>
            <w:tcW w:w="1061"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000000"/>
                <w:sz w:val="20"/>
                <w:szCs w:val="20"/>
              </w:rPr>
            </w:pPr>
          </w:p>
        </w:tc>
        <w:tc>
          <w:tcPr>
            <w:tcW w:w="1099" w:type="dxa"/>
            <w:vMerge w:val="restart"/>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满意度</w:t>
            </w:r>
          </w:p>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指标</w:t>
            </w:r>
          </w:p>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（10分）</w:t>
            </w:r>
          </w:p>
        </w:tc>
        <w:tc>
          <w:tcPr>
            <w:tcW w:w="1080" w:type="dxa"/>
            <w:vMerge w:val="restart"/>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服务对象满意度</w:t>
            </w:r>
          </w:p>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指标</w:t>
            </w:r>
          </w:p>
        </w:tc>
        <w:tc>
          <w:tcPr>
            <w:tcW w:w="1916"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指标1:</w:t>
            </w:r>
            <w:r>
              <w:rPr>
                <w:rFonts w:hint="eastAsia" w:eastAsia="仿宋_GB2312"/>
                <w:color w:val="000000"/>
                <w:sz w:val="20"/>
                <w:szCs w:val="20"/>
              </w:rPr>
              <w:t>移民</w:t>
            </w:r>
            <w:r>
              <w:rPr>
                <w:rFonts w:hint="eastAsia" w:ascii="宋体" w:hAnsi="宋体" w:cs="宋体"/>
                <w:color w:val="000000"/>
                <w:sz w:val="20"/>
                <w:szCs w:val="20"/>
              </w:rPr>
              <w:t>对</w:t>
            </w:r>
            <w:r>
              <w:rPr>
                <w:rFonts w:hint="eastAsia" w:ascii="MS Mincho" w:hAnsi="MS Mincho" w:eastAsia="MS Mincho" w:cs="MS Mincho"/>
                <w:color w:val="000000"/>
                <w:sz w:val="20"/>
                <w:szCs w:val="20"/>
              </w:rPr>
              <w:t>后期扶持政策</w:t>
            </w:r>
            <w:r>
              <w:rPr>
                <w:rFonts w:hint="eastAsia" w:ascii="宋体" w:hAnsi="宋体" w:cs="宋体"/>
                <w:color w:val="000000"/>
                <w:sz w:val="20"/>
                <w:szCs w:val="20"/>
              </w:rPr>
              <w:t>实</w:t>
            </w:r>
            <w:r>
              <w:rPr>
                <w:rFonts w:hint="eastAsia" w:ascii="MS Mincho" w:hAnsi="MS Mincho" w:eastAsia="MS Mincho" w:cs="MS Mincho"/>
                <w:color w:val="000000"/>
                <w:sz w:val="20"/>
                <w:szCs w:val="20"/>
              </w:rPr>
              <w:t>施</w:t>
            </w:r>
            <w:r>
              <w:rPr>
                <w:rFonts w:hint="eastAsia" w:ascii="宋体" w:hAnsi="宋体" w:cs="宋体"/>
                <w:color w:val="000000"/>
                <w:sz w:val="20"/>
                <w:szCs w:val="20"/>
              </w:rPr>
              <w:t>满</w:t>
            </w:r>
            <w:r>
              <w:rPr>
                <w:rFonts w:hint="eastAsia" w:ascii="MS Mincho" w:hAnsi="MS Mincho" w:eastAsia="MS Mincho" w:cs="MS Mincho"/>
                <w:color w:val="000000"/>
                <w:sz w:val="20"/>
                <w:szCs w:val="20"/>
              </w:rPr>
              <w:t>意度（</w:t>
            </w:r>
            <w:r>
              <w:rPr>
                <w:rFonts w:hint="eastAsia" w:eastAsia="仿宋_GB2312"/>
                <w:color w:val="000000"/>
                <w:sz w:val="20"/>
                <w:szCs w:val="20"/>
              </w:rPr>
              <w:t>%）</w:t>
            </w:r>
          </w:p>
        </w:tc>
        <w:tc>
          <w:tcPr>
            <w:tcW w:w="8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100%</w:t>
            </w: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85%</w:t>
            </w:r>
          </w:p>
        </w:tc>
        <w:tc>
          <w:tcPr>
            <w:tcW w:w="85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4</w:t>
            </w:r>
          </w:p>
        </w:tc>
        <w:tc>
          <w:tcPr>
            <w:tcW w:w="79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3</w:t>
            </w:r>
          </w:p>
        </w:tc>
        <w:tc>
          <w:tcPr>
            <w:tcW w:w="126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r>
      <w:tr>
        <w:tblPrEx>
          <w:tblCellMar>
            <w:top w:w="0" w:type="dxa"/>
            <w:left w:w="108" w:type="dxa"/>
            <w:bottom w:w="0" w:type="dxa"/>
            <w:right w:w="108" w:type="dxa"/>
          </w:tblCellMar>
        </w:tblPrEx>
        <w:trPr>
          <w:trHeight w:val="1347" w:hRule="atLeast"/>
          <w:jc w:val="center"/>
        </w:trPr>
        <w:tc>
          <w:tcPr>
            <w:tcW w:w="1061"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000000"/>
                <w:sz w:val="20"/>
                <w:szCs w:val="20"/>
              </w:rPr>
            </w:pPr>
          </w:p>
        </w:tc>
        <w:tc>
          <w:tcPr>
            <w:tcW w:w="1099"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000000"/>
                <w:sz w:val="20"/>
                <w:szCs w:val="20"/>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000000"/>
                <w:sz w:val="20"/>
                <w:szCs w:val="20"/>
              </w:rPr>
            </w:pPr>
          </w:p>
        </w:tc>
        <w:tc>
          <w:tcPr>
            <w:tcW w:w="1916"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指标2:</w:t>
            </w:r>
            <w:r>
              <w:rPr>
                <w:rFonts w:hint="eastAsia" w:eastAsia="仿宋_GB2312"/>
                <w:color w:val="000000"/>
                <w:sz w:val="20"/>
                <w:szCs w:val="20"/>
              </w:rPr>
              <w:t>与后期扶持有关的</w:t>
            </w:r>
            <w:r>
              <w:rPr>
                <w:rFonts w:hint="eastAsia" w:ascii="宋体" w:hAnsi="宋体" w:cs="宋体"/>
                <w:color w:val="000000"/>
                <w:sz w:val="20"/>
                <w:szCs w:val="20"/>
              </w:rPr>
              <w:t>进</w:t>
            </w:r>
            <w:r>
              <w:rPr>
                <w:rFonts w:hint="eastAsia" w:ascii="MS Mincho" w:hAnsi="MS Mincho" w:eastAsia="MS Mincho" w:cs="MS Mincho"/>
                <w:color w:val="000000"/>
                <w:sz w:val="20"/>
                <w:szCs w:val="20"/>
              </w:rPr>
              <w:t>京上</w:t>
            </w:r>
            <w:r>
              <w:rPr>
                <w:rFonts w:hint="eastAsia" w:ascii="宋体" w:hAnsi="宋体" w:cs="宋体"/>
                <w:color w:val="000000"/>
                <w:sz w:val="20"/>
                <w:szCs w:val="20"/>
              </w:rPr>
              <w:t>访</w:t>
            </w:r>
            <w:r>
              <w:rPr>
                <w:rFonts w:hint="eastAsia" w:ascii="MS Mincho" w:hAnsi="MS Mincho" w:eastAsia="MS Mincho" w:cs="MS Mincho"/>
                <w:color w:val="000000"/>
                <w:sz w:val="20"/>
                <w:szCs w:val="20"/>
              </w:rPr>
              <w:t>事件及</w:t>
            </w:r>
            <w:r>
              <w:rPr>
                <w:rFonts w:hint="eastAsia" w:ascii="宋体" w:hAnsi="宋体" w:cs="宋体"/>
                <w:color w:val="000000"/>
                <w:sz w:val="20"/>
                <w:szCs w:val="20"/>
              </w:rPr>
              <w:t>时处</w:t>
            </w:r>
            <w:r>
              <w:rPr>
                <w:rFonts w:hint="eastAsia" w:ascii="MS Mincho" w:hAnsi="MS Mincho" w:eastAsia="MS Mincho" w:cs="MS Mincho"/>
                <w:color w:val="000000"/>
                <w:sz w:val="20"/>
                <w:szCs w:val="20"/>
              </w:rPr>
              <w:t>理率（</w:t>
            </w:r>
            <w:r>
              <w:rPr>
                <w:rFonts w:hint="eastAsia" w:eastAsia="仿宋_GB2312"/>
                <w:color w:val="000000"/>
                <w:sz w:val="20"/>
                <w:szCs w:val="20"/>
              </w:rPr>
              <w:t>%）</w:t>
            </w:r>
          </w:p>
        </w:tc>
        <w:tc>
          <w:tcPr>
            <w:tcW w:w="8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100%</w:t>
            </w: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100%</w:t>
            </w:r>
          </w:p>
        </w:tc>
        <w:tc>
          <w:tcPr>
            <w:tcW w:w="85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3</w:t>
            </w:r>
          </w:p>
        </w:tc>
        <w:tc>
          <w:tcPr>
            <w:tcW w:w="79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3</w:t>
            </w:r>
          </w:p>
        </w:tc>
        <w:tc>
          <w:tcPr>
            <w:tcW w:w="126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r>
      <w:tr>
        <w:tblPrEx>
          <w:tblCellMar>
            <w:top w:w="0" w:type="dxa"/>
            <w:left w:w="108" w:type="dxa"/>
            <w:bottom w:w="0" w:type="dxa"/>
            <w:right w:w="108" w:type="dxa"/>
          </w:tblCellMar>
        </w:tblPrEx>
        <w:trPr>
          <w:trHeight w:val="1265" w:hRule="atLeast"/>
          <w:jc w:val="center"/>
        </w:trPr>
        <w:tc>
          <w:tcPr>
            <w:tcW w:w="1061" w:type="dxa"/>
            <w:vMerge w:val="continue"/>
            <w:tcBorders>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c>
          <w:tcPr>
            <w:tcW w:w="1099" w:type="dxa"/>
            <w:vMerge w:val="continue"/>
            <w:tcBorders>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c>
          <w:tcPr>
            <w:tcW w:w="1080" w:type="dxa"/>
            <w:vMerge w:val="continue"/>
            <w:tcBorders>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c>
          <w:tcPr>
            <w:tcW w:w="1916"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指标3:</w:t>
            </w:r>
            <w:r>
              <w:rPr>
                <w:rFonts w:hint="eastAsia" w:eastAsia="仿宋_GB2312"/>
                <w:color w:val="000000"/>
                <w:sz w:val="20"/>
                <w:szCs w:val="20"/>
              </w:rPr>
              <w:t>交</w:t>
            </w:r>
            <w:r>
              <w:rPr>
                <w:rFonts w:hint="eastAsia" w:ascii="宋体" w:hAnsi="宋体" w:cs="宋体"/>
                <w:color w:val="000000"/>
                <w:sz w:val="20"/>
                <w:szCs w:val="20"/>
              </w:rPr>
              <w:t>办</w:t>
            </w:r>
            <w:r>
              <w:rPr>
                <w:rFonts w:hint="eastAsia" w:ascii="MS Mincho" w:hAnsi="MS Mincho" w:eastAsia="MS Mincho" w:cs="MS Mincho"/>
                <w:color w:val="000000"/>
                <w:sz w:val="20"/>
                <w:szCs w:val="20"/>
              </w:rPr>
              <w:t>的信</w:t>
            </w:r>
            <w:r>
              <w:rPr>
                <w:rFonts w:hint="eastAsia" w:ascii="宋体" w:hAnsi="宋体" w:cs="宋体"/>
                <w:color w:val="000000"/>
                <w:sz w:val="20"/>
                <w:szCs w:val="20"/>
              </w:rPr>
              <w:t>访</w:t>
            </w:r>
            <w:r>
              <w:rPr>
                <w:rFonts w:hint="eastAsia" w:ascii="MS Mincho" w:hAnsi="MS Mincho" w:eastAsia="MS Mincho" w:cs="MS Mincho"/>
                <w:color w:val="000000"/>
                <w:sz w:val="20"/>
                <w:szCs w:val="20"/>
              </w:rPr>
              <w:t>事</w:t>
            </w:r>
            <w:r>
              <w:rPr>
                <w:rFonts w:hint="eastAsia" w:ascii="宋体" w:hAnsi="宋体" w:cs="宋体"/>
                <w:color w:val="000000"/>
                <w:sz w:val="20"/>
                <w:szCs w:val="20"/>
              </w:rPr>
              <w:t>项</w:t>
            </w:r>
            <w:r>
              <w:rPr>
                <w:rFonts w:hint="eastAsia" w:ascii="MS Mincho" w:hAnsi="MS Mincho" w:eastAsia="MS Mincho" w:cs="MS Mincho"/>
                <w:color w:val="000000"/>
                <w:sz w:val="20"/>
                <w:szCs w:val="20"/>
              </w:rPr>
              <w:t>及</w:t>
            </w:r>
            <w:r>
              <w:rPr>
                <w:rFonts w:hint="eastAsia" w:ascii="宋体" w:hAnsi="宋体" w:cs="宋体"/>
                <w:color w:val="000000"/>
                <w:sz w:val="20"/>
                <w:szCs w:val="20"/>
              </w:rPr>
              <w:t>时处</w:t>
            </w:r>
            <w:r>
              <w:rPr>
                <w:rFonts w:hint="eastAsia" w:ascii="MS Mincho" w:hAnsi="MS Mincho" w:eastAsia="MS Mincho" w:cs="MS Mincho"/>
                <w:color w:val="000000"/>
                <w:sz w:val="20"/>
                <w:szCs w:val="20"/>
              </w:rPr>
              <w:t>理率（</w:t>
            </w:r>
            <w:r>
              <w:rPr>
                <w:rFonts w:hint="eastAsia" w:eastAsia="仿宋_GB2312"/>
                <w:color w:val="000000"/>
                <w:sz w:val="20"/>
                <w:szCs w:val="20"/>
              </w:rPr>
              <w:t>%）</w:t>
            </w:r>
            <w:r>
              <w:rPr>
                <w:rFonts w:hint="default" w:eastAsia="仿宋_GB2312"/>
                <w:color w:val="000000"/>
                <w:sz w:val="20"/>
                <w:szCs w:val="20"/>
              </w:rPr>
              <w:t>…</w:t>
            </w:r>
          </w:p>
        </w:tc>
        <w:tc>
          <w:tcPr>
            <w:tcW w:w="8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100%</w:t>
            </w: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100%</w:t>
            </w:r>
          </w:p>
        </w:tc>
        <w:tc>
          <w:tcPr>
            <w:tcW w:w="85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3</w:t>
            </w:r>
          </w:p>
        </w:tc>
        <w:tc>
          <w:tcPr>
            <w:tcW w:w="79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3</w:t>
            </w:r>
          </w:p>
        </w:tc>
        <w:tc>
          <w:tcPr>
            <w:tcW w:w="126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r>
      <w:tr>
        <w:tblPrEx>
          <w:tblCellMar>
            <w:top w:w="0" w:type="dxa"/>
            <w:left w:w="108" w:type="dxa"/>
            <w:bottom w:w="0" w:type="dxa"/>
            <w:right w:w="108" w:type="dxa"/>
          </w:tblCellMar>
        </w:tblPrEx>
        <w:trPr>
          <w:trHeight w:val="549" w:hRule="atLeast"/>
          <w:jc w:val="center"/>
        </w:trPr>
        <w:tc>
          <w:tcPr>
            <w:tcW w:w="6941" w:type="dxa"/>
            <w:gridSpan w:val="7"/>
            <w:tcBorders>
              <w:top w:val="single" w:color="auto" w:sz="4" w:space="0"/>
              <w:left w:val="single" w:color="auto"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总分</w:t>
            </w:r>
          </w:p>
        </w:tc>
        <w:tc>
          <w:tcPr>
            <w:tcW w:w="85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100</w:t>
            </w:r>
          </w:p>
        </w:tc>
        <w:tc>
          <w:tcPr>
            <w:tcW w:w="79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99</w:t>
            </w:r>
          </w:p>
        </w:tc>
        <w:tc>
          <w:tcPr>
            <w:tcW w:w="126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r>
    </w:tbl>
    <w:p>
      <w:pPr>
        <w:jc w:val="both"/>
        <w:rPr>
          <w:rFonts w:hint="eastAsia" w:ascii="黑体" w:hAnsi="黑体" w:eastAsia="黑体" w:cs="黑体"/>
          <w:sz w:val="32"/>
          <w:szCs w:val="32"/>
        </w:rPr>
      </w:pPr>
      <w:r>
        <w:rPr>
          <w:rFonts w:hint="eastAsia" w:ascii="新宋体" w:hAnsi="新宋体" w:eastAsia="新宋体" w:cs="新宋体"/>
          <w:szCs w:val="21"/>
        </w:rPr>
        <w:t>备注：一个一级项目支出一张表。如，业务工作经费，运行维护经费，XX项目资金…各一张</w:t>
      </w:r>
    </w:p>
    <w:p>
      <w:pPr>
        <w:jc w:val="left"/>
        <w:outlineLvl w:val="0"/>
        <w:rPr>
          <w:rFonts w:hint="eastAsia" w:ascii="黑体" w:hAnsi="黑体" w:eastAsia="黑体" w:cs="黑体"/>
          <w:sz w:val="32"/>
          <w:szCs w:val="32"/>
        </w:rPr>
      </w:pPr>
    </w:p>
    <w:p>
      <w:pPr>
        <w:jc w:val="left"/>
        <w:outlineLvl w:val="0"/>
        <w:rPr>
          <w:rFonts w:hint="eastAsia" w:ascii="黑体" w:hAnsi="黑体" w:eastAsia="黑体" w:cs="黑体"/>
          <w:sz w:val="32"/>
          <w:szCs w:val="32"/>
        </w:rPr>
      </w:pPr>
    </w:p>
    <w:p>
      <w:pPr>
        <w:jc w:val="left"/>
        <w:outlineLvl w:val="0"/>
        <w:rPr>
          <w:rFonts w:eastAsia="黑体"/>
          <w:sz w:val="32"/>
          <w:szCs w:val="32"/>
        </w:rPr>
      </w:pPr>
      <w:r>
        <w:rPr>
          <w:rFonts w:hint="eastAsia" w:ascii="黑体" w:hAnsi="黑体" w:eastAsia="黑体" w:cs="黑体"/>
          <w:sz w:val="32"/>
          <w:szCs w:val="32"/>
        </w:rPr>
        <w:t>附件5</w:t>
      </w:r>
    </w:p>
    <w:p>
      <w:pPr>
        <w:widowControl/>
        <w:spacing w:line="600" w:lineRule="exact"/>
        <w:jc w:val="center"/>
        <w:rPr>
          <w:rFonts w:hint="eastAsia" w:ascii="方正小标宋简体" w:hAnsi="方正小标宋简体" w:eastAsia="方正小标宋简体" w:cs="方正小标宋简体"/>
          <w:color w:val="000000"/>
          <w:sz w:val="36"/>
          <w:szCs w:val="36"/>
          <w:lang w:eastAsia="zh-CN"/>
        </w:rPr>
      </w:pPr>
      <w:r>
        <w:rPr>
          <w:rFonts w:hint="eastAsia" w:ascii="方正小标宋简体" w:hAnsi="方正小标宋简体" w:eastAsia="方正小标宋简体" w:cs="方正小标宋简体"/>
          <w:color w:val="000000"/>
          <w:sz w:val="36"/>
          <w:szCs w:val="36"/>
          <w:lang w:eastAsia="zh-CN"/>
        </w:rPr>
        <w:t>华容县库区移民事务中心2022年度项目支出绩效自评表</w:t>
      </w:r>
    </w:p>
    <w:tbl>
      <w:tblPr>
        <w:tblStyle w:val="14"/>
        <w:tblW w:w="9851" w:type="dxa"/>
        <w:jc w:val="center"/>
        <w:tblLayout w:type="fixed"/>
        <w:tblCellMar>
          <w:top w:w="0" w:type="dxa"/>
          <w:left w:w="108" w:type="dxa"/>
          <w:bottom w:w="0" w:type="dxa"/>
          <w:right w:w="108" w:type="dxa"/>
        </w:tblCellMar>
      </w:tblPr>
      <w:tblGrid>
        <w:gridCol w:w="1080"/>
        <w:gridCol w:w="1080"/>
        <w:gridCol w:w="1080"/>
        <w:gridCol w:w="1224"/>
        <w:gridCol w:w="467"/>
        <w:gridCol w:w="975"/>
        <w:gridCol w:w="826"/>
        <w:gridCol w:w="162"/>
        <w:gridCol w:w="666"/>
        <w:gridCol w:w="873"/>
        <w:gridCol w:w="1418"/>
      </w:tblGrid>
      <w:tr>
        <w:tblPrEx>
          <w:tblCellMar>
            <w:top w:w="0" w:type="dxa"/>
            <w:left w:w="108" w:type="dxa"/>
            <w:bottom w:w="0" w:type="dxa"/>
            <w:right w:w="108" w:type="dxa"/>
          </w:tblCellMar>
        </w:tblPrEx>
        <w:trPr>
          <w:trHeight w:val="603" w:hRule="atLeast"/>
          <w:jc w:val="center"/>
        </w:trPr>
        <w:tc>
          <w:tcPr>
            <w:tcW w:w="108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项目支</w:t>
            </w:r>
          </w:p>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出名称</w:t>
            </w:r>
          </w:p>
        </w:tc>
        <w:tc>
          <w:tcPr>
            <w:tcW w:w="8771" w:type="dxa"/>
            <w:gridSpan w:val="10"/>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sz w:val="21"/>
                <w:szCs w:val="21"/>
              </w:rPr>
              <w:t>后扶结余项目</w:t>
            </w:r>
          </w:p>
        </w:tc>
      </w:tr>
      <w:tr>
        <w:tblPrEx>
          <w:tblCellMar>
            <w:top w:w="0" w:type="dxa"/>
            <w:left w:w="108" w:type="dxa"/>
            <w:bottom w:w="0" w:type="dxa"/>
            <w:right w:w="108" w:type="dxa"/>
          </w:tblCellMar>
        </w:tblPrEx>
        <w:trPr>
          <w:trHeight w:val="556" w:hRule="atLeast"/>
          <w:jc w:val="center"/>
        </w:trPr>
        <w:tc>
          <w:tcPr>
            <w:tcW w:w="1080"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主管部门</w:t>
            </w:r>
          </w:p>
        </w:tc>
        <w:tc>
          <w:tcPr>
            <w:tcW w:w="4826" w:type="dxa"/>
            <w:gridSpan w:val="5"/>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库区移民中心</w:t>
            </w:r>
          </w:p>
        </w:tc>
        <w:tc>
          <w:tcPr>
            <w:tcW w:w="988" w:type="dxa"/>
            <w:gridSpan w:val="2"/>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实施单位</w:t>
            </w:r>
          </w:p>
        </w:tc>
        <w:tc>
          <w:tcPr>
            <w:tcW w:w="2957"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项目资金</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（万元）</w:t>
            </w:r>
          </w:p>
        </w:tc>
        <w:tc>
          <w:tcPr>
            <w:tcW w:w="2160"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22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年初</w:t>
            </w:r>
          </w:p>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预算数</w:t>
            </w:r>
          </w:p>
        </w:tc>
        <w:tc>
          <w:tcPr>
            <w:tcW w:w="1442"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全年</w:t>
            </w:r>
          </w:p>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预算数</w:t>
            </w:r>
          </w:p>
        </w:tc>
        <w:tc>
          <w:tcPr>
            <w:tcW w:w="988" w:type="dxa"/>
            <w:gridSpan w:val="2"/>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eastAsia" w:ascii="宋体" w:hAnsi="宋体" w:eastAsia="宋体" w:cs="宋体"/>
                <w:sz w:val="21"/>
                <w:szCs w:val="21"/>
              </w:rPr>
            </w:pPr>
            <w:r>
              <w:rPr>
                <w:rFonts w:hint="eastAsia" w:ascii="宋体" w:hAnsi="宋体" w:eastAsia="宋体" w:cs="宋体"/>
                <w:sz w:val="21"/>
                <w:szCs w:val="21"/>
              </w:rPr>
              <w:t>全年</w:t>
            </w:r>
          </w:p>
          <w:p>
            <w:pPr>
              <w:keepNext w:val="0"/>
              <w:keepLines w:val="0"/>
              <w:suppressLineNumbers w:val="0"/>
              <w:spacing w:before="0" w:beforeAutospacing="0" w:after="0" w:afterAutospacing="0" w:line="260" w:lineRule="exact"/>
              <w:ind w:left="0" w:right="0"/>
              <w:jc w:val="center"/>
              <w:rPr>
                <w:rFonts w:hint="eastAsia" w:ascii="宋体" w:hAnsi="宋体" w:eastAsia="宋体" w:cs="宋体"/>
                <w:sz w:val="21"/>
                <w:szCs w:val="21"/>
              </w:rPr>
            </w:pPr>
            <w:r>
              <w:rPr>
                <w:rFonts w:hint="eastAsia" w:ascii="宋体" w:hAnsi="宋体" w:eastAsia="宋体" w:cs="宋体"/>
                <w:sz w:val="21"/>
                <w:szCs w:val="21"/>
              </w:rPr>
              <w:t>执行数</w:t>
            </w:r>
          </w:p>
        </w:tc>
        <w:tc>
          <w:tcPr>
            <w:tcW w:w="666"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eastAsia" w:ascii="宋体" w:hAnsi="宋体" w:eastAsia="宋体" w:cs="宋体"/>
                <w:sz w:val="21"/>
                <w:szCs w:val="21"/>
              </w:rPr>
            </w:pPr>
            <w:r>
              <w:rPr>
                <w:rFonts w:hint="eastAsia" w:ascii="宋体" w:hAnsi="宋体" w:eastAsia="宋体" w:cs="宋体"/>
                <w:sz w:val="21"/>
                <w:szCs w:val="21"/>
              </w:rPr>
              <w:t>分值</w:t>
            </w:r>
          </w:p>
        </w:tc>
        <w:tc>
          <w:tcPr>
            <w:tcW w:w="873"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eastAsia" w:ascii="宋体" w:hAnsi="宋体" w:eastAsia="宋体" w:cs="宋体"/>
                <w:sz w:val="21"/>
                <w:szCs w:val="21"/>
              </w:rPr>
            </w:pPr>
            <w:r>
              <w:rPr>
                <w:rFonts w:hint="eastAsia" w:ascii="宋体" w:hAnsi="宋体" w:eastAsia="宋体" w:cs="宋体"/>
                <w:sz w:val="21"/>
                <w:szCs w:val="21"/>
              </w:rPr>
              <w:t>执行率</w:t>
            </w:r>
          </w:p>
        </w:tc>
        <w:tc>
          <w:tcPr>
            <w:tcW w:w="1418"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eastAsia" w:ascii="宋体" w:hAnsi="宋体" w:eastAsia="宋体" w:cs="宋体"/>
                <w:sz w:val="21"/>
                <w:szCs w:val="21"/>
              </w:rPr>
            </w:pPr>
            <w:r>
              <w:rPr>
                <w:rFonts w:hint="eastAsia" w:ascii="宋体" w:hAnsi="宋体" w:eastAsia="宋体" w:cs="宋体"/>
                <w:sz w:val="21"/>
                <w:szCs w:val="21"/>
              </w:rPr>
              <w:t>得分</w:t>
            </w:r>
          </w:p>
        </w:tc>
      </w:tr>
      <w:tr>
        <w:tblPrEx>
          <w:tblCellMar>
            <w:top w:w="0" w:type="dxa"/>
            <w:left w:w="108" w:type="dxa"/>
            <w:bottom w:w="0" w:type="dxa"/>
            <w:right w:w="108" w:type="dxa"/>
          </w:tblCellMar>
        </w:tblPrEx>
        <w:trPr>
          <w:trHeight w:val="389" w:hRule="atLeast"/>
          <w:jc w:val="center"/>
        </w:trPr>
        <w:tc>
          <w:tcPr>
            <w:tcW w:w="1080"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2160"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年度资金总额</w:t>
            </w:r>
          </w:p>
        </w:tc>
        <w:tc>
          <w:tcPr>
            <w:tcW w:w="122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420</w:t>
            </w:r>
          </w:p>
        </w:tc>
        <w:tc>
          <w:tcPr>
            <w:tcW w:w="1442"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327.71</w:t>
            </w:r>
          </w:p>
        </w:tc>
        <w:tc>
          <w:tcPr>
            <w:tcW w:w="98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327.71</w:t>
            </w:r>
          </w:p>
        </w:tc>
        <w:tc>
          <w:tcPr>
            <w:tcW w:w="66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w:t>
            </w:r>
          </w:p>
        </w:tc>
      </w:tr>
      <w:tr>
        <w:tblPrEx>
          <w:tblCellMar>
            <w:top w:w="0" w:type="dxa"/>
            <w:left w:w="108" w:type="dxa"/>
            <w:bottom w:w="0" w:type="dxa"/>
            <w:right w:w="108" w:type="dxa"/>
          </w:tblCellMar>
        </w:tblPrEx>
        <w:trPr>
          <w:trHeight w:val="409" w:hRule="atLeast"/>
          <w:jc w:val="center"/>
        </w:trPr>
        <w:tc>
          <w:tcPr>
            <w:tcW w:w="1080"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2160"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其中：当年财政拨款</w:t>
            </w:r>
          </w:p>
        </w:tc>
        <w:tc>
          <w:tcPr>
            <w:tcW w:w="122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0</w:t>
            </w:r>
          </w:p>
        </w:tc>
        <w:tc>
          <w:tcPr>
            <w:tcW w:w="1442"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327.71</w:t>
            </w:r>
          </w:p>
        </w:tc>
        <w:tc>
          <w:tcPr>
            <w:tcW w:w="98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327.71</w:t>
            </w:r>
          </w:p>
        </w:tc>
        <w:tc>
          <w:tcPr>
            <w:tcW w:w="66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w:t>
            </w:r>
          </w:p>
        </w:tc>
      </w:tr>
      <w:tr>
        <w:tblPrEx>
          <w:tblCellMar>
            <w:top w:w="0" w:type="dxa"/>
            <w:left w:w="108" w:type="dxa"/>
            <w:bottom w:w="0" w:type="dxa"/>
            <w:right w:w="108" w:type="dxa"/>
          </w:tblCellMar>
        </w:tblPrEx>
        <w:trPr>
          <w:trHeight w:val="415" w:hRule="atLeast"/>
          <w:jc w:val="center"/>
        </w:trPr>
        <w:tc>
          <w:tcPr>
            <w:tcW w:w="1080"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2160"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firstLine="630" w:firstLineChars="300"/>
              <w:jc w:val="left"/>
              <w:rPr>
                <w:rFonts w:hint="eastAsia" w:ascii="宋体" w:hAnsi="宋体" w:eastAsia="宋体" w:cs="宋体"/>
                <w:color w:val="000000"/>
                <w:sz w:val="21"/>
                <w:szCs w:val="21"/>
              </w:rPr>
            </w:pPr>
            <w:r>
              <w:rPr>
                <w:rFonts w:hint="eastAsia" w:ascii="宋体" w:hAnsi="宋体" w:eastAsia="宋体" w:cs="宋体"/>
                <w:color w:val="000000"/>
                <w:sz w:val="21"/>
                <w:szCs w:val="21"/>
              </w:rPr>
              <w:t>上年结转资金</w:t>
            </w:r>
          </w:p>
        </w:tc>
        <w:tc>
          <w:tcPr>
            <w:tcW w:w="122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c>
          <w:tcPr>
            <w:tcW w:w="1442"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c>
          <w:tcPr>
            <w:tcW w:w="98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c>
          <w:tcPr>
            <w:tcW w:w="66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2160"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firstLine="630" w:firstLineChars="300"/>
              <w:jc w:val="left"/>
              <w:rPr>
                <w:rFonts w:hint="eastAsia" w:ascii="宋体" w:hAnsi="宋体" w:eastAsia="宋体" w:cs="宋体"/>
                <w:color w:val="000000"/>
                <w:sz w:val="21"/>
                <w:szCs w:val="21"/>
              </w:rPr>
            </w:pPr>
            <w:r>
              <w:rPr>
                <w:rFonts w:hint="eastAsia" w:ascii="宋体" w:hAnsi="宋体" w:eastAsia="宋体" w:cs="宋体"/>
                <w:color w:val="000000"/>
                <w:sz w:val="21"/>
                <w:szCs w:val="21"/>
              </w:rPr>
              <w:t>其他资金</w:t>
            </w:r>
          </w:p>
        </w:tc>
        <w:tc>
          <w:tcPr>
            <w:tcW w:w="122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442"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98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66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437" w:hRule="atLeast"/>
          <w:jc w:val="center"/>
        </w:trPr>
        <w:tc>
          <w:tcPr>
            <w:tcW w:w="1080" w:type="dxa"/>
            <w:vMerge w:val="restart"/>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年度总体目标</w:t>
            </w:r>
          </w:p>
        </w:tc>
        <w:tc>
          <w:tcPr>
            <w:tcW w:w="4826" w:type="dxa"/>
            <w:gridSpan w:val="5"/>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预期目标</w:t>
            </w:r>
          </w:p>
        </w:tc>
        <w:tc>
          <w:tcPr>
            <w:tcW w:w="3945" w:type="dxa"/>
            <w:gridSpan w:val="5"/>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实际完成情况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4826" w:type="dxa"/>
            <w:gridSpan w:val="5"/>
            <w:tcBorders>
              <w:top w:val="single" w:color="auto" w:sz="4" w:space="0"/>
              <w:left w:val="nil"/>
              <w:bottom w:val="single" w:color="auto" w:sz="4" w:space="0"/>
              <w:right w:val="single" w:color="000000" w:sz="4" w:space="0"/>
            </w:tcBorders>
            <w:vAlign w:val="center"/>
          </w:tcPr>
          <w:p>
            <w:pPr>
              <w:keepNext w:val="0"/>
              <w:keepLines w:val="0"/>
              <w:suppressLineNumbers w:val="0"/>
              <w:spacing w:before="0" w:beforeAutospacing="0" w:after="0" w:afterAutospacing="0"/>
              <w:ind w:left="0" w:right="0"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加强水库移民后期扶持资金支出管理，提高财政资金使用效益。</w:t>
            </w:r>
          </w:p>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c>
          <w:tcPr>
            <w:tcW w:w="3945" w:type="dxa"/>
            <w:gridSpan w:val="5"/>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完成2022年后扶基金专项</w:t>
            </w:r>
            <w:r>
              <w:rPr>
                <w:rFonts w:hint="eastAsia" w:ascii="宋体" w:hAnsi="宋体" w:eastAsia="宋体" w:cs="宋体"/>
                <w:color w:val="000000" w:themeColor="text1"/>
                <w:sz w:val="21"/>
                <w:szCs w:val="21"/>
                <w:lang w:val="en-US" w:eastAsia="zh-CN"/>
                <w14:textFill>
                  <w14:solidFill>
                    <w14:schemeClr w14:val="tx1"/>
                  </w14:solidFill>
                </w14:textFill>
              </w:rPr>
              <w:t>327.71</w:t>
            </w:r>
            <w:r>
              <w:rPr>
                <w:rFonts w:hint="eastAsia" w:ascii="宋体" w:hAnsi="宋体" w:eastAsia="宋体" w:cs="宋体"/>
                <w:color w:val="000000" w:themeColor="text1"/>
                <w:sz w:val="21"/>
                <w:szCs w:val="21"/>
                <w14:textFill>
                  <w14:solidFill>
                    <w14:schemeClr w14:val="tx1"/>
                  </w14:solidFill>
                </w14:textFill>
              </w:rPr>
              <w:t>万元</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资金完成率100%</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后期扶持受益移民人口3251人。</w:t>
            </w:r>
          </w:p>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702" w:hRule="atLeast"/>
          <w:jc w:val="center"/>
        </w:trPr>
        <w:tc>
          <w:tcPr>
            <w:tcW w:w="1080" w:type="dxa"/>
            <w:vMerge w:val="restart"/>
            <w:tcBorders>
              <w:top w:val="nil"/>
              <w:left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绩</w:t>
            </w:r>
          </w:p>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效</w:t>
            </w:r>
          </w:p>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指</w:t>
            </w:r>
          </w:p>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标</w:t>
            </w:r>
          </w:p>
        </w:tc>
        <w:tc>
          <w:tcPr>
            <w:tcW w:w="108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一级指标</w:t>
            </w:r>
          </w:p>
        </w:tc>
        <w:tc>
          <w:tcPr>
            <w:tcW w:w="108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二级指标</w:t>
            </w:r>
          </w:p>
        </w:tc>
        <w:tc>
          <w:tcPr>
            <w:tcW w:w="1691"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三级指标</w:t>
            </w:r>
          </w:p>
        </w:tc>
        <w:tc>
          <w:tcPr>
            <w:tcW w:w="97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年度</w:t>
            </w:r>
          </w:p>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指标值</w:t>
            </w:r>
          </w:p>
        </w:tc>
        <w:tc>
          <w:tcPr>
            <w:tcW w:w="82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实际</w:t>
            </w:r>
          </w:p>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完成值</w:t>
            </w:r>
          </w:p>
        </w:tc>
        <w:tc>
          <w:tcPr>
            <w:tcW w:w="82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分值</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得分</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偏差原因分析及改进措施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restart"/>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产出指标</w:t>
            </w:r>
          </w:p>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(50分)</w:t>
            </w:r>
          </w:p>
        </w:tc>
        <w:tc>
          <w:tcPr>
            <w:tcW w:w="1080" w:type="dxa"/>
            <w:vMerge w:val="restart"/>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数量指标</w:t>
            </w:r>
          </w:p>
        </w:tc>
        <w:tc>
          <w:tcPr>
            <w:tcW w:w="1691"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指标1:基础设施建设项目（个）</w:t>
            </w:r>
          </w:p>
        </w:tc>
        <w:tc>
          <w:tcPr>
            <w:tcW w:w="97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6</w:t>
            </w:r>
          </w:p>
        </w:tc>
        <w:tc>
          <w:tcPr>
            <w:tcW w:w="82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6</w:t>
            </w:r>
          </w:p>
        </w:tc>
        <w:tc>
          <w:tcPr>
            <w:tcW w:w="82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firstLine="210" w:firstLineChars="10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　</w:t>
            </w:r>
          </w:p>
        </w:tc>
      </w:tr>
      <w:tr>
        <w:tblPrEx>
          <w:tblCellMar>
            <w:top w:w="0" w:type="dxa"/>
            <w:left w:w="108" w:type="dxa"/>
            <w:bottom w:w="0" w:type="dxa"/>
            <w:right w:w="108" w:type="dxa"/>
          </w:tblCellMar>
        </w:tblPrEx>
        <w:trPr>
          <w:trHeight w:val="890" w:hRule="atLeast"/>
          <w:jc w:val="center"/>
        </w:trPr>
        <w:tc>
          <w:tcPr>
            <w:tcW w:w="108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c>
          <w:tcPr>
            <w:tcW w:w="1691"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指标2:</w:t>
            </w:r>
            <w:r>
              <w:rPr>
                <w:rFonts w:hint="eastAsia" w:ascii="宋体" w:hAnsi="宋体" w:eastAsia="宋体" w:cs="宋体"/>
                <w:sz w:val="21"/>
                <w:szCs w:val="21"/>
              </w:rPr>
              <w:t xml:space="preserve"> </w:t>
            </w:r>
            <w:r>
              <w:rPr>
                <w:rFonts w:hint="eastAsia" w:ascii="宋体" w:hAnsi="宋体" w:eastAsia="宋体" w:cs="宋体"/>
                <w:color w:val="000000"/>
                <w:sz w:val="21"/>
                <w:szCs w:val="21"/>
              </w:rPr>
              <w:t>社会事业基础设施（个）</w:t>
            </w:r>
          </w:p>
        </w:tc>
        <w:tc>
          <w:tcPr>
            <w:tcW w:w="97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w:t>
            </w:r>
          </w:p>
        </w:tc>
        <w:tc>
          <w:tcPr>
            <w:tcW w:w="82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firstLine="210" w:firstLineChars="10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w:t>
            </w:r>
          </w:p>
        </w:tc>
        <w:tc>
          <w:tcPr>
            <w:tcW w:w="82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　</w:t>
            </w:r>
          </w:p>
        </w:tc>
      </w:tr>
      <w:tr>
        <w:tblPrEx>
          <w:tblCellMar>
            <w:top w:w="0" w:type="dxa"/>
            <w:left w:w="108" w:type="dxa"/>
            <w:bottom w:w="0" w:type="dxa"/>
            <w:right w:w="108" w:type="dxa"/>
          </w:tblCellMar>
        </w:tblPrEx>
        <w:trPr>
          <w:trHeight w:val="620" w:hRule="atLeast"/>
          <w:jc w:val="center"/>
        </w:trPr>
        <w:tc>
          <w:tcPr>
            <w:tcW w:w="108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c>
          <w:tcPr>
            <w:tcW w:w="1691"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指标3:</w:t>
            </w:r>
            <w:r>
              <w:rPr>
                <w:rFonts w:hint="eastAsia" w:ascii="宋体" w:hAnsi="宋体" w:eastAsia="宋体" w:cs="宋体"/>
                <w:sz w:val="21"/>
                <w:szCs w:val="21"/>
              </w:rPr>
              <w:t xml:space="preserve"> </w:t>
            </w:r>
            <w:r>
              <w:rPr>
                <w:rFonts w:hint="eastAsia" w:ascii="宋体" w:hAnsi="宋体" w:eastAsia="宋体" w:cs="宋体"/>
                <w:color w:val="000000"/>
                <w:sz w:val="21"/>
                <w:szCs w:val="21"/>
              </w:rPr>
              <w:t>生产开发项目（个）</w:t>
            </w:r>
          </w:p>
        </w:tc>
        <w:tc>
          <w:tcPr>
            <w:tcW w:w="97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4</w:t>
            </w:r>
          </w:p>
        </w:tc>
        <w:tc>
          <w:tcPr>
            <w:tcW w:w="82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4</w:t>
            </w:r>
          </w:p>
        </w:tc>
        <w:tc>
          <w:tcPr>
            <w:tcW w:w="82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restart"/>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质量指标</w:t>
            </w:r>
          </w:p>
        </w:tc>
        <w:tc>
          <w:tcPr>
            <w:tcW w:w="1691"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指标1:基础设施建设项目（100%））</w:t>
            </w:r>
          </w:p>
        </w:tc>
        <w:tc>
          <w:tcPr>
            <w:tcW w:w="97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　</w:t>
            </w:r>
          </w:p>
        </w:tc>
      </w:tr>
      <w:tr>
        <w:tblPrEx>
          <w:tblCellMar>
            <w:top w:w="0" w:type="dxa"/>
            <w:left w:w="108" w:type="dxa"/>
            <w:bottom w:w="0" w:type="dxa"/>
            <w:right w:w="108" w:type="dxa"/>
          </w:tblCellMar>
        </w:tblPrEx>
        <w:trPr>
          <w:trHeight w:val="710" w:hRule="atLeast"/>
          <w:jc w:val="center"/>
        </w:trPr>
        <w:tc>
          <w:tcPr>
            <w:tcW w:w="108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c>
          <w:tcPr>
            <w:tcW w:w="1691"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指标2:</w:t>
            </w:r>
            <w:r>
              <w:rPr>
                <w:rFonts w:hint="eastAsia" w:ascii="宋体" w:hAnsi="宋体" w:eastAsia="宋体" w:cs="宋体"/>
                <w:sz w:val="21"/>
                <w:szCs w:val="21"/>
              </w:rPr>
              <w:t xml:space="preserve"> </w:t>
            </w:r>
            <w:r>
              <w:rPr>
                <w:rFonts w:hint="eastAsia" w:ascii="宋体" w:hAnsi="宋体" w:eastAsia="宋体" w:cs="宋体"/>
                <w:color w:val="000000"/>
                <w:sz w:val="21"/>
                <w:szCs w:val="21"/>
              </w:rPr>
              <w:t>社会事业基础设（100%）</w:t>
            </w:r>
          </w:p>
        </w:tc>
        <w:tc>
          <w:tcPr>
            <w:tcW w:w="97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　</w:t>
            </w:r>
          </w:p>
        </w:tc>
      </w:tr>
      <w:tr>
        <w:tblPrEx>
          <w:tblCellMar>
            <w:top w:w="0" w:type="dxa"/>
            <w:left w:w="108" w:type="dxa"/>
            <w:bottom w:w="0" w:type="dxa"/>
            <w:right w:w="108" w:type="dxa"/>
          </w:tblCellMar>
        </w:tblPrEx>
        <w:trPr>
          <w:trHeight w:val="860" w:hRule="atLeast"/>
          <w:jc w:val="center"/>
        </w:trPr>
        <w:tc>
          <w:tcPr>
            <w:tcW w:w="108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c>
          <w:tcPr>
            <w:tcW w:w="1691"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指标3:</w:t>
            </w:r>
            <w:r>
              <w:rPr>
                <w:rFonts w:hint="eastAsia" w:ascii="宋体" w:hAnsi="宋体" w:eastAsia="宋体" w:cs="宋体"/>
                <w:sz w:val="21"/>
                <w:szCs w:val="21"/>
              </w:rPr>
              <w:t xml:space="preserve"> </w:t>
            </w:r>
            <w:r>
              <w:rPr>
                <w:rFonts w:hint="eastAsia" w:ascii="宋体" w:hAnsi="宋体" w:eastAsia="宋体" w:cs="宋体"/>
                <w:color w:val="000000"/>
                <w:sz w:val="21"/>
                <w:szCs w:val="21"/>
              </w:rPr>
              <w:t>生产开发项目（100%）</w:t>
            </w:r>
          </w:p>
        </w:tc>
        <w:tc>
          <w:tcPr>
            <w:tcW w:w="97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firstLine="210" w:firstLineChars="10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firstLine="210" w:firstLineChars="10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restart"/>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时效指标</w:t>
            </w:r>
          </w:p>
        </w:tc>
        <w:tc>
          <w:tcPr>
            <w:tcW w:w="1691"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指标1:项目资金按时拨付率（%）</w:t>
            </w:r>
          </w:p>
        </w:tc>
        <w:tc>
          <w:tcPr>
            <w:tcW w:w="97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c>
          <w:tcPr>
            <w:tcW w:w="1691"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指标2:截至2022年底，项目资金完成率（%）</w:t>
            </w:r>
          </w:p>
        </w:tc>
        <w:tc>
          <w:tcPr>
            <w:tcW w:w="97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c>
          <w:tcPr>
            <w:tcW w:w="1691"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指标3:截至2023年3月底，项目资金完成率（%）</w:t>
            </w:r>
          </w:p>
        </w:tc>
        <w:tc>
          <w:tcPr>
            <w:tcW w:w="97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　</w:t>
            </w:r>
          </w:p>
        </w:tc>
      </w:tr>
      <w:tr>
        <w:tblPrEx>
          <w:tblCellMar>
            <w:top w:w="0" w:type="dxa"/>
            <w:left w:w="108" w:type="dxa"/>
            <w:bottom w:w="0" w:type="dxa"/>
            <w:right w:w="108" w:type="dxa"/>
          </w:tblCellMar>
        </w:tblPrEx>
        <w:trPr>
          <w:trHeight w:val="770" w:hRule="atLeast"/>
          <w:jc w:val="center"/>
        </w:trPr>
        <w:tc>
          <w:tcPr>
            <w:tcW w:w="108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restart"/>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成本指标</w:t>
            </w:r>
          </w:p>
        </w:tc>
        <w:tc>
          <w:tcPr>
            <w:tcW w:w="1691"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指标1:项目资金标准符合率（%）</w:t>
            </w:r>
          </w:p>
        </w:tc>
        <w:tc>
          <w:tcPr>
            <w:tcW w:w="97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firstLine="210" w:firstLineChars="10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c>
          <w:tcPr>
            <w:tcW w:w="1691"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指标2:项目支出控制在批复的预算范围内的项目比例（%）</w:t>
            </w:r>
          </w:p>
        </w:tc>
        <w:tc>
          <w:tcPr>
            <w:tcW w:w="97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1259" w:hRule="atLeast"/>
          <w:jc w:val="center"/>
        </w:trPr>
        <w:tc>
          <w:tcPr>
            <w:tcW w:w="108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restart"/>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效益指标</w:t>
            </w:r>
          </w:p>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（30分）</w:t>
            </w:r>
          </w:p>
        </w:tc>
        <w:tc>
          <w:tcPr>
            <w:tcW w:w="1080" w:type="dxa"/>
            <w:vMerge w:val="restart"/>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经济效</w:t>
            </w:r>
          </w:p>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益指标</w:t>
            </w:r>
          </w:p>
        </w:tc>
        <w:tc>
          <w:tcPr>
            <w:tcW w:w="1691"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指标1:增加移民人均可支配收入（元）</w:t>
            </w:r>
          </w:p>
        </w:tc>
        <w:tc>
          <w:tcPr>
            <w:tcW w:w="97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1773</w:t>
            </w:r>
          </w:p>
        </w:tc>
        <w:tc>
          <w:tcPr>
            <w:tcW w:w="82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1955</w:t>
            </w:r>
          </w:p>
        </w:tc>
        <w:tc>
          <w:tcPr>
            <w:tcW w:w="82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c>
          <w:tcPr>
            <w:tcW w:w="1691"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指标2:提高移民收入占当地农村居民收入比例（%）</w:t>
            </w:r>
          </w:p>
        </w:tc>
        <w:tc>
          <w:tcPr>
            <w:tcW w:w="97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1.11%</w:t>
            </w:r>
          </w:p>
        </w:tc>
        <w:tc>
          <w:tcPr>
            <w:tcW w:w="82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2.2%</w:t>
            </w:r>
          </w:p>
        </w:tc>
        <w:tc>
          <w:tcPr>
            <w:tcW w:w="82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社会效</w:t>
            </w:r>
          </w:p>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益指标</w:t>
            </w:r>
          </w:p>
        </w:tc>
        <w:tc>
          <w:tcPr>
            <w:tcW w:w="1691"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指标1:增加达到当地县农村居民平均收入水平移民人口（人）</w:t>
            </w:r>
          </w:p>
        </w:tc>
        <w:tc>
          <w:tcPr>
            <w:tcW w:w="97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267</w:t>
            </w:r>
          </w:p>
        </w:tc>
        <w:tc>
          <w:tcPr>
            <w:tcW w:w="82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320</w:t>
            </w:r>
          </w:p>
        </w:tc>
        <w:tc>
          <w:tcPr>
            <w:tcW w:w="82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1003" w:hRule="atLeast"/>
          <w:jc w:val="center"/>
        </w:trPr>
        <w:tc>
          <w:tcPr>
            <w:tcW w:w="108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生态效</w:t>
            </w:r>
          </w:p>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益指标</w:t>
            </w:r>
          </w:p>
        </w:tc>
        <w:tc>
          <w:tcPr>
            <w:tcW w:w="1691"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指标1:建成美丽移民村（个）</w:t>
            </w:r>
          </w:p>
        </w:tc>
        <w:tc>
          <w:tcPr>
            <w:tcW w:w="97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w:t>
            </w:r>
          </w:p>
        </w:tc>
        <w:tc>
          <w:tcPr>
            <w:tcW w:w="82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w:t>
            </w:r>
          </w:p>
        </w:tc>
        <w:tc>
          <w:tcPr>
            <w:tcW w:w="82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c>
          <w:tcPr>
            <w:tcW w:w="1080" w:type="dxa"/>
            <w:vMerge w:val="continue"/>
            <w:tcBorders>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tcBorders>
              <w:top w:val="single" w:color="auto" w:sz="4" w:space="0"/>
              <w:left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可持续</w:t>
            </w:r>
          </w:p>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影响指标</w:t>
            </w:r>
          </w:p>
        </w:tc>
        <w:tc>
          <w:tcPr>
            <w:tcW w:w="169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指标1:已建工程项目良性运行比例（%）</w:t>
            </w:r>
          </w:p>
        </w:tc>
        <w:tc>
          <w:tcPr>
            <w:tcW w:w="97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87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14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936" w:hRule="atLeast"/>
          <w:jc w:val="center"/>
        </w:trPr>
        <w:tc>
          <w:tcPr>
            <w:tcW w:w="108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restart"/>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满意度</w:t>
            </w:r>
          </w:p>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指标</w:t>
            </w:r>
          </w:p>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（10分）</w:t>
            </w:r>
          </w:p>
        </w:tc>
        <w:tc>
          <w:tcPr>
            <w:tcW w:w="1080" w:type="dxa"/>
            <w:vMerge w:val="restart"/>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服务对象满意度</w:t>
            </w:r>
          </w:p>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指标</w:t>
            </w:r>
          </w:p>
        </w:tc>
        <w:tc>
          <w:tcPr>
            <w:tcW w:w="1691"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指标1:移民对后期扶持政策实施满意度（%）</w:t>
            </w:r>
          </w:p>
        </w:tc>
        <w:tc>
          <w:tcPr>
            <w:tcW w:w="97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85%</w:t>
            </w:r>
          </w:p>
        </w:tc>
        <w:tc>
          <w:tcPr>
            <w:tcW w:w="82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4</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1109" w:hRule="atLeast"/>
          <w:jc w:val="center"/>
        </w:trPr>
        <w:tc>
          <w:tcPr>
            <w:tcW w:w="108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c>
          <w:tcPr>
            <w:tcW w:w="1691"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指标2:与后期扶持有关的进京上访事件及时处理率（%）</w:t>
            </w:r>
          </w:p>
        </w:tc>
        <w:tc>
          <w:tcPr>
            <w:tcW w:w="97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922" w:hRule="atLeast"/>
          <w:jc w:val="center"/>
        </w:trPr>
        <w:tc>
          <w:tcPr>
            <w:tcW w:w="1080" w:type="dxa"/>
            <w:vMerge w:val="continue"/>
            <w:tcBorders>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c>
          <w:tcPr>
            <w:tcW w:w="1691"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指标3:交办的信访事项及时处理率（%）…</w:t>
            </w:r>
          </w:p>
        </w:tc>
        <w:tc>
          <w:tcPr>
            <w:tcW w:w="97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549" w:hRule="atLeast"/>
          <w:jc w:val="center"/>
        </w:trPr>
        <w:tc>
          <w:tcPr>
            <w:tcW w:w="6732" w:type="dxa"/>
            <w:gridSpan w:val="7"/>
            <w:tcBorders>
              <w:top w:val="single" w:color="auto" w:sz="4" w:space="0"/>
              <w:left w:val="single" w:color="auto"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总分</w:t>
            </w:r>
          </w:p>
        </w:tc>
        <w:tc>
          <w:tcPr>
            <w:tcW w:w="82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99</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r>
    </w:tbl>
    <w:p>
      <w:pPr>
        <w:rPr>
          <w:rFonts w:hint="eastAsia" w:ascii="宋体" w:hAnsi="宋体" w:eastAsia="宋体" w:cs="宋体"/>
          <w:sz w:val="21"/>
          <w:szCs w:val="21"/>
        </w:rPr>
      </w:pPr>
      <w:r>
        <w:rPr>
          <w:rFonts w:hint="eastAsia" w:ascii="宋体" w:hAnsi="宋体" w:eastAsia="宋体" w:cs="宋体"/>
          <w:sz w:val="21"/>
          <w:szCs w:val="21"/>
        </w:rPr>
        <w:t>备注：一个一级项目支出一张表。如，业务工作经费，运行维护经费，XX项目资金…各一张表。</w:t>
      </w:r>
    </w:p>
    <w:p>
      <w:pPr>
        <w:rPr>
          <w:rFonts w:hint="eastAsia"/>
          <w:lang w:val="en-US" w:eastAsia="zh-CN"/>
        </w:rPr>
      </w:pPr>
    </w:p>
    <w:p/>
    <w:p>
      <w:pPr>
        <w:pStyle w:val="2"/>
        <w:rPr>
          <w:rFonts w:hint="default"/>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rPr>
          <w:rFonts w:hint="eastAsia" w:ascii="方正小标宋简体" w:hAnsi="方正小标宋简体" w:eastAsia="方正小标宋简体" w:cs="方正小标宋简体"/>
          <w:sz w:val="44"/>
          <w:szCs w:val="44"/>
        </w:rPr>
      </w:pPr>
      <w:r>
        <w:rPr>
          <w:rFonts w:hint="eastAsia" w:ascii="宋体" w:hAnsi="宋体" w:eastAsia="宋体" w:cs="宋体"/>
          <w:sz w:val="44"/>
          <w:szCs w:val="44"/>
        </w:rPr>
        <w:t>附件</w:t>
      </w:r>
      <w:r>
        <w:rPr>
          <w:rFonts w:hint="eastAsia" w:ascii="宋体" w:hAnsi="宋体" w:eastAsia="宋体" w:cs="宋体"/>
          <w:sz w:val="44"/>
          <w:szCs w:val="44"/>
          <w:lang w:val="en-US" w:eastAsia="zh-CN"/>
        </w:rPr>
        <w:t>6</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val="en-US" w:eastAsia="zh-CN"/>
        </w:rPr>
        <w:t>库区移民中心</w:t>
      </w:r>
      <w:r>
        <w:rPr>
          <w:rFonts w:hint="eastAsia" w:ascii="方正小标宋简体" w:hAnsi="方正小标宋简体" w:eastAsia="方正小标宋简体" w:cs="方正小标宋简体"/>
          <w:sz w:val="44"/>
          <w:szCs w:val="44"/>
        </w:rPr>
        <w:t>（单位）</w:t>
      </w:r>
      <w:r>
        <w:rPr>
          <w:rFonts w:hint="eastAsia" w:ascii="方正小标宋简体" w:hAnsi="方正小标宋简体" w:eastAsia="方正小标宋简体" w:cs="方正小标宋简体"/>
          <w:sz w:val="44"/>
          <w:szCs w:val="44"/>
          <w:lang w:val="en-US" w:eastAsia="zh-CN"/>
        </w:rPr>
        <w:t>后扶基金、后扶结余</w:t>
      </w:r>
      <w:r>
        <w:rPr>
          <w:rFonts w:hint="eastAsia" w:ascii="方正小标宋简体" w:hAnsi="方正小标宋简体" w:eastAsia="方正小标宋简体" w:cs="方正小标宋简体"/>
          <w:sz w:val="44"/>
          <w:szCs w:val="44"/>
          <w:lang w:eastAsia="zh-CN"/>
        </w:rPr>
        <w:t>项目</w:t>
      </w:r>
      <w:r>
        <w:rPr>
          <w:rFonts w:hint="eastAsia" w:ascii="方正小标宋简体" w:hAnsi="方正小标宋简体" w:eastAsia="方正小标宋简体" w:cs="方正小标宋简体"/>
          <w:sz w:val="44"/>
          <w:szCs w:val="44"/>
        </w:rPr>
        <w:t>支出</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年  月  日</w:t>
      </w:r>
    </w:p>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（此页为封面）</w:t>
      </w:r>
    </w:p>
    <w:p>
      <w:pPr>
        <w:jc w:val="center"/>
        <w:rPr>
          <w:rFonts w:asciiTheme="minorEastAsia" w:hAnsiTheme="minorEastAsia"/>
          <w:b/>
          <w:sz w:val="36"/>
          <w:szCs w:val="36"/>
        </w:rPr>
      </w:pPr>
      <w:r>
        <w:rPr>
          <w:rFonts w:hint="default" w:ascii="Times New Roman" w:hAnsi="Times New Roman" w:eastAsia="仿宋_GB2312" w:cs="Times New Roman"/>
          <w:sz w:val="32"/>
          <w:szCs w:val="32"/>
        </w:rPr>
        <w:br w:type="page"/>
      </w:r>
      <w:r>
        <w:rPr>
          <w:rFonts w:hint="eastAsia" w:asciiTheme="minorEastAsia" w:hAnsiTheme="minorEastAsia"/>
          <w:b/>
          <w:sz w:val="36"/>
          <w:szCs w:val="36"/>
        </w:rPr>
        <w:t>华容县2022年水库移民</w:t>
      </w:r>
    </w:p>
    <w:p>
      <w:pPr>
        <w:spacing w:line="700" w:lineRule="exact"/>
        <w:ind w:firstLine="641"/>
        <w:jc w:val="center"/>
        <w:rPr>
          <w:rFonts w:cs="仿宋" w:asciiTheme="minorEastAsia" w:hAnsiTheme="minorEastAsia"/>
          <w:b/>
          <w:color w:val="000000" w:themeColor="text1"/>
          <w:sz w:val="36"/>
          <w:szCs w:val="36"/>
          <w14:textFill>
            <w14:solidFill>
              <w14:schemeClr w14:val="tx1"/>
            </w14:solidFill>
          </w14:textFill>
        </w:rPr>
      </w:pPr>
      <w:r>
        <w:rPr>
          <w:rFonts w:hint="eastAsia" w:asciiTheme="minorEastAsia" w:hAnsiTheme="minorEastAsia"/>
          <w:b/>
          <w:sz w:val="36"/>
          <w:szCs w:val="36"/>
        </w:rPr>
        <w:t>后扶基金、后扶结余移民资金</w:t>
      </w:r>
      <w:r>
        <w:rPr>
          <w:rFonts w:hint="eastAsia" w:asciiTheme="minorEastAsia" w:hAnsiTheme="minorEastAsia" w:cstheme="majorEastAsia"/>
          <w:b/>
          <w:bCs/>
          <w:color w:val="000000" w:themeColor="text1"/>
          <w:sz w:val="36"/>
          <w:szCs w:val="36"/>
          <w14:textFill>
            <w14:solidFill>
              <w14:schemeClr w14:val="tx1"/>
            </w14:solidFill>
          </w14:textFill>
        </w:rPr>
        <w:t>绩效自评报告</w:t>
      </w:r>
    </w:p>
    <w:p>
      <w:pPr>
        <w:ind w:firstLine="600" w:firstLineChars="200"/>
        <w:rPr>
          <w:rFonts w:hint="eastAsia" w:ascii="仿宋" w:hAnsi="仿宋" w:eastAsia="仿宋" w:cs="仿宋"/>
          <w:color w:val="000000" w:themeColor="text1"/>
          <w:sz w:val="30"/>
          <w:szCs w:val="30"/>
          <w14:textFill>
            <w14:solidFill>
              <w14:schemeClr w14:val="tx1"/>
            </w14:solidFill>
          </w14:textFill>
        </w:rPr>
      </w:pPr>
    </w:p>
    <w:p>
      <w:pPr>
        <w:ind w:firstLine="600" w:firstLineChars="200"/>
        <w:rPr>
          <w:rFonts w:hint="eastAsia" w:cs="仿宋" w:asciiTheme="minorEastAsia" w:hAnsiTheme="minorEastAsia"/>
          <w:color w:val="000000" w:themeColor="text1"/>
          <w:kern w:val="0"/>
          <w:sz w:val="30"/>
          <w:szCs w:val="30"/>
          <w14:textFill>
            <w14:solidFill>
              <w14:schemeClr w14:val="tx1"/>
            </w14:solidFill>
          </w14:textFill>
        </w:rPr>
      </w:pPr>
      <w:r>
        <w:rPr>
          <w:rFonts w:hint="eastAsia" w:cs="仿宋" w:asciiTheme="minorEastAsia" w:hAnsiTheme="minorEastAsia"/>
          <w:color w:val="000000" w:themeColor="text1"/>
          <w:sz w:val="30"/>
          <w:szCs w:val="30"/>
          <w14:textFill>
            <w14:solidFill>
              <w14:schemeClr w14:val="tx1"/>
            </w14:solidFill>
          </w14:textFill>
        </w:rPr>
        <w:t>华容县位于湖南北陲，北倚长江，南濒洞庭，全县总面积</w:t>
      </w:r>
      <w:r>
        <w:rPr>
          <w:rFonts w:cs="仿宋" w:asciiTheme="minorEastAsia" w:hAnsiTheme="minorEastAsia"/>
          <w:color w:val="000000" w:themeColor="text1"/>
          <w:sz w:val="30"/>
          <w:szCs w:val="30"/>
          <w14:textFill>
            <w14:solidFill>
              <w14:schemeClr w14:val="tx1"/>
            </w14:solidFill>
          </w14:textFill>
        </w:rPr>
        <w:t>1642</w:t>
      </w:r>
      <w:r>
        <w:rPr>
          <w:rFonts w:hint="eastAsia" w:cs="仿宋" w:asciiTheme="minorEastAsia" w:hAnsiTheme="minorEastAsia"/>
          <w:color w:val="000000" w:themeColor="text1"/>
          <w:sz w:val="30"/>
          <w:szCs w:val="30"/>
          <w14:textFill>
            <w14:solidFill>
              <w14:schemeClr w14:val="tx1"/>
            </w14:solidFill>
          </w14:textFill>
        </w:rPr>
        <w:t>平方公里，辖</w:t>
      </w:r>
      <w:r>
        <w:rPr>
          <w:rFonts w:cs="仿宋" w:asciiTheme="minorEastAsia" w:hAnsiTheme="minorEastAsia"/>
          <w:color w:val="000000" w:themeColor="text1"/>
          <w:sz w:val="30"/>
          <w:szCs w:val="30"/>
          <w14:textFill>
            <w14:solidFill>
              <w14:schemeClr w14:val="tx1"/>
            </w14:solidFill>
          </w14:textFill>
        </w:rPr>
        <w:t>14</w:t>
      </w:r>
      <w:r>
        <w:rPr>
          <w:rFonts w:hint="eastAsia" w:cs="仿宋" w:asciiTheme="minorEastAsia" w:hAnsiTheme="minorEastAsia"/>
          <w:color w:val="000000" w:themeColor="text1"/>
          <w:sz w:val="30"/>
          <w:szCs w:val="30"/>
          <w14:textFill>
            <w14:solidFill>
              <w14:schemeClr w14:val="tx1"/>
            </w14:solidFill>
          </w14:textFill>
        </w:rPr>
        <w:t>个乡镇。境内现有华一水库、东山水库和北汊水库等中型水库3座。截至20</w:t>
      </w:r>
      <w:r>
        <w:rPr>
          <w:rFonts w:cs="仿宋" w:asciiTheme="minorEastAsia" w:hAnsiTheme="minorEastAsia"/>
          <w:color w:val="000000" w:themeColor="text1"/>
          <w:sz w:val="30"/>
          <w:szCs w:val="30"/>
          <w14:textFill>
            <w14:solidFill>
              <w14:schemeClr w14:val="tx1"/>
            </w14:solidFill>
          </w14:textFill>
        </w:rPr>
        <w:t>2</w:t>
      </w:r>
      <w:r>
        <w:rPr>
          <w:rFonts w:hint="eastAsia" w:cs="仿宋" w:asciiTheme="minorEastAsia" w:hAnsiTheme="minorEastAsia"/>
          <w:color w:val="000000" w:themeColor="text1"/>
          <w:sz w:val="30"/>
          <w:szCs w:val="30"/>
          <w14:textFill>
            <w14:solidFill>
              <w14:schemeClr w14:val="tx1"/>
            </w14:solidFill>
          </w14:textFill>
        </w:rPr>
        <w:t>2年底，华容县核定的后扶人口指标为</w:t>
      </w:r>
      <w:r>
        <w:rPr>
          <w:rFonts w:cs="仿宋" w:asciiTheme="minorEastAsia" w:hAnsiTheme="minorEastAsia"/>
          <w:color w:val="000000" w:themeColor="text1"/>
          <w:sz w:val="30"/>
          <w:szCs w:val="30"/>
          <w14:textFill>
            <w14:solidFill>
              <w14:schemeClr w14:val="tx1"/>
            </w14:solidFill>
          </w14:textFill>
        </w:rPr>
        <w:t>10897</w:t>
      </w:r>
      <w:r>
        <w:rPr>
          <w:rFonts w:hint="eastAsia" w:cs="仿宋" w:asciiTheme="minorEastAsia" w:hAnsiTheme="minorEastAsia"/>
          <w:color w:val="000000" w:themeColor="text1"/>
          <w:sz w:val="30"/>
          <w:szCs w:val="30"/>
          <w14:textFill>
            <w14:solidFill>
              <w14:schemeClr w14:val="tx1"/>
            </w14:solidFill>
          </w14:textFill>
        </w:rPr>
        <w:t>人，其中：三峡库区外迁移民617人，自主迁入我县大中型水库移民496人，本县3座中型水库移民9784人；移民分布在全县14个乡镇、115个村场。</w:t>
      </w:r>
    </w:p>
    <w:p>
      <w:pPr>
        <w:ind w:firstLine="602" w:firstLineChars="200"/>
        <w:rPr>
          <w:rFonts w:cs="宋体" w:asciiTheme="minorEastAsia" w:hAnsiTheme="minorEastAsia"/>
          <w:b/>
          <w:bCs/>
          <w:color w:val="000000" w:themeColor="text1"/>
          <w:sz w:val="30"/>
          <w:szCs w:val="30"/>
          <w14:textFill>
            <w14:solidFill>
              <w14:schemeClr w14:val="tx1"/>
            </w14:solidFill>
          </w14:textFill>
        </w:rPr>
      </w:pPr>
      <w:r>
        <w:rPr>
          <w:rFonts w:hint="eastAsia" w:cs="宋体" w:asciiTheme="minorEastAsia" w:hAnsiTheme="minorEastAsia"/>
          <w:b/>
          <w:bCs/>
          <w:color w:val="000000" w:themeColor="text1"/>
          <w:sz w:val="30"/>
          <w:szCs w:val="30"/>
          <w14:textFill>
            <w14:solidFill>
              <w14:schemeClr w14:val="tx1"/>
            </w14:solidFill>
          </w14:textFill>
        </w:rPr>
        <w:t>一、基本情况</w:t>
      </w:r>
    </w:p>
    <w:p>
      <w:pPr>
        <w:ind w:firstLine="600" w:firstLineChars="200"/>
        <w:rPr>
          <w:rFonts w:cs="仿宋" w:asciiTheme="minorEastAsia" w:hAnsiTheme="minorEastAsia"/>
          <w:color w:val="000000" w:themeColor="text1"/>
          <w:sz w:val="30"/>
          <w:szCs w:val="30"/>
          <w14:textFill>
            <w14:solidFill>
              <w14:schemeClr w14:val="tx1"/>
            </w14:solidFill>
          </w14:textFill>
        </w:rPr>
      </w:pPr>
      <w:r>
        <w:rPr>
          <w:rFonts w:hint="eastAsia" w:cs="仿宋" w:asciiTheme="minorEastAsia" w:hAnsiTheme="minorEastAsia"/>
          <w:color w:val="000000" w:themeColor="text1"/>
          <w:sz w:val="30"/>
          <w:szCs w:val="30"/>
          <w14:textFill>
            <w14:solidFill>
              <w14:schemeClr w14:val="tx1"/>
            </w14:solidFill>
          </w14:textFill>
        </w:rPr>
        <w:t>（一）项目概况</w:t>
      </w:r>
    </w:p>
    <w:p>
      <w:pPr>
        <w:ind w:firstLine="600" w:firstLineChars="200"/>
        <w:rPr>
          <w:rFonts w:hint="eastAsia" w:cs="仿宋" w:asciiTheme="minorEastAsia" w:hAnsiTheme="minorEastAsia"/>
          <w:color w:val="000000" w:themeColor="text1"/>
          <w:sz w:val="30"/>
          <w:szCs w:val="30"/>
          <w14:textFill>
            <w14:solidFill>
              <w14:schemeClr w14:val="tx1"/>
            </w14:solidFill>
          </w14:textFill>
        </w:rPr>
      </w:pPr>
      <w:r>
        <w:rPr>
          <w:rFonts w:hint="eastAsia" w:cs="仿宋" w:asciiTheme="minorEastAsia" w:hAnsiTheme="minorEastAsia"/>
          <w:color w:val="000000" w:themeColor="text1"/>
          <w:sz w:val="30"/>
          <w:szCs w:val="30"/>
          <w14:textFill>
            <w14:solidFill>
              <w14:schemeClr w14:val="tx1"/>
            </w14:solidFill>
          </w14:textFill>
        </w:rPr>
        <w:t>2022年上级共下达我县水库移民资金584.77万元，其中：后扶基金专项257.06万元、后扶结余项目327.71万元。主要建设内容:</w:t>
      </w:r>
    </w:p>
    <w:p>
      <w:pPr>
        <w:ind w:firstLine="600" w:firstLineChars="200"/>
        <w:rPr>
          <w:rFonts w:hint="eastAsia" w:cs="仿宋" w:asciiTheme="minorEastAsia" w:hAnsiTheme="minorEastAsia"/>
          <w:color w:val="000000" w:themeColor="text1"/>
          <w:sz w:val="30"/>
          <w:szCs w:val="30"/>
          <w14:textFill>
            <w14:solidFill>
              <w14:schemeClr w14:val="tx1"/>
            </w14:solidFill>
          </w14:textFill>
        </w:rPr>
      </w:pPr>
      <w:r>
        <w:rPr>
          <w:rFonts w:hint="eastAsia" w:cs="仿宋" w:asciiTheme="minorEastAsia" w:hAnsiTheme="minorEastAsia"/>
          <w:color w:val="000000" w:themeColor="text1"/>
          <w:sz w:val="30"/>
          <w:szCs w:val="30"/>
          <w14:textFill>
            <w14:solidFill>
              <w14:schemeClr w14:val="tx1"/>
            </w14:solidFill>
          </w14:textFill>
        </w:rPr>
        <w:t>一是后扶基金专项计划13个，资金270.86万元。①移民直补资金195.06万元，项目1个，发放移民直补人口3251人；②移民劳动力培训项目8个，资金40.8万元，培训移民531人次；③其他项目4个，资金35</w:t>
      </w:r>
      <w:r>
        <w:rPr>
          <w:rFonts w:cs="仿宋" w:asciiTheme="minorEastAsia" w:hAnsiTheme="minorEastAsia"/>
          <w:color w:val="000000" w:themeColor="text1"/>
          <w:sz w:val="30"/>
          <w:szCs w:val="30"/>
          <w14:textFill>
            <w14:solidFill>
              <w14:schemeClr w14:val="tx1"/>
            </w14:solidFill>
          </w14:textFill>
        </w:rPr>
        <w:t>万元（</w:t>
      </w:r>
      <w:r>
        <w:rPr>
          <w:rFonts w:hint="eastAsia" w:cs="仿宋" w:asciiTheme="minorEastAsia" w:hAnsiTheme="minorEastAsia"/>
          <w:color w:val="000000" w:themeColor="text1"/>
          <w:sz w:val="30"/>
          <w:szCs w:val="30"/>
          <w14:textFill>
            <w14:solidFill>
              <w14:schemeClr w14:val="tx1"/>
            </w14:solidFill>
          </w14:textFill>
        </w:rPr>
        <w:t>水库移民应急处理10万元、移民困难救助8万元、移民升学奖励3万元、</w:t>
      </w:r>
      <w:r>
        <w:rPr>
          <w:rFonts w:cs="仿宋" w:asciiTheme="minorEastAsia" w:hAnsiTheme="minorEastAsia"/>
          <w:color w:val="000000" w:themeColor="text1"/>
          <w:sz w:val="30"/>
          <w:szCs w:val="30"/>
          <w14:textFill>
            <w14:solidFill>
              <w14:schemeClr w14:val="tx1"/>
            </w14:solidFill>
          </w14:textFill>
        </w:rPr>
        <w:t>监测评估费</w:t>
      </w:r>
      <w:r>
        <w:rPr>
          <w:rFonts w:hint="eastAsia" w:cs="仿宋" w:asciiTheme="minorEastAsia" w:hAnsiTheme="minorEastAsia"/>
          <w:color w:val="000000" w:themeColor="text1"/>
          <w:sz w:val="30"/>
          <w:szCs w:val="30"/>
          <w14:textFill>
            <w14:solidFill>
              <w14:schemeClr w14:val="tx1"/>
            </w14:solidFill>
          </w14:textFill>
        </w:rPr>
        <w:t>14</w:t>
      </w:r>
      <w:r>
        <w:rPr>
          <w:rFonts w:cs="仿宋" w:asciiTheme="minorEastAsia" w:hAnsiTheme="minorEastAsia"/>
          <w:color w:val="000000" w:themeColor="text1"/>
          <w:sz w:val="30"/>
          <w:szCs w:val="30"/>
          <w14:textFill>
            <w14:solidFill>
              <w14:schemeClr w14:val="tx1"/>
            </w14:solidFill>
          </w14:textFill>
        </w:rPr>
        <w:t>万元）</w:t>
      </w:r>
      <w:r>
        <w:rPr>
          <w:rFonts w:hint="eastAsia" w:cs="仿宋" w:asciiTheme="minorEastAsia" w:hAnsiTheme="minorEastAsia"/>
          <w:color w:val="000000" w:themeColor="text1"/>
          <w:sz w:val="30"/>
          <w:szCs w:val="30"/>
          <w14:textFill>
            <w14:solidFill>
              <w14:schemeClr w14:val="tx1"/>
            </w14:solidFill>
          </w14:textFill>
        </w:rPr>
        <w:t>；</w:t>
      </w:r>
    </w:p>
    <w:p>
      <w:pPr>
        <w:ind w:firstLine="600" w:firstLineChars="200"/>
        <w:rPr>
          <w:rFonts w:cs="仿宋" w:asciiTheme="minorEastAsia" w:hAnsiTheme="minorEastAsia"/>
          <w:color w:val="000000" w:themeColor="text1"/>
          <w:sz w:val="30"/>
          <w:szCs w:val="30"/>
          <w14:textFill>
            <w14:solidFill>
              <w14:schemeClr w14:val="tx1"/>
            </w14:solidFill>
          </w14:textFill>
        </w:rPr>
      </w:pPr>
      <w:r>
        <w:rPr>
          <w:rFonts w:hint="eastAsia" w:cs="仿宋" w:asciiTheme="minorEastAsia" w:hAnsiTheme="minorEastAsia"/>
          <w:color w:val="000000" w:themeColor="text1"/>
          <w:sz w:val="30"/>
          <w:szCs w:val="30"/>
          <w14:textFill>
            <w14:solidFill>
              <w14:schemeClr w14:val="tx1"/>
            </w14:solidFill>
          </w14:textFill>
        </w:rPr>
        <w:t>二是后扶结余项目计划12个，资金420万元。①</w:t>
      </w:r>
      <w:r>
        <w:rPr>
          <w:rFonts w:hint="eastAsia" w:cs="Times New Roman" w:asciiTheme="minorEastAsia" w:hAnsiTheme="minorEastAsia"/>
          <w:sz w:val="30"/>
          <w:szCs w:val="30"/>
        </w:rPr>
        <w:t>基础设施建设项目6个，资金162</w:t>
      </w:r>
      <w:r>
        <w:rPr>
          <w:rFonts w:hint="eastAsia" w:asciiTheme="minorEastAsia" w:hAnsiTheme="minorEastAsia"/>
          <w:sz w:val="30"/>
          <w:szCs w:val="30"/>
        </w:rPr>
        <w:t>万元；</w:t>
      </w:r>
      <w:r>
        <w:rPr>
          <w:rFonts w:hint="eastAsia" w:cs="仿宋" w:asciiTheme="minorEastAsia" w:hAnsiTheme="minorEastAsia"/>
          <w:color w:val="000000" w:themeColor="text1"/>
          <w:sz w:val="30"/>
          <w:szCs w:val="30"/>
          <w14:textFill>
            <w14:solidFill>
              <w14:schemeClr w14:val="tx1"/>
            </w14:solidFill>
          </w14:textFill>
        </w:rPr>
        <w:t>②</w:t>
      </w:r>
      <w:r>
        <w:rPr>
          <w:rFonts w:hint="eastAsia" w:cs="Times New Roman" w:asciiTheme="minorEastAsia" w:hAnsiTheme="minorEastAsia"/>
          <w:sz w:val="30"/>
          <w:szCs w:val="30"/>
        </w:rPr>
        <w:t>社会事业基础设施建设项目2个，资金</w:t>
      </w:r>
      <w:r>
        <w:rPr>
          <w:rFonts w:hint="eastAsia" w:asciiTheme="minorEastAsia" w:hAnsiTheme="minorEastAsia"/>
          <w:sz w:val="30"/>
          <w:szCs w:val="30"/>
        </w:rPr>
        <w:t>46</w:t>
      </w:r>
      <w:r>
        <w:rPr>
          <w:rFonts w:hint="eastAsia" w:cs="Times New Roman" w:asciiTheme="minorEastAsia" w:hAnsiTheme="minorEastAsia"/>
          <w:sz w:val="30"/>
          <w:szCs w:val="30"/>
        </w:rPr>
        <w:t>万元</w:t>
      </w:r>
      <w:r>
        <w:rPr>
          <w:rFonts w:hint="eastAsia" w:asciiTheme="minorEastAsia" w:hAnsiTheme="minorEastAsia"/>
          <w:sz w:val="30"/>
          <w:szCs w:val="30"/>
        </w:rPr>
        <w:t>；</w:t>
      </w:r>
      <w:r>
        <w:rPr>
          <w:rFonts w:hint="eastAsia" w:cs="仿宋" w:asciiTheme="minorEastAsia" w:hAnsiTheme="minorEastAsia"/>
          <w:color w:val="000000" w:themeColor="text1"/>
          <w:sz w:val="30"/>
          <w:szCs w:val="30"/>
          <w14:textFill>
            <w14:solidFill>
              <w14:schemeClr w14:val="tx1"/>
            </w14:solidFill>
          </w14:textFill>
        </w:rPr>
        <w:t>③</w:t>
      </w:r>
      <w:r>
        <w:rPr>
          <w:rFonts w:hint="eastAsia" w:cs="Times New Roman" w:asciiTheme="minorEastAsia" w:hAnsiTheme="minorEastAsia"/>
          <w:sz w:val="30"/>
          <w:szCs w:val="30"/>
        </w:rPr>
        <w:t>移民产业发展项目4个，资金212.00万元。</w:t>
      </w:r>
    </w:p>
    <w:p>
      <w:pPr>
        <w:spacing w:beforeLines="100"/>
        <w:ind w:firstLine="600" w:firstLineChars="200"/>
        <w:rPr>
          <w:rFonts w:cs="仿宋" w:asciiTheme="minorEastAsia" w:hAnsiTheme="minorEastAsia"/>
          <w:color w:val="000000" w:themeColor="text1"/>
          <w:sz w:val="30"/>
          <w:szCs w:val="30"/>
          <w14:textFill>
            <w14:solidFill>
              <w14:schemeClr w14:val="tx1"/>
            </w14:solidFill>
          </w14:textFill>
        </w:rPr>
      </w:pPr>
      <w:r>
        <w:rPr>
          <w:rFonts w:hint="eastAsia" w:cs="仿宋" w:asciiTheme="minorEastAsia" w:hAnsiTheme="minorEastAsia"/>
          <w:color w:val="000000" w:themeColor="text1"/>
          <w:sz w:val="30"/>
          <w:szCs w:val="30"/>
          <w14:textFill>
            <w14:solidFill>
              <w14:schemeClr w14:val="tx1"/>
            </w14:solidFill>
          </w14:textFill>
        </w:rPr>
        <w:t>2、绩效目标</w:t>
      </w:r>
    </w:p>
    <w:p>
      <w:pPr>
        <w:ind w:firstLine="600" w:firstLineChars="200"/>
        <w:rPr>
          <w:rFonts w:cs="仿宋" w:asciiTheme="minorEastAsia" w:hAnsiTheme="minorEastAsia"/>
          <w:color w:val="000000" w:themeColor="text1"/>
          <w:sz w:val="30"/>
          <w:szCs w:val="30"/>
          <w14:textFill>
            <w14:solidFill>
              <w14:schemeClr w14:val="tx1"/>
            </w14:solidFill>
          </w14:textFill>
        </w:rPr>
      </w:pPr>
      <w:r>
        <w:rPr>
          <w:rFonts w:hint="eastAsia" w:cs="仿宋" w:asciiTheme="minorEastAsia" w:hAnsiTheme="minorEastAsia"/>
          <w:color w:val="000000" w:themeColor="text1"/>
          <w:sz w:val="30"/>
          <w:szCs w:val="30"/>
          <w14:textFill>
            <w14:solidFill>
              <w14:schemeClr w14:val="tx1"/>
            </w14:solidFill>
          </w14:textFill>
        </w:rPr>
        <w:t>我县2022年中央水库移民扶持基金绩效目标任务584.77万元。其中：后扶基金专项257.06万元、后扶结余项目327.71万元。</w:t>
      </w:r>
    </w:p>
    <w:p>
      <w:pPr>
        <w:spacing w:beforeLines="100"/>
        <w:ind w:firstLine="602" w:firstLineChars="200"/>
        <w:rPr>
          <w:rFonts w:cs="宋体" w:asciiTheme="minorEastAsia" w:hAnsiTheme="minorEastAsia"/>
          <w:b/>
          <w:bCs/>
          <w:color w:val="000000" w:themeColor="text1"/>
          <w:sz w:val="30"/>
          <w:szCs w:val="30"/>
          <w14:textFill>
            <w14:solidFill>
              <w14:schemeClr w14:val="tx1"/>
            </w14:solidFill>
          </w14:textFill>
        </w:rPr>
      </w:pPr>
      <w:r>
        <w:rPr>
          <w:rFonts w:hint="eastAsia" w:cs="宋体" w:asciiTheme="minorEastAsia" w:hAnsiTheme="minorEastAsia"/>
          <w:b/>
          <w:bCs/>
          <w:color w:val="000000" w:themeColor="text1"/>
          <w:sz w:val="30"/>
          <w:szCs w:val="30"/>
          <w14:textFill>
            <w14:solidFill>
              <w14:schemeClr w14:val="tx1"/>
            </w14:solidFill>
          </w14:textFill>
        </w:rPr>
        <w:t>二、绩效管理工作开展情况</w:t>
      </w:r>
    </w:p>
    <w:p>
      <w:pPr>
        <w:ind w:firstLine="600" w:firstLineChars="200"/>
        <w:rPr>
          <w:rFonts w:hint="eastAsia" w:cs="仿宋" w:asciiTheme="minorEastAsia" w:hAnsiTheme="minorEastAsia"/>
          <w:color w:val="000000" w:themeColor="text1"/>
          <w:sz w:val="30"/>
          <w:szCs w:val="30"/>
          <w14:textFill>
            <w14:solidFill>
              <w14:schemeClr w14:val="tx1"/>
            </w14:solidFill>
          </w14:textFill>
        </w:rPr>
      </w:pPr>
      <w:r>
        <w:rPr>
          <w:rFonts w:hint="eastAsia" w:cs="仿宋" w:asciiTheme="minorEastAsia" w:hAnsiTheme="minorEastAsia"/>
          <w:color w:val="000000" w:themeColor="text1"/>
          <w:sz w:val="30"/>
          <w:szCs w:val="30"/>
          <w14:textFill>
            <w14:solidFill>
              <w14:schemeClr w14:val="tx1"/>
            </w14:solidFill>
          </w14:textFill>
        </w:rPr>
        <w:t>（一）绩效评价的目的、对象和范围</w:t>
      </w:r>
    </w:p>
    <w:p>
      <w:pPr>
        <w:ind w:firstLine="600" w:firstLineChars="200"/>
        <w:rPr>
          <w:rFonts w:hint="eastAsia" w:cs="仿宋" w:asciiTheme="minorEastAsia" w:hAnsiTheme="minorEastAsia"/>
          <w:color w:val="000000" w:themeColor="text1"/>
          <w:sz w:val="30"/>
          <w:szCs w:val="30"/>
          <w14:textFill>
            <w14:solidFill>
              <w14:schemeClr w14:val="tx1"/>
            </w14:solidFill>
          </w14:textFill>
        </w:rPr>
      </w:pPr>
      <w:r>
        <w:rPr>
          <w:rFonts w:hint="eastAsia" w:cs="仿宋" w:asciiTheme="minorEastAsia" w:hAnsiTheme="minorEastAsia"/>
          <w:color w:val="000000" w:themeColor="text1"/>
          <w:sz w:val="30"/>
          <w:szCs w:val="30"/>
          <w14:textFill>
            <w14:solidFill>
              <w14:schemeClr w14:val="tx1"/>
            </w14:solidFill>
          </w14:textFill>
        </w:rPr>
        <w:t>绩效评价</w:t>
      </w:r>
      <w:r>
        <w:rPr>
          <w:rFonts w:hint="eastAsia" w:asciiTheme="minorEastAsia" w:hAnsiTheme="minorEastAsia"/>
          <w:sz w:val="30"/>
          <w:szCs w:val="30"/>
        </w:rPr>
        <w:t>目的是为了加强水库移民后期扶持资金支出管理，提高财政资金使用效益。</w:t>
      </w:r>
    </w:p>
    <w:p>
      <w:pPr>
        <w:ind w:firstLine="602" w:firstLineChars="200"/>
        <w:rPr>
          <w:rFonts w:cs="仿宋" w:asciiTheme="minorEastAsia" w:hAnsiTheme="minorEastAsia"/>
          <w:b/>
          <w:color w:val="000000" w:themeColor="text1"/>
          <w:sz w:val="30"/>
          <w:szCs w:val="30"/>
          <w14:textFill>
            <w14:solidFill>
              <w14:schemeClr w14:val="tx1"/>
            </w14:solidFill>
          </w14:textFill>
        </w:rPr>
      </w:pPr>
      <w:r>
        <w:rPr>
          <w:rFonts w:hint="eastAsia" w:cs="仿宋" w:asciiTheme="minorEastAsia" w:hAnsiTheme="minorEastAsia"/>
          <w:b/>
          <w:color w:val="000000" w:themeColor="text1"/>
          <w:sz w:val="30"/>
          <w:szCs w:val="30"/>
          <w14:textFill>
            <w14:solidFill>
              <w14:schemeClr w14:val="tx1"/>
            </w14:solidFill>
          </w14:textFill>
        </w:rPr>
        <w:t>三、综合评价情况</w:t>
      </w:r>
    </w:p>
    <w:p>
      <w:pPr>
        <w:ind w:firstLine="600" w:firstLineChars="200"/>
        <w:rPr>
          <w:rFonts w:hint="eastAsia" w:cs="仿宋" w:asciiTheme="minorEastAsia" w:hAnsiTheme="minorEastAsia"/>
          <w:color w:val="000000" w:themeColor="text1"/>
          <w:sz w:val="30"/>
          <w:szCs w:val="30"/>
          <w14:textFill>
            <w14:solidFill>
              <w14:schemeClr w14:val="tx1"/>
            </w14:solidFill>
          </w14:textFill>
        </w:rPr>
      </w:pPr>
      <w:r>
        <w:rPr>
          <w:rFonts w:hint="eastAsia" w:cs="仿宋" w:asciiTheme="minorEastAsia" w:hAnsiTheme="minorEastAsia"/>
          <w:color w:val="000000" w:themeColor="text1"/>
          <w:sz w:val="30"/>
          <w:szCs w:val="30"/>
          <w14:textFill>
            <w14:solidFill>
              <w14:schemeClr w14:val="tx1"/>
            </w14:solidFill>
          </w14:textFill>
        </w:rPr>
        <w:t>截至2</w:t>
      </w:r>
      <w:r>
        <w:rPr>
          <w:rFonts w:cs="仿宋" w:asciiTheme="minorEastAsia" w:hAnsiTheme="minorEastAsia"/>
          <w:color w:val="000000" w:themeColor="text1"/>
          <w:sz w:val="30"/>
          <w:szCs w:val="30"/>
          <w14:textFill>
            <w14:solidFill>
              <w14:schemeClr w14:val="tx1"/>
            </w14:solidFill>
          </w14:textFill>
        </w:rPr>
        <w:t>022年</w:t>
      </w:r>
      <w:r>
        <w:rPr>
          <w:rFonts w:hint="eastAsia" w:cs="仿宋" w:asciiTheme="minorEastAsia" w:hAnsiTheme="minorEastAsia"/>
          <w:color w:val="000000" w:themeColor="text1"/>
          <w:sz w:val="30"/>
          <w:szCs w:val="30"/>
          <w14:textFill>
            <w14:solidFill>
              <w14:schemeClr w14:val="tx1"/>
            </w14:solidFill>
          </w14:textFill>
        </w:rPr>
        <w:t>3月3</w:t>
      </w:r>
      <w:r>
        <w:rPr>
          <w:rFonts w:cs="仿宋" w:asciiTheme="minorEastAsia" w:hAnsiTheme="minorEastAsia"/>
          <w:color w:val="000000" w:themeColor="text1"/>
          <w:sz w:val="30"/>
          <w:szCs w:val="30"/>
          <w14:textFill>
            <w14:solidFill>
              <w14:schemeClr w14:val="tx1"/>
            </w14:solidFill>
          </w14:textFill>
        </w:rPr>
        <w:t>1日，</w:t>
      </w:r>
      <w:r>
        <w:rPr>
          <w:rFonts w:hint="eastAsia" w:cs="仿宋" w:asciiTheme="minorEastAsia" w:hAnsiTheme="minorEastAsia"/>
          <w:color w:val="000000" w:themeColor="text1"/>
          <w:sz w:val="30"/>
          <w:szCs w:val="30"/>
          <w14:textFill>
            <w14:solidFill>
              <w14:schemeClr w14:val="tx1"/>
            </w14:solidFill>
          </w14:textFill>
        </w:rPr>
        <w:t>我县共完成2022年中央水库移民扶持基金拨付584.77万元（其中：后扶基金专项257.06万元、后扶结余项目327.71万元），资金完成率100%</w:t>
      </w:r>
      <w:r>
        <w:rPr>
          <w:rFonts w:cs="仿宋" w:asciiTheme="minorEastAsia" w:hAnsiTheme="minorEastAsia"/>
          <w:color w:val="000000" w:themeColor="text1"/>
          <w:sz w:val="30"/>
          <w:szCs w:val="30"/>
          <w14:textFill>
            <w14:solidFill>
              <w14:schemeClr w14:val="tx1"/>
            </w14:solidFill>
          </w14:textFill>
        </w:rPr>
        <w:t>，</w:t>
      </w:r>
      <w:r>
        <w:rPr>
          <w:rFonts w:hint="eastAsia" w:cs="仿宋" w:asciiTheme="minorEastAsia" w:hAnsiTheme="minorEastAsia"/>
          <w:color w:val="000000" w:themeColor="text1"/>
          <w:sz w:val="30"/>
          <w:szCs w:val="30"/>
          <w14:textFill>
            <w14:solidFill>
              <w14:schemeClr w14:val="tx1"/>
            </w14:solidFill>
          </w14:textFill>
        </w:rPr>
        <w:t>项目支出控制在批复预算范围内的项目比例为1</w:t>
      </w:r>
      <w:r>
        <w:rPr>
          <w:rFonts w:cs="仿宋" w:asciiTheme="minorEastAsia" w:hAnsiTheme="minorEastAsia"/>
          <w:color w:val="000000" w:themeColor="text1"/>
          <w:sz w:val="30"/>
          <w:szCs w:val="30"/>
          <w14:textFill>
            <w14:solidFill>
              <w14:schemeClr w14:val="tx1"/>
            </w14:solidFill>
          </w14:textFill>
        </w:rPr>
        <w:t>00%，</w:t>
      </w:r>
      <w:r>
        <w:rPr>
          <w:rFonts w:hint="eastAsia" w:cs="仿宋" w:asciiTheme="minorEastAsia" w:hAnsiTheme="minorEastAsia"/>
          <w:color w:val="000000" w:themeColor="text1"/>
          <w:sz w:val="30"/>
          <w:szCs w:val="30"/>
          <w14:textFill>
            <w14:solidFill>
              <w14:schemeClr w14:val="tx1"/>
            </w14:solidFill>
          </w14:textFill>
        </w:rPr>
        <w:t>后期扶持受益移民人口3251人。</w:t>
      </w:r>
    </w:p>
    <w:p>
      <w:pPr>
        <w:ind w:firstLine="600" w:firstLineChars="200"/>
        <w:rPr>
          <w:rFonts w:hint="eastAsia" w:cs="仿宋" w:asciiTheme="minorEastAsia" w:hAnsiTheme="minorEastAsia"/>
          <w:color w:val="000000" w:themeColor="text1"/>
          <w:sz w:val="30"/>
          <w:szCs w:val="30"/>
          <w14:textFill>
            <w14:solidFill>
              <w14:schemeClr w14:val="tx1"/>
            </w14:solidFill>
          </w14:textFill>
        </w:rPr>
      </w:pPr>
      <w:r>
        <w:rPr>
          <w:rFonts w:hint="eastAsia" w:cs="仿宋" w:asciiTheme="minorEastAsia" w:hAnsiTheme="minorEastAsia"/>
          <w:color w:val="000000" w:themeColor="text1"/>
          <w:sz w:val="30"/>
          <w:szCs w:val="30"/>
          <w14:textFill>
            <w14:solidFill>
              <w14:schemeClr w14:val="tx1"/>
            </w14:solidFill>
          </w14:textFill>
        </w:rPr>
        <w:t>（一）后扶基金专项综合评价：</w:t>
      </w:r>
    </w:p>
    <w:p>
      <w:pPr>
        <w:ind w:firstLine="600" w:firstLineChars="200"/>
        <w:rPr>
          <w:rFonts w:hint="eastAsia" w:cs="仿宋" w:asciiTheme="minorEastAsia" w:hAnsiTheme="minorEastAsia"/>
          <w:color w:val="000000" w:themeColor="text1"/>
          <w:sz w:val="30"/>
          <w:szCs w:val="30"/>
          <w14:textFill>
            <w14:solidFill>
              <w14:schemeClr w14:val="tx1"/>
            </w14:solidFill>
          </w14:textFill>
        </w:rPr>
      </w:pPr>
      <w:r>
        <w:rPr>
          <w:rFonts w:hint="eastAsia" w:cs="仿宋" w:asciiTheme="minorEastAsia" w:hAnsiTheme="minorEastAsia"/>
          <w:color w:val="000000" w:themeColor="text1"/>
          <w:sz w:val="30"/>
          <w:szCs w:val="30"/>
          <w14:textFill>
            <w14:solidFill>
              <w14:schemeClr w14:val="tx1"/>
            </w14:solidFill>
          </w14:textFill>
        </w:rPr>
        <w:t>一是累计发放移民直补资金195.06万元，人口3251人，项目1个，直补资金按时发放率为100%</w:t>
      </w:r>
      <w:r>
        <w:rPr>
          <w:rFonts w:cs="仿宋" w:asciiTheme="minorEastAsia" w:hAnsiTheme="minorEastAsia"/>
          <w:color w:val="000000" w:themeColor="text1"/>
          <w:sz w:val="30"/>
          <w:szCs w:val="30"/>
          <w14:textFill>
            <w14:solidFill>
              <w14:schemeClr w14:val="tx1"/>
            </w14:solidFill>
          </w14:textFill>
        </w:rPr>
        <w:t>，</w:t>
      </w:r>
      <w:r>
        <w:rPr>
          <w:rFonts w:hint="eastAsia" w:cs="仿宋" w:asciiTheme="minorEastAsia" w:hAnsiTheme="minorEastAsia"/>
          <w:color w:val="000000" w:themeColor="text1"/>
          <w:sz w:val="30"/>
          <w:szCs w:val="30"/>
          <w14:textFill>
            <w14:solidFill>
              <w14:schemeClr w14:val="tx1"/>
            </w14:solidFill>
          </w14:textFill>
        </w:rPr>
        <w:t>直补资金标准符合率为1</w:t>
      </w:r>
      <w:r>
        <w:rPr>
          <w:rFonts w:cs="仿宋" w:asciiTheme="minorEastAsia" w:hAnsiTheme="minorEastAsia"/>
          <w:color w:val="000000" w:themeColor="text1"/>
          <w:sz w:val="30"/>
          <w:szCs w:val="30"/>
          <w14:textFill>
            <w14:solidFill>
              <w14:schemeClr w14:val="tx1"/>
            </w14:solidFill>
          </w14:textFill>
        </w:rPr>
        <w:t>00%</w:t>
      </w:r>
      <w:r>
        <w:rPr>
          <w:rFonts w:hint="eastAsia" w:cs="仿宋" w:asciiTheme="minorEastAsia" w:hAnsiTheme="minorEastAsia"/>
          <w:color w:val="000000" w:themeColor="text1"/>
          <w:sz w:val="30"/>
          <w:szCs w:val="30"/>
          <w14:textFill>
            <w14:solidFill>
              <w14:schemeClr w14:val="tx1"/>
            </w14:solidFill>
          </w14:textFill>
        </w:rPr>
        <w:t>；</w:t>
      </w:r>
    </w:p>
    <w:p>
      <w:pPr>
        <w:ind w:firstLine="600" w:firstLineChars="200"/>
        <w:rPr>
          <w:rFonts w:hint="eastAsia" w:cs="仿宋" w:asciiTheme="minorEastAsia" w:hAnsiTheme="minorEastAsia"/>
          <w:color w:val="000000" w:themeColor="text1"/>
          <w:sz w:val="30"/>
          <w:szCs w:val="30"/>
          <w14:textFill>
            <w14:solidFill>
              <w14:schemeClr w14:val="tx1"/>
            </w14:solidFill>
          </w14:textFill>
        </w:rPr>
      </w:pPr>
      <w:r>
        <w:rPr>
          <w:rFonts w:hint="eastAsia" w:cs="仿宋" w:asciiTheme="minorEastAsia" w:hAnsiTheme="minorEastAsia"/>
          <w:color w:val="000000" w:themeColor="text1"/>
          <w:sz w:val="30"/>
          <w:szCs w:val="30"/>
          <w14:textFill>
            <w14:solidFill>
              <w14:schemeClr w14:val="tx1"/>
            </w14:solidFill>
          </w14:textFill>
        </w:rPr>
        <w:t>二是累计完成①移民劳动力培训项目8个，拨付资金40.8万元，资金拨付率为100%</w:t>
      </w:r>
      <w:r>
        <w:rPr>
          <w:rFonts w:cs="仿宋" w:asciiTheme="minorEastAsia" w:hAnsiTheme="minorEastAsia"/>
          <w:color w:val="000000" w:themeColor="text1"/>
          <w:sz w:val="30"/>
          <w:szCs w:val="30"/>
          <w14:textFill>
            <w14:solidFill>
              <w14:schemeClr w14:val="tx1"/>
            </w14:solidFill>
          </w14:textFill>
        </w:rPr>
        <w:t>，</w:t>
      </w:r>
      <w:r>
        <w:rPr>
          <w:rFonts w:hint="eastAsia" w:cs="仿宋" w:asciiTheme="minorEastAsia" w:hAnsiTheme="minorEastAsia"/>
          <w:color w:val="000000" w:themeColor="text1"/>
          <w:sz w:val="30"/>
          <w:szCs w:val="30"/>
          <w14:textFill>
            <w14:solidFill>
              <w14:schemeClr w14:val="tx1"/>
            </w14:solidFill>
          </w14:textFill>
        </w:rPr>
        <w:t>培训移民531人次，培训合格率为1</w:t>
      </w:r>
      <w:r>
        <w:rPr>
          <w:rFonts w:cs="仿宋" w:asciiTheme="minorEastAsia" w:hAnsiTheme="minorEastAsia"/>
          <w:color w:val="000000" w:themeColor="text1"/>
          <w:sz w:val="30"/>
          <w:szCs w:val="30"/>
          <w14:textFill>
            <w14:solidFill>
              <w14:schemeClr w14:val="tx1"/>
            </w14:solidFill>
          </w14:textFill>
        </w:rPr>
        <w:t>00%</w:t>
      </w:r>
      <w:r>
        <w:rPr>
          <w:rFonts w:hint="eastAsia" w:cs="仿宋" w:asciiTheme="minorEastAsia" w:hAnsiTheme="minorEastAsia"/>
          <w:color w:val="000000" w:themeColor="text1"/>
          <w:sz w:val="30"/>
          <w:szCs w:val="30"/>
          <w14:textFill>
            <w14:solidFill>
              <w14:schemeClr w14:val="tx1"/>
            </w14:solidFill>
          </w14:textFill>
        </w:rPr>
        <w:t>；②其他项目4个，拨付资金35</w:t>
      </w:r>
      <w:r>
        <w:rPr>
          <w:rFonts w:cs="仿宋" w:asciiTheme="minorEastAsia" w:hAnsiTheme="minorEastAsia"/>
          <w:color w:val="000000" w:themeColor="text1"/>
          <w:sz w:val="30"/>
          <w:szCs w:val="30"/>
          <w14:textFill>
            <w14:solidFill>
              <w14:schemeClr w14:val="tx1"/>
            </w14:solidFill>
          </w14:textFill>
        </w:rPr>
        <w:t>万元（</w:t>
      </w:r>
      <w:r>
        <w:rPr>
          <w:rFonts w:hint="eastAsia" w:cs="仿宋" w:asciiTheme="minorEastAsia" w:hAnsiTheme="minorEastAsia"/>
          <w:color w:val="000000" w:themeColor="text1"/>
          <w:sz w:val="30"/>
          <w:szCs w:val="30"/>
          <w14:textFill>
            <w14:solidFill>
              <w14:schemeClr w14:val="tx1"/>
            </w14:solidFill>
          </w14:textFill>
        </w:rPr>
        <w:t>水库移民应急处理10万元、移民困难救助8万元、移民升学奖励3万元、</w:t>
      </w:r>
      <w:r>
        <w:rPr>
          <w:rFonts w:cs="仿宋" w:asciiTheme="minorEastAsia" w:hAnsiTheme="minorEastAsia"/>
          <w:color w:val="000000" w:themeColor="text1"/>
          <w:sz w:val="30"/>
          <w:szCs w:val="30"/>
          <w14:textFill>
            <w14:solidFill>
              <w14:schemeClr w14:val="tx1"/>
            </w14:solidFill>
          </w14:textFill>
        </w:rPr>
        <w:t>监测评估费</w:t>
      </w:r>
      <w:r>
        <w:rPr>
          <w:rFonts w:hint="eastAsia" w:cs="仿宋" w:asciiTheme="minorEastAsia" w:hAnsiTheme="minorEastAsia"/>
          <w:color w:val="000000" w:themeColor="text1"/>
          <w:sz w:val="30"/>
          <w:szCs w:val="30"/>
          <w14:textFill>
            <w14:solidFill>
              <w14:schemeClr w14:val="tx1"/>
            </w14:solidFill>
          </w14:textFill>
        </w:rPr>
        <w:t>14</w:t>
      </w:r>
      <w:r>
        <w:rPr>
          <w:rFonts w:cs="仿宋" w:asciiTheme="minorEastAsia" w:hAnsiTheme="minorEastAsia"/>
          <w:color w:val="000000" w:themeColor="text1"/>
          <w:sz w:val="30"/>
          <w:szCs w:val="30"/>
          <w14:textFill>
            <w14:solidFill>
              <w14:schemeClr w14:val="tx1"/>
            </w14:solidFill>
          </w14:textFill>
        </w:rPr>
        <w:t>万元）</w:t>
      </w:r>
      <w:r>
        <w:rPr>
          <w:rFonts w:hint="eastAsia" w:cs="仿宋" w:asciiTheme="minorEastAsia" w:hAnsiTheme="minorEastAsia"/>
          <w:color w:val="000000" w:themeColor="text1"/>
          <w:sz w:val="30"/>
          <w:szCs w:val="30"/>
          <w14:textFill>
            <w14:solidFill>
              <w14:schemeClr w14:val="tx1"/>
            </w14:solidFill>
          </w14:textFill>
        </w:rPr>
        <w:t>，资金拨付率为100%；</w:t>
      </w:r>
    </w:p>
    <w:p>
      <w:pPr>
        <w:ind w:firstLine="600" w:firstLineChars="200"/>
        <w:rPr>
          <w:rFonts w:hint="eastAsia" w:cs="仿宋" w:asciiTheme="minorEastAsia" w:hAnsiTheme="minorEastAsia"/>
          <w:color w:val="000000" w:themeColor="text1"/>
          <w:sz w:val="30"/>
          <w:szCs w:val="30"/>
          <w14:textFill>
            <w14:solidFill>
              <w14:schemeClr w14:val="tx1"/>
            </w14:solidFill>
          </w14:textFill>
        </w:rPr>
      </w:pPr>
      <w:r>
        <w:rPr>
          <w:rFonts w:hint="eastAsia" w:cs="仿宋" w:asciiTheme="minorEastAsia" w:hAnsiTheme="minorEastAsia"/>
          <w:color w:val="000000" w:themeColor="text1"/>
          <w:sz w:val="30"/>
          <w:szCs w:val="30"/>
          <w14:textFill>
            <w14:solidFill>
              <w14:schemeClr w14:val="tx1"/>
            </w14:solidFill>
          </w14:textFill>
        </w:rPr>
        <w:t>（二）后扶结余项目综合评价</w:t>
      </w:r>
    </w:p>
    <w:p>
      <w:pPr>
        <w:ind w:firstLine="600" w:firstLineChars="200"/>
        <w:rPr>
          <w:rFonts w:hint="eastAsia" w:cs="仿宋" w:asciiTheme="minorEastAsia" w:hAnsiTheme="minorEastAsia"/>
          <w:color w:val="000000" w:themeColor="text1"/>
          <w:sz w:val="30"/>
          <w:szCs w:val="30"/>
          <w14:textFill>
            <w14:solidFill>
              <w14:schemeClr w14:val="tx1"/>
            </w14:solidFill>
          </w14:textFill>
        </w:rPr>
      </w:pPr>
      <w:r>
        <w:rPr>
          <w:rFonts w:hint="eastAsia" w:cs="Times New Roman" w:asciiTheme="minorEastAsia" w:hAnsiTheme="minorEastAsia"/>
          <w:sz w:val="30"/>
          <w:szCs w:val="30"/>
        </w:rPr>
        <w:t>一是基础设施建设项目6个，拨付资金162</w:t>
      </w:r>
      <w:r>
        <w:rPr>
          <w:rFonts w:hint="eastAsia" w:asciiTheme="minorEastAsia" w:hAnsiTheme="minorEastAsia"/>
          <w:sz w:val="30"/>
          <w:szCs w:val="30"/>
        </w:rPr>
        <w:t>万元</w:t>
      </w:r>
      <w:r>
        <w:rPr>
          <w:rFonts w:hint="eastAsia" w:cs="仿宋" w:asciiTheme="minorEastAsia" w:hAnsiTheme="minorEastAsia"/>
          <w:color w:val="000000" w:themeColor="text1"/>
          <w:sz w:val="30"/>
          <w:szCs w:val="30"/>
          <w14:textFill>
            <w14:solidFill>
              <w14:schemeClr w14:val="tx1"/>
            </w14:solidFill>
          </w14:textFill>
        </w:rPr>
        <w:t>，资金拨付率为100%；</w:t>
      </w:r>
    </w:p>
    <w:p>
      <w:pPr>
        <w:ind w:firstLine="600" w:firstLineChars="200"/>
        <w:rPr>
          <w:rFonts w:hint="eastAsia" w:cs="仿宋" w:asciiTheme="minorEastAsia" w:hAnsiTheme="minorEastAsia"/>
          <w:color w:val="000000" w:themeColor="text1"/>
          <w:sz w:val="30"/>
          <w:szCs w:val="30"/>
          <w14:textFill>
            <w14:solidFill>
              <w14:schemeClr w14:val="tx1"/>
            </w14:solidFill>
          </w14:textFill>
        </w:rPr>
      </w:pPr>
      <w:r>
        <w:rPr>
          <w:rFonts w:hint="eastAsia" w:cs="Times New Roman" w:asciiTheme="minorEastAsia" w:hAnsiTheme="minorEastAsia"/>
          <w:sz w:val="30"/>
          <w:szCs w:val="30"/>
        </w:rPr>
        <w:t>二是社会事业基础设施建设项目2个，资金</w:t>
      </w:r>
      <w:r>
        <w:rPr>
          <w:rFonts w:hint="eastAsia" w:asciiTheme="minorEastAsia" w:hAnsiTheme="minorEastAsia"/>
          <w:sz w:val="30"/>
          <w:szCs w:val="30"/>
        </w:rPr>
        <w:t>46</w:t>
      </w:r>
      <w:r>
        <w:rPr>
          <w:rFonts w:hint="eastAsia" w:cs="Times New Roman" w:asciiTheme="minorEastAsia" w:hAnsiTheme="minorEastAsia"/>
          <w:sz w:val="30"/>
          <w:szCs w:val="30"/>
        </w:rPr>
        <w:t>万元</w:t>
      </w:r>
      <w:r>
        <w:rPr>
          <w:rFonts w:hint="eastAsia" w:cs="仿宋" w:asciiTheme="minorEastAsia" w:hAnsiTheme="minorEastAsia"/>
          <w:color w:val="000000" w:themeColor="text1"/>
          <w:sz w:val="30"/>
          <w:szCs w:val="30"/>
          <w14:textFill>
            <w14:solidFill>
              <w14:schemeClr w14:val="tx1"/>
            </w14:solidFill>
          </w14:textFill>
        </w:rPr>
        <w:t>，资金拨付率为100%；</w:t>
      </w:r>
    </w:p>
    <w:p>
      <w:pPr>
        <w:ind w:firstLine="600" w:firstLineChars="200"/>
        <w:rPr>
          <w:rFonts w:hint="eastAsia" w:cs="仿宋" w:asciiTheme="minorEastAsia" w:hAnsiTheme="minorEastAsia"/>
          <w:color w:val="000000" w:themeColor="text1"/>
          <w:sz w:val="30"/>
          <w:szCs w:val="30"/>
          <w14:textFill>
            <w14:solidFill>
              <w14:schemeClr w14:val="tx1"/>
            </w14:solidFill>
          </w14:textFill>
        </w:rPr>
      </w:pPr>
      <w:r>
        <w:rPr>
          <w:rFonts w:hint="eastAsia" w:cs="Times New Roman" w:asciiTheme="minorEastAsia" w:hAnsiTheme="minorEastAsia"/>
          <w:sz w:val="30"/>
          <w:szCs w:val="30"/>
        </w:rPr>
        <w:t>三是移民产业发展项目4个，资金212.00万元</w:t>
      </w:r>
      <w:r>
        <w:rPr>
          <w:rFonts w:hint="eastAsia" w:cs="仿宋" w:asciiTheme="minorEastAsia" w:hAnsiTheme="minorEastAsia"/>
          <w:color w:val="000000" w:themeColor="text1"/>
          <w:sz w:val="30"/>
          <w:szCs w:val="30"/>
          <w14:textFill>
            <w14:solidFill>
              <w14:schemeClr w14:val="tx1"/>
            </w14:solidFill>
          </w14:textFill>
        </w:rPr>
        <w:t>，资金拨付率为100%；</w:t>
      </w:r>
    </w:p>
    <w:p>
      <w:pPr>
        <w:ind w:firstLine="600" w:firstLineChars="200"/>
        <w:rPr>
          <w:rFonts w:cs="仿宋" w:asciiTheme="minorEastAsia" w:hAnsiTheme="minorEastAsia"/>
          <w:color w:val="000000" w:themeColor="text1"/>
          <w:sz w:val="30"/>
          <w:szCs w:val="30"/>
          <w14:textFill>
            <w14:solidFill>
              <w14:schemeClr w14:val="tx1"/>
            </w14:solidFill>
          </w14:textFill>
        </w:rPr>
      </w:pPr>
      <w:r>
        <w:rPr>
          <w:rFonts w:hint="eastAsia" w:cs="仿宋" w:asciiTheme="minorEastAsia" w:hAnsiTheme="minorEastAsia"/>
          <w:color w:val="000000" w:themeColor="text1"/>
          <w:sz w:val="30"/>
          <w:szCs w:val="30"/>
          <w14:textFill>
            <w14:solidFill>
              <w14:schemeClr w14:val="tx1"/>
            </w14:solidFill>
          </w14:textFill>
        </w:rPr>
        <w:t>四是移民对后期扶持政策实施满意度为85%，无与后期扶持有关的非正常进京越级上访事件，交办的信访事项及时处理率达1</w:t>
      </w:r>
      <w:r>
        <w:rPr>
          <w:rFonts w:cs="仿宋" w:asciiTheme="minorEastAsia" w:hAnsiTheme="minorEastAsia"/>
          <w:color w:val="000000" w:themeColor="text1"/>
          <w:sz w:val="30"/>
          <w:szCs w:val="30"/>
          <w14:textFill>
            <w14:solidFill>
              <w14:schemeClr w14:val="tx1"/>
            </w14:solidFill>
          </w14:textFill>
        </w:rPr>
        <w:t>00%</w:t>
      </w:r>
      <w:r>
        <w:rPr>
          <w:rFonts w:hint="eastAsia" w:cs="仿宋" w:asciiTheme="minorEastAsia" w:hAnsiTheme="minorEastAsia"/>
          <w:color w:val="000000" w:themeColor="text1"/>
          <w:sz w:val="30"/>
          <w:szCs w:val="30"/>
          <w14:textFill>
            <w14:solidFill>
              <w14:schemeClr w14:val="tx1"/>
            </w14:solidFill>
          </w14:textFill>
        </w:rPr>
        <w:t>。</w:t>
      </w:r>
    </w:p>
    <w:p>
      <w:pPr>
        <w:ind w:firstLine="600" w:firstLineChars="200"/>
        <w:rPr>
          <w:rFonts w:cs="仿宋" w:asciiTheme="minorEastAsia" w:hAnsiTheme="minorEastAsia"/>
          <w:color w:val="000000" w:themeColor="text1"/>
          <w:sz w:val="30"/>
          <w:szCs w:val="30"/>
          <w14:textFill>
            <w14:solidFill>
              <w14:schemeClr w14:val="tx1"/>
            </w14:solidFill>
          </w14:textFill>
        </w:rPr>
      </w:pPr>
      <w:r>
        <w:rPr>
          <w:rFonts w:hint="eastAsia" w:cs="仿宋" w:asciiTheme="minorEastAsia" w:hAnsiTheme="minorEastAsia"/>
          <w:color w:val="000000" w:themeColor="text1"/>
          <w:sz w:val="30"/>
          <w:szCs w:val="30"/>
          <w14:textFill>
            <w14:solidFill>
              <w14:schemeClr w14:val="tx1"/>
            </w14:solidFill>
          </w14:textFill>
        </w:rPr>
        <w:t>经综合研判，我县2</w:t>
      </w:r>
      <w:r>
        <w:rPr>
          <w:rFonts w:cs="仿宋" w:asciiTheme="minorEastAsia" w:hAnsiTheme="minorEastAsia"/>
          <w:color w:val="000000" w:themeColor="text1"/>
          <w:sz w:val="30"/>
          <w:szCs w:val="30"/>
          <w14:textFill>
            <w14:solidFill>
              <w14:schemeClr w14:val="tx1"/>
            </w14:solidFill>
          </w14:textFill>
        </w:rPr>
        <w:t>02</w:t>
      </w:r>
      <w:r>
        <w:rPr>
          <w:rFonts w:hint="eastAsia" w:cs="仿宋" w:asciiTheme="minorEastAsia" w:hAnsiTheme="minorEastAsia"/>
          <w:color w:val="000000" w:themeColor="text1"/>
          <w:sz w:val="30"/>
          <w:szCs w:val="30"/>
          <w14:textFill>
            <w14:solidFill>
              <w14:schemeClr w14:val="tx1"/>
            </w14:solidFill>
          </w14:textFill>
        </w:rPr>
        <w:t>2</w:t>
      </w:r>
      <w:r>
        <w:rPr>
          <w:rFonts w:cs="仿宋" w:asciiTheme="minorEastAsia" w:hAnsiTheme="minorEastAsia"/>
          <w:color w:val="000000" w:themeColor="text1"/>
          <w:sz w:val="30"/>
          <w:szCs w:val="30"/>
          <w14:textFill>
            <w14:solidFill>
              <w14:schemeClr w14:val="tx1"/>
            </w14:solidFill>
          </w14:textFill>
        </w:rPr>
        <w:t>年度</w:t>
      </w:r>
      <w:r>
        <w:rPr>
          <w:rFonts w:hint="eastAsia" w:cs="仿宋" w:asciiTheme="minorEastAsia" w:hAnsiTheme="minorEastAsia"/>
          <w:color w:val="000000" w:themeColor="text1"/>
          <w:sz w:val="30"/>
          <w:szCs w:val="30"/>
          <w14:textFill>
            <w14:solidFill>
              <w14:schemeClr w14:val="tx1"/>
            </w14:solidFill>
          </w14:textFill>
        </w:rPr>
        <w:t>中央水库移民扶持基金项目安排、资金投向基本合理，项目与资金管理制度较健全、实施管理较规范，项目产出符合预期，经济、社会和生态效益较明显，移民满意度高，总体达成预期绩效目标，绩效自评得分为</w:t>
      </w:r>
      <w:r>
        <w:rPr>
          <w:rFonts w:hint="eastAsia" w:asciiTheme="minorEastAsia" w:hAnsiTheme="minorEastAsia"/>
          <w:color w:val="000000" w:themeColor="text1"/>
          <w:sz w:val="30"/>
          <w:szCs w:val="30"/>
          <w14:textFill>
            <w14:solidFill>
              <w14:schemeClr w14:val="tx1"/>
            </w14:solidFill>
          </w14:textFill>
        </w:rPr>
        <w:t>99</w:t>
      </w:r>
      <w:r>
        <w:rPr>
          <w:rFonts w:asciiTheme="minorEastAsia" w:hAnsiTheme="minorEastAsia"/>
          <w:color w:val="000000" w:themeColor="text1"/>
          <w:sz w:val="30"/>
          <w:szCs w:val="30"/>
          <w14:textFill>
            <w14:solidFill>
              <w14:schemeClr w14:val="tx1"/>
            </w14:solidFill>
          </w14:textFill>
        </w:rPr>
        <w:t>分</w:t>
      </w:r>
      <w:r>
        <w:rPr>
          <w:rFonts w:hint="eastAsia" w:cs="仿宋" w:asciiTheme="minorEastAsia" w:hAnsiTheme="minorEastAsia"/>
          <w:color w:val="000000" w:themeColor="text1"/>
          <w:sz w:val="30"/>
          <w:szCs w:val="30"/>
          <w14:textFill>
            <w14:solidFill>
              <w14:schemeClr w14:val="tx1"/>
            </w14:solidFill>
          </w14:textFill>
        </w:rPr>
        <w:t>。</w:t>
      </w:r>
    </w:p>
    <w:p>
      <w:pPr>
        <w:ind w:firstLine="590" w:firstLineChars="196"/>
        <w:rPr>
          <w:rFonts w:asciiTheme="minorEastAsia" w:hAnsiTheme="minorEastAsia"/>
          <w:b/>
          <w:color w:val="000000" w:themeColor="text1"/>
          <w:sz w:val="30"/>
          <w:szCs w:val="30"/>
          <w14:textFill>
            <w14:solidFill>
              <w14:schemeClr w14:val="tx1"/>
            </w14:solidFill>
          </w14:textFill>
        </w:rPr>
      </w:pPr>
      <w:r>
        <w:rPr>
          <w:rFonts w:hint="eastAsia" w:asciiTheme="minorEastAsia" w:hAnsiTheme="minorEastAsia"/>
          <w:b/>
          <w:color w:val="000000" w:themeColor="text1"/>
          <w:sz w:val="30"/>
          <w:szCs w:val="30"/>
          <w14:textFill>
            <w14:solidFill>
              <w14:schemeClr w14:val="tx1"/>
            </w14:solidFill>
          </w14:textFill>
        </w:rPr>
        <w:t>四、绩效评价指标分析</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（一）项目决策情况</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按照《华容县大中型水库移民后期扶持“十四五”规划》，保证了项目的可行性、效益性和前瞻性。编报的年度规划计划充分尊重移民意愿，听取村组群众的意见，规划目标明确，并通过县政府审核及省、市移民主管部门审查、备案；规划需调整变更的及时进行报批。在编制年度计划时，严格扶助对象和范围。在资金投向方面，突出产业扶持为重点，优先安排整村推进、饮水安全和道路交通等民生项目。</w:t>
      </w:r>
    </w:p>
    <w:p>
      <w:pPr>
        <w:ind w:firstLine="588" w:firstLineChars="196"/>
        <w:rPr>
          <w:rFonts w:hint="eastAsia"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（二）项目过程情况</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2022年我县共收到中央水库移民扶持基金</w:t>
      </w:r>
      <w:r>
        <w:rPr>
          <w:rFonts w:hint="eastAsia" w:cs="仿宋" w:asciiTheme="minorEastAsia" w:hAnsiTheme="minorEastAsia"/>
          <w:color w:val="000000" w:themeColor="text1"/>
          <w:sz w:val="30"/>
          <w:szCs w:val="30"/>
          <w14:textFill>
            <w14:solidFill>
              <w14:schemeClr w14:val="tx1"/>
            </w14:solidFill>
          </w14:textFill>
        </w:rPr>
        <w:t>584.77</w:t>
      </w:r>
      <w:r>
        <w:rPr>
          <w:rFonts w:hint="eastAsia" w:asciiTheme="minorEastAsia" w:hAnsiTheme="minorEastAsia"/>
          <w:color w:val="000000" w:themeColor="text1"/>
          <w:sz w:val="30"/>
          <w:szCs w:val="30"/>
          <w14:textFill>
            <w14:solidFill>
              <w14:schemeClr w14:val="tx1"/>
            </w14:solidFill>
          </w14:textFill>
        </w:rPr>
        <w:t>万元。我县属于省财政直管县（市），县财政局收到省财政厅的指标文后，资金即视同到位，因此资金到位及时。截至2023年6月30日，我县累计拨付2</w:t>
      </w:r>
      <w:r>
        <w:rPr>
          <w:rFonts w:asciiTheme="minorEastAsia" w:hAnsiTheme="minorEastAsia"/>
          <w:color w:val="000000" w:themeColor="text1"/>
          <w:sz w:val="30"/>
          <w:szCs w:val="30"/>
          <w14:textFill>
            <w14:solidFill>
              <w14:schemeClr w14:val="tx1"/>
            </w14:solidFill>
          </w14:textFill>
        </w:rPr>
        <w:t>02</w:t>
      </w:r>
      <w:r>
        <w:rPr>
          <w:rFonts w:hint="eastAsia" w:asciiTheme="minorEastAsia" w:hAnsiTheme="minorEastAsia"/>
          <w:color w:val="000000" w:themeColor="text1"/>
          <w:sz w:val="30"/>
          <w:szCs w:val="30"/>
          <w14:textFill>
            <w14:solidFill>
              <w14:schemeClr w14:val="tx1"/>
            </w14:solidFill>
          </w14:textFill>
        </w:rPr>
        <w:t>2</w:t>
      </w:r>
      <w:r>
        <w:rPr>
          <w:rFonts w:asciiTheme="minorEastAsia" w:hAnsiTheme="minorEastAsia"/>
          <w:color w:val="000000" w:themeColor="text1"/>
          <w:sz w:val="30"/>
          <w:szCs w:val="30"/>
          <w14:textFill>
            <w14:solidFill>
              <w14:schemeClr w14:val="tx1"/>
            </w14:solidFill>
          </w14:textFill>
        </w:rPr>
        <w:t>年</w:t>
      </w:r>
      <w:r>
        <w:rPr>
          <w:rFonts w:hint="eastAsia" w:cs="仿宋" w:asciiTheme="minorEastAsia" w:hAnsiTheme="minorEastAsia"/>
          <w:color w:val="000000" w:themeColor="text1"/>
          <w:sz w:val="30"/>
          <w:szCs w:val="30"/>
          <w14:textFill>
            <w14:solidFill>
              <w14:schemeClr w14:val="tx1"/>
            </w14:solidFill>
          </w14:textFill>
        </w:rPr>
        <w:t>水库移民资金584.77万元，资金拨付率为100%。其中：后扶基金专项257.06万元、后扶结余项目327.71万元。</w:t>
      </w:r>
    </w:p>
    <w:p>
      <w:pPr>
        <w:ind w:firstLine="588" w:firstLineChars="196"/>
        <w:rPr>
          <w:rFonts w:hint="eastAsia"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（三）项目产出情况</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（1）数量指标</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经调查统计，本年度我县共完成</w:t>
      </w:r>
      <w:r>
        <w:rPr>
          <w:rFonts w:hint="eastAsia" w:cs="仿宋" w:asciiTheme="minorEastAsia" w:hAnsiTheme="minorEastAsia"/>
          <w:color w:val="000000" w:themeColor="text1"/>
          <w:sz w:val="30"/>
          <w:szCs w:val="30"/>
          <w14:textFill>
            <w14:solidFill>
              <w14:schemeClr w14:val="tx1"/>
            </w14:solidFill>
          </w14:textFill>
        </w:rPr>
        <w:t>水库移民</w:t>
      </w:r>
      <w:r>
        <w:rPr>
          <w:rFonts w:hint="eastAsia" w:asciiTheme="minorEastAsia" w:hAnsiTheme="minorEastAsia"/>
          <w:color w:val="000000" w:themeColor="text1"/>
          <w:sz w:val="30"/>
          <w:szCs w:val="30"/>
          <w14:textFill>
            <w14:solidFill>
              <w14:schemeClr w14:val="tx1"/>
            </w14:solidFill>
          </w14:textFill>
        </w:rPr>
        <w:t>项目建设25个。其中：移民直补项目1个，发放移民直补人口3251人，发放直补资金195.06万元；完成移民培训项目8个，培训移民劳动力531人次，拨付培训资金40.8万元；完成其他项目4个，拨付资金35万元；完成</w:t>
      </w:r>
      <w:r>
        <w:rPr>
          <w:rFonts w:hint="eastAsia" w:cs="Times New Roman" w:asciiTheme="minorEastAsia" w:hAnsiTheme="minorEastAsia"/>
          <w:sz w:val="30"/>
          <w:szCs w:val="30"/>
        </w:rPr>
        <w:t>基础设施建设项目6个，拨付资金162</w:t>
      </w:r>
      <w:r>
        <w:rPr>
          <w:rFonts w:hint="eastAsia" w:asciiTheme="minorEastAsia" w:hAnsiTheme="minorEastAsia"/>
          <w:sz w:val="30"/>
          <w:szCs w:val="30"/>
        </w:rPr>
        <w:t>万元；完成</w:t>
      </w:r>
      <w:r>
        <w:rPr>
          <w:rFonts w:hint="eastAsia" w:cs="Times New Roman" w:asciiTheme="minorEastAsia" w:hAnsiTheme="minorEastAsia"/>
          <w:sz w:val="30"/>
          <w:szCs w:val="30"/>
        </w:rPr>
        <w:t>社会事业基础设施建设项目2个，拨付资金</w:t>
      </w:r>
      <w:r>
        <w:rPr>
          <w:rFonts w:hint="eastAsia" w:asciiTheme="minorEastAsia" w:hAnsiTheme="minorEastAsia"/>
          <w:sz w:val="30"/>
          <w:szCs w:val="30"/>
        </w:rPr>
        <w:t>46</w:t>
      </w:r>
      <w:r>
        <w:rPr>
          <w:rFonts w:hint="eastAsia" w:cs="Times New Roman" w:asciiTheme="minorEastAsia" w:hAnsiTheme="minorEastAsia"/>
          <w:sz w:val="30"/>
          <w:szCs w:val="30"/>
        </w:rPr>
        <w:t>万元；完成移民产业发展项目4个，拨付资金212.00万元。全县</w:t>
      </w:r>
      <w:r>
        <w:rPr>
          <w:rFonts w:hint="eastAsia" w:asciiTheme="minorEastAsia" w:hAnsiTheme="minorEastAsia"/>
          <w:color w:val="000000" w:themeColor="text1"/>
          <w:sz w:val="30"/>
          <w:szCs w:val="30"/>
          <w14:textFill>
            <w14:solidFill>
              <w14:schemeClr w14:val="tx1"/>
            </w14:solidFill>
          </w14:textFill>
        </w:rPr>
        <w:t>后期扶持受益移民人口10897人。</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（2）质量指标</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经调查统计，本年度我县共完成移民培训项目8个，培训移民531人次，移民培训合格率为1</w:t>
      </w:r>
      <w:r>
        <w:rPr>
          <w:rFonts w:asciiTheme="minorEastAsia" w:hAnsiTheme="minorEastAsia"/>
          <w:color w:val="000000" w:themeColor="text1"/>
          <w:sz w:val="30"/>
          <w:szCs w:val="30"/>
          <w14:textFill>
            <w14:solidFill>
              <w14:schemeClr w14:val="tx1"/>
            </w14:solidFill>
          </w14:textFill>
        </w:rPr>
        <w:t>00%</w:t>
      </w:r>
      <w:r>
        <w:rPr>
          <w:rFonts w:hint="eastAsia" w:asciiTheme="minorEastAsia" w:hAnsiTheme="minorEastAsia"/>
          <w:color w:val="000000" w:themeColor="text1"/>
          <w:sz w:val="30"/>
          <w:szCs w:val="30"/>
          <w14:textFill>
            <w14:solidFill>
              <w14:schemeClr w14:val="tx1"/>
            </w14:solidFill>
          </w14:textFill>
        </w:rPr>
        <w:t>；共完成项目（不含移民直补、移民培训）16个</w:t>
      </w:r>
      <w:r>
        <w:rPr>
          <w:rFonts w:asciiTheme="minorEastAsia" w:hAnsiTheme="minorEastAsia"/>
          <w:color w:val="000000" w:themeColor="text1"/>
          <w:sz w:val="30"/>
          <w:szCs w:val="30"/>
          <w14:textFill>
            <w14:solidFill>
              <w14:schemeClr w14:val="tx1"/>
            </w14:solidFill>
          </w14:textFill>
        </w:rPr>
        <w:t>，其中已验收合格项目</w:t>
      </w:r>
      <w:r>
        <w:rPr>
          <w:rFonts w:hint="eastAsia" w:asciiTheme="minorEastAsia" w:hAnsiTheme="minorEastAsia"/>
          <w:color w:val="000000" w:themeColor="text1"/>
          <w:sz w:val="30"/>
          <w:szCs w:val="30"/>
          <w14:textFill>
            <w14:solidFill>
              <w14:schemeClr w14:val="tx1"/>
            </w14:solidFill>
          </w14:textFill>
        </w:rPr>
        <w:t>16个</w:t>
      </w:r>
      <w:r>
        <w:rPr>
          <w:rFonts w:asciiTheme="minorEastAsia" w:hAnsiTheme="minorEastAsia"/>
          <w:color w:val="000000" w:themeColor="text1"/>
          <w:sz w:val="30"/>
          <w:szCs w:val="30"/>
          <w14:textFill>
            <w14:solidFill>
              <w14:schemeClr w14:val="tx1"/>
            </w14:solidFill>
          </w14:textFill>
        </w:rPr>
        <w:t>，</w:t>
      </w:r>
      <w:r>
        <w:rPr>
          <w:rFonts w:hint="eastAsia" w:asciiTheme="minorEastAsia" w:hAnsiTheme="minorEastAsia"/>
          <w:color w:val="000000" w:themeColor="text1"/>
          <w:sz w:val="30"/>
          <w:szCs w:val="30"/>
          <w14:textFill>
            <w14:solidFill>
              <w14:schemeClr w14:val="tx1"/>
            </w14:solidFill>
          </w14:textFill>
        </w:rPr>
        <w:t>项目验收合格率为100%。</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（3）时效指标</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经调查统计，本年度我县直补资金于2</w:t>
      </w:r>
      <w:r>
        <w:rPr>
          <w:rFonts w:asciiTheme="minorEastAsia" w:hAnsiTheme="minorEastAsia"/>
          <w:color w:val="000000" w:themeColor="text1"/>
          <w:sz w:val="30"/>
          <w:szCs w:val="30"/>
          <w14:textFill>
            <w14:solidFill>
              <w14:schemeClr w14:val="tx1"/>
            </w14:solidFill>
          </w14:textFill>
        </w:rPr>
        <w:t>02</w:t>
      </w:r>
      <w:r>
        <w:rPr>
          <w:rFonts w:hint="eastAsia" w:asciiTheme="minorEastAsia" w:hAnsiTheme="minorEastAsia"/>
          <w:color w:val="000000" w:themeColor="text1"/>
          <w:sz w:val="30"/>
          <w:szCs w:val="30"/>
          <w14:textFill>
            <w14:solidFill>
              <w14:schemeClr w14:val="tx1"/>
            </w14:solidFill>
          </w14:textFill>
        </w:rPr>
        <w:t>2</w:t>
      </w:r>
      <w:r>
        <w:rPr>
          <w:rFonts w:asciiTheme="minorEastAsia" w:hAnsiTheme="minorEastAsia"/>
          <w:color w:val="000000" w:themeColor="text1"/>
          <w:sz w:val="30"/>
          <w:szCs w:val="30"/>
          <w14:textFill>
            <w14:solidFill>
              <w14:schemeClr w14:val="tx1"/>
            </w14:solidFill>
          </w14:textFill>
        </w:rPr>
        <w:t>年</w:t>
      </w:r>
      <w:r>
        <w:rPr>
          <w:rFonts w:hint="eastAsia" w:asciiTheme="minorEastAsia" w:hAnsiTheme="minorEastAsia"/>
          <w:color w:val="000000" w:themeColor="text1"/>
          <w:sz w:val="30"/>
          <w:szCs w:val="30"/>
          <w14:textFill>
            <w14:solidFill>
              <w14:schemeClr w14:val="tx1"/>
            </w14:solidFill>
          </w14:textFill>
        </w:rPr>
        <w:t>3月30</w:t>
      </w:r>
      <w:r>
        <w:rPr>
          <w:rFonts w:asciiTheme="minorEastAsia" w:hAnsiTheme="minorEastAsia"/>
          <w:color w:val="000000" w:themeColor="text1"/>
          <w:sz w:val="30"/>
          <w:szCs w:val="30"/>
          <w14:textFill>
            <w14:solidFill>
              <w14:schemeClr w14:val="tx1"/>
            </w14:solidFill>
          </w14:textFill>
        </w:rPr>
        <w:t>日一次</w:t>
      </w:r>
      <w:r>
        <w:rPr>
          <w:rFonts w:hint="eastAsia" w:asciiTheme="minorEastAsia" w:hAnsiTheme="minorEastAsia"/>
          <w:color w:val="000000" w:themeColor="text1"/>
          <w:sz w:val="30"/>
          <w:szCs w:val="30"/>
          <w14:textFill>
            <w14:solidFill>
              <w14:schemeClr w14:val="tx1"/>
            </w14:solidFill>
          </w14:textFill>
        </w:rPr>
        <w:t>打卡发放到移民手中，直补资金按时发放率为100%。截至2023年6月30</w:t>
      </w:r>
      <w:r>
        <w:rPr>
          <w:rFonts w:asciiTheme="minorEastAsia" w:hAnsiTheme="minorEastAsia"/>
          <w:color w:val="000000" w:themeColor="text1"/>
          <w:sz w:val="30"/>
          <w:szCs w:val="30"/>
          <w14:textFill>
            <w14:solidFill>
              <w14:schemeClr w14:val="tx1"/>
            </w14:solidFill>
          </w14:textFill>
        </w:rPr>
        <w:t>日</w:t>
      </w:r>
      <w:r>
        <w:rPr>
          <w:rFonts w:hint="eastAsia" w:asciiTheme="minorEastAsia" w:hAnsiTheme="minorEastAsia"/>
          <w:color w:val="000000" w:themeColor="text1"/>
          <w:sz w:val="30"/>
          <w:szCs w:val="30"/>
          <w14:textFill>
            <w14:solidFill>
              <w14:schemeClr w14:val="tx1"/>
            </w14:solidFill>
          </w14:textFill>
        </w:rPr>
        <w:t>，拨付项目资金</w:t>
      </w:r>
      <w:r>
        <w:rPr>
          <w:rFonts w:hint="eastAsia" w:cs="仿宋" w:asciiTheme="minorEastAsia" w:hAnsiTheme="minorEastAsia"/>
          <w:color w:val="000000" w:themeColor="text1"/>
          <w:sz w:val="30"/>
          <w:szCs w:val="30"/>
          <w14:textFill>
            <w14:solidFill>
              <w14:schemeClr w14:val="tx1"/>
            </w14:solidFill>
          </w14:textFill>
        </w:rPr>
        <w:t>584.77</w:t>
      </w:r>
      <w:r>
        <w:rPr>
          <w:rFonts w:hint="eastAsia" w:asciiTheme="minorEastAsia" w:hAnsiTheme="minorEastAsia"/>
          <w:color w:val="000000" w:themeColor="text1"/>
          <w:sz w:val="30"/>
          <w:szCs w:val="30"/>
          <w14:textFill>
            <w14:solidFill>
              <w14:schemeClr w14:val="tx1"/>
            </w14:solidFill>
          </w14:textFill>
        </w:rPr>
        <w:t>万元（</w:t>
      </w:r>
      <w:r>
        <w:rPr>
          <w:rFonts w:hint="eastAsia" w:cs="仿宋" w:asciiTheme="minorEastAsia" w:hAnsiTheme="minorEastAsia"/>
          <w:color w:val="000000" w:themeColor="text1"/>
          <w:sz w:val="30"/>
          <w:szCs w:val="30"/>
          <w14:textFill>
            <w14:solidFill>
              <w14:schemeClr w14:val="tx1"/>
            </w14:solidFill>
          </w14:textFill>
        </w:rPr>
        <w:t>扶基金专项257.06万元、后扶结余项目327.71万元</w:t>
      </w:r>
      <w:r>
        <w:rPr>
          <w:rFonts w:hint="eastAsia" w:asciiTheme="minorEastAsia" w:hAnsiTheme="minorEastAsia"/>
          <w:color w:val="000000" w:themeColor="text1"/>
          <w:sz w:val="30"/>
          <w:szCs w:val="30"/>
          <w14:textFill>
            <w14:solidFill>
              <w14:schemeClr w14:val="tx1"/>
            </w14:solidFill>
          </w14:textFill>
        </w:rPr>
        <w:t>），项目资金完成率为100</w:t>
      </w:r>
      <w:r>
        <w:rPr>
          <w:rFonts w:asciiTheme="minorEastAsia" w:hAnsiTheme="minorEastAsia"/>
          <w:color w:val="000000" w:themeColor="text1"/>
          <w:sz w:val="30"/>
          <w:szCs w:val="30"/>
          <w14:textFill>
            <w14:solidFill>
              <w14:schemeClr w14:val="tx1"/>
            </w14:solidFill>
          </w14:textFill>
        </w:rPr>
        <w:t>%。</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（4）成本指标</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经调查统计，本年度我县直补发放到人的标准为每人每年600元，符合《国务院关于完善大中型水库移民后期扶持政策的意见》（国发〔2006〕17号）文件规定，全县直补资金标准符合率为100%；全县已完成中央水库移民扶持基金项目25个，其中已完成支付的预算项目总个数25个</w:t>
      </w:r>
      <w:r>
        <w:rPr>
          <w:rFonts w:asciiTheme="minorEastAsia" w:hAnsiTheme="minorEastAsia"/>
          <w:color w:val="000000" w:themeColor="text1"/>
          <w:sz w:val="30"/>
          <w:szCs w:val="30"/>
          <w14:textFill>
            <w14:solidFill>
              <w14:schemeClr w14:val="tx1"/>
            </w14:solidFill>
          </w14:textFill>
        </w:rPr>
        <w:t>，</w:t>
      </w:r>
      <w:r>
        <w:rPr>
          <w:rFonts w:hint="eastAsia" w:asciiTheme="minorEastAsia" w:hAnsiTheme="minorEastAsia"/>
          <w:color w:val="000000" w:themeColor="text1"/>
          <w:sz w:val="30"/>
          <w:szCs w:val="30"/>
          <w14:textFill>
            <w14:solidFill>
              <w14:schemeClr w14:val="tx1"/>
            </w14:solidFill>
          </w14:textFill>
        </w:rPr>
        <w:t>项目支出金额均在计划额度内，没有超预算项目，项目支出控制在批复预算内的项目比例为100%。</w:t>
      </w:r>
    </w:p>
    <w:p>
      <w:pPr>
        <w:ind w:firstLine="590" w:firstLineChars="196"/>
        <w:rPr>
          <w:rFonts w:asciiTheme="minorEastAsia" w:hAnsiTheme="minorEastAsia"/>
          <w:b/>
          <w:color w:val="000000" w:themeColor="text1"/>
          <w:sz w:val="30"/>
          <w:szCs w:val="30"/>
          <w14:textFill>
            <w14:solidFill>
              <w14:schemeClr w14:val="tx1"/>
            </w14:solidFill>
          </w14:textFill>
        </w:rPr>
      </w:pPr>
      <w:r>
        <w:rPr>
          <w:rFonts w:hint="eastAsia" w:asciiTheme="minorEastAsia" w:hAnsiTheme="minorEastAsia"/>
          <w:b/>
          <w:color w:val="000000" w:themeColor="text1"/>
          <w:sz w:val="30"/>
          <w:szCs w:val="30"/>
          <w14:textFill>
            <w14:solidFill>
              <w14:schemeClr w14:val="tx1"/>
            </w14:solidFill>
          </w14:textFill>
        </w:rPr>
        <w:t>（四）项目效益情况</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（1）经济效益指标</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本年度中央水库移民扶持基金项目的实施，为我县移民增收提供了有力保障。经调查统计，全县移民人均可支配收入增加1955元，超过目标值；提高移民收入占当地农村居民收入比例</w:t>
      </w:r>
      <w:r>
        <w:rPr>
          <w:rFonts w:asciiTheme="minorEastAsia" w:hAnsiTheme="minorEastAsia"/>
          <w:color w:val="000000" w:themeColor="text1"/>
          <w:sz w:val="30"/>
          <w:szCs w:val="30"/>
          <w14:textFill>
            <w14:solidFill>
              <w14:schemeClr w14:val="tx1"/>
            </w14:solidFill>
          </w14:textFill>
        </w:rPr>
        <w:t>2.</w:t>
      </w:r>
      <w:r>
        <w:rPr>
          <w:rFonts w:hint="eastAsia" w:asciiTheme="minorEastAsia" w:hAnsiTheme="minorEastAsia"/>
          <w:color w:val="000000" w:themeColor="text1"/>
          <w:sz w:val="30"/>
          <w:szCs w:val="30"/>
          <w14:textFill>
            <w14:solidFill>
              <w14:schemeClr w14:val="tx1"/>
            </w14:solidFill>
          </w14:textFill>
        </w:rPr>
        <w:t>2</w:t>
      </w:r>
      <w:r>
        <w:rPr>
          <w:rFonts w:asciiTheme="minorEastAsia" w:hAnsiTheme="minorEastAsia"/>
          <w:color w:val="000000" w:themeColor="text1"/>
          <w:sz w:val="30"/>
          <w:szCs w:val="30"/>
          <w14:textFill>
            <w14:solidFill>
              <w14:schemeClr w14:val="tx1"/>
            </w14:solidFill>
          </w14:textFill>
        </w:rPr>
        <w:t>%</w:t>
      </w:r>
      <w:r>
        <w:rPr>
          <w:rFonts w:hint="eastAsia" w:asciiTheme="minorEastAsia" w:hAnsiTheme="minorEastAsia"/>
          <w:color w:val="000000" w:themeColor="text1"/>
          <w:sz w:val="30"/>
          <w:szCs w:val="30"/>
          <w14:textFill>
            <w14:solidFill>
              <w14:schemeClr w14:val="tx1"/>
            </w14:solidFill>
          </w14:textFill>
        </w:rPr>
        <w:t>，超过目标值。</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（2）社会效益指标</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经调查统计，本年度中央水库移民扶持基金项目实施后，增加达到当地农村居民平均收入水平移民人口320人，超过目标值。</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（3）生态效益指标</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经调查统计，本年度我县计划建设美丽移民村2个，即禹山镇青山村和章华镇栗树村，实际建成禹山镇青山村和章华镇栗树村美丽移民村</w:t>
      </w:r>
      <w:r>
        <w:rPr>
          <w:rFonts w:asciiTheme="minorEastAsia" w:hAnsiTheme="minorEastAsia"/>
          <w:color w:val="000000" w:themeColor="text1"/>
          <w:sz w:val="30"/>
          <w:szCs w:val="30"/>
          <w14:textFill>
            <w14:solidFill>
              <w14:schemeClr w14:val="tx1"/>
            </w14:solidFill>
          </w14:textFill>
        </w:rPr>
        <w:t>2</w:t>
      </w:r>
      <w:r>
        <w:rPr>
          <w:rFonts w:hint="eastAsia" w:asciiTheme="minorEastAsia" w:hAnsiTheme="minorEastAsia"/>
          <w:color w:val="000000" w:themeColor="text1"/>
          <w:sz w:val="30"/>
          <w:szCs w:val="30"/>
          <w14:textFill>
            <w14:solidFill>
              <w14:schemeClr w14:val="tx1"/>
            </w14:solidFill>
          </w14:textFill>
        </w:rPr>
        <w:t>个，完成率为</w:t>
      </w:r>
      <w:r>
        <w:rPr>
          <w:rFonts w:asciiTheme="minorEastAsia" w:hAnsiTheme="minorEastAsia"/>
          <w:color w:val="000000" w:themeColor="text1"/>
          <w:sz w:val="30"/>
          <w:szCs w:val="30"/>
          <w14:textFill>
            <w14:solidFill>
              <w14:schemeClr w14:val="tx1"/>
            </w14:solidFill>
          </w14:textFill>
        </w:rPr>
        <w:t>100</w:t>
      </w:r>
      <w:r>
        <w:rPr>
          <w:rFonts w:hint="eastAsia" w:asciiTheme="minorEastAsia" w:hAnsiTheme="minorEastAsia"/>
          <w:color w:val="000000" w:themeColor="text1"/>
          <w:sz w:val="30"/>
          <w:szCs w:val="30"/>
          <w14:textFill>
            <w14:solidFill>
              <w14:schemeClr w14:val="tx1"/>
            </w14:solidFill>
          </w14:textFill>
        </w:rPr>
        <w:t>%，达到目标值。当地生态环境进一步改善，村容村貌大幅改观，产业和集体经济取得发展，移民生活水平获得提升，移民安居乐业，幸福指数明显提高。</w:t>
      </w:r>
    </w:p>
    <w:p>
      <w:pPr>
        <w:ind w:firstLine="588" w:firstLineChars="196"/>
        <w:rPr>
          <w:rFonts w:asciiTheme="minorEastAsia" w:hAnsiTheme="minorEastAsia"/>
          <w:color w:val="000000" w:themeColor="text1"/>
          <w:sz w:val="30"/>
          <w:szCs w:val="30"/>
          <w14:textFill>
            <w14:solidFill>
              <w14:schemeClr w14:val="tx1"/>
            </w14:solidFill>
          </w14:textFill>
        </w:rPr>
      </w:pPr>
      <w:r>
        <w:rPr>
          <w:rFonts w:asciiTheme="minorEastAsia" w:hAnsiTheme="minorEastAsia"/>
          <w:color w:val="000000" w:themeColor="text1"/>
          <w:sz w:val="30"/>
          <w:szCs w:val="30"/>
          <w14:textFill>
            <w14:solidFill>
              <w14:schemeClr w14:val="tx1"/>
            </w14:solidFill>
          </w14:textFill>
        </w:rPr>
        <w:t>（</w:t>
      </w:r>
      <w:r>
        <w:rPr>
          <w:rFonts w:hint="eastAsia" w:asciiTheme="minorEastAsia" w:hAnsiTheme="minorEastAsia"/>
          <w:color w:val="000000" w:themeColor="text1"/>
          <w:sz w:val="30"/>
          <w:szCs w:val="30"/>
          <w14:textFill>
            <w14:solidFill>
              <w14:schemeClr w14:val="tx1"/>
            </w14:solidFill>
          </w14:textFill>
        </w:rPr>
        <w:t>4）可持续影响</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 xml:space="preserve"> 经调查统计，本年度我县下达中央水库移民扶持基金项目25个，其中：完成移民直补资金项目1个；完成移民培训项目8个；完成其他项目4个；完成工程项目12</w:t>
      </w:r>
      <w:r>
        <w:rPr>
          <w:rFonts w:asciiTheme="minorEastAsia" w:hAnsiTheme="minorEastAsia"/>
          <w:color w:val="000000" w:themeColor="text1"/>
          <w:sz w:val="30"/>
          <w:szCs w:val="30"/>
          <w14:textFill>
            <w14:solidFill>
              <w14:schemeClr w14:val="tx1"/>
            </w14:solidFill>
          </w14:textFill>
        </w:rPr>
        <w:t>个，</w:t>
      </w:r>
      <w:r>
        <w:rPr>
          <w:rFonts w:hint="eastAsia" w:asciiTheme="minorEastAsia" w:hAnsiTheme="minorEastAsia"/>
          <w:color w:val="000000" w:themeColor="text1"/>
          <w:sz w:val="30"/>
          <w:szCs w:val="30"/>
          <w14:textFill>
            <w14:solidFill>
              <w14:schemeClr w14:val="tx1"/>
            </w14:solidFill>
          </w14:textFill>
        </w:rPr>
        <w:t xml:space="preserve"> 12个工程项目已验收合格并移交管护，已建工程项目良性运行比例为1</w:t>
      </w:r>
      <w:r>
        <w:rPr>
          <w:rFonts w:asciiTheme="minorEastAsia" w:hAnsiTheme="minorEastAsia"/>
          <w:color w:val="000000" w:themeColor="text1"/>
          <w:sz w:val="30"/>
          <w:szCs w:val="30"/>
          <w14:textFill>
            <w14:solidFill>
              <w14:schemeClr w14:val="tx1"/>
            </w14:solidFill>
          </w14:textFill>
        </w:rPr>
        <w:t>00</w:t>
      </w:r>
      <w:r>
        <w:rPr>
          <w:rFonts w:hint="eastAsia" w:asciiTheme="minorEastAsia" w:hAnsiTheme="minorEastAsia"/>
          <w:color w:val="000000" w:themeColor="text1"/>
          <w:sz w:val="30"/>
          <w:szCs w:val="30"/>
          <w14:textFill>
            <w14:solidFill>
              <w14:schemeClr w14:val="tx1"/>
            </w14:solidFill>
          </w14:textFill>
        </w:rPr>
        <w:t>%。</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五、存在问题及原因分析</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时效指标。截至2022年3月底项目资金完成率93.72%，但未达到</w:t>
      </w:r>
      <w:r>
        <w:rPr>
          <w:rFonts w:asciiTheme="minorEastAsia" w:hAnsiTheme="minorEastAsia"/>
          <w:color w:val="000000" w:themeColor="text1"/>
          <w:sz w:val="30"/>
          <w:szCs w:val="30"/>
          <w14:textFill>
            <w14:solidFill>
              <w14:schemeClr w14:val="tx1"/>
            </w14:solidFill>
          </w14:textFill>
        </w:rPr>
        <w:t>95%。其主要原因</w:t>
      </w:r>
      <w:r>
        <w:rPr>
          <w:rFonts w:hint="eastAsia" w:asciiTheme="minorEastAsia" w:hAnsiTheme="minorEastAsia"/>
          <w:color w:val="000000" w:themeColor="text1"/>
          <w:sz w:val="30"/>
          <w:szCs w:val="30"/>
          <w14:textFill>
            <w14:solidFill>
              <w14:schemeClr w14:val="tx1"/>
            </w14:solidFill>
          </w14:textFill>
        </w:rPr>
        <w:t>是</w:t>
      </w:r>
      <w:r>
        <w:rPr>
          <w:rFonts w:asciiTheme="minorEastAsia" w:hAnsiTheme="minorEastAsia"/>
          <w:color w:val="000000" w:themeColor="text1"/>
          <w:sz w:val="30"/>
          <w:szCs w:val="30"/>
          <w14:textFill>
            <w14:solidFill>
              <w14:schemeClr w14:val="tx1"/>
            </w14:solidFill>
          </w14:textFill>
        </w:rPr>
        <w:t>：</w:t>
      </w:r>
      <w:r>
        <w:rPr>
          <w:rFonts w:asciiTheme="minorEastAsia" w:hAnsiTheme="minorEastAsia"/>
          <w:b/>
          <w:color w:val="000000" w:themeColor="text1"/>
          <w:sz w:val="30"/>
          <w:szCs w:val="30"/>
          <w14:textFill>
            <w14:solidFill>
              <w14:schemeClr w14:val="tx1"/>
            </w14:solidFill>
          </w14:textFill>
        </w:rPr>
        <w:t>一是</w:t>
      </w:r>
      <w:r>
        <w:rPr>
          <w:rFonts w:hint="eastAsia" w:asciiTheme="minorEastAsia" w:hAnsiTheme="minorEastAsia"/>
          <w:color w:val="000000" w:themeColor="text1"/>
          <w:sz w:val="30"/>
          <w:szCs w:val="30"/>
          <w14:textFill>
            <w14:solidFill>
              <w14:schemeClr w14:val="tx1"/>
            </w14:solidFill>
          </w14:textFill>
        </w:rPr>
        <w:t>1个项目未完工，未结算；</w:t>
      </w:r>
      <w:r>
        <w:rPr>
          <w:rFonts w:hint="eastAsia" w:asciiTheme="minorEastAsia" w:hAnsiTheme="minorEastAsia"/>
          <w:b/>
          <w:color w:val="000000" w:themeColor="text1"/>
          <w:sz w:val="30"/>
          <w:szCs w:val="30"/>
          <w14:textFill>
            <w14:solidFill>
              <w14:schemeClr w14:val="tx1"/>
            </w14:solidFill>
          </w14:textFill>
        </w:rPr>
        <w:t>二是</w:t>
      </w:r>
      <w:r>
        <w:rPr>
          <w:rFonts w:hint="eastAsia" w:asciiTheme="minorEastAsia" w:hAnsiTheme="minorEastAsia"/>
          <w:color w:val="000000" w:themeColor="text1"/>
          <w:sz w:val="30"/>
          <w:szCs w:val="30"/>
          <w14:textFill>
            <w14:solidFill>
              <w14:schemeClr w14:val="tx1"/>
            </w14:solidFill>
          </w14:textFill>
        </w:rPr>
        <w:t>2个重点移民村建设项目已完工未经审计，未完成结算；</w:t>
      </w:r>
      <w:r>
        <w:rPr>
          <w:rFonts w:hint="eastAsia" w:asciiTheme="minorEastAsia" w:hAnsiTheme="minorEastAsia"/>
          <w:b/>
          <w:color w:val="000000" w:themeColor="text1"/>
          <w:sz w:val="30"/>
          <w:szCs w:val="30"/>
          <w14:textFill>
            <w14:solidFill>
              <w14:schemeClr w14:val="tx1"/>
            </w14:solidFill>
          </w14:textFill>
        </w:rPr>
        <w:t>三是</w:t>
      </w:r>
      <w:r>
        <w:rPr>
          <w:rFonts w:hint="eastAsia" w:asciiTheme="minorEastAsia" w:hAnsiTheme="minorEastAsia"/>
          <w:color w:val="000000" w:themeColor="text1"/>
          <w:sz w:val="30"/>
          <w:szCs w:val="30"/>
          <w14:textFill>
            <w14:solidFill>
              <w14:schemeClr w14:val="tx1"/>
            </w14:solidFill>
          </w14:textFill>
        </w:rPr>
        <w:t>监测评估费未完工，未结算。</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六、相关建议和意见</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适当加大基础设施投入。当前，库区和移民安置区基础设施仍然相对落后，建议上级移民主管部门适当放宽基础设施特别是生产配套设施投入比例限制，允许各地结合当地实际，合理调整移民资金安排结构，适当增加基础设施类项目投入。</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lang w:val="en-US" w:eastAsia="zh-CN"/>
        </w:rPr>
      </w:pPr>
      <w:r>
        <w:rPr>
          <w:rFonts w:hint="eastAsia" w:ascii="黑体" w:hAnsi="黑体" w:eastAsia="黑体"/>
          <w:sz w:val="32"/>
          <w:szCs w:val="32"/>
        </w:rPr>
        <w:t>附件</w:t>
      </w:r>
      <w:r>
        <w:rPr>
          <w:rFonts w:hint="eastAsia" w:ascii="黑体" w:hAnsi="黑体" w:eastAsia="黑体"/>
          <w:sz w:val="32"/>
          <w:szCs w:val="32"/>
          <w:lang w:val="en-US" w:eastAsia="zh-CN"/>
        </w:rPr>
        <w:t>4</w:t>
      </w: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color w:val="000000"/>
          <w:sz w:val="36"/>
          <w:szCs w:val="36"/>
        </w:rPr>
      </w:pPr>
      <w:r>
        <w:rPr>
          <w:rFonts w:hint="eastAsia" w:ascii="方正小标宋简体" w:hAnsi="方正小标宋简体" w:eastAsia="方正小标宋简体" w:cs="方正小标宋简体"/>
          <w:color w:val="000000"/>
          <w:sz w:val="36"/>
          <w:szCs w:val="36"/>
          <w:lang w:eastAsia="zh-CN"/>
        </w:rPr>
        <w:t>华容县华一水库</w:t>
      </w:r>
      <w:r>
        <w:rPr>
          <w:rFonts w:hint="eastAsia" w:ascii="方正小标宋简体" w:hAnsi="方正小标宋简体" w:eastAsia="方正小标宋简体" w:cs="方正小标宋简体"/>
          <w:color w:val="000000"/>
          <w:sz w:val="36"/>
          <w:szCs w:val="36"/>
        </w:rPr>
        <w:t>项目支出绩效评价</w:t>
      </w:r>
      <w:r>
        <w:rPr>
          <w:rFonts w:hint="eastAsia" w:ascii="方正小标宋简体" w:hAnsi="方正小标宋简体" w:eastAsia="方正小标宋简体" w:cs="方正小标宋简体"/>
          <w:color w:val="000000"/>
          <w:sz w:val="36"/>
          <w:szCs w:val="36"/>
          <w:lang w:eastAsia="zh-CN"/>
        </w:rPr>
        <w:t>评分表</w:t>
      </w:r>
      <w:r>
        <w:rPr>
          <w:rFonts w:hint="eastAsia" w:ascii="方正小标宋简体" w:hAnsi="方正小标宋简体" w:eastAsia="方正小标宋简体" w:cs="方正小标宋简体"/>
          <w:color w:val="000000"/>
          <w:sz w:val="36"/>
          <w:szCs w:val="36"/>
        </w:rPr>
        <w:t>（</w:t>
      </w:r>
      <w:r>
        <w:rPr>
          <w:rFonts w:hint="eastAsia" w:ascii="方正小标宋简体" w:hAnsi="方正小标宋简体" w:eastAsia="方正小标宋简体" w:cs="方正小标宋简体"/>
          <w:color w:val="000000"/>
          <w:sz w:val="36"/>
          <w:szCs w:val="36"/>
          <w:lang w:eastAsia="zh-CN"/>
        </w:rPr>
        <w:t>共性</w:t>
      </w:r>
      <w:r>
        <w:rPr>
          <w:rFonts w:hint="eastAsia" w:ascii="方正小标宋简体" w:hAnsi="方正小标宋简体" w:eastAsia="方正小标宋简体" w:cs="方正小标宋简体"/>
          <w:color w:val="000000"/>
          <w:sz w:val="36"/>
          <w:szCs w:val="36"/>
        </w:rPr>
        <w:t>）</w:t>
      </w:r>
    </w:p>
    <w:tbl>
      <w:tblPr>
        <w:tblStyle w:val="14"/>
        <w:tblW w:w="9820" w:type="dxa"/>
        <w:jc w:val="center"/>
        <w:tblLayout w:type="fixed"/>
        <w:tblCellMar>
          <w:top w:w="0" w:type="dxa"/>
          <w:left w:w="108" w:type="dxa"/>
          <w:bottom w:w="0" w:type="dxa"/>
          <w:right w:w="108" w:type="dxa"/>
        </w:tblCellMar>
      </w:tblPr>
      <w:tblGrid>
        <w:gridCol w:w="702"/>
        <w:gridCol w:w="540"/>
        <w:gridCol w:w="703"/>
        <w:gridCol w:w="540"/>
        <w:gridCol w:w="803"/>
        <w:gridCol w:w="550"/>
        <w:gridCol w:w="2407"/>
        <w:gridCol w:w="2772"/>
        <w:gridCol w:w="803"/>
      </w:tblGrid>
      <w:tr>
        <w:tblPrEx>
          <w:tblCellMar>
            <w:top w:w="0" w:type="dxa"/>
            <w:left w:w="108" w:type="dxa"/>
            <w:bottom w:w="0" w:type="dxa"/>
            <w:right w:w="108" w:type="dxa"/>
          </w:tblCellMar>
        </w:tblPrEx>
        <w:trPr>
          <w:trHeight w:val="582" w:hRule="atLeast"/>
          <w:tblHeader/>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一级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7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二级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8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三级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5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2407"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具体指标</w:t>
            </w:r>
          </w:p>
        </w:tc>
        <w:tc>
          <w:tcPr>
            <w:tcW w:w="2772"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评价标准</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rPr>
            </w:pPr>
            <w:r>
              <w:rPr>
                <w:rFonts w:hint="eastAsia" w:ascii="仿宋_GB2312" w:hAnsi="宋体" w:eastAsia="仿宋_GB2312" w:cs="宋体"/>
                <w:b/>
                <w:bCs/>
                <w:kern w:val="0"/>
                <w:sz w:val="18"/>
                <w:szCs w:val="18"/>
              </w:rPr>
              <w:t>自评</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24"/>
              </w:rPr>
            </w:pPr>
            <w:r>
              <w:rPr>
                <w:rFonts w:hint="eastAsia" w:ascii="仿宋_GB2312" w:hAnsi="宋体" w:eastAsia="仿宋_GB2312" w:cs="宋体"/>
                <w:b/>
                <w:bCs/>
                <w:kern w:val="0"/>
                <w:sz w:val="18"/>
                <w:szCs w:val="18"/>
              </w:rPr>
              <w:t>得分</w:t>
            </w:r>
          </w:p>
        </w:tc>
      </w:tr>
      <w:tr>
        <w:tblPrEx>
          <w:tblCellMar>
            <w:top w:w="0" w:type="dxa"/>
            <w:left w:w="108" w:type="dxa"/>
            <w:bottom w:w="0" w:type="dxa"/>
            <w:right w:w="108" w:type="dxa"/>
          </w:tblCellMar>
        </w:tblPrEx>
        <w:trPr>
          <w:trHeight w:val="967" w:hRule="atLeast"/>
          <w:jc w:val="center"/>
        </w:trPr>
        <w:tc>
          <w:tcPr>
            <w:tcW w:w="702" w:type="dxa"/>
            <w:vMerge w:val="restart"/>
            <w:tcBorders>
              <w:top w:val="nil"/>
              <w:left w:val="single" w:color="000000" w:sz="4" w:space="0"/>
              <w:bottom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项目决策</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20</w:t>
            </w:r>
          </w:p>
        </w:tc>
        <w:tc>
          <w:tcPr>
            <w:tcW w:w="703" w:type="dxa"/>
            <w:tcBorders>
              <w:top w:val="nil"/>
              <w:left w:val="nil"/>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项目目标</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目标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内容</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设立了项目绩效目标；目标明确；目标细化；目标量化</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①设有目标（1分）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②目标明确（1分）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③目标细化（1分）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④目标量化（1分）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127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决策过程</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依据</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有关法律法规的明确规定；某一经济社会发展规划；某部门年度工作计划；某一实际问题和需求</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①符合法律法规（1分）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②符合经济社会发展规划（1分）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③部门年度工作计划（1分）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6"/>
                <w:kern w:val="0"/>
                <w:sz w:val="18"/>
                <w:szCs w:val="18"/>
                <w:lang w:eastAsia="zh-CN"/>
              </w:rPr>
            </w:pPr>
            <w:r>
              <w:rPr>
                <w:rFonts w:hint="eastAsia" w:ascii="仿宋_GB2312" w:hAnsi="宋体" w:eastAsia="仿宋_GB2312" w:cs="宋体"/>
                <w:spacing w:val="-6"/>
                <w:kern w:val="0"/>
                <w:sz w:val="18"/>
                <w:szCs w:val="18"/>
              </w:rPr>
              <w:t>④针对某一实际问题和需求（1分）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以上③需提供佐证资料。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983"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程序</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项目符合申报条件；申报、批复程序符合相关管理办法；项目调整履行了相应手续</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①符合申报条件（2分）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②项目申报、批复程序符合管理办法（1分）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③项目调整履行了相应手续（1分）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96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办法</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根据需要制定的相关资金管理办法；管理办法中有明确资金分配办法；资金分配因素全面、合理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①有相应的资金管理办法（1分）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②办法健全、规范（1分）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③因素全面合理（1分）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58"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结果</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资金分配符合相关管理办法；分配结果公平合理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①符合分配办法（2分）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②分配公平合理（3分）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此项需提供相应的资金分配方案。</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438" w:hRule="atLeast"/>
          <w:jc w:val="center"/>
        </w:trPr>
        <w:tc>
          <w:tcPr>
            <w:tcW w:w="702" w:type="dxa"/>
            <w:vMerge w:val="restart"/>
            <w:tcBorders>
              <w:top w:val="nil"/>
              <w:left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firstLine="2520" w:firstLineChars="1400"/>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r>
              <w:rPr>
                <w:rFonts w:hint="eastAsia" w:ascii="仿宋_GB2312" w:hAnsi="宋体" w:eastAsia="仿宋_GB2312" w:cs="宋体"/>
                <w:kern w:val="0"/>
                <w:sz w:val="18"/>
                <w:szCs w:val="18"/>
                <w:lang w:eastAsia="zh-CN"/>
              </w:rPr>
              <w:t>管理</w:t>
            </w:r>
          </w:p>
        </w:tc>
        <w:tc>
          <w:tcPr>
            <w:tcW w:w="540" w:type="dxa"/>
            <w:vMerge w:val="restart"/>
            <w:tcBorders>
              <w:top w:val="nil"/>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25</w:t>
            </w:r>
          </w:p>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资金到位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到位率</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实际到位/计划到位*100%</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根据项目资金的实际到位率计算得分（3分）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2</w:t>
            </w:r>
          </w:p>
        </w:tc>
      </w:tr>
      <w:tr>
        <w:tblPrEx>
          <w:tblCellMar>
            <w:top w:w="0" w:type="dxa"/>
            <w:left w:w="108" w:type="dxa"/>
            <w:bottom w:w="0" w:type="dxa"/>
            <w:right w:w="108" w:type="dxa"/>
          </w:tblCellMar>
        </w:tblPrEx>
        <w:trPr>
          <w:trHeight w:val="744"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到位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资金及时到位；若未及时到位，是否影响项目进度</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①到位及时（2分）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10"/>
                <w:kern w:val="0"/>
                <w:sz w:val="18"/>
                <w:szCs w:val="18"/>
                <w:lang w:eastAsia="zh-CN"/>
              </w:rPr>
            </w:pPr>
            <w:r>
              <w:rPr>
                <w:rFonts w:hint="eastAsia" w:ascii="仿宋_GB2312" w:hAnsi="宋体" w:eastAsia="仿宋_GB2312" w:cs="宋体"/>
                <w:spacing w:val="-10"/>
                <w:kern w:val="0"/>
                <w:sz w:val="18"/>
                <w:szCs w:val="18"/>
              </w:rPr>
              <w:t>②不及时但未影响项目进度 （1分）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③不及时并影响项目进度（0.5分）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1168"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资金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使用</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7</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支出依据合规，无虚列项目支出情况；无截留挤占挪用情况；无超标准开支情况；无超预算情况</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 xml:space="preserve">①虚列套取扣4-7分 </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②依据不合规扣2分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③截留、挤占、挪用扣3-6分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④超标准开支扣2-5分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⑤超预算扣2-5分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r>
      <w:tr>
        <w:tblPrEx>
          <w:tblCellMar>
            <w:top w:w="0" w:type="dxa"/>
            <w:left w:w="108" w:type="dxa"/>
            <w:bottom w:w="0" w:type="dxa"/>
            <w:right w:w="108" w:type="dxa"/>
          </w:tblCellMar>
        </w:tblPrEx>
        <w:trPr>
          <w:trHeight w:val="871"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财务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管理</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资金管理、费用支出等制度健全；制度执行严格；会计核算规范</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①财务制度健全（1分）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②严格执行制度（1分）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③会计核算规范（1分）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2</w:t>
            </w:r>
          </w:p>
        </w:tc>
      </w:tr>
      <w:tr>
        <w:tblPrEx>
          <w:tblCellMar>
            <w:top w:w="0" w:type="dxa"/>
            <w:left w:w="108" w:type="dxa"/>
            <w:bottom w:w="0" w:type="dxa"/>
            <w:right w:w="108" w:type="dxa"/>
          </w:tblCellMar>
        </w:tblPrEx>
        <w:trPr>
          <w:trHeight w:val="532" w:hRule="atLeast"/>
          <w:jc w:val="center"/>
        </w:trPr>
        <w:tc>
          <w:tcPr>
            <w:tcW w:w="702" w:type="dxa"/>
            <w:vMerge w:val="continue"/>
            <w:tcBorders>
              <w:left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组织实施</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组织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机构健全、分工明确</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①机构健全、分工明确  （1分）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支撑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条件</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项目实施单位是否提供或具备了必备的人员、场地和设备等条件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具备人员、场地、设备条件（1分）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实施</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项目按计划开工；按计划进度开展；按计划完工</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①按计划开工（1分）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②按计划开展（1分）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③按计划完工（1分）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45" w:hRule="atLeast"/>
          <w:jc w:val="center"/>
        </w:trPr>
        <w:tc>
          <w:tcPr>
            <w:tcW w:w="702"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管理</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制度</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项目管理制度健全；严格执行相关管理制度</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①管理制度健全（2分）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②制度执行严格（3分）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项目绩效</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55</w:t>
            </w:r>
          </w:p>
        </w:tc>
        <w:tc>
          <w:tcPr>
            <w:tcW w:w="703"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15</w:t>
            </w:r>
          </w:p>
        </w:tc>
        <w:tc>
          <w:tcPr>
            <w:tcW w:w="803"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数量</w:t>
            </w:r>
          </w:p>
        </w:tc>
        <w:tc>
          <w:tcPr>
            <w:tcW w:w="550"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目标完成率=目标完成数/预定目标数×100%</w:t>
            </w:r>
          </w:p>
        </w:tc>
        <w:tc>
          <w:tcPr>
            <w:tcW w:w="2772"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完成绩效目标100%得5分，未完成100%的同比例扣减。</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质量</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目标完成质量=实际达到的效果/预定目标×100%</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项目产出质量达到绩效目标100%得4分，未完成100%的同比例扣减。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项目资金使用的预定目标是否如期完成，未完成的理由是否充分</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项目产出时效达到绩效目标得3分，未如期完成且无充分理由的扣3分。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成本</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项目产出成本是否按绩效目标控制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项目产出成本按绩效目标控制得3分，未完成的，按超支比例扣减。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2</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项目效果</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经济</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项目实施对经济发展所带来的直接或间接影响情况。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完成绩效目标设定的经济效益得8分，未完成的，按完成情况酌情扣分。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90"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社会</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项目实施对社会发展所带来的直接或间接影响情况。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完成绩效目标设定的社会效益得8分，未完成的，按完成情况酌情扣分。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77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生态</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项目实施对生态环境所带来的直接或间接影响情况。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完成绩效目标设定的积极的环境效益得8分，未完成的，按完成情况酌情扣分。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r>
      <w:tr>
        <w:tblPrEx>
          <w:tblCellMar>
            <w:top w:w="0" w:type="dxa"/>
            <w:left w:w="108" w:type="dxa"/>
            <w:bottom w:w="0" w:type="dxa"/>
            <w:right w:w="108" w:type="dxa"/>
          </w:tblCellMar>
        </w:tblPrEx>
        <w:trPr>
          <w:trHeight w:val="86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可持续</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影响</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项目后续运行及成效发挥的可持续影响情况。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完成绩效设定目标的得8分，未完成的，按完成情况酌情扣分。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服务</w:t>
            </w:r>
          </w:p>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对象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满意度</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服务对象满意率=项目区被调查人数中表示满意的人数(户数)/ 被调查人数(户数)×100%</w:t>
            </w: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满意率达90%（含）以上的得8分，80%（含）-90%得6分，70%（含）-80%得4分，60%（含）-70%得2分，60%以下不得分。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宋体" w:hAnsi="宋体" w:eastAsia="宋体" w:cs="宋体"/>
                <w:kern w:val="0"/>
                <w:sz w:val="24"/>
                <w:lang w:val="en-US" w:eastAsia="zh-CN"/>
              </w:rPr>
            </w:pPr>
            <w:r>
              <w:rPr>
                <w:rFonts w:hint="eastAsia" w:ascii="宋体" w:hAnsi="宋体" w:cs="宋体"/>
                <w:kern w:val="0"/>
                <w:sz w:val="24"/>
                <w:lang w:val="en-US" w:eastAsia="zh-CN"/>
              </w:rPr>
              <w:t>7</w:t>
            </w:r>
          </w:p>
        </w:tc>
      </w:tr>
      <w:tr>
        <w:tblPrEx>
          <w:tblCellMar>
            <w:top w:w="0" w:type="dxa"/>
            <w:left w:w="108" w:type="dxa"/>
            <w:bottom w:w="0" w:type="dxa"/>
            <w:right w:w="108" w:type="dxa"/>
          </w:tblCellMar>
        </w:tblPrEx>
        <w:trPr>
          <w:trHeight w:val="860" w:hRule="atLeast"/>
          <w:jc w:val="center"/>
        </w:trPr>
        <w:tc>
          <w:tcPr>
            <w:tcW w:w="702"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总分</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7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宋体" w:hAnsi="宋体" w:eastAsia="宋体" w:cs="宋体"/>
                <w:b/>
                <w:bCs/>
                <w:kern w:val="0"/>
                <w:sz w:val="24"/>
                <w:lang w:val="en-US" w:eastAsia="zh-CN"/>
              </w:rPr>
            </w:pPr>
            <w:r>
              <w:rPr>
                <w:rFonts w:hint="eastAsia" w:ascii="宋体" w:hAnsi="宋体" w:cs="宋体"/>
                <w:b/>
                <w:bCs/>
                <w:kern w:val="0"/>
                <w:sz w:val="24"/>
                <w:lang w:val="en-US" w:eastAsia="zh-CN"/>
              </w:rPr>
              <w:t>90</w:t>
            </w:r>
          </w:p>
        </w:tc>
      </w:tr>
    </w:tbl>
    <w:p>
      <w:pPr>
        <w:adjustRightInd w:val="0"/>
        <w:snapToGrid w:val="0"/>
        <w:spacing w:before="156" w:beforeLines="50"/>
        <w:ind w:left="840" w:hanging="840" w:hangingChars="400"/>
        <w:contextualSpacing/>
        <w:rPr>
          <w:rFonts w:hint="eastAsia" w:ascii="仿宋_GB2312" w:eastAsia="仿宋_GB2312"/>
        </w:rPr>
      </w:pPr>
      <w:r>
        <w:rPr>
          <w:rFonts w:hint="eastAsia" w:ascii="仿宋_GB2312" w:eastAsia="仿宋_GB2312"/>
        </w:rPr>
        <w:t>备注：</w:t>
      </w:r>
      <w:r>
        <w:rPr>
          <w:rFonts w:hint="eastAsia" w:ascii="仿宋_GB2312" w:eastAsia="仿宋_GB2312"/>
          <w:lang w:val="en-US" w:eastAsia="zh-CN"/>
        </w:rPr>
        <w:t>1、</w:t>
      </w:r>
      <w:r>
        <w:rPr>
          <w:rFonts w:hint="eastAsia" w:ascii="仿宋_GB2312" w:eastAsia="仿宋_GB2312"/>
        </w:rPr>
        <w:t>部门（单位）根据项目实际，在《项目支出绩效评价指标</w:t>
      </w:r>
      <w:r>
        <w:rPr>
          <w:rFonts w:hint="eastAsia" w:ascii="仿宋_GB2312" w:eastAsia="仿宋_GB2312"/>
          <w:lang w:eastAsia="zh-CN"/>
        </w:rPr>
        <w:t>评分表</w:t>
      </w:r>
      <w:r>
        <w:rPr>
          <w:rFonts w:hint="eastAsia" w:ascii="仿宋_GB2312" w:eastAsia="仿宋_GB2312"/>
        </w:rPr>
        <w:t>（</w:t>
      </w:r>
      <w:r>
        <w:rPr>
          <w:rFonts w:hint="eastAsia" w:ascii="仿宋_GB2312" w:eastAsia="仿宋_GB2312"/>
          <w:lang w:eastAsia="zh-CN"/>
        </w:rPr>
        <w:t>共性</w:t>
      </w:r>
      <w:r>
        <w:rPr>
          <w:rFonts w:hint="eastAsia" w:ascii="仿宋_GB2312" w:eastAsia="仿宋_GB2312"/>
        </w:rPr>
        <w:t>）》上进一步完善、量化、细化个性指标，形成本项目的指标体系。</w:t>
      </w:r>
    </w:p>
    <w:p>
      <w:pPr>
        <w:adjustRightInd w:val="0"/>
        <w:snapToGrid w:val="0"/>
        <w:spacing w:before="156" w:beforeLines="50"/>
        <w:ind w:firstLine="630" w:firstLineChars="300"/>
        <w:contextualSpacing/>
        <w:rPr>
          <w:rFonts w:hint="eastAsia" w:eastAsia="仿宋_GB2312"/>
          <w:sz w:val="32"/>
          <w:lang w:eastAsia="zh-CN"/>
        </w:rPr>
      </w:pPr>
      <w:r>
        <w:rPr>
          <w:rFonts w:hint="eastAsia" w:ascii="仿宋_GB2312" w:eastAsia="仿宋_GB2312"/>
          <w:lang w:val="en-US" w:eastAsia="zh-CN"/>
        </w:rPr>
        <w:t>2、</w:t>
      </w:r>
      <w:r>
        <w:rPr>
          <w:rFonts w:hint="eastAsia" w:ascii="仿宋_GB2312" w:eastAsia="仿宋_GB2312"/>
          <w:lang w:eastAsia="zh-CN"/>
        </w:rPr>
        <w:t>一个一级项目一张表。</w:t>
      </w:r>
    </w:p>
    <w:p>
      <w:pPr>
        <w:spacing w:line="240" w:lineRule="auto"/>
        <w:ind w:firstLine="0" w:firstLineChars="0"/>
        <w:jc w:val="left"/>
        <w:outlineLvl w:val="0"/>
        <w:rPr>
          <w:rFonts w:hint="eastAsia" w:ascii="Times New Roman" w:hAnsi="Times New Roman" w:eastAsia="黑体" w:cs="Times New Roman"/>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5</w:t>
      </w:r>
    </w:p>
    <w:p>
      <w:pPr>
        <w:widowControl/>
        <w:spacing w:line="600" w:lineRule="exact"/>
        <w:jc w:val="center"/>
        <w:rPr>
          <w:rFonts w:hint="eastAsia" w:ascii="方正小标宋简体" w:hAnsi="方正小标宋简体" w:eastAsia="方正小标宋简体" w:cs="方正小标宋简体"/>
          <w:color w:val="000000"/>
          <w:sz w:val="36"/>
          <w:szCs w:val="36"/>
          <w:lang w:eastAsia="zh-CN"/>
        </w:rPr>
      </w:pPr>
      <w:r>
        <w:rPr>
          <w:rFonts w:hint="eastAsia" w:ascii="方正小标宋简体" w:hAnsi="方正小标宋简体" w:eastAsia="方正小标宋简体" w:cs="方正小标宋简体"/>
          <w:color w:val="000000"/>
          <w:sz w:val="36"/>
          <w:szCs w:val="36"/>
          <w:lang w:eastAsia="zh-CN"/>
        </w:rPr>
        <w:t>华容县华一水库202</w:t>
      </w:r>
      <w:r>
        <w:rPr>
          <w:rFonts w:hint="eastAsia" w:ascii="方正小标宋简体" w:hAnsi="方正小标宋简体" w:eastAsia="方正小标宋简体" w:cs="方正小标宋简体"/>
          <w:color w:val="000000"/>
          <w:sz w:val="36"/>
          <w:szCs w:val="36"/>
          <w:lang w:val="en-US" w:eastAsia="zh-CN"/>
        </w:rPr>
        <w:t>2</w:t>
      </w:r>
      <w:r>
        <w:rPr>
          <w:rFonts w:hint="eastAsia" w:ascii="方正小标宋简体" w:hAnsi="方正小标宋简体" w:eastAsia="方正小标宋简体" w:cs="方正小标宋简体"/>
          <w:color w:val="000000"/>
          <w:sz w:val="36"/>
          <w:szCs w:val="36"/>
          <w:lang w:eastAsia="zh-CN"/>
        </w:rPr>
        <w:t>年度项目支出绩效自评表</w:t>
      </w:r>
    </w:p>
    <w:tbl>
      <w:tblPr>
        <w:tblStyle w:val="14"/>
        <w:tblW w:w="9851" w:type="dxa"/>
        <w:jc w:val="center"/>
        <w:tblLayout w:type="autofit"/>
        <w:tblCellMar>
          <w:top w:w="0" w:type="dxa"/>
          <w:left w:w="108" w:type="dxa"/>
          <w:bottom w:w="0" w:type="dxa"/>
          <w:right w:w="108" w:type="dxa"/>
        </w:tblCellMar>
      </w:tblPr>
      <w:tblGrid>
        <w:gridCol w:w="1080"/>
        <w:gridCol w:w="1080"/>
        <w:gridCol w:w="1080"/>
        <w:gridCol w:w="1224"/>
        <w:gridCol w:w="1134"/>
        <w:gridCol w:w="1134"/>
        <w:gridCol w:w="828"/>
        <w:gridCol w:w="873"/>
        <w:gridCol w:w="1418"/>
      </w:tblGrid>
      <w:tr>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eastAsia="zh-CN"/>
              </w:rPr>
              <w:t>华容县</w:t>
            </w:r>
            <w:r>
              <w:rPr>
                <w:rFonts w:hint="eastAsia" w:eastAsia="仿宋_GB2312" w:cs="Times New Roman"/>
                <w:color w:val="000000"/>
                <w:sz w:val="20"/>
                <w:szCs w:val="20"/>
                <w:lang w:val="en-US" w:eastAsia="zh-CN"/>
              </w:rPr>
              <w:t>2021年-2022年度中型灌区（华一水库灌区）续建配套与节水改造工程</w:t>
            </w:r>
          </w:p>
        </w:tc>
      </w:tr>
      <w:tr>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项目资金</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（万元）</w:t>
            </w: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年初</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全年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执行数</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执行率</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得分</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年度资金总额</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760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760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760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其中：当年财政拨款</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760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760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760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上年结转资金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其他资金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实际完成情况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坚持国家法律法规，以服务人民为宗旨，保证两大工业园的工业用水及农民农田旱涝保收。</w:t>
            </w: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eastAsia="zh-CN"/>
              </w:rPr>
              <w:t>已完成施工金额</w:t>
            </w:r>
            <w:r>
              <w:rPr>
                <w:rFonts w:hint="eastAsia" w:eastAsia="仿宋_GB2312" w:cs="Times New Roman"/>
                <w:color w:val="000000"/>
                <w:sz w:val="20"/>
                <w:szCs w:val="20"/>
                <w:lang w:val="en-US" w:eastAsia="zh-CN"/>
              </w:rPr>
              <w:t>760万元。</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一级指标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二级指标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三级指标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指标值</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完成值</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得分</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偏差原因分析及改进措施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产出指标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(50分)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数量指标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东干渠</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3450米</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3450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支渠清淤工程</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1761米</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1761</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eastAsia="zh-CN"/>
              </w:rPr>
              <w:t>机埠工程</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4座</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4座</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质量指标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服务质量合格率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15</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时效指标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完成时间</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年底</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是</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成本指标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已完成施工金额</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760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760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14</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效益指标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（30分）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成本</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760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760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eastAsia="zh-CN"/>
              </w:rPr>
              <w:t>农民农田粮食增产</w:t>
            </w:r>
            <w:r>
              <w:rPr>
                <w:rFonts w:hint="eastAsia" w:eastAsia="仿宋_GB2312" w:cs="Times New Roman"/>
                <w:color w:val="000000"/>
                <w:sz w:val="20"/>
                <w:szCs w:val="20"/>
                <w:lang w:val="en-US" w:eastAsia="zh-CN"/>
              </w:rPr>
              <w:t>10%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改善水库水质，优化环境</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550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550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可持续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影响指标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项目对于社会持续效果良好程度</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70%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80%</w:t>
            </w: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服务对象满意度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项目预期服务对象对项目实施的满意程度</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eastAsia="zh-CN"/>
              </w:rPr>
              <w:t>水库周边群众满</w:t>
            </w:r>
            <w:r>
              <w:rPr>
                <w:rFonts w:hint="eastAsia" w:eastAsia="仿宋_GB2312" w:cs="Times New Roman"/>
                <w:color w:val="000000"/>
                <w:sz w:val="20"/>
                <w:szCs w:val="20"/>
                <w:lang w:val="en-US" w:eastAsia="zh-CN"/>
              </w:rPr>
              <w:t>度90%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95%</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总分</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94</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bl>
    <w:p>
      <w:pPr>
        <w:rPr>
          <w:rFonts w:hint="eastAsia" w:ascii="新宋体" w:hAnsi="新宋体" w:eastAsia="新宋体" w:cs="新宋体"/>
          <w:sz w:val="21"/>
          <w:szCs w:val="21"/>
          <w:lang w:eastAsia="zh-CN"/>
        </w:rPr>
      </w:pPr>
      <w:r>
        <w:rPr>
          <w:rFonts w:hint="eastAsia" w:ascii="新宋体" w:hAnsi="新宋体" w:eastAsia="新宋体" w:cs="新宋体"/>
          <w:sz w:val="21"/>
          <w:szCs w:val="21"/>
        </w:rPr>
        <w:t>备注：一个一级项目支出一张表。</w:t>
      </w:r>
      <w:r>
        <w:rPr>
          <w:rFonts w:hint="eastAsia" w:ascii="新宋体" w:hAnsi="新宋体" w:eastAsia="新宋体" w:cs="新宋体"/>
          <w:sz w:val="21"/>
          <w:szCs w:val="21"/>
          <w:lang w:eastAsia="zh-CN"/>
        </w:rPr>
        <w:t>如，</w:t>
      </w:r>
      <w:r>
        <w:rPr>
          <w:rFonts w:hint="eastAsia" w:ascii="新宋体" w:hAnsi="新宋体" w:eastAsia="新宋体" w:cs="新宋体"/>
          <w:sz w:val="21"/>
          <w:szCs w:val="21"/>
        </w:rPr>
        <w:t>业务工作经费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运行维护经费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lang w:val="en-US" w:eastAsia="zh-CN"/>
        </w:rPr>
        <w:t>XX项目</w:t>
      </w:r>
      <w:r>
        <w:rPr>
          <w:rFonts w:hint="eastAsia" w:ascii="新宋体" w:hAnsi="新宋体" w:eastAsia="新宋体" w:cs="新宋体"/>
          <w:sz w:val="21"/>
          <w:szCs w:val="21"/>
          <w:lang w:eastAsia="zh-CN"/>
        </w:rPr>
        <w:t>资金…各一张表。</w:t>
      </w:r>
    </w:p>
    <w:p>
      <w:pPr>
        <w:pStyle w:val="2"/>
        <w:rPr>
          <w:rFonts w:hint="eastAsia"/>
        </w:rPr>
      </w:pPr>
    </w:p>
    <w:p>
      <w:pPr>
        <w:rPr>
          <w:rFonts w:hint="eastAsia"/>
        </w:rPr>
      </w:pPr>
    </w:p>
    <w:p>
      <w:pPr>
        <w:jc w:val="left"/>
        <w:rPr>
          <w:rFonts w:hint="eastAsia" w:ascii="新宋体" w:hAnsi="新宋体" w:eastAsia="新宋体" w:cs="新宋体"/>
          <w:sz w:val="21"/>
          <w:szCs w:val="21"/>
          <w:lang w:eastAsia="zh-CN"/>
        </w:rPr>
      </w:pPr>
      <w:r>
        <w:rPr>
          <w:rFonts w:hint="eastAsia" w:ascii="新宋体" w:hAnsi="新宋体" w:eastAsia="新宋体" w:cs="新宋体"/>
          <w:sz w:val="21"/>
          <w:szCs w:val="21"/>
        </w:rPr>
        <w:t>填表人：</w:t>
      </w:r>
      <w:r>
        <w:rPr>
          <w:rFonts w:hint="eastAsia" w:ascii="新宋体" w:hAnsi="新宋体" w:eastAsia="新宋体" w:cs="新宋体"/>
          <w:sz w:val="21"/>
          <w:szCs w:val="21"/>
          <w:lang w:eastAsia="zh-CN"/>
        </w:rPr>
        <w:t>石小芳</w:t>
      </w:r>
      <w:r>
        <w:rPr>
          <w:rFonts w:hint="eastAsia" w:ascii="新宋体" w:hAnsi="新宋体" w:eastAsia="新宋体" w:cs="新宋体"/>
          <w:sz w:val="21"/>
          <w:szCs w:val="21"/>
        </w:rPr>
        <w:t xml:space="preserve">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填报日期：</w:t>
      </w:r>
      <w:r>
        <w:rPr>
          <w:rFonts w:hint="eastAsia" w:ascii="新宋体" w:hAnsi="新宋体" w:eastAsia="新宋体" w:cs="新宋体"/>
          <w:sz w:val="21"/>
          <w:szCs w:val="21"/>
          <w:lang w:val="en-US" w:eastAsia="zh-CN"/>
        </w:rPr>
        <w:t>2023.07.10</w:t>
      </w:r>
      <w:r>
        <w:rPr>
          <w:rFonts w:hint="eastAsia" w:ascii="新宋体" w:hAnsi="新宋体" w:eastAsia="新宋体" w:cs="新宋体"/>
          <w:sz w:val="21"/>
          <w:szCs w:val="21"/>
        </w:rPr>
        <w:t xml:space="preserve"> 联系电话：</w:t>
      </w:r>
      <w:r>
        <w:rPr>
          <w:rFonts w:hint="eastAsia" w:ascii="新宋体" w:hAnsi="新宋体" w:eastAsia="新宋体" w:cs="新宋体"/>
          <w:sz w:val="21"/>
          <w:szCs w:val="21"/>
          <w:lang w:val="en-US" w:eastAsia="zh-CN"/>
        </w:rPr>
        <w:t>13974075336</w:t>
      </w:r>
      <w:r>
        <w:rPr>
          <w:rFonts w:hint="eastAsia" w:ascii="新宋体" w:hAnsi="新宋体" w:eastAsia="新宋体" w:cs="新宋体"/>
          <w:sz w:val="21"/>
          <w:szCs w:val="21"/>
        </w:rPr>
        <w:t xml:space="preserve"> 单位负责人签字：</w:t>
      </w:r>
      <w:r>
        <w:rPr>
          <w:rFonts w:hint="eastAsia" w:ascii="新宋体" w:hAnsi="新宋体" w:eastAsia="新宋体" w:cs="新宋体"/>
          <w:sz w:val="21"/>
          <w:szCs w:val="21"/>
          <w:lang w:eastAsia="zh-CN"/>
        </w:rPr>
        <w:t>汪志</w:t>
      </w:r>
    </w:p>
    <w:p>
      <w:pPr>
        <w:pStyle w:val="13"/>
        <w:ind w:left="0" w:leftChars="0" w:firstLine="0" w:firstLineChars="0"/>
        <w:rPr>
          <w:rFonts w:hint="eastAsia"/>
          <w:lang w:val="en-US" w:eastAsia="zh-CN"/>
        </w:rPr>
      </w:pPr>
    </w:p>
    <w:p>
      <w:pPr>
        <w:pStyle w:val="13"/>
        <w:ind w:left="0" w:leftChars="0" w:firstLine="0" w:firstLineChars="0"/>
        <w:rPr>
          <w:rFonts w:hint="eastAsia"/>
          <w:lang w:val="en-US" w:eastAsia="zh-CN"/>
        </w:rPr>
      </w:pPr>
    </w:p>
    <w:p>
      <w:pPr>
        <w:pStyle w:val="13"/>
        <w:ind w:left="0" w:leftChars="0" w:firstLine="0" w:firstLineChars="0"/>
        <w:rPr>
          <w:rFonts w:hint="eastAsia"/>
          <w:lang w:val="en-US" w:eastAsia="zh-CN"/>
        </w:rPr>
      </w:pPr>
    </w:p>
    <w:p>
      <w:pPr>
        <w:pStyle w:val="13"/>
        <w:ind w:left="0" w:leftChars="0" w:firstLine="0" w:firstLineChars="0"/>
        <w:rPr>
          <w:rFonts w:hint="eastAsia"/>
          <w:lang w:val="en-US" w:eastAsia="zh-CN"/>
        </w:rPr>
      </w:pPr>
    </w:p>
    <w:p>
      <w:pPr>
        <w:pStyle w:val="13"/>
        <w:ind w:left="0" w:leftChars="0" w:firstLine="0" w:firstLineChars="0"/>
        <w:rPr>
          <w:rFonts w:hint="eastAsia"/>
          <w:lang w:val="en-US" w:eastAsia="zh-CN"/>
        </w:rPr>
      </w:pPr>
    </w:p>
    <w:p>
      <w:pPr>
        <w:pStyle w:val="13"/>
        <w:ind w:left="0" w:leftChars="0" w:firstLine="0" w:firstLineChars="0"/>
        <w:rPr>
          <w:rFonts w:hint="eastAsia"/>
          <w:lang w:val="en-US" w:eastAsia="zh-CN"/>
        </w:rPr>
      </w:pPr>
    </w:p>
    <w:p>
      <w:pPr>
        <w:pStyle w:val="13"/>
        <w:ind w:left="0" w:leftChars="0" w:firstLine="0" w:firstLineChars="0"/>
        <w:rPr>
          <w:rFonts w:hint="eastAsia"/>
          <w:lang w:val="en-US" w:eastAsia="zh-CN"/>
        </w:rPr>
      </w:pPr>
    </w:p>
    <w:p>
      <w:pPr>
        <w:pStyle w:val="13"/>
        <w:ind w:left="0" w:leftChars="0" w:firstLine="0" w:firstLineChars="0"/>
        <w:rPr>
          <w:rFonts w:hint="eastAsia"/>
          <w:lang w:val="en-US" w:eastAsia="zh-CN"/>
        </w:rPr>
      </w:pPr>
    </w:p>
    <w:p>
      <w:pPr>
        <w:pStyle w:val="13"/>
        <w:ind w:left="0" w:leftChars="0" w:firstLine="0" w:firstLineChars="0"/>
        <w:rPr>
          <w:rFonts w:hint="eastAsia"/>
          <w:lang w:val="en-US" w:eastAsia="zh-CN"/>
        </w:rPr>
      </w:pPr>
    </w:p>
    <w:p>
      <w:pPr>
        <w:pStyle w:val="13"/>
        <w:ind w:left="0" w:leftChars="0" w:firstLine="0" w:firstLineChars="0"/>
        <w:rPr>
          <w:rFonts w:hint="eastAsia"/>
          <w:lang w:val="en-US" w:eastAsia="zh-CN"/>
        </w:rPr>
      </w:pPr>
    </w:p>
    <w:p>
      <w:pPr>
        <w:pStyle w:val="13"/>
        <w:ind w:left="0" w:leftChars="0" w:firstLine="0" w:firstLineChars="0"/>
        <w:rPr>
          <w:rFonts w:hint="eastAsia"/>
          <w:lang w:val="en-US" w:eastAsia="zh-CN"/>
        </w:rPr>
      </w:pPr>
    </w:p>
    <w:p>
      <w:pPr>
        <w:pStyle w:val="13"/>
        <w:ind w:left="0" w:leftChars="0" w:firstLine="0" w:firstLineChars="0"/>
        <w:rPr>
          <w:rFonts w:hint="eastAsia"/>
          <w:lang w:val="en-US" w:eastAsia="zh-CN"/>
        </w:rPr>
      </w:pPr>
    </w:p>
    <w:p>
      <w:pPr>
        <w:pStyle w:val="13"/>
        <w:ind w:left="0" w:leftChars="0" w:firstLine="0" w:firstLineChars="0"/>
        <w:rPr>
          <w:rFonts w:hint="eastAsia"/>
          <w:lang w:val="en-US" w:eastAsia="zh-CN"/>
        </w:rPr>
      </w:pPr>
    </w:p>
    <w:p>
      <w:pPr>
        <w:pStyle w:val="13"/>
        <w:ind w:left="0" w:leftChars="0" w:firstLine="0" w:firstLineChars="0"/>
        <w:rPr>
          <w:rFonts w:hint="eastAsia"/>
          <w:lang w:val="en-US" w:eastAsia="zh-CN"/>
        </w:rPr>
      </w:pPr>
    </w:p>
    <w:p>
      <w:pPr>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6</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val="en-US" w:eastAsia="zh-CN"/>
        </w:rPr>
        <w:t>华容县2021-2022年中型灌区（</w:t>
      </w:r>
      <w:r>
        <w:rPr>
          <w:rFonts w:hint="eastAsia" w:ascii="方正小标宋简体" w:hAnsi="方正小标宋简体" w:eastAsia="方正小标宋简体" w:cs="方正小标宋简体"/>
          <w:sz w:val="44"/>
          <w:szCs w:val="44"/>
          <w:lang w:eastAsia="zh-CN"/>
        </w:rPr>
        <w:t>华一水库灌区）续建配套与节水改造</w:t>
      </w:r>
      <w:r>
        <w:rPr>
          <w:rFonts w:hint="eastAsia" w:ascii="方正小标宋简体" w:hAnsi="方正小标宋简体" w:eastAsia="方正小标宋简体" w:cs="方正小标宋简体"/>
          <w:sz w:val="44"/>
          <w:szCs w:val="44"/>
        </w:rPr>
        <w:t>支出绩效自评报告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eastAsia" w:ascii="Times New Roman" w:hAnsi="Times New Roman" w:eastAsia="仿宋_GB2312" w:cs="Times New Roman"/>
          <w:sz w:val="32"/>
          <w:szCs w:val="32"/>
          <w:u w:val="single"/>
          <w:lang w:eastAsia="zh-CN"/>
        </w:rPr>
      </w:pPr>
      <w:r>
        <w:rPr>
          <w:rFonts w:hint="default" w:ascii="Times New Roman" w:hAnsi="Times New Roman" w:eastAsia="仿宋_GB2312" w:cs="Times New Roman"/>
          <w:sz w:val="32"/>
          <w:szCs w:val="32"/>
        </w:rPr>
        <w:t>部门（单位）名称：</w:t>
      </w:r>
      <w:r>
        <w:rPr>
          <w:rFonts w:hint="eastAsia" w:eastAsia="仿宋_GB2312" w:cs="Times New Roman"/>
          <w:sz w:val="32"/>
          <w:szCs w:val="32"/>
          <w:lang w:eastAsia="zh-CN"/>
        </w:rPr>
        <w:t>华容县华一水库管理所</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2023</w:t>
      </w:r>
      <w:r>
        <w:rPr>
          <w:rFonts w:hint="default" w:ascii="Times New Roman" w:hAnsi="Times New Roman" w:eastAsia="楷体_GB2312" w:cs="Times New Roman"/>
          <w:sz w:val="32"/>
          <w:szCs w:val="32"/>
        </w:rPr>
        <w:t xml:space="preserve">年 </w:t>
      </w:r>
      <w:r>
        <w:rPr>
          <w:rFonts w:hint="eastAsia" w:eastAsia="楷体_GB2312" w:cs="Times New Roman"/>
          <w:sz w:val="32"/>
          <w:szCs w:val="32"/>
          <w:lang w:val="en-US" w:eastAsia="zh-CN"/>
        </w:rPr>
        <w:t>07</w:t>
      </w:r>
      <w:r>
        <w:rPr>
          <w:rFonts w:hint="default" w:ascii="Times New Roman" w:hAnsi="Times New Roman" w:eastAsia="楷体_GB2312" w:cs="Times New Roman"/>
          <w:sz w:val="32"/>
          <w:szCs w:val="32"/>
        </w:rPr>
        <w:t xml:space="preserve"> 月 </w:t>
      </w:r>
      <w:r>
        <w:rPr>
          <w:rFonts w:hint="eastAsia" w:eastAsia="楷体_GB2312" w:cs="Times New Roman"/>
          <w:sz w:val="32"/>
          <w:szCs w:val="32"/>
          <w:lang w:val="en-US" w:eastAsia="zh-CN"/>
        </w:rPr>
        <w:t>10</w:t>
      </w:r>
      <w:r>
        <w:rPr>
          <w:rFonts w:hint="default" w:ascii="Times New Roman" w:hAnsi="Times New Roman" w:eastAsia="楷体_GB2312" w:cs="Times New Roman"/>
          <w:sz w:val="32"/>
          <w:szCs w:val="32"/>
        </w:rPr>
        <w:t xml:space="preserve"> 日</w:t>
      </w:r>
    </w:p>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（此页为封面）</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华一水库灌区续建配套与节水改造项目</w:t>
      </w:r>
      <w:r>
        <w:rPr>
          <w:rFonts w:hint="eastAsia" w:ascii="方正小标宋简体" w:hAnsi="方正小标宋简体" w:eastAsia="方正小标宋简体" w:cs="方正小标宋简体"/>
          <w:sz w:val="44"/>
          <w:szCs w:val="44"/>
        </w:rPr>
        <w:t>支出绩效自评报告</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一、基本情况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(一)项目概况。</w:t>
      </w:r>
    </w:p>
    <w:p>
      <w:pPr>
        <w:pStyle w:val="13"/>
        <w:rPr>
          <w:rFonts w:hint="eastAsia" w:eastAsia="仿宋_GB2312"/>
          <w:sz w:val="30"/>
          <w:szCs w:val="30"/>
          <w:lang w:val="en-US" w:eastAsia="zh-CN"/>
        </w:rPr>
      </w:pPr>
      <w:r>
        <w:rPr>
          <w:rFonts w:hint="eastAsia" w:eastAsia="仿宋_GB2312"/>
          <w:sz w:val="30"/>
          <w:szCs w:val="30"/>
          <w:lang w:eastAsia="zh-CN"/>
        </w:rPr>
        <w:t>项目名称：华容县</w:t>
      </w:r>
      <w:r>
        <w:rPr>
          <w:rFonts w:hint="eastAsia" w:eastAsia="仿宋_GB2312"/>
          <w:sz w:val="30"/>
          <w:szCs w:val="30"/>
          <w:lang w:val="en-US" w:eastAsia="zh-CN"/>
        </w:rPr>
        <w:t>2021-2022年度中型灌区续建配套与节水改造工程。</w:t>
      </w:r>
    </w:p>
    <w:p>
      <w:pPr>
        <w:pStyle w:val="13"/>
        <w:rPr>
          <w:rFonts w:hint="eastAsia" w:ascii="宋体" w:hAnsi="宋体" w:eastAsia="宋体" w:cs="宋体"/>
          <w:sz w:val="30"/>
          <w:szCs w:val="30"/>
          <w:lang w:val="en-US" w:eastAsia="zh-CN"/>
        </w:rPr>
      </w:pPr>
      <w:r>
        <w:rPr>
          <w:rFonts w:hint="eastAsia" w:eastAsia="仿宋_GB2312"/>
          <w:sz w:val="30"/>
          <w:szCs w:val="30"/>
          <w:lang w:val="en-US" w:eastAsia="zh-CN"/>
        </w:rPr>
        <w:t>建设地点：华一水库灌区</w:t>
      </w:r>
    </w:p>
    <w:p>
      <w:pPr>
        <w:pStyle w:val="13"/>
        <w:rPr>
          <w:rFonts w:hint="eastAsia" w:eastAsia="仿宋_GB2312"/>
          <w:sz w:val="30"/>
          <w:szCs w:val="30"/>
          <w:lang w:val="en-US" w:eastAsia="zh-CN"/>
        </w:rPr>
      </w:pPr>
      <w:r>
        <w:rPr>
          <w:rFonts w:hint="eastAsia" w:eastAsia="仿宋_GB2312"/>
          <w:sz w:val="30"/>
          <w:szCs w:val="30"/>
          <w:lang w:val="en-US" w:eastAsia="zh-CN"/>
        </w:rPr>
        <w:t>计划开工：570日历天，其中设计30日历天，施工540日历天。实际开工日期：2021年12月16日，完工日期：2022年12月20日。</w:t>
      </w:r>
    </w:p>
    <w:p>
      <w:pPr>
        <w:pStyle w:val="13"/>
        <w:rPr>
          <w:rFonts w:hint="eastAsia" w:eastAsia="仿宋_GB2312"/>
          <w:sz w:val="30"/>
          <w:szCs w:val="30"/>
          <w:lang w:val="en-US" w:eastAsia="zh-CN"/>
        </w:rPr>
      </w:pPr>
      <w:r>
        <w:rPr>
          <w:rFonts w:hint="eastAsia" w:eastAsia="仿宋_GB2312"/>
          <w:sz w:val="30"/>
          <w:szCs w:val="30"/>
          <w:lang w:val="en-US" w:eastAsia="zh-CN"/>
        </w:rPr>
        <w:t>工程建设内容</w:t>
      </w:r>
    </w:p>
    <w:p>
      <w:pPr>
        <w:pStyle w:val="13"/>
        <w:numPr>
          <w:ilvl w:val="0"/>
          <w:numId w:val="7"/>
        </w:numPr>
        <w:rPr>
          <w:rFonts w:hint="eastAsia" w:eastAsia="仿宋_GB2312"/>
          <w:sz w:val="30"/>
          <w:szCs w:val="30"/>
          <w:lang w:val="en-US" w:eastAsia="zh-CN"/>
        </w:rPr>
      </w:pPr>
      <w:r>
        <w:rPr>
          <w:rFonts w:hint="eastAsia" w:eastAsia="仿宋_GB2312"/>
          <w:sz w:val="30"/>
          <w:szCs w:val="30"/>
          <w:lang w:val="en-US" w:eastAsia="zh-CN"/>
        </w:rPr>
        <w:t>灌溉面积2.5万亩，衬砌渠道21条总长21.708公里，清淤1条长1.498公里，新建32千瓦复兴六组机埠。32公里新铺2号机埠。更新1号机埠，32公里新铺11组机埠，加固改造山塘1处，新建或改造渠系及附属建筑物243处，信息中心站1处，量测水设施23处，配套水利工程标识牌47处，设置警示牌38处。</w:t>
      </w:r>
    </w:p>
    <w:p>
      <w:pPr>
        <w:pStyle w:val="13"/>
        <w:numPr>
          <w:ilvl w:val="0"/>
          <w:numId w:val="7"/>
        </w:numPr>
        <w:rPr>
          <w:rFonts w:hint="default" w:eastAsia="仿宋_GB2312"/>
          <w:sz w:val="30"/>
          <w:szCs w:val="30"/>
          <w:lang w:val="en-US" w:eastAsia="zh-CN"/>
        </w:rPr>
      </w:pPr>
      <w:r>
        <w:rPr>
          <w:rFonts w:hint="eastAsia" w:eastAsia="仿宋_GB2312"/>
          <w:sz w:val="30"/>
          <w:szCs w:val="30"/>
          <w:lang w:val="en-US" w:eastAsia="zh-CN"/>
        </w:rPr>
        <w:t>主要建设内容：原有建筑物拆除，清淤，土方开挖，填筑，浆砌石，实心水泥砖护坡，房屋建筑，闸门安装，启闭机安装，管道安装，拍门安装，闸阀及附件安装，水泵安装，电动机安装，电气电缆安装，计算机监控系统安装等。</w:t>
      </w:r>
    </w:p>
    <w:p>
      <w:pPr>
        <w:pStyle w:val="13"/>
        <w:numPr>
          <w:ilvl w:val="0"/>
          <w:numId w:val="7"/>
        </w:numPr>
        <w:rPr>
          <w:rFonts w:hint="default" w:eastAsia="仿宋_GB2312"/>
          <w:sz w:val="30"/>
          <w:szCs w:val="30"/>
          <w:lang w:val="en-US" w:eastAsia="zh-CN"/>
        </w:rPr>
      </w:pPr>
      <w:r>
        <w:rPr>
          <w:rFonts w:hint="eastAsia" w:eastAsia="仿宋_GB2312"/>
          <w:sz w:val="30"/>
          <w:szCs w:val="30"/>
          <w:lang w:val="en-US" w:eastAsia="zh-CN"/>
        </w:rPr>
        <w:t>项目资金使用情况：项目总投资1220万元，到目前为止已根据进度支付项目资金760万元，（含监理费，检测费及管理费）剩余资金460万元。</w:t>
      </w:r>
    </w:p>
    <w:p>
      <w:pPr>
        <w:keepNext w:val="0"/>
        <w:keepLines w:val="0"/>
        <w:pageBreakBefore w:val="0"/>
        <w:numPr>
          <w:ilvl w:val="0"/>
          <w:numId w:val="8"/>
        </w:numPr>
        <w:kinsoku/>
        <w:wordWrap/>
        <w:overflowPunct/>
        <w:topLinePunct w:val="0"/>
        <w:autoSpaceDE/>
        <w:autoSpaceDN/>
        <w:bidi w:val="0"/>
        <w:adjustRightInd/>
        <w:snapToGrid/>
        <w:spacing w:line="610" w:lineRule="exact"/>
        <w:ind w:firstLine="600" w:firstLineChars="200"/>
        <w:textAlignment w:val="auto"/>
        <w:rPr>
          <w:rFonts w:hint="eastAsia" w:eastAsia="仿宋_GB2312"/>
          <w:lang w:eastAsia="zh-CN"/>
        </w:rPr>
      </w:pPr>
      <w:r>
        <w:rPr>
          <w:rFonts w:hint="eastAsia" w:eastAsia="仿宋_GB2312"/>
          <w:sz w:val="30"/>
          <w:szCs w:val="30"/>
        </w:rPr>
        <w:t>项目绩效目标。</w:t>
      </w:r>
    </w:p>
    <w:p>
      <w:pPr>
        <w:pStyle w:val="13"/>
        <w:rPr>
          <w:rFonts w:hint="eastAsia" w:eastAsia="仿宋_GB2312"/>
          <w:sz w:val="32"/>
          <w:szCs w:val="32"/>
          <w:lang w:val="en-US" w:eastAsia="zh-CN"/>
        </w:rPr>
      </w:pPr>
      <w:r>
        <w:rPr>
          <w:rFonts w:hint="eastAsia" w:eastAsia="仿宋_GB2312"/>
          <w:sz w:val="32"/>
          <w:szCs w:val="32"/>
          <w:lang w:val="en-US" w:eastAsia="zh-CN"/>
        </w:rPr>
        <w:t>质量目标：项目符合施工要求进行渠道清淤，砖砌，抹面，机埠改造及新建等项目。</w:t>
      </w:r>
    </w:p>
    <w:p>
      <w:pPr>
        <w:pStyle w:val="13"/>
        <w:rPr>
          <w:rFonts w:hint="default" w:eastAsia="仿宋_GB2312"/>
          <w:sz w:val="32"/>
          <w:szCs w:val="32"/>
          <w:lang w:val="en-US" w:eastAsia="zh-CN"/>
        </w:rPr>
      </w:pPr>
      <w:r>
        <w:rPr>
          <w:rFonts w:hint="eastAsia" w:eastAsia="仿宋_GB2312"/>
          <w:sz w:val="32"/>
          <w:szCs w:val="32"/>
          <w:lang w:val="en-US" w:eastAsia="zh-CN"/>
        </w:rPr>
        <w:t>进度目标：根据合同要求已完成项目的95%。</w:t>
      </w:r>
    </w:p>
    <w:p>
      <w:pPr>
        <w:keepNext w:val="0"/>
        <w:keepLines w:val="0"/>
        <w:pageBreakBefore w:val="0"/>
        <w:numPr>
          <w:ilvl w:val="0"/>
          <w:numId w:val="0"/>
        </w:numPr>
        <w:kinsoku/>
        <w:wordWrap/>
        <w:overflowPunct/>
        <w:topLinePunct w:val="0"/>
        <w:autoSpaceDE/>
        <w:autoSpaceDN/>
        <w:bidi w:val="0"/>
        <w:adjustRightInd/>
        <w:snapToGrid/>
        <w:spacing w:line="610" w:lineRule="exact"/>
        <w:ind w:firstLine="900" w:firstLineChars="300"/>
        <w:textAlignment w:val="auto"/>
        <w:rPr>
          <w:rFonts w:hint="default" w:eastAsia="仿宋_GB2312"/>
          <w:sz w:val="30"/>
          <w:szCs w:val="30"/>
          <w:lang w:val="en-US" w:eastAsia="zh-CN"/>
        </w:rPr>
      </w:pPr>
      <w:r>
        <w:rPr>
          <w:rFonts w:hint="eastAsia" w:eastAsia="仿宋_GB2312"/>
          <w:sz w:val="30"/>
          <w:szCs w:val="30"/>
        </w:rPr>
        <w:t>总体目标</w:t>
      </w:r>
      <w:r>
        <w:rPr>
          <w:rFonts w:hint="eastAsia" w:eastAsia="仿宋_GB2312"/>
          <w:sz w:val="30"/>
          <w:szCs w:val="30"/>
          <w:lang w:eastAsia="zh-CN"/>
        </w:rPr>
        <w:t>：</w:t>
      </w:r>
      <w:r>
        <w:rPr>
          <w:rFonts w:hint="eastAsia" w:eastAsia="仿宋_GB2312"/>
          <w:sz w:val="30"/>
          <w:szCs w:val="30"/>
          <w:lang w:val="en-US" w:eastAsia="zh-CN"/>
        </w:rPr>
        <w:t>2022年12月20日要求全部完工，2023年投入使用。</w:t>
      </w:r>
    </w:p>
    <w:p>
      <w:pPr>
        <w:keepNext w:val="0"/>
        <w:keepLines w:val="0"/>
        <w:pageBreakBefore w:val="0"/>
        <w:numPr>
          <w:ilvl w:val="0"/>
          <w:numId w:val="0"/>
        </w:numPr>
        <w:kinsoku/>
        <w:wordWrap/>
        <w:overflowPunct/>
        <w:topLinePunct w:val="0"/>
        <w:autoSpaceDE/>
        <w:autoSpaceDN/>
        <w:bidi w:val="0"/>
        <w:adjustRightInd/>
        <w:snapToGrid/>
        <w:spacing w:line="610" w:lineRule="exact"/>
        <w:ind w:firstLine="900" w:firstLineChars="300"/>
        <w:textAlignment w:val="auto"/>
        <w:rPr>
          <w:rFonts w:hint="eastAsia" w:eastAsia="仿宋_GB2312"/>
          <w:sz w:val="30"/>
          <w:szCs w:val="30"/>
          <w:lang w:eastAsia="zh-CN"/>
        </w:rPr>
      </w:pPr>
      <w:r>
        <w:rPr>
          <w:rFonts w:hint="eastAsia" w:eastAsia="仿宋_GB2312"/>
          <w:sz w:val="30"/>
          <w:szCs w:val="30"/>
        </w:rPr>
        <w:t>阶段性目标</w:t>
      </w:r>
      <w:r>
        <w:rPr>
          <w:rFonts w:hint="eastAsia" w:eastAsia="仿宋_GB2312"/>
          <w:sz w:val="30"/>
          <w:szCs w:val="30"/>
          <w:lang w:eastAsia="zh-CN"/>
        </w:rPr>
        <w:t>：续建配套及节水改造完成了主干渠清淤，砖砌，抹面，支渠工程清淤，砖砌，抹面以及机埠工程的新建与改造等项目。</w:t>
      </w:r>
    </w:p>
    <w:p>
      <w:pPr>
        <w:keepNext w:val="0"/>
        <w:keepLines w:val="0"/>
        <w:pageBreakBefore w:val="0"/>
        <w:numPr>
          <w:ilvl w:val="0"/>
          <w:numId w:val="0"/>
        </w:numPr>
        <w:kinsoku/>
        <w:wordWrap/>
        <w:overflowPunct/>
        <w:topLinePunct w:val="0"/>
        <w:autoSpaceDE/>
        <w:autoSpaceDN/>
        <w:bidi w:val="0"/>
        <w:adjustRightInd/>
        <w:snapToGrid/>
        <w:spacing w:line="610" w:lineRule="exact"/>
        <w:ind w:firstLine="900" w:firstLineChars="300"/>
        <w:textAlignment w:val="auto"/>
        <w:rPr>
          <w:rFonts w:hint="eastAsia" w:eastAsia="仿宋_GB2312"/>
          <w:sz w:val="30"/>
          <w:szCs w:val="30"/>
          <w:lang w:eastAsia="zh-CN"/>
        </w:rPr>
      </w:pP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二、绩效评价工作开展情况</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line="360" w:lineRule="atLeast"/>
        <w:ind w:left="0" w:right="0" w:firstLine="420"/>
        <w:rPr>
          <w:rFonts w:hint="eastAsia" w:eastAsia="仿宋_GB2312"/>
          <w:sz w:val="30"/>
          <w:szCs w:val="30"/>
        </w:rPr>
      </w:pPr>
      <w:r>
        <w:rPr>
          <w:rFonts w:hint="eastAsia" w:eastAsia="仿宋_GB2312"/>
          <w:sz w:val="30"/>
          <w:szCs w:val="30"/>
        </w:rPr>
        <w:t>(一)绩效评价目的、对象和范围。</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line="360" w:lineRule="atLeast"/>
        <w:ind w:left="0" w:right="0" w:firstLine="420"/>
        <w:rPr>
          <w:color w:val="333333"/>
          <w:sz w:val="30"/>
          <w:szCs w:val="30"/>
        </w:rPr>
      </w:pPr>
      <w:r>
        <w:rPr>
          <w:color w:val="333333"/>
          <w:sz w:val="30"/>
          <w:szCs w:val="30"/>
        </w:rPr>
        <w:t>绩效评价的对象包括纳入政府预算管理的资金和纳入部门预算管理的资金。</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line="360" w:lineRule="atLeast"/>
        <w:ind w:left="0" w:right="0" w:firstLine="420"/>
        <w:rPr>
          <w:rFonts w:hint="eastAsia" w:eastAsia="宋体"/>
          <w:color w:val="333333"/>
          <w:sz w:val="30"/>
          <w:szCs w:val="30"/>
          <w:lang w:val="en-US" w:eastAsia="zh-CN"/>
        </w:rPr>
      </w:pPr>
      <w:r>
        <w:rPr>
          <w:rFonts w:hint="eastAsia"/>
          <w:color w:val="333333"/>
          <w:sz w:val="30"/>
          <w:szCs w:val="30"/>
          <w:lang w:val="en-US" w:eastAsia="zh-CN"/>
        </w:rPr>
        <w:t>绩效评价的范围：</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ascii="Arial" w:hAnsi="Arial" w:cs="Arial"/>
          <w:i w:val="0"/>
          <w:iCs w:val="0"/>
          <w:caps w:val="0"/>
          <w:color w:val="333333"/>
          <w:spacing w:val="0"/>
          <w:sz w:val="30"/>
          <w:szCs w:val="30"/>
        </w:rPr>
      </w:pPr>
      <w:bookmarkStart w:id="0" w:name="2024905-2142724-4_1"/>
      <w:bookmarkEnd w:id="0"/>
      <w:r>
        <w:rPr>
          <w:rFonts w:hint="default" w:ascii="Arial" w:hAnsi="Arial" w:cs="Arial"/>
          <w:i w:val="0"/>
          <w:iCs w:val="0"/>
          <w:caps w:val="0"/>
          <w:color w:val="333333"/>
          <w:spacing w:val="0"/>
          <w:sz w:val="30"/>
          <w:szCs w:val="30"/>
          <w:shd w:val="clear" w:fill="FFFFFF"/>
        </w:rPr>
        <w:t>(1)预期产出，包括</w:t>
      </w:r>
      <w:r>
        <w:rPr>
          <w:rFonts w:hint="eastAsia" w:ascii="Arial" w:hAnsi="Arial" w:cs="Arial"/>
          <w:i w:val="0"/>
          <w:iCs w:val="0"/>
          <w:caps w:val="0"/>
          <w:color w:val="333333"/>
          <w:spacing w:val="0"/>
          <w:sz w:val="30"/>
          <w:szCs w:val="30"/>
          <w:shd w:val="clear" w:fill="FFFFFF"/>
          <w:lang w:eastAsia="zh-CN"/>
        </w:rPr>
        <w:t>项目的工程量</w:t>
      </w:r>
      <w:r>
        <w:rPr>
          <w:rFonts w:hint="default" w:ascii="Arial" w:hAnsi="Arial" w:cs="Arial"/>
          <w:i w:val="0"/>
          <w:iCs w:val="0"/>
          <w:caps w:val="0"/>
          <w:color w:val="333333"/>
          <w:spacing w:val="0"/>
          <w:sz w:val="30"/>
          <w:szCs w:val="30"/>
          <w:shd w:val="clear" w:fill="FFFFFF"/>
        </w:rPr>
        <w:t>和服务的数量;</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default" w:ascii="Arial" w:hAnsi="Arial" w:cs="Arial"/>
          <w:i w:val="0"/>
          <w:iCs w:val="0"/>
          <w:caps w:val="0"/>
          <w:color w:val="333333"/>
          <w:spacing w:val="0"/>
          <w:sz w:val="30"/>
          <w:szCs w:val="30"/>
        </w:rPr>
      </w:pPr>
      <w:r>
        <w:rPr>
          <w:rFonts w:hint="default" w:ascii="Arial" w:hAnsi="Arial" w:cs="Arial"/>
          <w:i w:val="0"/>
          <w:iCs w:val="0"/>
          <w:caps w:val="0"/>
          <w:color w:val="333333"/>
          <w:spacing w:val="0"/>
          <w:sz w:val="30"/>
          <w:szCs w:val="30"/>
          <w:shd w:val="clear" w:fill="FFFFFF"/>
        </w:rPr>
        <w:t>(2)预期效果，包括经济效益、社会效益、环境效益和可持续影响等;</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default" w:ascii="Arial" w:hAnsi="Arial" w:cs="Arial"/>
          <w:i w:val="0"/>
          <w:iCs w:val="0"/>
          <w:caps w:val="0"/>
          <w:color w:val="333333"/>
          <w:spacing w:val="0"/>
          <w:sz w:val="30"/>
          <w:szCs w:val="30"/>
        </w:rPr>
      </w:pPr>
      <w:r>
        <w:rPr>
          <w:rFonts w:hint="default" w:ascii="Arial" w:hAnsi="Arial" w:cs="Arial"/>
          <w:i w:val="0"/>
          <w:iCs w:val="0"/>
          <w:caps w:val="0"/>
          <w:color w:val="333333"/>
          <w:spacing w:val="0"/>
          <w:sz w:val="30"/>
          <w:szCs w:val="30"/>
          <w:shd w:val="clear" w:fill="FFFFFF"/>
        </w:rPr>
        <w:t>(3)服务对象满意程度;</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default" w:ascii="Arial" w:hAnsi="Arial" w:cs="Arial"/>
          <w:i w:val="0"/>
          <w:iCs w:val="0"/>
          <w:caps w:val="0"/>
          <w:color w:val="333333"/>
          <w:spacing w:val="0"/>
          <w:sz w:val="30"/>
          <w:szCs w:val="30"/>
        </w:rPr>
      </w:pPr>
      <w:r>
        <w:rPr>
          <w:rFonts w:hint="default" w:ascii="Arial" w:hAnsi="Arial" w:cs="Arial"/>
          <w:i w:val="0"/>
          <w:iCs w:val="0"/>
          <w:caps w:val="0"/>
          <w:color w:val="333333"/>
          <w:spacing w:val="0"/>
          <w:sz w:val="30"/>
          <w:szCs w:val="30"/>
          <w:shd w:val="clear" w:fill="FFFFFF"/>
        </w:rPr>
        <w:t>(4)达到预期产出所需要的成本资源;</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default" w:ascii="Arial" w:hAnsi="Arial" w:cs="Arial"/>
          <w:i w:val="0"/>
          <w:iCs w:val="0"/>
          <w:caps w:val="0"/>
          <w:color w:val="333333"/>
          <w:spacing w:val="0"/>
          <w:sz w:val="32"/>
          <w:szCs w:val="32"/>
        </w:rPr>
      </w:pPr>
      <w:r>
        <w:rPr>
          <w:rFonts w:hint="default" w:ascii="Arial" w:hAnsi="Arial" w:cs="Arial"/>
          <w:i w:val="0"/>
          <w:iCs w:val="0"/>
          <w:caps w:val="0"/>
          <w:color w:val="333333"/>
          <w:spacing w:val="0"/>
          <w:sz w:val="32"/>
          <w:szCs w:val="32"/>
          <w:shd w:val="clear" w:fill="FFFFFF"/>
        </w:rPr>
        <w:t>(5)衡量预期产出、预期效果和服务对象满意程度的绩效指标;</w:t>
      </w:r>
    </w:p>
    <w:p>
      <w:pPr>
        <w:pStyle w:val="5"/>
        <w:keepNext w:val="0"/>
        <w:keepLines w:val="0"/>
        <w:widowControl/>
        <w:suppressLineNumbers w:val="0"/>
        <w:pBdr>
          <w:top w:val="none" w:color="auto" w:sz="0" w:space="0"/>
          <w:left w:val="none" w:color="auto" w:sz="0" w:space="0"/>
          <w:bottom w:val="single" w:color="ECECEC" w:sz="6" w:space="9"/>
          <w:right w:val="none" w:color="auto" w:sz="0" w:space="0"/>
        </w:pBdr>
        <w:spacing w:before="300" w:beforeAutospacing="0" w:after="180" w:afterAutospacing="0" w:line="270" w:lineRule="atLeast"/>
        <w:ind w:left="0" w:right="0"/>
        <w:rPr>
          <w:rFonts w:ascii="微软雅黑" w:hAnsi="微软雅黑" w:eastAsia="微软雅黑" w:cs="微软雅黑"/>
          <w:sz w:val="32"/>
          <w:szCs w:val="32"/>
        </w:rPr>
      </w:pP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p>
    <w:p>
      <w:pPr>
        <w:pStyle w:val="13"/>
        <w:rPr>
          <w:rFonts w:hint="eastAsia"/>
        </w:rPr>
      </w:pPr>
    </w:p>
    <w:p>
      <w:pPr>
        <w:keepNext w:val="0"/>
        <w:keepLines w:val="0"/>
        <w:pageBreakBefore w:val="0"/>
        <w:numPr>
          <w:ilvl w:val="0"/>
          <w:numId w:val="9"/>
        </w:numPr>
        <w:kinsoku/>
        <w:wordWrap/>
        <w:overflowPunct/>
        <w:topLinePunct w:val="0"/>
        <w:autoSpaceDE/>
        <w:autoSpaceDN/>
        <w:bidi w:val="0"/>
        <w:adjustRightInd/>
        <w:snapToGrid/>
        <w:spacing w:line="610" w:lineRule="exact"/>
        <w:ind w:firstLine="600" w:firstLineChars="200"/>
        <w:textAlignment w:val="auto"/>
        <w:rPr>
          <w:rFonts w:hint="eastAsia"/>
          <w:sz w:val="32"/>
          <w:szCs w:val="32"/>
          <w:lang w:eastAsia="zh-CN"/>
        </w:rPr>
      </w:pPr>
      <w:r>
        <w:rPr>
          <w:rFonts w:hint="eastAsia" w:eastAsia="仿宋_GB2312"/>
          <w:sz w:val="30"/>
          <w:szCs w:val="30"/>
        </w:rPr>
        <w:t>绩效评价原则、评价指标体系(附表说明)、评价方法、 评价标准等</w:t>
      </w:r>
      <w:r>
        <w:rPr>
          <w:rFonts w:hint="eastAsia" w:eastAsia="仿宋_GB2312"/>
          <w:sz w:val="30"/>
          <w:szCs w:val="30"/>
          <w:lang w:eastAsia="zh-CN"/>
        </w:rPr>
        <w:t>。</w:t>
      </w:r>
    </w:p>
    <w:p>
      <w:pPr>
        <w:keepNext w:val="0"/>
        <w:keepLines w:val="0"/>
        <w:pageBreakBefore w:val="0"/>
        <w:numPr>
          <w:ilvl w:val="0"/>
          <w:numId w:val="0"/>
        </w:numPr>
        <w:kinsoku/>
        <w:wordWrap/>
        <w:overflowPunct/>
        <w:topLinePunct w:val="0"/>
        <w:autoSpaceDE/>
        <w:autoSpaceDN/>
        <w:bidi w:val="0"/>
        <w:adjustRightInd/>
        <w:snapToGrid/>
        <w:spacing w:line="610" w:lineRule="exact"/>
        <w:ind w:firstLine="960" w:firstLineChars="300"/>
        <w:textAlignment w:val="auto"/>
        <w:rPr>
          <w:rFonts w:hint="eastAsia"/>
          <w:sz w:val="32"/>
          <w:szCs w:val="32"/>
          <w:lang w:eastAsia="zh-CN"/>
        </w:rPr>
      </w:pPr>
      <w:r>
        <w:rPr>
          <w:rFonts w:hint="eastAsia"/>
          <w:sz w:val="32"/>
          <w:szCs w:val="32"/>
          <w:lang w:eastAsia="zh-CN"/>
        </w:rPr>
        <w:t>结合项目具体情况，本次绩效评价采用成本效益分析法，比较法及因素分析法等方法从项目决策，项目过程，项目产出以及项目效益四个方面开展评价。</w:t>
      </w:r>
    </w:p>
    <w:p>
      <w:pPr>
        <w:pStyle w:val="12"/>
        <w:keepNext w:val="0"/>
        <w:keepLines w:val="0"/>
        <w:widowControl/>
        <w:numPr>
          <w:ilvl w:val="0"/>
          <w:numId w:val="9"/>
        </w:numPr>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leftChars="0" w:right="0" w:firstLine="600" w:firstLineChars="200"/>
        <w:rPr>
          <w:rFonts w:hint="eastAsia" w:eastAsia="仿宋_GB2312"/>
          <w:sz w:val="30"/>
          <w:szCs w:val="30"/>
        </w:rPr>
      </w:pPr>
      <w:r>
        <w:rPr>
          <w:rFonts w:hint="eastAsia" w:eastAsia="仿宋_GB2312"/>
          <w:sz w:val="30"/>
          <w:szCs w:val="30"/>
        </w:rPr>
        <w:t>绩效评价工作过程。</w:t>
      </w:r>
    </w:p>
    <w:p>
      <w:pPr>
        <w:pStyle w:val="1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Chars="200" w:right="0" w:rightChars="0"/>
        <w:rPr>
          <w:rFonts w:ascii="Arial" w:hAnsi="Arial" w:cs="Arial"/>
          <w:i w:val="0"/>
          <w:iCs w:val="0"/>
          <w:caps w:val="0"/>
          <w:color w:val="333333"/>
          <w:spacing w:val="0"/>
          <w:sz w:val="30"/>
          <w:szCs w:val="30"/>
        </w:rPr>
      </w:pPr>
      <w:r>
        <w:rPr>
          <w:rFonts w:hint="default" w:ascii="Arial" w:hAnsi="Arial" w:cs="Arial"/>
          <w:i w:val="0"/>
          <w:iCs w:val="0"/>
          <w:caps w:val="0"/>
          <w:color w:val="333333"/>
          <w:spacing w:val="0"/>
          <w:sz w:val="30"/>
          <w:szCs w:val="30"/>
          <w:shd w:val="clear" w:fill="FFFFFF"/>
        </w:rPr>
        <w:t>(1)绩效目标的设定情况;</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default" w:ascii="Arial" w:hAnsi="Arial" w:cs="Arial"/>
          <w:i w:val="0"/>
          <w:iCs w:val="0"/>
          <w:caps w:val="0"/>
          <w:color w:val="333333"/>
          <w:spacing w:val="0"/>
          <w:sz w:val="30"/>
          <w:szCs w:val="30"/>
        </w:rPr>
      </w:pPr>
      <w:r>
        <w:rPr>
          <w:rFonts w:hint="default" w:ascii="Arial" w:hAnsi="Arial" w:cs="Arial"/>
          <w:i w:val="0"/>
          <w:iCs w:val="0"/>
          <w:caps w:val="0"/>
          <w:color w:val="333333"/>
          <w:spacing w:val="0"/>
          <w:sz w:val="30"/>
          <w:szCs w:val="30"/>
          <w:shd w:val="clear" w:fill="FFFFFF"/>
        </w:rPr>
        <w:t>(2)资金投入和使用情况;</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default" w:ascii="Arial" w:hAnsi="Arial" w:cs="Arial"/>
          <w:i w:val="0"/>
          <w:iCs w:val="0"/>
          <w:caps w:val="0"/>
          <w:color w:val="333333"/>
          <w:spacing w:val="0"/>
          <w:sz w:val="30"/>
          <w:szCs w:val="30"/>
        </w:rPr>
      </w:pPr>
      <w:r>
        <w:rPr>
          <w:rFonts w:hint="default" w:ascii="Arial" w:hAnsi="Arial" w:cs="Arial"/>
          <w:i w:val="0"/>
          <w:iCs w:val="0"/>
          <w:caps w:val="0"/>
          <w:color w:val="333333"/>
          <w:spacing w:val="0"/>
          <w:sz w:val="30"/>
          <w:szCs w:val="30"/>
          <w:shd w:val="clear" w:fill="FFFFFF"/>
        </w:rPr>
        <w:t>(3)为实现绩效目标制定的制度、采取的措施等;</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default" w:ascii="Arial" w:hAnsi="Arial" w:cs="Arial"/>
          <w:i w:val="0"/>
          <w:iCs w:val="0"/>
          <w:caps w:val="0"/>
          <w:color w:val="333333"/>
          <w:spacing w:val="0"/>
          <w:sz w:val="30"/>
          <w:szCs w:val="30"/>
        </w:rPr>
      </w:pPr>
      <w:r>
        <w:rPr>
          <w:rFonts w:hint="default" w:ascii="Arial" w:hAnsi="Arial" w:cs="Arial"/>
          <w:i w:val="0"/>
          <w:iCs w:val="0"/>
          <w:caps w:val="0"/>
          <w:color w:val="333333"/>
          <w:spacing w:val="0"/>
          <w:sz w:val="30"/>
          <w:szCs w:val="30"/>
          <w:shd w:val="clear" w:fill="FFFFFF"/>
        </w:rPr>
        <w:t>(4)绩效目标的实现程度及效果;</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tLeast"/>
        <w:ind w:left="0" w:right="0" w:firstLine="420"/>
        <w:rPr>
          <w:rFonts w:hint="eastAsia"/>
        </w:rPr>
      </w:pPr>
      <w:r>
        <w:rPr>
          <w:rFonts w:hint="default" w:ascii="Arial" w:hAnsi="Arial" w:cs="Arial"/>
          <w:i w:val="0"/>
          <w:iCs w:val="0"/>
          <w:caps w:val="0"/>
          <w:color w:val="333333"/>
          <w:spacing w:val="0"/>
          <w:sz w:val="30"/>
          <w:szCs w:val="30"/>
          <w:shd w:val="clear" w:fill="FFFFFF"/>
        </w:rPr>
        <w:t>(5)绩效评价的其他内容。</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三、综合评价情况及评价结论</w:t>
      </w:r>
    </w:p>
    <w:p>
      <w:pPr>
        <w:keepNext w:val="0"/>
        <w:keepLines w:val="0"/>
        <w:pageBreakBefore w:val="0"/>
        <w:kinsoku/>
        <w:wordWrap/>
        <w:overflowPunct/>
        <w:topLinePunct w:val="0"/>
        <w:autoSpaceDE/>
        <w:autoSpaceDN/>
        <w:bidi w:val="0"/>
        <w:adjustRightInd/>
        <w:snapToGrid/>
        <w:spacing w:line="610" w:lineRule="exact"/>
        <w:ind w:firstLine="640" w:firstLineChars="200"/>
        <w:textAlignment w:val="auto"/>
        <w:rPr>
          <w:rFonts w:hint="eastAsia" w:eastAsia="宋体"/>
          <w:sz w:val="32"/>
          <w:szCs w:val="32"/>
          <w:lang w:eastAsia="zh-CN"/>
        </w:rPr>
      </w:pPr>
      <w:r>
        <w:rPr>
          <w:rFonts w:hint="eastAsia"/>
          <w:sz w:val="32"/>
          <w:szCs w:val="32"/>
          <w:lang w:eastAsia="zh-CN"/>
        </w:rPr>
        <w:t>根据《华容财政局预算支出绩效评价工作的通知》》要求，精心组织，保证质量。一是制定财政支出绩效评价计划，明确评价组织实施要求，二是确保自评结果真实，准确，客观，禁止弄虚作假，成立了绩效自评工作组，明确任务分工，压实工作责任，围绕项目目标，深入客观分析评价，高质量地完成项自评工作。</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四、绩效评价指标分析</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(一)项目决策情况。</w:t>
      </w:r>
    </w:p>
    <w:p>
      <w:pPr>
        <w:pStyle w:val="13"/>
        <w:rPr>
          <w:rFonts w:hint="eastAsia" w:eastAsia="仿宋_GB2312"/>
          <w:sz w:val="32"/>
          <w:szCs w:val="32"/>
          <w:lang w:eastAsia="zh-CN"/>
        </w:rPr>
      </w:pPr>
      <w:r>
        <w:rPr>
          <w:rFonts w:hint="eastAsia" w:eastAsia="仿宋_GB2312"/>
          <w:sz w:val="32"/>
          <w:szCs w:val="32"/>
          <w:lang w:eastAsia="zh-CN"/>
        </w:rPr>
        <w:t>项目根据法律法规的明确规定，通过公开招标方式签订施工合同。</w:t>
      </w:r>
    </w:p>
    <w:p>
      <w:pPr>
        <w:keepNext w:val="0"/>
        <w:keepLines w:val="0"/>
        <w:pageBreakBefore w:val="0"/>
        <w:numPr>
          <w:ilvl w:val="0"/>
          <w:numId w:val="10"/>
        </w:numPr>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项目过程情况。</w:t>
      </w:r>
    </w:p>
    <w:p>
      <w:pPr>
        <w:pStyle w:val="13"/>
        <w:numPr>
          <w:ilvl w:val="0"/>
          <w:numId w:val="0"/>
        </w:numPr>
        <w:ind w:leftChars="400"/>
        <w:rPr>
          <w:rFonts w:hint="eastAsia" w:eastAsia="宋体"/>
          <w:sz w:val="30"/>
          <w:szCs w:val="30"/>
          <w:lang w:eastAsia="zh-CN"/>
        </w:rPr>
      </w:pPr>
      <w:r>
        <w:rPr>
          <w:rFonts w:hint="eastAsia"/>
          <w:sz w:val="30"/>
          <w:szCs w:val="30"/>
          <w:lang w:eastAsia="zh-CN"/>
        </w:rPr>
        <w:t>项目符合申报条件，申报批复程序符合相关管理办法。</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(三)项目产出情况。</w:t>
      </w:r>
    </w:p>
    <w:p>
      <w:pPr>
        <w:pStyle w:val="13"/>
        <w:rPr>
          <w:rFonts w:hint="default" w:eastAsia="仿宋_GB2312"/>
          <w:sz w:val="32"/>
          <w:szCs w:val="32"/>
          <w:lang w:val="en-US" w:eastAsia="zh-CN"/>
        </w:rPr>
      </w:pPr>
      <w:r>
        <w:rPr>
          <w:rFonts w:hint="eastAsia" w:eastAsia="仿宋_GB2312"/>
          <w:sz w:val="32"/>
          <w:szCs w:val="32"/>
          <w:lang w:eastAsia="zh-CN"/>
        </w:rPr>
        <w:t>项目实施阶段目标完成率达到</w:t>
      </w:r>
      <w:r>
        <w:rPr>
          <w:rFonts w:hint="eastAsia" w:eastAsia="仿宋_GB2312"/>
          <w:sz w:val="32"/>
          <w:szCs w:val="32"/>
          <w:lang w:val="en-US" w:eastAsia="zh-CN"/>
        </w:rPr>
        <w:t>95%</w:t>
      </w:r>
    </w:p>
    <w:p>
      <w:pPr>
        <w:keepNext w:val="0"/>
        <w:keepLines w:val="0"/>
        <w:pageBreakBefore w:val="0"/>
        <w:numPr>
          <w:ilvl w:val="0"/>
          <w:numId w:val="10"/>
        </w:numPr>
        <w:kinsoku/>
        <w:wordWrap/>
        <w:overflowPunct/>
        <w:topLinePunct w:val="0"/>
        <w:autoSpaceDE/>
        <w:autoSpaceDN/>
        <w:bidi w:val="0"/>
        <w:adjustRightInd/>
        <w:snapToGrid/>
        <w:spacing w:line="610" w:lineRule="exact"/>
        <w:ind w:left="0" w:leftChars="0" w:firstLine="600" w:firstLineChars="200"/>
        <w:textAlignment w:val="auto"/>
        <w:rPr>
          <w:rFonts w:hint="eastAsia" w:eastAsia="仿宋_GB2312"/>
          <w:sz w:val="30"/>
          <w:szCs w:val="30"/>
        </w:rPr>
      </w:pPr>
      <w:r>
        <w:rPr>
          <w:rFonts w:hint="eastAsia" w:eastAsia="仿宋_GB2312"/>
          <w:sz w:val="30"/>
          <w:szCs w:val="30"/>
        </w:rPr>
        <w:t>项目效益情况。</w:t>
      </w:r>
    </w:p>
    <w:p>
      <w:pPr>
        <w:pStyle w:val="13"/>
        <w:numPr>
          <w:ilvl w:val="0"/>
          <w:numId w:val="0"/>
        </w:numPr>
        <w:ind w:leftChars="200" w:firstLine="640" w:firstLineChars="200"/>
        <w:rPr>
          <w:rFonts w:hint="default" w:eastAsia="宋体"/>
          <w:sz w:val="32"/>
          <w:szCs w:val="32"/>
          <w:lang w:val="en-US" w:eastAsia="zh-CN"/>
        </w:rPr>
      </w:pPr>
      <w:r>
        <w:rPr>
          <w:rFonts w:hint="eastAsia"/>
          <w:sz w:val="32"/>
          <w:szCs w:val="32"/>
          <w:lang w:eastAsia="zh-CN"/>
        </w:rPr>
        <w:t>项目实施提高水利服务能力，确保两大工业园工业用水及水利设施长效发挥作用，保证并</w:t>
      </w:r>
      <w:r>
        <w:rPr>
          <w:rFonts w:hint="eastAsia"/>
          <w:sz w:val="32"/>
          <w:szCs w:val="32"/>
          <w:lang w:val="en-US" w:eastAsia="zh-CN"/>
        </w:rPr>
        <w:t>农业增收和农民增产。</w:t>
      </w:r>
    </w:p>
    <w:p>
      <w:pPr>
        <w:keepNext w:val="0"/>
        <w:keepLines w:val="0"/>
        <w:pageBreakBefore w:val="0"/>
        <w:numPr>
          <w:ilvl w:val="0"/>
          <w:numId w:val="11"/>
        </w:numPr>
        <w:kinsoku/>
        <w:wordWrap/>
        <w:overflowPunct/>
        <w:topLinePunct w:val="0"/>
        <w:autoSpaceDE/>
        <w:autoSpaceDN/>
        <w:bidi w:val="0"/>
        <w:adjustRightInd/>
        <w:snapToGrid/>
        <w:spacing w:line="610" w:lineRule="exact"/>
        <w:ind w:left="0" w:leftChars="0"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主要经验及做法、存在的问题及原因分析</w:t>
      </w:r>
    </w:p>
    <w:p>
      <w:pPr>
        <w:pStyle w:val="13"/>
        <w:numPr>
          <w:ilvl w:val="0"/>
          <w:numId w:val="0"/>
        </w:numPr>
        <w:ind w:leftChars="200" w:firstLine="600" w:firstLineChars="200"/>
        <w:rPr>
          <w:rFonts w:hint="eastAsia"/>
          <w:sz w:val="30"/>
          <w:szCs w:val="30"/>
          <w:lang w:eastAsia="zh-CN"/>
        </w:rPr>
      </w:pPr>
      <w:r>
        <w:rPr>
          <w:rFonts w:hint="eastAsia"/>
          <w:sz w:val="30"/>
          <w:szCs w:val="30"/>
          <w:lang w:eastAsia="zh-CN"/>
        </w:rPr>
        <w:t>为做好项目实施的跟踪检查工作，我所对项目实施情况和经费使用情况跟踪检查，对能实现预期绩效目标的项目予以充分肯定，对进展缓慢，预期绩效较差的项目，及时进行协调和提出整改措施，确保项目实施工作正常运行，达到预期绩效目标。</w:t>
      </w:r>
    </w:p>
    <w:p>
      <w:pPr>
        <w:pStyle w:val="13"/>
        <w:numPr>
          <w:ilvl w:val="0"/>
          <w:numId w:val="0"/>
        </w:numPr>
        <w:ind w:leftChars="200" w:firstLine="600" w:firstLineChars="200"/>
        <w:rPr>
          <w:rFonts w:hint="eastAsia"/>
          <w:sz w:val="30"/>
          <w:szCs w:val="30"/>
          <w:lang w:eastAsia="zh-CN"/>
        </w:rPr>
      </w:pPr>
      <w:r>
        <w:rPr>
          <w:rFonts w:hint="eastAsia"/>
          <w:sz w:val="30"/>
          <w:szCs w:val="30"/>
          <w:lang w:eastAsia="zh-CN"/>
        </w:rPr>
        <w:t>存在的问题：建议把项目资金纳入财政预算当中，保证资金根据合同，施工进度资金按时到位，以确保项目的顺利进行。</w:t>
      </w:r>
    </w:p>
    <w:p>
      <w:pPr>
        <w:keepNext w:val="0"/>
        <w:keepLines w:val="0"/>
        <w:pageBreakBefore w:val="0"/>
        <w:widowControl/>
        <w:kinsoku/>
        <w:wordWrap/>
        <w:overflowPunct/>
        <w:topLinePunct w:val="0"/>
        <w:autoSpaceDE/>
        <w:autoSpaceDN/>
        <w:bidi w:val="0"/>
        <w:adjustRightInd/>
        <w:snapToGrid/>
        <w:spacing w:line="610" w:lineRule="exact"/>
        <w:ind w:firstLine="600" w:firstLineChars="200"/>
        <w:jc w:val="both"/>
        <w:textAlignment w:val="auto"/>
        <w:rPr>
          <w:rFonts w:hint="eastAsia" w:ascii="仿宋_GB2312" w:eastAsia="仿宋_GB2312"/>
          <w:sz w:val="32"/>
          <w:szCs w:val="32"/>
          <w:lang w:val="en-US" w:eastAsia="zh-CN"/>
        </w:rPr>
      </w:pPr>
      <w:r>
        <w:rPr>
          <w:rFonts w:hint="eastAsia" w:ascii="黑体" w:hAnsi="黑体" w:eastAsia="黑体" w:cs="黑体"/>
          <w:sz w:val="30"/>
          <w:szCs w:val="30"/>
          <w:lang w:eastAsia="zh-CN"/>
        </w:rPr>
        <w:t>六</w:t>
      </w:r>
      <w:r>
        <w:rPr>
          <w:rFonts w:hint="eastAsia" w:ascii="黑体" w:hAnsi="黑体" w:eastAsia="黑体" w:cs="黑体"/>
          <w:sz w:val="30"/>
          <w:szCs w:val="30"/>
        </w:rPr>
        <w:t>、其他需要说明的问题</w:t>
      </w:r>
    </w:p>
    <w:p>
      <w:pPr>
        <w:pStyle w:val="13"/>
        <w:ind w:left="0" w:leftChars="0" w:firstLine="0" w:firstLineChars="0"/>
        <w:rPr>
          <w:rFonts w:hint="eastAsia"/>
          <w:lang w:val="en-US" w:eastAsia="zh-CN"/>
        </w:rPr>
      </w:pPr>
    </w:p>
    <w:p>
      <w:pPr>
        <w:pStyle w:val="13"/>
        <w:ind w:left="0" w:leftChars="0" w:firstLine="0" w:firstLineChars="0"/>
        <w:rPr>
          <w:rFonts w:hint="eastAsia"/>
          <w:lang w:val="en-US" w:eastAsia="zh-CN"/>
        </w:rPr>
      </w:pPr>
    </w:p>
    <w:p>
      <w:pPr>
        <w:spacing w:line="560" w:lineRule="exact"/>
        <w:rPr>
          <w:rFonts w:ascii="黑体" w:hAnsi="黑体" w:eastAsia="黑体"/>
          <w:sz w:val="32"/>
          <w:szCs w:val="32"/>
        </w:rPr>
      </w:pPr>
      <w:r>
        <w:rPr>
          <w:rFonts w:hint="eastAsia" w:ascii="黑体" w:hAnsi="黑体" w:eastAsia="黑体"/>
          <w:sz w:val="32"/>
          <w:szCs w:val="32"/>
        </w:rPr>
        <w:t>附件4</w:t>
      </w:r>
    </w:p>
    <w:p>
      <w:pPr>
        <w:widowControl/>
        <w:spacing w:beforeLines="50" w:afterLines="100" w:line="600" w:lineRule="exact"/>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项目支出绩效评价评分表（共性）</w:t>
      </w:r>
    </w:p>
    <w:tbl>
      <w:tblPr>
        <w:tblStyle w:val="14"/>
        <w:tblW w:w="9820" w:type="dxa"/>
        <w:jc w:val="center"/>
        <w:tblLayout w:type="fixed"/>
        <w:tblCellMar>
          <w:top w:w="0" w:type="dxa"/>
          <w:left w:w="108" w:type="dxa"/>
          <w:bottom w:w="0" w:type="dxa"/>
          <w:right w:w="108" w:type="dxa"/>
        </w:tblCellMar>
      </w:tblPr>
      <w:tblGrid>
        <w:gridCol w:w="702"/>
        <w:gridCol w:w="540"/>
        <w:gridCol w:w="703"/>
        <w:gridCol w:w="540"/>
        <w:gridCol w:w="803"/>
        <w:gridCol w:w="550"/>
        <w:gridCol w:w="2407"/>
        <w:gridCol w:w="2772"/>
        <w:gridCol w:w="803"/>
      </w:tblGrid>
      <w:tr>
        <w:tblPrEx>
          <w:tblCellMar>
            <w:top w:w="0" w:type="dxa"/>
            <w:left w:w="108" w:type="dxa"/>
            <w:bottom w:w="0" w:type="dxa"/>
            <w:right w:w="108" w:type="dxa"/>
          </w:tblCellMar>
        </w:tblPrEx>
        <w:trPr>
          <w:trHeight w:val="582" w:hRule="atLeast"/>
          <w:tblHeader/>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b/>
                <w:bCs/>
                <w:kern w:val="0"/>
                <w:sz w:val="18"/>
                <w:szCs w:val="18"/>
              </w:rPr>
            </w:pPr>
            <w:r>
              <w:rPr>
                <w:rFonts w:hint="eastAsia" w:ascii="宋体" w:hAnsi="宋体" w:cs="宋体"/>
                <w:b/>
                <w:bCs/>
                <w:kern w:val="0"/>
                <w:sz w:val="18"/>
                <w:szCs w:val="18"/>
              </w:rPr>
              <w:t>一级</w:t>
            </w:r>
          </w:p>
          <w:p>
            <w:pPr>
              <w:widowControl/>
              <w:spacing w:line="240" w:lineRule="exact"/>
              <w:jc w:val="center"/>
              <w:rPr>
                <w:rFonts w:ascii="宋体" w:hAnsi="宋体" w:cs="宋体"/>
                <w:b/>
                <w:bCs/>
                <w:kern w:val="0"/>
                <w:sz w:val="18"/>
                <w:szCs w:val="18"/>
              </w:rPr>
            </w:pPr>
            <w:r>
              <w:rPr>
                <w:rFonts w:hint="eastAsia" w:ascii="宋体" w:hAnsi="宋体"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b/>
                <w:bCs/>
                <w:kern w:val="0"/>
                <w:sz w:val="18"/>
                <w:szCs w:val="18"/>
              </w:rPr>
            </w:pPr>
            <w:r>
              <w:rPr>
                <w:rFonts w:hint="eastAsia" w:ascii="宋体" w:hAnsi="宋体" w:cs="宋体"/>
                <w:b/>
                <w:bCs/>
                <w:kern w:val="0"/>
                <w:sz w:val="18"/>
                <w:szCs w:val="18"/>
              </w:rPr>
              <w:t>分值</w:t>
            </w:r>
          </w:p>
        </w:tc>
        <w:tc>
          <w:tcPr>
            <w:tcW w:w="703"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b/>
                <w:bCs/>
                <w:kern w:val="0"/>
                <w:sz w:val="18"/>
                <w:szCs w:val="18"/>
              </w:rPr>
            </w:pPr>
            <w:r>
              <w:rPr>
                <w:rFonts w:hint="eastAsia" w:ascii="宋体" w:hAnsi="宋体" w:cs="宋体"/>
                <w:b/>
                <w:bCs/>
                <w:kern w:val="0"/>
                <w:sz w:val="18"/>
                <w:szCs w:val="18"/>
              </w:rPr>
              <w:t>二级</w:t>
            </w:r>
          </w:p>
          <w:p>
            <w:pPr>
              <w:widowControl/>
              <w:spacing w:line="240" w:lineRule="exact"/>
              <w:jc w:val="center"/>
              <w:rPr>
                <w:rFonts w:ascii="宋体" w:hAnsi="宋体" w:cs="宋体"/>
                <w:b/>
                <w:bCs/>
                <w:kern w:val="0"/>
                <w:sz w:val="18"/>
                <w:szCs w:val="18"/>
              </w:rPr>
            </w:pPr>
            <w:r>
              <w:rPr>
                <w:rFonts w:hint="eastAsia" w:ascii="宋体" w:hAnsi="宋体"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b/>
                <w:bCs/>
                <w:kern w:val="0"/>
                <w:sz w:val="18"/>
                <w:szCs w:val="18"/>
              </w:rPr>
            </w:pPr>
            <w:r>
              <w:rPr>
                <w:rFonts w:hint="eastAsia" w:ascii="宋体" w:hAnsi="宋体" w:cs="宋体"/>
                <w:b/>
                <w:bCs/>
                <w:kern w:val="0"/>
                <w:sz w:val="18"/>
                <w:szCs w:val="18"/>
              </w:rPr>
              <w:t>分值</w:t>
            </w:r>
          </w:p>
        </w:tc>
        <w:tc>
          <w:tcPr>
            <w:tcW w:w="803"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b/>
                <w:bCs/>
                <w:kern w:val="0"/>
                <w:sz w:val="18"/>
                <w:szCs w:val="18"/>
              </w:rPr>
            </w:pPr>
            <w:r>
              <w:rPr>
                <w:rFonts w:hint="eastAsia" w:ascii="宋体" w:hAnsi="宋体" w:cs="宋体"/>
                <w:b/>
                <w:bCs/>
                <w:kern w:val="0"/>
                <w:sz w:val="18"/>
                <w:szCs w:val="18"/>
              </w:rPr>
              <w:t>三级</w:t>
            </w:r>
          </w:p>
          <w:p>
            <w:pPr>
              <w:widowControl/>
              <w:spacing w:line="240" w:lineRule="exact"/>
              <w:jc w:val="center"/>
              <w:rPr>
                <w:rFonts w:ascii="宋体" w:hAnsi="宋体" w:cs="宋体"/>
                <w:b/>
                <w:bCs/>
                <w:kern w:val="0"/>
                <w:sz w:val="18"/>
                <w:szCs w:val="18"/>
              </w:rPr>
            </w:pPr>
            <w:r>
              <w:rPr>
                <w:rFonts w:hint="eastAsia" w:ascii="宋体" w:hAnsi="宋体" w:cs="宋体"/>
                <w:b/>
                <w:bCs/>
                <w:kern w:val="0"/>
                <w:sz w:val="18"/>
                <w:szCs w:val="18"/>
              </w:rPr>
              <w:t>指标</w:t>
            </w:r>
          </w:p>
        </w:tc>
        <w:tc>
          <w:tcPr>
            <w:tcW w:w="550"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b/>
                <w:bCs/>
                <w:kern w:val="0"/>
                <w:sz w:val="18"/>
                <w:szCs w:val="18"/>
              </w:rPr>
            </w:pPr>
            <w:r>
              <w:rPr>
                <w:rFonts w:hint="eastAsia" w:ascii="宋体" w:hAnsi="宋体" w:cs="宋体"/>
                <w:b/>
                <w:bCs/>
                <w:kern w:val="0"/>
                <w:sz w:val="18"/>
                <w:szCs w:val="18"/>
              </w:rPr>
              <w:t>分值</w:t>
            </w:r>
          </w:p>
        </w:tc>
        <w:tc>
          <w:tcPr>
            <w:tcW w:w="2407"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b/>
                <w:bCs/>
                <w:kern w:val="0"/>
                <w:sz w:val="18"/>
                <w:szCs w:val="18"/>
              </w:rPr>
            </w:pPr>
            <w:r>
              <w:rPr>
                <w:rFonts w:hint="eastAsia" w:ascii="宋体" w:hAnsi="宋体" w:cs="宋体"/>
                <w:b/>
                <w:bCs/>
                <w:kern w:val="0"/>
                <w:sz w:val="18"/>
                <w:szCs w:val="18"/>
              </w:rPr>
              <w:t>具体指标</w:t>
            </w:r>
          </w:p>
        </w:tc>
        <w:tc>
          <w:tcPr>
            <w:tcW w:w="2772"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b/>
                <w:bCs/>
                <w:kern w:val="0"/>
                <w:sz w:val="18"/>
                <w:szCs w:val="18"/>
              </w:rPr>
            </w:pPr>
            <w:r>
              <w:rPr>
                <w:rFonts w:hint="eastAsia" w:ascii="宋体" w:hAnsi="宋体" w:cs="宋体"/>
                <w:b/>
                <w:bCs/>
                <w:kern w:val="0"/>
                <w:sz w:val="18"/>
                <w:szCs w:val="18"/>
              </w:rPr>
              <w:t>评价标准</w:t>
            </w:r>
          </w:p>
        </w:tc>
        <w:tc>
          <w:tcPr>
            <w:tcW w:w="80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40" w:lineRule="exact"/>
              <w:jc w:val="center"/>
              <w:rPr>
                <w:rFonts w:ascii="宋体" w:hAnsi="宋体" w:cs="宋体"/>
                <w:b/>
                <w:bCs/>
                <w:kern w:val="0"/>
                <w:sz w:val="18"/>
                <w:szCs w:val="18"/>
              </w:rPr>
            </w:pPr>
            <w:r>
              <w:rPr>
                <w:rFonts w:hint="eastAsia" w:ascii="宋体" w:hAnsi="宋体" w:cs="宋体"/>
                <w:b/>
                <w:bCs/>
                <w:kern w:val="0"/>
                <w:sz w:val="18"/>
                <w:szCs w:val="18"/>
              </w:rPr>
              <w:t>自评</w:t>
            </w:r>
          </w:p>
          <w:p>
            <w:pPr>
              <w:widowControl/>
              <w:spacing w:line="240" w:lineRule="exact"/>
              <w:jc w:val="center"/>
              <w:rPr>
                <w:rFonts w:ascii="宋体" w:hAnsi="宋体" w:cs="宋体"/>
                <w:b/>
                <w:bCs/>
                <w:kern w:val="0"/>
                <w:sz w:val="18"/>
                <w:szCs w:val="18"/>
              </w:rPr>
            </w:pPr>
            <w:r>
              <w:rPr>
                <w:rFonts w:hint="eastAsia" w:ascii="宋体" w:hAnsi="宋体" w:cs="宋体"/>
                <w:b/>
                <w:bCs/>
                <w:kern w:val="0"/>
                <w:sz w:val="18"/>
                <w:szCs w:val="18"/>
              </w:rPr>
              <w:t>得分</w:t>
            </w:r>
          </w:p>
        </w:tc>
      </w:tr>
      <w:tr>
        <w:tblPrEx>
          <w:tblCellMar>
            <w:top w:w="0" w:type="dxa"/>
            <w:left w:w="108" w:type="dxa"/>
            <w:bottom w:w="0" w:type="dxa"/>
            <w:right w:w="108" w:type="dxa"/>
          </w:tblCellMar>
        </w:tblPrEx>
        <w:trPr>
          <w:trHeight w:val="967" w:hRule="atLeast"/>
          <w:jc w:val="center"/>
        </w:trPr>
        <w:tc>
          <w:tcPr>
            <w:tcW w:w="702" w:type="dxa"/>
            <w:vMerge w:val="restart"/>
            <w:tcBorders>
              <w:top w:val="nil"/>
              <w:left w:val="single" w:color="000000" w:sz="4" w:space="0"/>
              <w:bottom w:val="single" w:color="000000" w:sz="4" w:space="0"/>
              <w:right w:val="single" w:color="000000" w:sz="4" w:space="0"/>
            </w:tcBorders>
            <w:textDirection w:val="tbLrV"/>
            <w:vAlign w:val="center"/>
          </w:tcPr>
          <w:p>
            <w:pPr>
              <w:widowControl/>
              <w:spacing w:line="240" w:lineRule="exact"/>
              <w:ind w:left="113" w:right="113"/>
              <w:jc w:val="center"/>
              <w:rPr>
                <w:rFonts w:ascii="宋体" w:hAnsi="宋体" w:cs="宋体"/>
                <w:kern w:val="0"/>
                <w:sz w:val="18"/>
                <w:szCs w:val="18"/>
              </w:rPr>
            </w:pPr>
            <w:r>
              <w:rPr>
                <w:rFonts w:hint="eastAsia" w:ascii="宋体" w:hAnsi="宋体" w:cs="宋体"/>
                <w:kern w:val="0"/>
                <w:sz w:val="18"/>
                <w:szCs w:val="18"/>
              </w:rPr>
              <w:t>项目决策</w:t>
            </w:r>
          </w:p>
        </w:tc>
        <w:tc>
          <w:tcPr>
            <w:tcW w:w="540" w:type="dxa"/>
            <w:vMerge w:val="restart"/>
            <w:tcBorders>
              <w:top w:val="nil"/>
              <w:left w:val="single" w:color="000000" w:sz="4" w:space="0"/>
              <w:bottom w:val="single" w:color="000000" w:sz="4" w:space="0"/>
              <w:right w:val="single" w:color="000000"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p>
        </w:tc>
        <w:tc>
          <w:tcPr>
            <w:tcW w:w="703" w:type="dxa"/>
            <w:tcBorders>
              <w:top w:val="nil"/>
              <w:left w:val="nil"/>
              <w:bottom w:val="single" w:color="000000" w:sz="4" w:space="0"/>
              <w:right w:val="single" w:color="000000" w:sz="4" w:space="0"/>
            </w:tcBorders>
            <w:textDirection w:val="tbRlV"/>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项目目标</w:t>
            </w:r>
          </w:p>
        </w:tc>
        <w:tc>
          <w:tcPr>
            <w:tcW w:w="540" w:type="dxa"/>
            <w:tcBorders>
              <w:top w:val="nil"/>
              <w:left w:val="nil"/>
              <w:bottom w:val="single" w:color="000000" w:sz="4" w:space="0"/>
              <w:right w:val="single" w:color="000000"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4</w:t>
            </w:r>
          </w:p>
        </w:tc>
        <w:tc>
          <w:tcPr>
            <w:tcW w:w="803" w:type="dxa"/>
            <w:tcBorders>
              <w:top w:val="nil"/>
              <w:left w:val="nil"/>
              <w:bottom w:val="single" w:color="000000" w:sz="4" w:space="0"/>
              <w:right w:val="single" w:color="000000"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目标</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内容</w:t>
            </w:r>
          </w:p>
        </w:tc>
        <w:tc>
          <w:tcPr>
            <w:tcW w:w="550" w:type="dxa"/>
            <w:tcBorders>
              <w:top w:val="nil"/>
              <w:left w:val="nil"/>
              <w:bottom w:val="single" w:color="000000" w:sz="4" w:space="0"/>
              <w:right w:val="single" w:color="000000"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4</w:t>
            </w:r>
          </w:p>
        </w:tc>
        <w:tc>
          <w:tcPr>
            <w:tcW w:w="2407" w:type="dxa"/>
            <w:tcBorders>
              <w:top w:val="nil"/>
              <w:left w:val="nil"/>
              <w:bottom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设立了项目绩效目标；目标明确；目标细化；目标量化</w:t>
            </w:r>
          </w:p>
        </w:tc>
        <w:tc>
          <w:tcPr>
            <w:tcW w:w="2772" w:type="dxa"/>
            <w:tcBorders>
              <w:top w:val="nil"/>
              <w:left w:val="nil"/>
              <w:bottom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①设有目标（1分）</w:t>
            </w:r>
          </w:p>
          <w:p>
            <w:pPr>
              <w:widowControl/>
              <w:spacing w:line="240" w:lineRule="exact"/>
              <w:jc w:val="left"/>
              <w:rPr>
                <w:rFonts w:ascii="宋体" w:hAnsi="宋体" w:cs="宋体"/>
                <w:kern w:val="0"/>
                <w:sz w:val="18"/>
                <w:szCs w:val="18"/>
              </w:rPr>
            </w:pPr>
            <w:r>
              <w:rPr>
                <w:rFonts w:hint="eastAsia" w:ascii="宋体" w:hAnsi="宋体" w:cs="宋体"/>
                <w:kern w:val="0"/>
                <w:sz w:val="18"/>
                <w:szCs w:val="18"/>
              </w:rPr>
              <w:t>②目标明确（1分）</w:t>
            </w:r>
          </w:p>
          <w:p>
            <w:pPr>
              <w:widowControl/>
              <w:spacing w:line="240" w:lineRule="exact"/>
              <w:jc w:val="left"/>
              <w:rPr>
                <w:rFonts w:ascii="宋体" w:hAnsi="宋体" w:cs="宋体"/>
                <w:kern w:val="0"/>
                <w:sz w:val="18"/>
                <w:szCs w:val="18"/>
              </w:rPr>
            </w:pPr>
            <w:r>
              <w:rPr>
                <w:rFonts w:hint="eastAsia" w:ascii="宋体" w:hAnsi="宋体" w:cs="宋体"/>
                <w:kern w:val="0"/>
                <w:sz w:val="18"/>
                <w:szCs w:val="18"/>
              </w:rPr>
              <w:t>③目标细化（1分）</w:t>
            </w:r>
          </w:p>
          <w:p>
            <w:pPr>
              <w:widowControl/>
              <w:spacing w:line="240" w:lineRule="exact"/>
              <w:jc w:val="left"/>
              <w:rPr>
                <w:rFonts w:ascii="宋体" w:hAnsi="宋体" w:cs="宋体"/>
                <w:kern w:val="0"/>
                <w:sz w:val="18"/>
                <w:szCs w:val="18"/>
              </w:rPr>
            </w:pPr>
            <w:r>
              <w:rPr>
                <w:rFonts w:hint="eastAsia" w:ascii="宋体" w:hAnsi="宋体" w:cs="宋体"/>
                <w:kern w:val="0"/>
                <w:sz w:val="18"/>
                <w:szCs w:val="18"/>
              </w:rPr>
              <w:t>④目标量化（1分）</w:t>
            </w:r>
          </w:p>
        </w:tc>
        <w:tc>
          <w:tcPr>
            <w:tcW w:w="803" w:type="dxa"/>
            <w:tcBorders>
              <w:top w:val="nil"/>
              <w:left w:val="single" w:color="auto" w:sz="4" w:space="0"/>
              <w:bottom w:val="single" w:color="auto" w:sz="4" w:space="0"/>
              <w:right w:val="single" w:color="auto" w:sz="4" w:space="0"/>
            </w:tcBorders>
            <w:vAlign w:val="center"/>
          </w:tcPr>
          <w:p>
            <w:pPr>
              <w:widowControl/>
              <w:tabs>
                <w:tab w:val="left" w:pos="575"/>
              </w:tabs>
              <w:spacing w:line="240" w:lineRule="exact"/>
              <w:jc w:val="left"/>
              <w:rPr>
                <w:rFonts w:ascii="宋体" w:hAnsi="宋体" w:cs="宋体"/>
                <w:kern w:val="0"/>
                <w:sz w:val="18"/>
                <w:szCs w:val="18"/>
              </w:rPr>
            </w:pPr>
            <w:r>
              <w:rPr>
                <w:rFonts w:hint="eastAsia" w:ascii="宋体" w:hAnsi="宋体" w:cs="宋体"/>
                <w:kern w:val="0"/>
                <w:sz w:val="18"/>
                <w:szCs w:val="18"/>
              </w:rPr>
              <w:tab/>
            </w:r>
            <w:r>
              <w:rPr>
                <w:rFonts w:hint="eastAsia" w:ascii="宋体" w:hAnsi="宋体" w:cs="宋体"/>
                <w:kern w:val="0"/>
                <w:sz w:val="18"/>
                <w:szCs w:val="18"/>
              </w:rPr>
              <w:t>4</w:t>
            </w:r>
          </w:p>
        </w:tc>
      </w:tr>
      <w:tr>
        <w:tblPrEx>
          <w:tblCellMar>
            <w:top w:w="0" w:type="dxa"/>
            <w:left w:w="108" w:type="dxa"/>
            <w:bottom w:w="0" w:type="dxa"/>
            <w:right w:w="108" w:type="dxa"/>
          </w:tblCellMar>
        </w:tblPrEx>
        <w:trPr>
          <w:trHeight w:val="1277" w:hRule="atLeast"/>
          <w:jc w:val="center"/>
        </w:trPr>
        <w:tc>
          <w:tcPr>
            <w:tcW w:w="702"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textDirection w:val="tbRlV"/>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决策过程</w:t>
            </w:r>
          </w:p>
        </w:tc>
        <w:tc>
          <w:tcPr>
            <w:tcW w:w="540" w:type="dxa"/>
            <w:vMerge w:val="restart"/>
            <w:tcBorders>
              <w:top w:val="nil"/>
              <w:left w:val="single" w:color="000000" w:sz="4" w:space="0"/>
              <w:bottom w:val="single" w:color="000000" w:sz="4" w:space="0"/>
              <w:right w:val="single" w:color="000000"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8</w:t>
            </w:r>
          </w:p>
        </w:tc>
        <w:tc>
          <w:tcPr>
            <w:tcW w:w="803" w:type="dxa"/>
            <w:tcBorders>
              <w:top w:val="nil"/>
              <w:left w:val="nil"/>
              <w:bottom w:val="single" w:color="000000" w:sz="4" w:space="0"/>
              <w:right w:val="single" w:color="000000"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决策</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依据</w:t>
            </w:r>
          </w:p>
        </w:tc>
        <w:tc>
          <w:tcPr>
            <w:tcW w:w="550" w:type="dxa"/>
            <w:tcBorders>
              <w:top w:val="nil"/>
              <w:left w:val="nil"/>
              <w:bottom w:val="single" w:color="000000" w:sz="4" w:space="0"/>
              <w:right w:val="single" w:color="000000"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4</w:t>
            </w:r>
          </w:p>
        </w:tc>
        <w:tc>
          <w:tcPr>
            <w:tcW w:w="2407" w:type="dxa"/>
            <w:tcBorders>
              <w:top w:val="nil"/>
              <w:left w:val="nil"/>
              <w:bottom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有关法律法规的明确规定；某一经济社会发展规划；某部门年度工作计划；某一实际问题和需求</w:t>
            </w:r>
          </w:p>
        </w:tc>
        <w:tc>
          <w:tcPr>
            <w:tcW w:w="2772" w:type="dxa"/>
            <w:tcBorders>
              <w:top w:val="nil"/>
              <w:left w:val="nil"/>
              <w:bottom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①符合法律法规（1分）</w:t>
            </w:r>
          </w:p>
          <w:p>
            <w:pPr>
              <w:widowControl/>
              <w:spacing w:line="240" w:lineRule="exact"/>
              <w:jc w:val="left"/>
              <w:rPr>
                <w:rFonts w:ascii="宋体" w:hAnsi="宋体" w:cs="宋体"/>
                <w:kern w:val="0"/>
                <w:sz w:val="18"/>
                <w:szCs w:val="18"/>
              </w:rPr>
            </w:pPr>
            <w:r>
              <w:rPr>
                <w:rFonts w:hint="eastAsia" w:ascii="宋体" w:hAnsi="宋体" w:cs="宋体"/>
                <w:kern w:val="0"/>
                <w:sz w:val="18"/>
                <w:szCs w:val="18"/>
              </w:rPr>
              <w:t>②符合经济社会发展规划（1分）</w:t>
            </w:r>
          </w:p>
          <w:p>
            <w:pPr>
              <w:widowControl/>
              <w:spacing w:line="240" w:lineRule="exact"/>
              <w:jc w:val="left"/>
              <w:rPr>
                <w:rFonts w:ascii="宋体" w:hAnsi="宋体" w:cs="宋体"/>
                <w:kern w:val="0"/>
                <w:sz w:val="18"/>
                <w:szCs w:val="18"/>
              </w:rPr>
            </w:pPr>
            <w:r>
              <w:rPr>
                <w:rFonts w:hint="eastAsia" w:ascii="宋体" w:hAnsi="宋体" w:cs="宋体"/>
                <w:kern w:val="0"/>
                <w:sz w:val="18"/>
                <w:szCs w:val="18"/>
              </w:rPr>
              <w:t>③部门年度工作计划（1分）</w:t>
            </w:r>
          </w:p>
          <w:p>
            <w:pPr>
              <w:widowControl/>
              <w:spacing w:line="240" w:lineRule="exact"/>
              <w:jc w:val="left"/>
              <w:rPr>
                <w:rFonts w:ascii="宋体" w:hAnsi="宋体" w:cs="宋体"/>
                <w:spacing w:val="-6"/>
                <w:kern w:val="0"/>
                <w:sz w:val="18"/>
                <w:szCs w:val="18"/>
              </w:rPr>
            </w:pPr>
            <w:r>
              <w:rPr>
                <w:rFonts w:hint="eastAsia" w:ascii="宋体" w:hAnsi="宋体" w:cs="宋体"/>
                <w:spacing w:val="-6"/>
                <w:kern w:val="0"/>
                <w:sz w:val="18"/>
                <w:szCs w:val="18"/>
              </w:rPr>
              <w:t>④针对某一实际问题和需求（1分）</w:t>
            </w:r>
          </w:p>
          <w:p>
            <w:pPr>
              <w:widowControl/>
              <w:spacing w:line="240" w:lineRule="exact"/>
              <w:jc w:val="left"/>
              <w:rPr>
                <w:rFonts w:ascii="宋体" w:hAnsi="宋体" w:cs="宋体"/>
                <w:kern w:val="0"/>
                <w:sz w:val="18"/>
                <w:szCs w:val="18"/>
              </w:rPr>
            </w:pPr>
            <w:r>
              <w:rPr>
                <w:rFonts w:hint="eastAsia" w:ascii="宋体" w:hAnsi="宋体" w:cs="宋体"/>
                <w:kern w:val="0"/>
                <w:sz w:val="18"/>
                <w:szCs w:val="18"/>
              </w:rPr>
              <w:t>以上③需提供佐证资料。</w:t>
            </w:r>
          </w:p>
        </w:tc>
        <w:tc>
          <w:tcPr>
            <w:tcW w:w="803"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4</w:t>
            </w:r>
          </w:p>
        </w:tc>
      </w:tr>
      <w:tr>
        <w:tblPrEx>
          <w:tblCellMar>
            <w:top w:w="0" w:type="dxa"/>
            <w:left w:w="108" w:type="dxa"/>
            <w:bottom w:w="0" w:type="dxa"/>
            <w:right w:w="108" w:type="dxa"/>
          </w:tblCellMar>
        </w:tblPrEx>
        <w:trPr>
          <w:trHeight w:val="983" w:hRule="atLeast"/>
          <w:jc w:val="center"/>
        </w:trPr>
        <w:tc>
          <w:tcPr>
            <w:tcW w:w="702"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p>
        </w:tc>
        <w:tc>
          <w:tcPr>
            <w:tcW w:w="803" w:type="dxa"/>
            <w:tcBorders>
              <w:top w:val="nil"/>
              <w:left w:val="nil"/>
              <w:bottom w:val="single" w:color="000000" w:sz="4" w:space="0"/>
              <w:right w:val="single" w:color="000000"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决策</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程序</w:t>
            </w:r>
          </w:p>
        </w:tc>
        <w:tc>
          <w:tcPr>
            <w:tcW w:w="550" w:type="dxa"/>
            <w:tcBorders>
              <w:top w:val="nil"/>
              <w:left w:val="nil"/>
              <w:bottom w:val="single" w:color="000000" w:sz="4" w:space="0"/>
              <w:right w:val="single" w:color="000000"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4</w:t>
            </w:r>
          </w:p>
        </w:tc>
        <w:tc>
          <w:tcPr>
            <w:tcW w:w="2407" w:type="dxa"/>
            <w:tcBorders>
              <w:top w:val="nil"/>
              <w:left w:val="nil"/>
              <w:bottom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项目符合申报条件；申报、批复程序符合相关管理办法；项目调整履行了相应手续</w:t>
            </w:r>
          </w:p>
        </w:tc>
        <w:tc>
          <w:tcPr>
            <w:tcW w:w="2772" w:type="dxa"/>
            <w:tcBorders>
              <w:top w:val="nil"/>
              <w:left w:val="nil"/>
              <w:bottom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①符合申报条件（2分）</w:t>
            </w:r>
          </w:p>
          <w:p>
            <w:pPr>
              <w:widowControl/>
              <w:spacing w:line="240" w:lineRule="exact"/>
              <w:jc w:val="left"/>
              <w:rPr>
                <w:rFonts w:ascii="宋体" w:hAnsi="宋体" w:cs="宋体"/>
                <w:kern w:val="0"/>
                <w:sz w:val="18"/>
                <w:szCs w:val="18"/>
              </w:rPr>
            </w:pPr>
            <w:r>
              <w:rPr>
                <w:rFonts w:hint="eastAsia" w:ascii="宋体" w:hAnsi="宋体" w:cs="宋体"/>
                <w:kern w:val="0"/>
                <w:sz w:val="18"/>
                <w:szCs w:val="18"/>
              </w:rPr>
              <w:t>②项目申报、批复程序符合管理办法（1分）</w:t>
            </w:r>
          </w:p>
          <w:p>
            <w:pPr>
              <w:widowControl/>
              <w:spacing w:line="240" w:lineRule="exact"/>
              <w:jc w:val="left"/>
              <w:rPr>
                <w:rFonts w:ascii="宋体" w:hAnsi="宋体" w:cs="宋体"/>
                <w:kern w:val="0"/>
                <w:sz w:val="18"/>
                <w:szCs w:val="18"/>
              </w:rPr>
            </w:pPr>
            <w:r>
              <w:rPr>
                <w:rFonts w:hint="eastAsia" w:ascii="宋体" w:hAnsi="宋体" w:cs="宋体"/>
                <w:spacing w:val="-6"/>
                <w:kern w:val="0"/>
                <w:sz w:val="18"/>
                <w:szCs w:val="18"/>
              </w:rPr>
              <w:t>③项目调整履行了相应手续（1分）</w:t>
            </w:r>
          </w:p>
        </w:tc>
        <w:tc>
          <w:tcPr>
            <w:tcW w:w="803"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4</w:t>
            </w:r>
          </w:p>
        </w:tc>
      </w:tr>
      <w:tr>
        <w:tblPrEx>
          <w:tblCellMar>
            <w:top w:w="0" w:type="dxa"/>
            <w:left w:w="108" w:type="dxa"/>
            <w:bottom w:w="0" w:type="dxa"/>
            <w:right w:w="108" w:type="dxa"/>
          </w:tblCellMar>
        </w:tblPrEx>
        <w:trPr>
          <w:trHeight w:val="967" w:hRule="atLeast"/>
          <w:jc w:val="center"/>
        </w:trPr>
        <w:tc>
          <w:tcPr>
            <w:tcW w:w="702"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textDirection w:val="tbRlV"/>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资金分配</w:t>
            </w:r>
          </w:p>
        </w:tc>
        <w:tc>
          <w:tcPr>
            <w:tcW w:w="540" w:type="dxa"/>
            <w:vMerge w:val="restart"/>
            <w:tcBorders>
              <w:top w:val="nil"/>
              <w:left w:val="single" w:color="000000" w:sz="4" w:space="0"/>
              <w:bottom w:val="single" w:color="000000" w:sz="4" w:space="0"/>
              <w:right w:val="single" w:color="000000"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8</w:t>
            </w:r>
          </w:p>
        </w:tc>
        <w:tc>
          <w:tcPr>
            <w:tcW w:w="803" w:type="dxa"/>
            <w:tcBorders>
              <w:top w:val="nil"/>
              <w:left w:val="nil"/>
              <w:bottom w:val="single" w:color="000000" w:sz="4" w:space="0"/>
              <w:right w:val="single" w:color="000000"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分配</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办法</w:t>
            </w:r>
          </w:p>
        </w:tc>
        <w:tc>
          <w:tcPr>
            <w:tcW w:w="550" w:type="dxa"/>
            <w:tcBorders>
              <w:top w:val="nil"/>
              <w:left w:val="nil"/>
              <w:bottom w:val="single" w:color="000000" w:sz="4" w:space="0"/>
              <w:right w:val="single" w:color="000000"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3</w:t>
            </w:r>
          </w:p>
        </w:tc>
        <w:tc>
          <w:tcPr>
            <w:tcW w:w="2407" w:type="dxa"/>
            <w:tcBorders>
              <w:top w:val="nil"/>
              <w:left w:val="nil"/>
              <w:bottom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根据需要制定的相关资金管理办法；管理办法中有明确资金分配办法；资金分配因素全面、合理</w:t>
            </w:r>
          </w:p>
        </w:tc>
        <w:tc>
          <w:tcPr>
            <w:tcW w:w="2772" w:type="dxa"/>
            <w:tcBorders>
              <w:top w:val="nil"/>
              <w:left w:val="nil"/>
              <w:bottom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①有相应的资金管理办法（1分）</w:t>
            </w:r>
          </w:p>
          <w:p>
            <w:pPr>
              <w:widowControl/>
              <w:spacing w:line="240" w:lineRule="exact"/>
              <w:jc w:val="left"/>
              <w:rPr>
                <w:rFonts w:ascii="宋体" w:hAnsi="宋体" w:cs="宋体"/>
                <w:kern w:val="0"/>
                <w:sz w:val="18"/>
                <w:szCs w:val="18"/>
              </w:rPr>
            </w:pPr>
            <w:r>
              <w:rPr>
                <w:rFonts w:hint="eastAsia" w:ascii="宋体" w:hAnsi="宋体" w:cs="宋体"/>
                <w:kern w:val="0"/>
                <w:sz w:val="18"/>
                <w:szCs w:val="18"/>
              </w:rPr>
              <w:t>②办法健全、规范（1分）</w:t>
            </w:r>
          </w:p>
          <w:p>
            <w:pPr>
              <w:widowControl/>
              <w:spacing w:line="240" w:lineRule="exact"/>
              <w:jc w:val="left"/>
              <w:rPr>
                <w:rFonts w:ascii="宋体" w:hAnsi="宋体" w:cs="宋体"/>
                <w:kern w:val="0"/>
                <w:sz w:val="18"/>
                <w:szCs w:val="18"/>
              </w:rPr>
            </w:pPr>
            <w:r>
              <w:rPr>
                <w:rFonts w:hint="eastAsia" w:ascii="宋体" w:hAnsi="宋体" w:cs="宋体"/>
                <w:kern w:val="0"/>
                <w:sz w:val="18"/>
                <w:szCs w:val="18"/>
              </w:rPr>
              <w:t>③因素全面合理（1分）</w:t>
            </w:r>
          </w:p>
          <w:p>
            <w:pPr>
              <w:widowControl/>
              <w:spacing w:line="240" w:lineRule="exact"/>
              <w:jc w:val="left"/>
              <w:rPr>
                <w:rFonts w:ascii="宋体" w:hAnsi="宋体" w:cs="宋体"/>
                <w:kern w:val="0"/>
                <w:sz w:val="18"/>
                <w:szCs w:val="18"/>
              </w:rPr>
            </w:pPr>
            <w:r>
              <w:rPr>
                <w:rFonts w:hint="eastAsia" w:ascii="宋体" w:hAnsi="宋体"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3</w:t>
            </w:r>
          </w:p>
        </w:tc>
      </w:tr>
      <w:tr>
        <w:tblPrEx>
          <w:tblCellMar>
            <w:top w:w="0" w:type="dxa"/>
            <w:left w:w="108" w:type="dxa"/>
            <w:bottom w:w="0" w:type="dxa"/>
            <w:right w:w="108" w:type="dxa"/>
          </w:tblCellMar>
        </w:tblPrEx>
        <w:trPr>
          <w:trHeight w:val="758" w:hRule="atLeast"/>
          <w:jc w:val="center"/>
        </w:trPr>
        <w:tc>
          <w:tcPr>
            <w:tcW w:w="702"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p>
        </w:tc>
        <w:tc>
          <w:tcPr>
            <w:tcW w:w="803" w:type="dxa"/>
            <w:tcBorders>
              <w:top w:val="nil"/>
              <w:left w:val="nil"/>
              <w:bottom w:val="single" w:color="000000" w:sz="4" w:space="0"/>
              <w:right w:val="single" w:color="000000"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分配</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结果</w:t>
            </w:r>
          </w:p>
        </w:tc>
        <w:tc>
          <w:tcPr>
            <w:tcW w:w="550" w:type="dxa"/>
            <w:tcBorders>
              <w:top w:val="nil"/>
              <w:left w:val="nil"/>
              <w:bottom w:val="single" w:color="000000" w:sz="4" w:space="0"/>
              <w:right w:val="single" w:color="000000"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5</w:t>
            </w:r>
          </w:p>
        </w:tc>
        <w:tc>
          <w:tcPr>
            <w:tcW w:w="2407" w:type="dxa"/>
            <w:tcBorders>
              <w:top w:val="nil"/>
              <w:left w:val="nil"/>
              <w:bottom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资金分配符合相关管理办法；分配结果公平合理</w:t>
            </w:r>
          </w:p>
        </w:tc>
        <w:tc>
          <w:tcPr>
            <w:tcW w:w="2772" w:type="dxa"/>
            <w:tcBorders>
              <w:top w:val="nil"/>
              <w:left w:val="nil"/>
              <w:bottom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①符合分配办法（2分）</w:t>
            </w:r>
          </w:p>
          <w:p>
            <w:pPr>
              <w:widowControl/>
              <w:spacing w:line="240" w:lineRule="exact"/>
              <w:jc w:val="left"/>
              <w:rPr>
                <w:rFonts w:ascii="宋体" w:hAnsi="宋体" w:cs="宋体"/>
                <w:kern w:val="0"/>
                <w:sz w:val="18"/>
                <w:szCs w:val="18"/>
              </w:rPr>
            </w:pPr>
            <w:r>
              <w:rPr>
                <w:rFonts w:hint="eastAsia" w:ascii="宋体" w:hAnsi="宋体" w:cs="宋体"/>
                <w:kern w:val="0"/>
                <w:sz w:val="18"/>
                <w:szCs w:val="18"/>
              </w:rPr>
              <w:t>②分配公平合理（3分）</w:t>
            </w:r>
          </w:p>
          <w:p>
            <w:pPr>
              <w:widowControl/>
              <w:spacing w:line="240" w:lineRule="exact"/>
              <w:jc w:val="left"/>
              <w:rPr>
                <w:rFonts w:ascii="宋体" w:hAnsi="宋体" w:cs="宋体"/>
                <w:kern w:val="0"/>
                <w:sz w:val="18"/>
                <w:szCs w:val="18"/>
              </w:rPr>
            </w:pPr>
            <w:r>
              <w:rPr>
                <w:rFonts w:hint="eastAsia" w:ascii="宋体" w:hAnsi="宋体" w:cs="宋体"/>
                <w:spacing w:val="-6"/>
                <w:kern w:val="0"/>
                <w:sz w:val="18"/>
                <w:szCs w:val="18"/>
              </w:rPr>
              <w:t>此项需提供相应的资金分配方案。</w:t>
            </w:r>
          </w:p>
        </w:tc>
        <w:tc>
          <w:tcPr>
            <w:tcW w:w="803"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5</w:t>
            </w:r>
          </w:p>
        </w:tc>
      </w:tr>
      <w:tr>
        <w:tblPrEx>
          <w:tblCellMar>
            <w:top w:w="0" w:type="dxa"/>
            <w:left w:w="108" w:type="dxa"/>
            <w:bottom w:w="0" w:type="dxa"/>
            <w:right w:w="108" w:type="dxa"/>
          </w:tblCellMar>
        </w:tblPrEx>
        <w:trPr>
          <w:trHeight w:val="438" w:hRule="atLeast"/>
          <w:jc w:val="center"/>
        </w:trPr>
        <w:tc>
          <w:tcPr>
            <w:tcW w:w="702" w:type="dxa"/>
            <w:vMerge w:val="restart"/>
            <w:tcBorders>
              <w:top w:val="nil"/>
              <w:left w:val="single" w:color="000000" w:sz="4" w:space="0"/>
              <w:right w:val="single" w:color="000000" w:sz="4" w:space="0"/>
            </w:tcBorders>
            <w:textDirection w:val="tbLrV"/>
            <w:vAlign w:val="center"/>
          </w:tcPr>
          <w:p>
            <w:pPr>
              <w:widowControl/>
              <w:spacing w:line="240" w:lineRule="exact"/>
              <w:ind w:left="113" w:right="113" w:firstLine="2520" w:firstLineChars="1400"/>
              <w:rPr>
                <w:rFonts w:ascii="宋体" w:hAnsi="宋体" w:cs="宋体"/>
                <w:kern w:val="0"/>
                <w:sz w:val="18"/>
                <w:szCs w:val="18"/>
              </w:rPr>
            </w:pPr>
            <w:r>
              <w:rPr>
                <w:rFonts w:hint="eastAsia" w:ascii="宋体" w:hAnsi="宋体" w:cs="宋体"/>
                <w:kern w:val="0"/>
                <w:sz w:val="18"/>
                <w:szCs w:val="18"/>
              </w:rPr>
              <w:t>项目管理</w:t>
            </w:r>
          </w:p>
        </w:tc>
        <w:tc>
          <w:tcPr>
            <w:tcW w:w="540" w:type="dxa"/>
            <w:vMerge w:val="restart"/>
            <w:tcBorders>
              <w:top w:val="nil"/>
              <w:left w:val="single" w:color="000000" w:sz="4" w:space="0"/>
              <w:right w:val="single" w:color="000000"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25</w:t>
            </w:r>
          </w:p>
          <w:p>
            <w:pPr>
              <w:rPr>
                <w:rFonts w:ascii="宋体" w:hAnsi="宋体" w:cs="宋体"/>
                <w:sz w:val="18"/>
                <w:szCs w:val="18"/>
              </w:rPr>
            </w:pPr>
          </w:p>
        </w:tc>
        <w:tc>
          <w:tcPr>
            <w:tcW w:w="703" w:type="dxa"/>
            <w:vMerge w:val="restart"/>
            <w:tcBorders>
              <w:top w:val="nil"/>
              <w:left w:val="single" w:color="000000" w:sz="4" w:space="0"/>
              <w:bottom w:val="single" w:color="000000" w:sz="4" w:space="0"/>
              <w:right w:val="single" w:color="000000" w:sz="4" w:space="0"/>
            </w:tcBorders>
            <w:textDirection w:val="tbRlV"/>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资金到位</w:t>
            </w:r>
          </w:p>
        </w:tc>
        <w:tc>
          <w:tcPr>
            <w:tcW w:w="540" w:type="dxa"/>
            <w:vMerge w:val="restart"/>
            <w:tcBorders>
              <w:top w:val="nil"/>
              <w:left w:val="single" w:color="000000" w:sz="4" w:space="0"/>
              <w:bottom w:val="single" w:color="000000" w:sz="4" w:space="0"/>
              <w:right w:val="single" w:color="000000"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5</w:t>
            </w:r>
          </w:p>
        </w:tc>
        <w:tc>
          <w:tcPr>
            <w:tcW w:w="803" w:type="dxa"/>
            <w:tcBorders>
              <w:top w:val="nil"/>
              <w:left w:val="nil"/>
              <w:bottom w:val="single" w:color="000000" w:sz="4" w:space="0"/>
              <w:right w:val="single" w:color="000000"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到位率</w:t>
            </w:r>
          </w:p>
        </w:tc>
        <w:tc>
          <w:tcPr>
            <w:tcW w:w="550" w:type="dxa"/>
            <w:tcBorders>
              <w:top w:val="nil"/>
              <w:left w:val="nil"/>
              <w:bottom w:val="single" w:color="000000" w:sz="4" w:space="0"/>
              <w:right w:val="single" w:color="000000"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3</w:t>
            </w:r>
          </w:p>
        </w:tc>
        <w:tc>
          <w:tcPr>
            <w:tcW w:w="2407" w:type="dxa"/>
            <w:tcBorders>
              <w:top w:val="nil"/>
              <w:left w:val="nil"/>
              <w:bottom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实际到位/计划到位*100%</w:t>
            </w:r>
          </w:p>
        </w:tc>
        <w:tc>
          <w:tcPr>
            <w:tcW w:w="2772" w:type="dxa"/>
            <w:tcBorders>
              <w:top w:val="nil"/>
              <w:left w:val="nil"/>
              <w:bottom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根据项目资金的实际到位率计算得分（3分）</w:t>
            </w:r>
          </w:p>
        </w:tc>
        <w:tc>
          <w:tcPr>
            <w:tcW w:w="803"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3</w:t>
            </w:r>
          </w:p>
        </w:tc>
      </w:tr>
      <w:tr>
        <w:tblPrEx>
          <w:tblCellMar>
            <w:top w:w="0" w:type="dxa"/>
            <w:left w:w="108" w:type="dxa"/>
            <w:bottom w:w="0" w:type="dxa"/>
            <w:right w:w="108" w:type="dxa"/>
          </w:tblCellMar>
        </w:tblPrEx>
        <w:trPr>
          <w:trHeight w:val="744" w:hRule="atLeast"/>
          <w:jc w:val="center"/>
        </w:trPr>
        <w:tc>
          <w:tcPr>
            <w:tcW w:w="702" w:type="dxa"/>
            <w:vMerge w:val="continue"/>
            <w:tcBorders>
              <w:left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p>
        </w:tc>
        <w:tc>
          <w:tcPr>
            <w:tcW w:w="540" w:type="dxa"/>
            <w:vMerge w:val="continue"/>
            <w:tcBorders>
              <w:left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p>
        </w:tc>
        <w:tc>
          <w:tcPr>
            <w:tcW w:w="803" w:type="dxa"/>
            <w:tcBorders>
              <w:top w:val="nil"/>
              <w:left w:val="nil"/>
              <w:bottom w:val="single" w:color="000000" w:sz="4" w:space="0"/>
              <w:right w:val="single" w:color="000000"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到位</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时效</w:t>
            </w:r>
          </w:p>
        </w:tc>
        <w:tc>
          <w:tcPr>
            <w:tcW w:w="550" w:type="dxa"/>
            <w:tcBorders>
              <w:top w:val="nil"/>
              <w:left w:val="nil"/>
              <w:bottom w:val="single" w:color="000000" w:sz="4" w:space="0"/>
              <w:right w:val="single" w:color="000000"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2</w:t>
            </w:r>
          </w:p>
        </w:tc>
        <w:tc>
          <w:tcPr>
            <w:tcW w:w="2407" w:type="dxa"/>
            <w:tcBorders>
              <w:top w:val="nil"/>
              <w:left w:val="nil"/>
              <w:bottom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资金及时到位；若未及时到位，是否影响项目进度</w:t>
            </w:r>
          </w:p>
        </w:tc>
        <w:tc>
          <w:tcPr>
            <w:tcW w:w="2772" w:type="dxa"/>
            <w:tcBorders>
              <w:top w:val="nil"/>
              <w:left w:val="nil"/>
              <w:bottom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①到位及时（2分）</w:t>
            </w:r>
          </w:p>
          <w:p>
            <w:pPr>
              <w:widowControl/>
              <w:spacing w:line="240" w:lineRule="exact"/>
              <w:jc w:val="left"/>
              <w:rPr>
                <w:rFonts w:ascii="宋体" w:hAnsi="宋体" w:cs="宋体"/>
                <w:spacing w:val="-10"/>
                <w:kern w:val="0"/>
                <w:sz w:val="18"/>
                <w:szCs w:val="18"/>
              </w:rPr>
            </w:pPr>
            <w:r>
              <w:rPr>
                <w:rFonts w:hint="eastAsia" w:ascii="宋体" w:hAnsi="宋体" w:cs="宋体"/>
                <w:spacing w:val="-10"/>
                <w:kern w:val="0"/>
                <w:sz w:val="18"/>
                <w:szCs w:val="18"/>
              </w:rPr>
              <w:t>②不及时但未影响项目进度 （1分）</w:t>
            </w:r>
          </w:p>
          <w:p>
            <w:pPr>
              <w:widowControl/>
              <w:spacing w:line="240" w:lineRule="exact"/>
              <w:jc w:val="left"/>
              <w:rPr>
                <w:rFonts w:ascii="宋体" w:hAnsi="宋体" w:cs="宋体"/>
                <w:kern w:val="0"/>
                <w:sz w:val="18"/>
                <w:szCs w:val="18"/>
              </w:rPr>
            </w:pPr>
            <w:r>
              <w:rPr>
                <w:rFonts w:hint="eastAsia" w:ascii="宋体" w:hAnsi="宋体" w:cs="宋体"/>
                <w:spacing w:val="-6"/>
                <w:kern w:val="0"/>
                <w:sz w:val="18"/>
                <w:szCs w:val="18"/>
              </w:rPr>
              <w:t>③不及时并影响项目进度（0.5分）</w:t>
            </w:r>
          </w:p>
        </w:tc>
        <w:tc>
          <w:tcPr>
            <w:tcW w:w="803"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2</w:t>
            </w:r>
          </w:p>
        </w:tc>
      </w:tr>
      <w:tr>
        <w:tblPrEx>
          <w:tblCellMar>
            <w:top w:w="0" w:type="dxa"/>
            <w:left w:w="108" w:type="dxa"/>
            <w:bottom w:w="0" w:type="dxa"/>
            <w:right w:w="108" w:type="dxa"/>
          </w:tblCellMar>
        </w:tblPrEx>
        <w:trPr>
          <w:trHeight w:val="1168" w:hRule="atLeast"/>
          <w:jc w:val="center"/>
        </w:trPr>
        <w:tc>
          <w:tcPr>
            <w:tcW w:w="702" w:type="dxa"/>
            <w:vMerge w:val="continue"/>
            <w:tcBorders>
              <w:left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p>
        </w:tc>
        <w:tc>
          <w:tcPr>
            <w:tcW w:w="540" w:type="dxa"/>
            <w:vMerge w:val="continue"/>
            <w:tcBorders>
              <w:left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textDirection w:val="tbRlV"/>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资金管理</w:t>
            </w:r>
          </w:p>
        </w:tc>
        <w:tc>
          <w:tcPr>
            <w:tcW w:w="540" w:type="dxa"/>
            <w:vMerge w:val="restart"/>
            <w:tcBorders>
              <w:top w:val="nil"/>
              <w:left w:val="single" w:color="000000" w:sz="4" w:space="0"/>
              <w:bottom w:val="single" w:color="000000" w:sz="4" w:space="0"/>
              <w:right w:val="single" w:color="000000"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03" w:type="dxa"/>
            <w:tcBorders>
              <w:top w:val="nil"/>
              <w:left w:val="nil"/>
              <w:bottom w:val="single" w:color="000000" w:sz="4" w:space="0"/>
              <w:right w:val="single" w:color="000000"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资金</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使用</w:t>
            </w:r>
          </w:p>
        </w:tc>
        <w:tc>
          <w:tcPr>
            <w:tcW w:w="550" w:type="dxa"/>
            <w:tcBorders>
              <w:top w:val="nil"/>
              <w:left w:val="nil"/>
              <w:bottom w:val="single" w:color="000000" w:sz="4" w:space="0"/>
              <w:right w:val="single" w:color="000000"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7</w:t>
            </w:r>
          </w:p>
        </w:tc>
        <w:tc>
          <w:tcPr>
            <w:tcW w:w="2407" w:type="dxa"/>
            <w:tcBorders>
              <w:top w:val="nil"/>
              <w:left w:val="nil"/>
              <w:bottom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支出依据合规，无虚列项目支出情况；无截留挤占挪用情况；无超标准开支情况；无超预算情况</w:t>
            </w:r>
          </w:p>
        </w:tc>
        <w:tc>
          <w:tcPr>
            <w:tcW w:w="2772" w:type="dxa"/>
            <w:tcBorders>
              <w:top w:val="nil"/>
              <w:left w:val="nil"/>
              <w:bottom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 xml:space="preserve">①虚列套取扣4-7分 </w:t>
            </w:r>
          </w:p>
          <w:p>
            <w:pPr>
              <w:widowControl/>
              <w:spacing w:line="240" w:lineRule="exact"/>
              <w:jc w:val="left"/>
              <w:rPr>
                <w:rFonts w:ascii="宋体" w:hAnsi="宋体" w:cs="宋体"/>
                <w:kern w:val="0"/>
                <w:sz w:val="18"/>
                <w:szCs w:val="18"/>
              </w:rPr>
            </w:pPr>
            <w:r>
              <w:rPr>
                <w:rFonts w:hint="eastAsia" w:ascii="宋体" w:hAnsi="宋体" w:cs="宋体"/>
                <w:kern w:val="0"/>
                <w:sz w:val="18"/>
                <w:szCs w:val="18"/>
              </w:rPr>
              <w:t>②依据不合规扣2分</w:t>
            </w:r>
          </w:p>
          <w:p>
            <w:pPr>
              <w:widowControl/>
              <w:spacing w:line="240" w:lineRule="exact"/>
              <w:jc w:val="left"/>
              <w:rPr>
                <w:rFonts w:ascii="宋体" w:hAnsi="宋体" w:cs="宋体"/>
                <w:kern w:val="0"/>
                <w:sz w:val="18"/>
                <w:szCs w:val="18"/>
              </w:rPr>
            </w:pPr>
            <w:r>
              <w:rPr>
                <w:rFonts w:hint="eastAsia" w:ascii="宋体" w:hAnsi="宋体" w:cs="宋体"/>
                <w:kern w:val="0"/>
                <w:sz w:val="18"/>
                <w:szCs w:val="18"/>
              </w:rPr>
              <w:t>③截留、挤占、挪用扣3-6分</w:t>
            </w:r>
          </w:p>
          <w:p>
            <w:pPr>
              <w:widowControl/>
              <w:spacing w:line="240" w:lineRule="exact"/>
              <w:jc w:val="left"/>
              <w:rPr>
                <w:rFonts w:ascii="宋体" w:hAnsi="宋体" w:cs="宋体"/>
                <w:kern w:val="0"/>
                <w:sz w:val="18"/>
                <w:szCs w:val="18"/>
              </w:rPr>
            </w:pPr>
            <w:r>
              <w:rPr>
                <w:rFonts w:hint="eastAsia" w:ascii="宋体" w:hAnsi="宋体" w:cs="宋体"/>
                <w:kern w:val="0"/>
                <w:sz w:val="18"/>
                <w:szCs w:val="18"/>
              </w:rPr>
              <w:t>④超标准开支扣2-5分</w:t>
            </w:r>
          </w:p>
          <w:p>
            <w:pPr>
              <w:widowControl/>
              <w:spacing w:line="240" w:lineRule="exact"/>
              <w:jc w:val="left"/>
              <w:rPr>
                <w:rFonts w:ascii="宋体" w:hAnsi="宋体" w:cs="宋体"/>
                <w:kern w:val="0"/>
                <w:sz w:val="18"/>
                <w:szCs w:val="18"/>
              </w:rPr>
            </w:pPr>
            <w:r>
              <w:rPr>
                <w:rFonts w:hint="eastAsia" w:ascii="宋体" w:hAnsi="宋体" w:cs="宋体"/>
                <w:kern w:val="0"/>
                <w:sz w:val="18"/>
                <w:szCs w:val="18"/>
              </w:rPr>
              <w:t>⑤超预算扣2-5分</w:t>
            </w:r>
          </w:p>
        </w:tc>
        <w:tc>
          <w:tcPr>
            <w:tcW w:w="803"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7</w:t>
            </w:r>
          </w:p>
        </w:tc>
      </w:tr>
      <w:tr>
        <w:tblPrEx>
          <w:tblCellMar>
            <w:top w:w="0" w:type="dxa"/>
            <w:left w:w="108" w:type="dxa"/>
            <w:bottom w:w="0" w:type="dxa"/>
            <w:right w:w="108" w:type="dxa"/>
          </w:tblCellMar>
        </w:tblPrEx>
        <w:trPr>
          <w:trHeight w:val="871" w:hRule="atLeast"/>
          <w:jc w:val="center"/>
        </w:trPr>
        <w:tc>
          <w:tcPr>
            <w:tcW w:w="702" w:type="dxa"/>
            <w:vMerge w:val="continue"/>
            <w:tcBorders>
              <w:left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p>
        </w:tc>
        <w:tc>
          <w:tcPr>
            <w:tcW w:w="540" w:type="dxa"/>
            <w:vMerge w:val="continue"/>
            <w:tcBorders>
              <w:left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p>
        </w:tc>
        <w:tc>
          <w:tcPr>
            <w:tcW w:w="803" w:type="dxa"/>
            <w:tcBorders>
              <w:top w:val="nil"/>
              <w:left w:val="nil"/>
              <w:bottom w:val="single" w:color="000000" w:sz="4" w:space="0"/>
              <w:right w:val="single" w:color="000000"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财务</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管理</w:t>
            </w:r>
          </w:p>
        </w:tc>
        <w:tc>
          <w:tcPr>
            <w:tcW w:w="550" w:type="dxa"/>
            <w:tcBorders>
              <w:top w:val="nil"/>
              <w:left w:val="nil"/>
              <w:bottom w:val="single" w:color="000000" w:sz="4" w:space="0"/>
              <w:right w:val="single" w:color="000000"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3</w:t>
            </w:r>
          </w:p>
        </w:tc>
        <w:tc>
          <w:tcPr>
            <w:tcW w:w="2407" w:type="dxa"/>
            <w:tcBorders>
              <w:top w:val="nil"/>
              <w:left w:val="nil"/>
              <w:bottom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资金管理、费用支出等制度健全；制度执行严格；会计核算规范</w:t>
            </w:r>
          </w:p>
        </w:tc>
        <w:tc>
          <w:tcPr>
            <w:tcW w:w="2772" w:type="dxa"/>
            <w:tcBorders>
              <w:top w:val="nil"/>
              <w:left w:val="nil"/>
              <w:bottom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①财务制度健全（1分）</w:t>
            </w:r>
          </w:p>
          <w:p>
            <w:pPr>
              <w:widowControl/>
              <w:spacing w:line="240" w:lineRule="exact"/>
              <w:jc w:val="left"/>
              <w:rPr>
                <w:rFonts w:ascii="宋体" w:hAnsi="宋体" w:cs="宋体"/>
                <w:kern w:val="0"/>
                <w:sz w:val="18"/>
                <w:szCs w:val="18"/>
              </w:rPr>
            </w:pPr>
            <w:r>
              <w:rPr>
                <w:rFonts w:hint="eastAsia" w:ascii="宋体" w:hAnsi="宋体" w:cs="宋体"/>
                <w:kern w:val="0"/>
                <w:sz w:val="18"/>
                <w:szCs w:val="18"/>
              </w:rPr>
              <w:t>②严格执行制度（1分）</w:t>
            </w:r>
          </w:p>
          <w:p>
            <w:pPr>
              <w:widowControl/>
              <w:spacing w:line="240" w:lineRule="exact"/>
              <w:jc w:val="left"/>
              <w:rPr>
                <w:rFonts w:ascii="宋体" w:hAnsi="宋体" w:cs="宋体"/>
                <w:kern w:val="0"/>
                <w:sz w:val="18"/>
                <w:szCs w:val="18"/>
              </w:rPr>
            </w:pPr>
            <w:r>
              <w:rPr>
                <w:rFonts w:hint="eastAsia" w:ascii="宋体" w:hAnsi="宋体" w:cs="宋体"/>
                <w:kern w:val="0"/>
                <w:sz w:val="18"/>
                <w:szCs w:val="18"/>
              </w:rPr>
              <w:t>③会计核算规范（1分）</w:t>
            </w:r>
          </w:p>
          <w:p>
            <w:pPr>
              <w:widowControl/>
              <w:spacing w:line="240" w:lineRule="exact"/>
              <w:jc w:val="left"/>
              <w:rPr>
                <w:rFonts w:ascii="宋体" w:hAnsi="宋体" w:cs="宋体"/>
                <w:kern w:val="0"/>
                <w:sz w:val="18"/>
                <w:szCs w:val="18"/>
              </w:rPr>
            </w:pPr>
            <w:r>
              <w:rPr>
                <w:rFonts w:hint="eastAsia" w:ascii="宋体" w:hAnsi="宋体"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3</w:t>
            </w:r>
          </w:p>
        </w:tc>
      </w:tr>
      <w:tr>
        <w:tblPrEx>
          <w:tblCellMar>
            <w:top w:w="0" w:type="dxa"/>
            <w:left w:w="108" w:type="dxa"/>
            <w:bottom w:w="0" w:type="dxa"/>
            <w:right w:w="108" w:type="dxa"/>
          </w:tblCellMar>
        </w:tblPrEx>
        <w:trPr>
          <w:trHeight w:val="532" w:hRule="atLeast"/>
          <w:jc w:val="center"/>
        </w:trPr>
        <w:tc>
          <w:tcPr>
            <w:tcW w:w="702" w:type="dxa"/>
            <w:vMerge w:val="continue"/>
            <w:tcBorders>
              <w:left w:val="single" w:color="000000" w:sz="4" w:space="0"/>
              <w:right w:val="single" w:color="000000" w:sz="4" w:space="0"/>
            </w:tcBorders>
            <w:shd w:val="clear" w:color="auto" w:fill="auto"/>
            <w:textDirection w:val="tbRlV"/>
            <w:vAlign w:val="center"/>
          </w:tcPr>
          <w:p>
            <w:pPr>
              <w:widowControl/>
              <w:spacing w:line="240" w:lineRule="exact"/>
              <w:jc w:val="center"/>
              <w:rPr>
                <w:rFonts w:ascii="宋体" w:hAnsi="宋体" w:cs="宋体"/>
                <w:kern w:val="0"/>
                <w:sz w:val="18"/>
                <w:szCs w:val="18"/>
              </w:rPr>
            </w:pPr>
          </w:p>
        </w:tc>
        <w:tc>
          <w:tcPr>
            <w:tcW w:w="540" w:type="dxa"/>
            <w:vMerge w:val="continue"/>
            <w:tcBorders>
              <w:left w:val="single" w:color="000000" w:sz="4" w:space="0"/>
              <w:right w:val="single" w:color="000000" w:sz="4" w:space="0"/>
            </w:tcBorders>
            <w:shd w:val="clear" w:color="auto" w:fill="auto"/>
            <w:vAlign w:val="center"/>
          </w:tcPr>
          <w:p>
            <w:pPr>
              <w:rPr>
                <w:rFonts w:ascii="宋体" w:hAnsi="宋体" w:cs="宋体"/>
                <w:sz w:val="18"/>
                <w:szCs w:val="18"/>
              </w:rPr>
            </w:pPr>
          </w:p>
        </w:tc>
        <w:tc>
          <w:tcPr>
            <w:tcW w:w="703" w:type="dxa"/>
            <w:vMerge w:val="restart"/>
            <w:tcBorders>
              <w:top w:val="nil"/>
              <w:left w:val="single" w:color="000000" w:sz="4" w:space="0"/>
              <w:bottom w:val="single" w:color="000000" w:sz="4" w:space="0"/>
              <w:right w:val="single" w:color="000000" w:sz="4" w:space="0"/>
            </w:tcBorders>
            <w:shd w:val="clear" w:color="auto" w:fill="auto"/>
            <w:textDirection w:val="tbRlV"/>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组织实施</w:t>
            </w:r>
          </w:p>
        </w:tc>
        <w:tc>
          <w:tcPr>
            <w:tcW w:w="540"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03"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组织</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机构</w:t>
            </w:r>
          </w:p>
        </w:tc>
        <w:tc>
          <w:tcPr>
            <w:tcW w:w="550"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w:t>
            </w:r>
          </w:p>
        </w:tc>
        <w:tc>
          <w:tcPr>
            <w:tcW w:w="2407"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机构健全、分工明确</w:t>
            </w:r>
          </w:p>
        </w:tc>
        <w:tc>
          <w:tcPr>
            <w:tcW w:w="2772"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①机构健全、分工明确  （1分）</w:t>
            </w:r>
          </w:p>
        </w:tc>
        <w:tc>
          <w:tcPr>
            <w:tcW w:w="803" w:type="dxa"/>
            <w:tcBorders>
              <w:top w:val="nil"/>
              <w:left w:val="single" w:color="auto" w:sz="4" w:space="0"/>
              <w:bottom w:val="single" w:color="auto" w:sz="4" w:space="0"/>
              <w:right w:val="single" w:color="auto" w:sz="4" w:space="0"/>
            </w:tcBorders>
            <w:shd w:val="clear" w:color="auto" w:fill="FFFFFF"/>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p>
        </w:tc>
        <w:tc>
          <w:tcPr>
            <w:tcW w:w="540" w:type="dxa"/>
            <w:vMerge w:val="continue"/>
            <w:tcBorders>
              <w:left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支撑</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条件</w:t>
            </w:r>
          </w:p>
        </w:tc>
        <w:tc>
          <w:tcPr>
            <w:tcW w:w="550"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w:t>
            </w:r>
          </w:p>
        </w:tc>
        <w:tc>
          <w:tcPr>
            <w:tcW w:w="2407"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项目实施单位是否提供或具备了必备的人员、场地和设备等条件</w:t>
            </w:r>
          </w:p>
        </w:tc>
        <w:tc>
          <w:tcPr>
            <w:tcW w:w="2772"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具备人员、场地、设备条件（1分）</w:t>
            </w:r>
          </w:p>
        </w:tc>
        <w:tc>
          <w:tcPr>
            <w:tcW w:w="803" w:type="dxa"/>
            <w:tcBorders>
              <w:top w:val="nil"/>
              <w:left w:val="single" w:color="auto" w:sz="4" w:space="0"/>
              <w:bottom w:val="single" w:color="auto" w:sz="4" w:space="0"/>
              <w:right w:val="single" w:color="auto" w:sz="4" w:space="0"/>
            </w:tcBorders>
            <w:shd w:val="clear" w:color="auto" w:fill="FFFFFF"/>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p>
        </w:tc>
        <w:tc>
          <w:tcPr>
            <w:tcW w:w="540" w:type="dxa"/>
            <w:vMerge w:val="continue"/>
            <w:tcBorders>
              <w:left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项目</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实施</w:t>
            </w:r>
          </w:p>
        </w:tc>
        <w:tc>
          <w:tcPr>
            <w:tcW w:w="550"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3</w:t>
            </w:r>
          </w:p>
        </w:tc>
        <w:tc>
          <w:tcPr>
            <w:tcW w:w="2407"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项目按计划开工；按计划进度开展；按计划完工</w:t>
            </w:r>
          </w:p>
        </w:tc>
        <w:tc>
          <w:tcPr>
            <w:tcW w:w="2772"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①按计划开工（1分）</w:t>
            </w:r>
          </w:p>
          <w:p>
            <w:pPr>
              <w:widowControl/>
              <w:spacing w:line="240" w:lineRule="exact"/>
              <w:jc w:val="left"/>
              <w:rPr>
                <w:rFonts w:ascii="宋体" w:hAnsi="宋体" w:cs="宋体"/>
                <w:kern w:val="0"/>
                <w:sz w:val="18"/>
                <w:szCs w:val="18"/>
              </w:rPr>
            </w:pPr>
            <w:r>
              <w:rPr>
                <w:rFonts w:hint="eastAsia" w:ascii="宋体" w:hAnsi="宋体" w:cs="宋体"/>
                <w:kern w:val="0"/>
                <w:sz w:val="18"/>
                <w:szCs w:val="18"/>
              </w:rPr>
              <w:t>②按计划开展（1分）</w:t>
            </w:r>
          </w:p>
          <w:p>
            <w:pPr>
              <w:widowControl/>
              <w:spacing w:line="240" w:lineRule="exact"/>
              <w:jc w:val="left"/>
              <w:rPr>
                <w:rFonts w:ascii="宋体" w:hAnsi="宋体" w:cs="宋体"/>
                <w:kern w:val="0"/>
                <w:sz w:val="18"/>
                <w:szCs w:val="18"/>
              </w:rPr>
            </w:pPr>
            <w:r>
              <w:rPr>
                <w:rFonts w:hint="eastAsia" w:ascii="宋体" w:hAnsi="宋体" w:cs="宋体"/>
                <w:kern w:val="0"/>
                <w:sz w:val="18"/>
                <w:szCs w:val="18"/>
              </w:rPr>
              <w:t>③按计划完工（1分）</w:t>
            </w:r>
          </w:p>
        </w:tc>
        <w:tc>
          <w:tcPr>
            <w:tcW w:w="803" w:type="dxa"/>
            <w:tcBorders>
              <w:top w:val="nil"/>
              <w:left w:val="single" w:color="auto" w:sz="4" w:space="0"/>
              <w:bottom w:val="single" w:color="auto" w:sz="4" w:space="0"/>
              <w:right w:val="single" w:color="auto" w:sz="4" w:space="0"/>
            </w:tcBorders>
            <w:shd w:val="clear" w:color="auto" w:fill="FFFFFF"/>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3</w:t>
            </w:r>
          </w:p>
        </w:tc>
      </w:tr>
      <w:tr>
        <w:tblPrEx>
          <w:tblCellMar>
            <w:top w:w="0" w:type="dxa"/>
            <w:left w:w="108" w:type="dxa"/>
            <w:bottom w:w="0" w:type="dxa"/>
            <w:right w:w="108" w:type="dxa"/>
          </w:tblCellMar>
        </w:tblPrEx>
        <w:trPr>
          <w:trHeight w:val="745" w:hRule="atLeast"/>
          <w:jc w:val="center"/>
        </w:trPr>
        <w:tc>
          <w:tcPr>
            <w:tcW w:w="702"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p>
        </w:tc>
        <w:tc>
          <w:tcPr>
            <w:tcW w:w="540"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管理</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制度</w:t>
            </w:r>
          </w:p>
        </w:tc>
        <w:tc>
          <w:tcPr>
            <w:tcW w:w="550"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5</w:t>
            </w:r>
          </w:p>
        </w:tc>
        <w:tc>
          <w:tcPr>
            <w:tcW w:w="2407"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项目管理制度健全；严格执行相关管理制度</w:t>
            </w:r>
          </w:p>
        </w:tc>
        <w:tc>
          <w:tcPr>
            <w:tcW w:w="2772"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①管理制度健全（2分）</w:t>
            </w:r>
          </w:p>
          <w:p>
            <w:pPr>
              <w:widowControl/>
              <w:spacing w:line="240" w:lineRule="exact"/>
              <w:jc w:val="left"/>
              <w:rPr>
                <w:rFonts w:ascii="宋体" w:hAnsi="宋体" w:cs="宋体"/>
                <w:kern w:val="0"/>
                <w:sz w:val="18"/>
                <w:szCs w:val="18"/>
              </w:rPr>
            </w:pPr>
            <w:r>
              <w:rPr>
                <w:rFonts w:hint="eastAsia" w:ascii="宋体" w:hAnsi="宋体" w:cs="宋体"/>
                <w:kern w:val="0"/>
                <w:sz w:val="18"/>
                <w:szCs w:val="18"/>
              </w:rPr>
              <w:t>②制度执行严格（3分）</w:t>
            </w:r>
          </w:p>
          <w:p>
            <w:pPr>
              <w:widowControl/>
              <w:spacing w:line="240" w:lineRule="exact"/>
              <w:jc w:val="left"/>
              <w:rPr>
                <w:rFonts w:ascii="宋体" w:hAnsi="宋体" w:cs="宋体"/>
                <w:kern w:val="0"/>
                <w:sz w:val="18"/>
                <w:szCs w:val="18"/>
              </w:rPr>
            </w:pPr>
            <w:r>
              <w:rPr>
                <w:rFonts w:hint="eastAsia" w:ascii="宋体" w:hAnsi="宋体"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shd w:val="clear" w:color="auto" w:fill="FFFFFF"/>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5</w:t>
            </w:r>
          </w:p>
        </w:tc>
      </w:tr>
      <w:tr>
        <w:tblPrEx>
          <w:tblCellMar>
            <w:top w:w="0" w:type="dxa"/>
            <w:left w:w="108" w:type="dxa"/>
            <w:bottom w:w="0" w:type="dxa"/>
            <w:right w:w="108" w:type="dxa"/>
          </w:tblCellMar>
        </w:tblPrEx>
        <w:trPr>
          <w:trHeight w:val="1134" w:hRule="atLeast"/>
          <w:jc w:val="center"/>
        </w:trPr>
        <w:tc>
          <w:tcPr>
            <w:tcW w:w="702" w:type="dxa"/>
            <w:vMerge w:val="restart"/>
            <w:tcBorders>
              <w:top w:val="single" w:color="auto" w:sz="4" w:space="0"/>
              <w:left w:val="single" w:color="000000" w:sz="4" w:space="0"/>
              <w:bottom w:val="single" w:color="000000" w:sz="4" w:space="0"/>
              <w:right w:val="single" w:color="000000" w:sz="4" w:space="0"/>
            </w:tcBorders>
            <w:shd w:val="clear" w:color="auto" w:fill="auto"/>
            <w:textDirection w:val="tbRlV"/>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项目绩效</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55</w:t>
            </w:r>
          </w:p>
        </w:tc>
        <w:tc>
          <w:tcPr>
            <w:tcW w:w="703" w:type="dxa"/>
            <w:vMerge w:val="restart"/>
            <w:tcBorders>
              <w:top w:val="single" w:color="auto" w:sz="4" w:space="0"/>
              <w:left w:val="single" w:color="000000" w:sz="4" w:space="0"/>
              <w:bottom w:val="single" w:color="000000" w:sz="4" w:space="0"/>
              <w:right w:val="single" w:color="000000" w:sz="4" w:space="0"/>
            </w:tcBorders>
            <w:shd w:val="clear" w:color="auto" w:fill="auto"/>
            <w:textDirection w:val="tbRlV"/>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项目产出</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15</w:t>
            </w:r>
          </w:p>
        </w:tc>
        <w:tc>
          <w:tcPr>
            <w:tcW w:w="803" w:type="dxa"/>
            <w:tcBorders>
              <w:top w:val="single" w:color="auto" w:sz="4" w:space="0"/>
              <w:left w:val="nil"/>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产出</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数量</w:t>
            </w:r>
          </w:p>
        </w:tc>
        <w:tc>
          <w:tcPr>
            <w:tcW w:w="550" w:type="dxa"/>
            <w:tcBorders>
              <w:top w:val="single" w:color="auto" w:sz="4" w:space="0"/>
              <w:left w:val="nil"/>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5</w:t>
            </w:r>
          </w:p>
        </w:tc>
        <w:tc>
          <w:tcPr>
            <w:tcW w:w="2407" w:type="dxa"/>
            <w:tcBorders>
              <w:top w:val="single" w:color="auto" w:sz="4" w:space="0"/>
              <w:left w:val="nil"/>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目标完成率=目标完成数/预定目标数×100%</w:t>
            </w:r>
          </w:p>
        </w:tc>
        <w:tc>
          <w:tcPr>
            <w:tcW w:w="2772" w:type="dxa"/>
            <w:tcBorders>
              <w:top w:val="single" w:color="auto" w:sz="4" w:space="0"/>
              <w:left w:val="nil"/>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完成绩效目标100%得5分，未完成100%的同比例扣减。</w:t>
            </w:r>
          </w:p>
        </w:tc>
        <w:tc>
          <w:tcPr>
            <w:tcW w:w="80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5</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产出</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质量</w:t>
            </w:r>
          </w:p>
        </w:tc>
        <w:tc>
          <w:tcPr>
            <w:tcW w:w="550"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4</w:t>
            </w:r>
          </w:p>
        </w:tc>
        <w:tc>
          <w:tcPr>
            <w:tcW w:w="2407"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目标完成质量=实际达到的效果/预定目标×100%</w:t>
            </w:r>
          </w:p>
        </w:tc>
        <w:tc>
          <w:tcPr>
            <w:tcW w:w="2772"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项目产出质量达到绩效目标100%得4分，未完成100%的同比例扣减。</w:t>
            </w:r>
          </w:p>
        </w:tc>
        <w:tc>
          <w:tcPr>
            <w:tcW w:w="803" w:type="dxa"/>
            <w:tcBorders>
              <w:top w:val="nil"/>
              <w:left w:val="single" w:color="auto" w:sz="4" w:space="0"/>
              <w:bottom w:val="single" w:color="auto" w:sz="4" w:space="0"/>
              <w:right w:val="single" w:color="auto" w:sz="4" w:space="0"/>
            </w:tcBorders>
            <w:shd w:val="clear" w:color="auto" w:fill="FFFFFF"/>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4</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产出</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时效</w:t>
            </w:r>
          </w:p>
        </w:tc>
        <w:tc>
          <w:tcPr>
            <w:tcW w:w="550"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3</w:t>
            </w:r>
          </w:p>
        </w:tc>
        <w:tc>
          <w:tcPr>
            <w:tcW w:w="2407"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项目资金使用的预定目标是否如期完成，未完成的理由是否充分</w:t>
            </w:r>
          </w:p>
        </w:tc>
        <w:tc>
          <w:tcPr>
            <w:tcW w:w="2772"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项目产出时效达到绩效目标得3分，未如期完成且无充分理由的扣3分。</w:t>
            </w:r>
          </w:p>
        </w:tc>
        <w:tc>
          <w:tcPr>
            <w:tcW w:w="803" w:type="dxa"/>
            <w:tcBorders>
              <w:top w:val="nil"/>
              <w:left w:val="single" w:color="auto" w:sz="4" w:space="0"/>
              <w:bottom w:val="single" w:color="auto" w:sz="4" w:space="0"/>
              <w:right w:val="single" w:color="auto" w:sz="4" w:space="0"/>
            </w:tcBorders>
            <w:shd w:val="clear" w:color="auto" w:fill="FFFFFF"/>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产出</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成本</w:t>
            </w:r>
          </w:p>
        </w:tc>
        <w:tc>
          <w:tcPr>
            <w:tcW w:w="550"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3</w:t>
            </w:r>
          </w:p>
        </w:tc>
        <w:tc>
          <w:tcPr>
            <w:tcW w:w="2407"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项目产出成本是否按绩效目标控制</w:t>
            </w:r>
          </w:p>
        </w:tc>
        <w:tc>
          <w:tcPr>
            <w:tcW w:w="2772"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项目产出成本按绩效目标控制得3分，未完成的，按超支比例扣减。</w:t>
            </w:r>
          </w:p>
        </w:tc>
        <w:tc>
          <w:tcPr>
            <w:tcW w:w="803" w:type="dxa"/>
            <w:tcBorders>
              <w:top w:val="nil"/>
              <w:left w:val="single" w:color="auto" w:sz="4" w:space="0"/>
              <w:bottom w:val="single" w:color="auto" w:sz="4" w:space="0"/>
              <w:right w:val="single" w:color="auto" w:sz="4" w:space="0"/>
            </w:tcBorders>
            <w:shd w:val="clear" w:color="auto" w:fill="FFFFFF"/>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shd w:val="clear" w:color="auto" w:fill="auto"/>
            <w:textDirection w:val="tbRlV"/>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项目效果</w:t>
            </w:r>
          </w:p>
        </w:tc>
        <w:tc>
          <w:tcPr>
            <w:tcW w:w="540"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40</w:t>
            </w:r>
          </w:p>
        </w:tc>
        <w:tc>
          <w:tcPr>
            <w:tcW w:w="803"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经济</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效益</w:t>
            </w:r>
          </w:p>
        </w:tc>
        <w:tc>
          <w:tcPr>
            <w:tcW w:w="550"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8</w:t>
            </w:r>
          </w:p>
        </w:tc>
        <w:tc>
          <w:tcPr>
            <w:tcW w:w="2407"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项目实施对经济发展所带来的直接或间接影响情况。</w:t>
            </w:r>
          </w:p>
        </w:tc>
        <w:tc>
          <w:tcPr>
            <w:tcW w:w="2772"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完成绩效目标设定的经济效益得8分，未完成的，按完成情况酌情扣分。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社会</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效益</w:t>
            </w:r>
          </w:p>
        </w:tc>
        <w:tc>
          <w:tcPr>
            <w:tcW w:w="550"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8</w:t>
            </w:r>
          </w:p>
        </w:tc>
        <w:tc>
          <w:tcPr>
            <w:tcW w:w="2407"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项目实施对社会发展所带来的直接或间接影响情况。</w:t>
            </w:r>
          </w:p>
        </w:tc>
        <w:tc>
          <w:tcPr>
            <w:tcW w:w="2772"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完成绩效目标设定的社会效益得8分，未完成的，按完成情况酌情扣分。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生态</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效益</w:t>
            </w:r>
          </w:p>
        </w:tc>
        <w:tc>
          <w:tcPr>
            <w:tcW w:w="550"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8</w:t>
            </w:r>
          </w:p>
        </w:tc>
        <w:tc>
          <w:tcPr>
            <w:tcW w:w="2407"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项目实施对生态环境所带来的直接或间接影响情况。</w:t>
            </w:r>
          </w:p>
        </w:tc>
        <w:tc>
          <w:tcPr>
            <w:tcW w:w="2772"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完成绩效目标设定的积极的环境效益得8分，未完成的，按完成情况酌情扣分。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8可持续</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影响</w:t>
            </w:r>
          </w:p>
        </w:tc>
        <w:tc>
          <w:tcPr>
            <w:tcW w:w="550"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8</w:t>
            </w:r>
          </w:p>
        </w:tc>
        <w:tc>
          <w:tcPr>
            <w:tcW w:w="2407"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项目后续运行及成效发挥的可持续影响情况。</w:t>
            </w:r>
          </w:p>
        </w:tc>
        <w:tc>
          <w:tcPr>
            <w:tcW w:w="2772"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完成绩效设定目标的得8分，未完成的，按完成情况酌情扣分。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p>
        </w:tc>
        <w:tc>
          <w:tcPr>
            <w:tcW w:w="803" w:type="dxa"/>
            <w:tcBorders>
              <w:top w:val="nil"/>
              <w:left w:val="nil"/>
              <w:bottom w:val="single" w:color="000000" w:sz="4" w:space="0"/>
              <w:right w:val="single" w:color="000000"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服务</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对象</w:t>
            </w:r>
          </w:p>
          <w:p>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tc>
        <w:tc>
          <w:tcPr>
            <w:tcW w:w="550" w:type="dxa"/>
            <w:tcBorders>
              <w:top w:val="nil"/>
              <w:left w:val="nil"/>
              <w:bottom w:val="single" w:color="000000" w:sz="4" w:space="0"/>
              <w:right w:val="single" w:color="000000" w:sz="4" w:space="0"/>
            </w:tcBorders>
            <w:vAlign w:val="center"/>
          </w:tcPr>
          <w:p>
            <w:pPr>
              <w:widowControl/>
              <w:spacing w:line="240" w:lineRule="exact"/>
              <w:jc w:val="center"/>
              <w:rPr>
                <w:rFonts w:ascii="宋体" w:hAnsi="宋体" w:cs="宋体"/>
                <w:kern w:val="0"/>
                <w:sz w:val="18"/>
                <w:szCs w:val="18"/>
              </w:rPr>
            </w:pPr>
            <w:r>
              <w:rPr>
                <w:rFonts w:hint="eastAsia" w:ascii="宋体" w:hAnsi="宋体" w:cs="宋体"/>
                <w:kern w:val="0"/>
                <w:sz w:val="18"/>
                <w:szCs w:val="18"/>
              </w:rPr>
              <w:t>8</w:t>
            </w:r>
          </w:p>
        </w:tc>
        <w:tc>
          <w:tcPr>
            <w:tcW w:w="2407" w:type="dxa"/>
            <w:tcBorders>
              <w:top w:val="nil"/>
              <w:left w:val="nil"/>
              <w:bottom w:val="single" w:color="000000" w:sz="4" w:space="0"/>
              <w:right w:val="single" w:color="000000" w:sz="4" w:space="0"/>
            </w:tcBorders>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服务对象满意率=项目区被调查人数中表示满意的人数(户数)/ 被调查人数(户数)×100%</w:t>
            </w:r>
          </w:p>
        </w:tc>
        <w:tc>
          <w:tcPr>
            <w:tcW w:w="2772" w:type="dxa"/>
            <w:tcBorders>
              <w:top w:val="nil"/>
              <w:left w:val="nil"/>
              <w:bottom w:val="single" w:color="000000" w:sz="4" w:space="0"/>
              <w:right w:val="nil"/>
            </w:tcBorders>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满意率达90%（含）以上的得8分，80%（含）-90%得6分，70%（含）-80%得4分，60%（含）-70%得2分，60%以下不得分。</w:t>
            </w:r>
          </w:p>
        </w:tc>
        <w:tc>
          <w:tcPr>
            <w:tcW w:w="803" w:type="dxa"/>
            <w:tcBorders>
              <w:top w:val="nil"/>
              <w:left w:val="single" w:color="auto" w:sz="4" w:space="0"/>
              <w:bottom w:val="single" w:color="auto" w:sz="4" w:space="0"/>
              <w:right w:val="single" w:color="auto" w:sz="4" w:space="0"/>
            </w:tcBorders>
            <w:vAlign w:val="center"/>
          </w:tcPr>
          <w:p>
            <w:pPr>
              <w:widowControl/>
              <w:spacing w:line="240" w:lineRule="exact"/>
              <w:jc w:val="left"/>
              <w:rPr>
                <w:rFonts w:ascii="宋体" w:hAnsi="宋体" w:cs="宋体"/>
                <w:kern w:val="0"/>
                <w:sz w:val="18"/>
                <w:szCs w:val="18"/>
              </w:rPr>
            </w:pPr>
            <w:r>
              <w:rPr>
                <w:rFonts w:hint="eastAsia" w:ascii="宋体" w:hAnsi="宋体" w:cs="宋体"/>
                <w:kern w:val="0"/>
                <w:sz w:val="18"/>
                <w:szCs w:val="18"/>
              </w:rPr>
              <w:t>8</w:t>
            </w:r>
          </w:p>
        </w:tc>
      </w:tr>
      <w:tr>
        <w:tblPrEx>
          <w:tblCellMar>
            <w:top w:w="0" w:type="dxa"/>
            <w:left w:w="108" w:type="dxa"/>
            <w:bottom w:w="0" w:type="dxa"/>
            <w:right w:w="108" w:type="dxa"/>
          </w:tblCellMar>
        </w:tblPrEx>
        <w:trPr>
          <w:trHeight w:val="860" w:hRule="atLeast"/>
          <w:jc w:val="center"/>
        </w:trPr>
        <w:tc>
          <w:tcPr>
            <w:tcW w:w="702" w:type="dxa"/>
            <w:tcBorders>
              <w:top w:val="nil"/>
              <w:left w:val="single" w:color="000000" w:sz="4" w:space="0"/>
              <w:bottom w:val="single" w:color="000000" w:sz="4" w:space="0"/>
              <w:right w:val="single" w:color="000000" w:sz="4" w:space="0"/>
            </w:tcBorders>
            <w:vAlign w:val="center"/>
          </w:tcPr>
          <w:p>
            <w:pPr>
              <w:widowControl/>
              <w:spacing w:line="240" w:lineRule="exact"/>
              <w:jc w:val="center"/>
              <w:rPr>
                <w:rFonts w:ascii="宋体" w:hAnsi="宋体" w:cs="宋体"/>
                <w:b/>
                <w:bCs/>
                <w:kern w:val="0"/>
                <w:sz w:val="18"/>
                <w:szCs w:val="18"/>
              </w:rPr>
            </w:pPr>
            <w:r>
              <w:rPr>
                <w:rFonts w:hint="eastAsia" w:ascii="宋体" w:hAnsi="宋体" w:cs="宋体"/>
                <w:b/>
                <w:bCs/>
                <w:kern w:val="0"/>
                <w:sz w:val="18"/>
                <w:szCs w:val="18"/>
              </w:rPr>
              <w:t>总分</w:t>
            </w:r>
          </w:p>
        </w:tc>
        <w:tc>
          <w:tcPr>
            <w:tcW w:w="540" w:type="dxa"/>
            <w:tcBorders>
              <w:top w:val="nil"/>
              <w:left w:val="nil"/>
              <w:bottom w:val="single" w:color="000000" w:sz="4" w:space="0"/>
              <w:right w:val="single" w:color="000000" w:sz="4" w:space="0"/>
            </w:tcBorders>
            <w:vAlign w:val="center"/>
          </w:tcPr>
          <w:p>
            <w:pPr>
              <w:widowControl/>
              <w:spacing w:line="240" w:lineRule="exact"/>
              <w:jc w:val="center"/>
              <w:rPr>
                <w:rFonts w:ascii="宋体" w:hAnsi="宋体" w:cs="宋体"/>
                <w:b/>
                <w:bCs/>
                <w:kern w:val="0"/>
                <w:sz w:val="18"/>
                <w:szCs w:val="18"/>
              </w:rPr>
            </w:pPr>
            <w:r>
              <w:rPr>
                <w:rFonts w:hint="eastAsia" w:ascii="宋体" w:hAnsi="宋体" w:cs="宋体"/>
                <w:b/>
                <w:bCs/>
                <w:kern w:val="0"/>
                <w:sz w:val="18"/>
                <w:szCs w:val="18"/>
              </w:rPr>
              <w:t>100</w:t>
            </w:r>
          </w:p>
        </w:tc>
        <w:tc>
          <w:tcPr>
            <w:tcW w:w="703" w:type="dxa"/>
            <w:tcBorders>
              <w:top w:val="nil"/>
              <w:left w:val="nil"/>
              <w:bottom w:val="single" w:color="000000" w:sz="4" w:space="0"/>
              <w:right w:val="single" w:color="000000" w:sz="4" w:space="0"/>
            </w:tcBorders>
            <w:vAlign w:val="center"/>
          </w:tcPr>
          <w:p>
            <w:pPr>
              <w:widowControl/>
              <w:spacing w:line="240" w:lineRule="exact"/>
              <w:jc w:val="center"/>
              <w:rPr>
                <w:rFonts w:ascii="宋体" w:hAnsi="宋体" w:cs="宋体"/>
                <w:b/>
                <w:bCs/>
                <w:kern w:val="0"/>
                <w:sz w:val="18"/>
                <w:szCs w:val="18"/>
              </w:rPr>
            </w:pPr>
          </w:p>
        </w:tc>
        <w:tc>
          <w:tcPr>
            <w:tcW w:w="540" w:type="dxa"/>
            <w:tcBorders>
              <w:top w:val="nil"/>
              <w:left w:val="nil"/>
              <w:bottom w:val="single" w:color="000000" w:sz="4" w:space="0"/>
              <w:right w:val="single" w:color="000000" w:sz="4" w:space="0"/>
            </w:tcBorders>
            <w:vAlign w:val="center"/>
          </w:tcPr>
          <w:p>
            <w:pPr>
              <w:widowControl/>
              <w:spacing w:line="240" w:lineRule="exact"/>
              <w:jc w:val="center"/>
              <w:rPr>
                <w:rFonts w:ascii="宋体" w:hAnsi="宋体" w:cs="宋体"/>
                <w:b/>
                <w:bCs/>
                <w:kern w:val="0"/>
                <w:sz w:val="18"/>
                <w:szCs w:val="18"/>
              </w:rPr>
            </w:pPr>
            <w:r>
              <w:rPr>
                <w:rFonts w:hint="eastAsia" w:ascii="宋体" w:hAnsi="宋体" w:cs="宋体"/>
                <w:b/>
                <w:bCs/>
                <w:kern w:val="0"/>
                <w:sz w:val="18"/>
                <w:szCs w:val="18"/>
              </w:rPr>
              <w:t>100</w:t>
            </w:r>
          </w:p>
        </w:tc>
        <w:tc>
          <w:tcPr>
            <w:tcW w:w="803" w:type="dxa"/>
            <w:tcBorders>
              <w:top w:val="nil"/>
              <w:left w:val="nil"/>
              <w:bottom w:val="single" w:color="000000" w:sz="4" w:space="0"/>
              <w:right w:val="single" w:color="000000" w:sz="4" w:space="0"/>
            </w:tcBorders>
            <w:vAlign w:val="center"/>
          </w:tcPr>
          <w:p>
            <w:pPr>
              <w:widowControl/>
              <w:spacing w:line="240" w:lineRule="exact"/>
              <w:jc w:val="center"/>
              <w:rPr>
                <w:rFonts w:ascii="宋体" w:hAnsi="宋体" w:cs="宋体"/>
                <w:b/>
                <w:bCs/>
                <w:kern w:val="0"/>
                <w:sz w:val="18"/>
                <w:szCs w:val="18"/>
              </w:rPr>
            </w:pPr>
          </w:p>
        </w:tc>
        <w:tc>
          <w:tcPr>
            <w:tcW w:w="550" w:type="dxa"/>
            <w:tcBorders>
              <w:top w:val="nil"/>
              <w:left w:val="nil"/>
              <w:bottom w:val="single" w:color="000000" w:sz="4" w:space="0"/>
              <w:right w:val="single" w:color="000000" w:sz="4" w:space="0"/>
            </w:tcBorders>
            <w:vAlign w:val="center"/>
          </w:tcPr>
          <w:p>
            <w:pPr>
              <w:widowControl/>
              <w:spacing w:line="240" w:lineRule="exact"/>
              <w:jc w:val="center"/>
              <w:rPr>
                <w:rFonts w:ascii="宋体" w:hAnsi="宋体" w:cs="宋体"/>
                <w:b/>
                <w:bCs/>
                <w:kern w:val="0"/>
                <w:sz w:val="18"/>
                <w:szCs w:val="18"/>
              </w:rPr>
            </w:pPr>
            <w:r>
              <w:rPr>
                <w:rFonts w:hint="eastAsia" w:ascii="宋体" w:hAnsi="宋体" w:cs="宋体"/>
                <w:b/>
                <w:bCs/>
                <w:kern w:val="0"/>
                <w:sz w:val="18"/>
                <w:szCs w:val="18"/>
              </w:rPr>
              <w:t>100</w:t>
            </w:r>
          </w:p>
        </w:tc>
        <w:tc>
          <w:tcPr>
            <w:tcW w:w="2407" w:type="dxa"/>
            <w:tcBorders>
              <w:top w:val="nil"/>
              <w:left w:val="nil"/>
              <w:bottom w:val="single" w:color="000000" w:sz="4" w:space="0"/>
              <w:right w:val="single" w:color="000000" w:sz="4" w:space="0"/>
            </w:tcBorders>
            <w:vAlign w:val="center"/>
          </w:tcPr>
          <w:p>
            <w:pPr>
              <w:widowControl/>
              <w:spacing w:line="240" w:lineRule="exact"/>
              <w:jc w:val="center"/>
              <w:rPr>
                <w:rFonts w:ascii="宋体" w:hAnsi="宋体" w:cs="宋体"/>
                <w:b/>
                <w:bCs/>
                <w:kern w:val="0"/>
                <w:sz w:val="18"/>
                <w:szCs w:val="18"/>
              </w:rPr>
            </w:pPr>
          </w:p>
        </w:tc>
        <w:tc>
          <w:tcPr>
            <w:tcW w:w="2772" w:type="dxa"/>
            <w:tcBorders>
              <w:top w:val="nil"/>
              <w:left w:val="nil"/>
              <w:bottom w:val="single" w:color="000000" w:sz="4" w:space="0"/>
              <w:right w:val="nil"/>
            </w:tcBorders>
            <w:vAlign w:val="center"/>
          </w:tcPr>
          <w:p>
            <w:pPr>
              <w:widowControl/>
              <w:spacing w:line="240" w:lineRule="exact"/>
              <w:jc w:val="center"/>
              <w:rPr>
                <w:rFonts w:ascii="宋体" w:hAnsi="宋体" w:cs="宋体"/>
                <w:b/>
                <w:bCs/>
                <w:kern w:val="0"/>
                <w:sz w:val="18"/>
                <w:szCs w:val="18"/>
              </w:rPr>
            </w:pPr>
          </w:p>
        </w:tc>
        <w:tc>
          <w:tcPr>
            <w:tcW w:w="803" w:type="dxa"/>
            <w:tcBorders>
              <w:top w:val="nil"/>
              <w:left w:val="single" w:color="auto" w:sz="4" w:space="0"/>
              <w:bottom w:val="single" w:color="auto" w:sz="4" w:space="0"/>
              <w:right w:val="single" w:color="auto" w:sz="4" w:space="0"/>
            </w:tcBorders>
            <w:vAlign w:val="center"/>
          </w:tcPr>
          <w:p>
            <w:pPr>
              <w:widowControl/>
              <w:spacing w:line="240" w:lineRule="exact"/>
              <w:jc w:val="left"/>
              <w:rPr>
                <w:rFonts w:ascii="宋体" w:hAnsi="宋体" w:cs="宋体"/>
                <w:b/>
                <w:bCs/>
                <w:kern w:val="0"/>
                <w:sz w:val="18"/>
                <w:szCs w:val="18"/>
              </w:rPr>
            </w:pPr>
            <w:r>
              <w:rPr>
                <w:rFonts w:hint="eastAsia" w:ascii="宋体" w:hAnsi="宋体" w:cs="宋体"/>
                <w:b/>
                <w:bCs/>
                <w:kern w:val="0"/>
                <w:sz w:val="18"/>
                <w:szCs w:val="18"/>
              </w:rPr>
              <w:t>100</w:t>
            </w:r>
          </w:p>
        </w:tc>
      </w:tr>
    </w:tbl>
    <w:p>
      <w:pPr>
        <w:adjustRightInd w:val="0"/>
        <w:snapToGrid w:val="0"/>
        <w:spacing w:beforeLines="50"/>
        <w:ind w:left="840" w:hanging="840" w:hangingChars="400"/>
        <w:contextualSpacing/>
        <w:rPr>
          <w:rFonts w:ascii="仿宋_GB2312" w:eastAsia="仿宋_GB2312"/>
        </w:rPr>
      </w:pPr>
      <w:r>
        <w:rPr>
          <w:rFonts w:hint="eastAsia" w:ascii="仿宋_GB2312" w:eastAsia="仿宋_GB2312"/>
        </w:rPr>
        <w:t>备注：1、部门（单位）根据项目实际，在《项目支出绩效评价指标评分表（共性）》上进一步完善、量化、细化个性指标，形成本项目的指标体系。</w:t>
      </w:r>
    </w:p>
    <w:p>
      <w:pPr>
        <w:adjustRightInd w:val="0"/>
        <w:snapToGrid w:val="0"/>
        <w:spacing w:beforeLines="50"/>
        <w:ind w:firstLine="630" w:firstLineChars="300"/>
        <w:contextualSpacing/>
        <w:rPr>
          <w:rFonts w:eastAsia="仿宋_GB2312"/>
          <w:sz w:val="32"/>
        </w:rPr>
      </w:pPr>
      <w:r>
        <w:rPr>
          <w:rFonts w:hint="eastAsia" w:ascii="仿宋_GB2312" w:eastAsia="仿宋_GB2312"/>
        </w:rPr>
        <w:t>2、一个一级项目一张表。</w:t>
      </w:r>
    </w:p>
    <w:p/>
    <w:p>
      <w:pPr>
        <w:pStyle w:val="2"/>
        <w:sectPr>
          <w:pgSz w:w="11906" w:h="16838"/>
          <w:pgMar w:top="1701" w:right="1417" w:bottom="1417" w:left="1417" w:header="851" w:footer="992" w:gutter="0"/>
          <w:cols w:space="0" w:num="1"/>
          <w:docGrid w:type="lines" w:linePitch="312" w:charSpace="0"/>
        </w:sectPr>
      </w:pPr>
    </w:p>
    <w:p>
      <w:pPr>
        <w:jc w:val="left"/>
        <w:outlineLvl w:val="0"/>
        <w:rPr>
          <w:rFonts w:eastAsia="黑体"/>
          <w:sz w:val="32"/>
          <w:szCs w:val="32"/>
        </w:rPr>
      </w:pPr>
      <w:r>
        <w:rPr>
          <w:rFonts w:hint="eastAsia" w:ascii="黑体" w:hAnsi="黑体" w:eastAsia="黑体" w:cs="黑体"/>
          <w:sz w:val="32"/>
          <w:szCs w:val="32"/>
        </w:rPr>
        <w:t>附件5</w:t>
      </w:r>
    </w:p>
    <w:p>
      <w:pPr>
        <w:widowControl/>
        <w:spacing w:line="600" w:lineRule="exact"/>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2022年度项目支出绩效自评表</w:t>
      </w:r>
    </w:p>
    <w:tbl>
      <w:tblPr>
        <w:tblStyle w:val="14"/>
        <w:tblW w:w="9851" w:type="dxa"/>
        <w:jc w:val="center"/>
        <w:tblLayout w:type="autofit"/>
        <w:tblCellMar>
          <w:top w:w="0" w:type="dxa"/>
          <w:left w:w="108" w:type="dxa"/>
          <w:bottom w:w="0" w:type="dxa"/>
          <w:right w:w="108" w:type="dxa"/>
        </w:tblCellMar>
      </w:tblPr>
      <w:tblGrid>
        <w:gridCol w:w="1080"/>
        <w:gridCol w:w="1080"/>
        <w:gridCol w:w="1080"/>
        <w:gridCol w:w="1224"/>
        <w:gridCol w:w="1134"/>
        <w:gridCol w:w="1134"/>
        <w:gridCol w:w="828"/>
        <w:gridCol w:w="873"/>
        <w:gridCol w:w="1418"/>
      </w:tblGrid>
      <w:tr>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宋体" w:hAnsi="宋体" w:cs="宋体"/>
                <w:color w:val="000000"/>
                <w:szCs w:val="21"/>
              </w:rPr>
            </w:pPr>
            <w:r>
              <w:rPr>
                <w:rFonts w:hint="eastAsia" w:ascii="宋体" w:hAnsi="宋体" w:cs="宋体"/>
                <w:color w:val="000000"/>
                <w:szCs w:val="21"/>
              </w:rPr>
              <w:t>项目支</w:t>
            </w:r>
          </w:p>
          <w:p>
            <w:pPr>
              <w:widowControl/>
              <w:spacing w:line="260" w:lineRule="exact"/>
              <w:jc w:val="center"/>
              <w:rPr>
                <w:rFonts w:ascii="宋体" w:hAnsi="宋体" w:cs="宋体"/>
                <w:color w:val="000000"/>
                <w:szCs w:val="21"/>
              </w:rPr>
            </w:pPr>
            <w:r>
              <w:rPr>
                <w:rFonts w:hint="eastAsia" w:ascii="宋体" w:hAnsi="宋体" w:cs="宋体"/>
                <w:color w:val="000000"/>
                <w:szCs w:val="21"/>
              </w:rPr>
              <w:t>出名称</w:t>
            </w:r>
          </w:p>
        </w:tc>
        <w:tc>
          <w:tcPr>
            <w:tcW w:w="8771" w:type="dxa"/>
            <w:gridSpan w:val="8"/>
            <w:tcBorders>
              <w:top w:val="single" w:color="auto" w:sz="4" w:space="0"/>
              <w:left w:val="nil"/>
              <w:bottom w:val="single" w:color="auto" w:sz="4" w:space="0"/>
              <w:right w:val="single" w:color="auto" w:sz="4" w:space="0"/>
            </w:tcBorders>
            <w:vAlign w:val="center"/>
          </w:tcPr>
          <w:p>
            <w:pPr>
              <w:widowControl/>
              <w:spacing w:line="260" w:lineRule="exact"/>
              <w:jc w:val="center"/>
              <w:rPr>
                <w:rFonts w:ascii="宋体" w:hAnsi="宋体" w:cs="宋体"/>
                <w:color w:val="000000"/>
                <w:szCs w:val="21"/>
              </w:rPr>
            </w:pPr>
            <w:r>
              <w:rPr>
                <w:rFonts w:hint="eastAsia" w:ascii="宋体" w:hAnsi="宋体" w:cs="宋体"/>
                <w:color w:val="000000"/>
                <w:szCs w:val="21"/>
              </w:rPr>
              <w:t>华容县护城大垸沟渠捞草扫障工程</w:t>
            </w:r>
          </w:p>
        </w:tc>
      </w:tr>
      <w:tr>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主管部门</w:t>
            </w:r>
          </w:p>
        </w:tc>
        <w:tc>
          <w:tcPr>
            <w:tcW w:w="4518" w:type="dxa"/>
            <w:gridSpan w:val="4"/>
            <w:tcBorders>
              <w:top w:val="single" w:color="auto" w:sz="4" w:space="0"/>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c>
          <w:tcPr>
            <w:tcW w:w="1134" w:type="dxa"/>
            <w:tcBorders>
              <w:top w:val="single" w:color="auto" w:sz="4" w:space="0"/>
              <w:left w:val="nil"/>
              <w:bottom w:val="single" w:color="auto" w:sz="4" w:space="0"/>
              <w:right w:val="single" w:color="000000" w:sz="4" w:space="0"/>
            </w:tcBorders>
            <w:vAlign w:val="center"/>
          </w:tcPr>
          <w:p>
            <w:pPr>
              <w:widowControl/>
              <w:spacing w:line="260" w:lineRule="exact"/>
              <w:jc w:val="center"/>
              <w:rPr>
                <w:rFonts w:ascii="宋体" w:hAnsi="宋体" w:cs="宋体"/>
                <w:color w:val="000000"/>
                <w:szCs w:val="21"/>
              </w:rPr>
            </w:pPr>
            <w:r>
              <w:rPr>
                <w:rFonts w:hint="eastAsia" w:ascii="宋体" w:hAnsi="宋体" w:cs="宋体"/>
                <w:color w:val="000000"/>
                <w:szCs w:val="21"/>
              </w:rPr>
              <w:t>实施单位</w:t>
            </w:r>
          </w:p>
        </w:tc>
        <w:tc>
          <w:tcPr>
            <w:tcW w:w="3119" w:type="dxa"/>
            <w:gridSpan w:val="3"/>
            <w:tcBorders>
              <w:top w:val="single" w:color="auto" w:sz="4" w:space="0"/>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vAlign w:val="center"/>
          </w:tcPr>
          <w:p>
            <w:pPr>
              <w:widowControl/>
              <w:spacing w:line="260" w:lineRule="exact"/>
              <w:jc w:val="center"/>
              <w:rPr>
                <w:rFonts w:ascii="宋体" w:hAnsi="宋体" w:cs="宋体"/>
                <w:color w:val="000000"/>
                <w:szCs w:val="21"/>
              </w:rPr>
            </w:pPr>
            <w:r>
              <w:rPr>
                <w:rFonts w:hint="eastAsia" w:ascii="宋体" w:hAnsi="宋体" w:cs="宋体"/>
                <w:color w:val="000000"/>
                <w:szCs w:val="21"/>
              </w:rPr>
              <w:t>项目资金</w:t>
            </w:r>
            <w:r>
              <w:rPr>
                <w:rFonts w:hint="eastAsia" w:ascii="宋体" w:hAnsi="宋体" w:cs="宋体"/>
                <w:color w:val="000000"/>
                <w:szCs w:val="21"/>
              </w:rPr>
              <w:br w:type="textWrapping"/>
            </w:r>
            <w:r>
              <w:rPr>
                <w:rFonts w:hint="eastAsia" w:ascii="宋体" w:hAnsi="宋体" w:cs="宋体"/>
                <w:color w:val="000000"/>
                <w:szCs w:val="21"/>
              </w:rPr>
              <w:t>（万元）</w:t>
            </w:r>
          </w:p>
        </w:tc>
        <w:tc>
          <w:tcPr>
            <w:tcW w:w="2160" w:type="dxa"/>
            <w:gridSpan w:val="2"/>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宋体" w:hAnsi="宋体" w:cs="宋体"/>
                <w:color w:val="000000"/>
                <w:szCs w:val="21"/>
              </w:rPr>
            </w:pPr>
            <w:r>
              <w:rPr>
                <w:rFonts w:hint="eastAsia" w:ascii="宋体" w:hAnsi="宋体" w:cs="宋体"/>
                <w:color w:val="000000"/>
                <w:szCs w:val="21"/>
              </w:rPr>
              <w:t>年初</w:t>
            </w:r>
          </w:p>
          <w:p>
            <w:pPr>
              <w:widowControl/>
              <w:spacing w:line="260" w:lineRule="exact"/>
              <w:jc w:val="center"/>
              <w:rPr>
                <w:rFonts w:ascii="宋体" w:hAnsi="宋体" w:cs="宋体"/>
                <w:color w:val="000000"/>
                <w:szCs w:val="21"/>
              </w:rPr>
            </w:pPr>
            <w:r>
              <w:rPr>
                <w:rFonts w:hint="eastAsia" w:ascii="宋体" w:hAnsi="宋体" w:cs="宋体"/>
                <w:color w:val="000000"/>
                <w:szCs w:val="21"/>
              </w:rPr>
              <w:t>预算数</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宋体" w:hAnsi="宋体" w:cs="宋体"/>
                <w:color w:val="000000"/>
                <w:szCs w:val="21"/>
              </w:rPr>
            </w:pPr>
            <w:r>
              <w:rPr>
                <w:rFonts w:hint="eastAsia" w:ascii="宋体" w:hAnsi="宋体" w:cs="宋体"/>
                <w:color w:val="000000"/>
                <w:szCs w:val="21"/>
              </w:rPr>
              <w:t>全年</w:t>
            </w:r>
          </w:p>
          <w:p>
            <w:pPr>
              <w:widowControl/>
              <w:spacing w:line="260" w:lineRule="exact"/>
              <w:jc w:val="center"/>
              <w:rPr>
                <w:rFonts w:ascii="宋体" w:hAnsi="宋体" w:cs="宋体"/>
                <w:color w:val="000000"/>
                <w:szCs w:val="21"/>
              </w:rPr>
            </w:pPr>
            <w:r>
              <w:rPr>
                <w:rFonts w:hint="eastAsia" w:ascii="宋体" w:hAnsi="宋体" w:cs="宋体"/>
                <w:color w:val="000000"/>
                <w:szCs w:val="21"/>
              </w:rPr>
              <w:t>预算数</w:t>
            </w:r>
          </w:p>
        </w:tc>
        <w:tc>
          <w:tcPr>
            <w:tcW w:w="1134" w:type="dxa"/>
            <w:tcBorders>
              <w:top w:val="nil"/>
              <w:left w:val="nil"/>
              <w:bottom w:val="single" w:color="auto" w:sz="4" w:space="0"/>
              <w:right w:val="single" w:color="auto" w:sz="4" w:space="0"/>
            </w:tcBorders>
            <w:vAlign w:val="center"/>
          </w:tcPr>
          <w:p>
            <w:pPr>
              <w:spacing w:line="260" w:lineRule="exact"/>
              <w:jc w:val="center"/>
              <w:rPr>
                <w:rFonts w:ascii="宋体" w:hAnsi="宋体" w:cs="宋体"/>
                <w:szCs w:val="21"/>
              </w:rPr>
            </w:pPr>
            <w:r>
              <w:rPr>
                <w:rFonts w:hint="eastAsia" w:ascii="宋体" w:hAnsi="宋体" w:cs="宋体"/>
                <w:szCs w:val="21"/>
              </w:rPr>
              <w:t>全年</w:t>
            </w:r>
          </w:p>
          <w:p>
            <w:pPr>
              <w:spacing w:line="260" w:lineRule="exact"/>
              <w:jc w:val="center"/>
              <w:rPr>
                <w:rFonts w:ascii="宋体" w:hAnsi="宋体" w:cs="宋体"/>
                <w:szCs w:val="21"/>
              </w:rPr>
            </w:pPr>
            <w:r>
              <w:rPr>
                <w:rFonts w:hint="eastAsia" w:ascii="宋体" w:hAnsi="宋体" w:cs="宋体"/>
                <w:szCs w:val="21"/>
              </w:rPr>
              <w:t>执行数</w:t>
            </w:r>
          </w:p>
        </w:tc>
        <w:tc>
          <w:tcPr>
            <w:tcW w:w="828" w:type="dxa"/>
            <w:tcBorders>
              <w:top w:val="nil"/>
              <w:left w:val="nil"/>
              <w:bottom w:val="single" w:color="auto" w:sz="4" w:space="0"/>
              <w:right w:val="single" w:color="auto" w:sz="4" w:space="0"/>
            </w:tcBorders>
            <w:vAlign w:val="center"/>
          </w:tcPr>
          <w:p>
            <w:pPr>
              <w:spacing w:line="260" w:lineRule="exact"/>
              <w:jc w:val="center"/>
              <w:rPr>
                <w:rFonts w:ascii="宋体" w:hAnsi="宋体" w:cs="宋体"/>
                <w:szCs w:val="21"/>
              </w:rPr>
            </w:pPr>
            <w:r>
              <w:rPr>
                <w:rFonts w:hint="eastAsia" w:ascii="宋体" w:hAnsi="宋体" w:cs="宋体"/>
                <w:szCs w:val="21"/>
              </w:rPr>
              <w:t>分值</w:t>
            </w:r>
          </w:p>
        </w:tc>
        <w:tc>
          <w:tcPr>
            <w:tcW w:w="873" w:type="dxa"/>
            <w:tcBorders>
              <w:top w:val="nil"/>
              <w:left w:val="nil"/>
              <w:bottom w:val="single" w:color="auto" w:sz="4" w:space="0"/>
              <w:right w:val="single" w:color="auto" w:sz="4" w:space="0"/>
            </w:tcBorders>
            <w:vAlign w:val="center"/>
          </w:tcPr>
          <w:p>
            <w:pPr>
              <w:spacing w:line="260" w:lineRule="exact"/>
              <w:jc w:val="center"/>
              <w:rPr>
                <w:rFonts w:ascii="宋体" w:hAnsi="宋体" w:cs="宋体"/>
                <w:szCs w:val="21"/>
              </w:rPr>
            </w:pPr>
            <w:r>
              <w:rPr>
                <w:rFonts w:hint="eastAsia" w:ascii="宋体" w:hAnsi="宋体" w:cs="宋体"/>
                <w:szCs w:val="21"/>
              </w:rPr>
              <w:t>执行率</w:t>
            </w:r>
          </w:p>
        </w:tc>
        <w:tc>
          <w:tcPr>
            <w:tcW w:w="1418" w:type="dxa"/>
            <w:tcBorders>
              <w:top w:val="nil"/>
              <w:left w:val="nil"/>
              <w:bottom w:val="single" w:color="auto" w:sz="4" w:space="0"/>
              <w:right w:val="single" w:color="auto" w:sz="4" w:space="0"/>
            </w:tcBorders>
            <w:vAlign w:val="center"/>
          </w:tcPr>
          <w:p>
            <w:pPr>
              <w:spacing w:line="260" w:lineRule="exact"/>
              <w:jc w:val="center"/>
              <w:rPr>
                <w:rFonts w:ascii="宋体" w:hAnsi="宋体" w:cs="宋体"/>
                <w:szCs w:val="21"/>
              </w:rPr>
            </w:pPr>
            <w:r>
              <w:rPr>
                <w:rFonts w:hint="eastAsia" w:ascii="宋体" w:hAnsi="宋体" w:cs="宋体"/>
                <w:szCs w:val="21"/>
              </w:rPr>
              <w:t>得分</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widowControl/>
              <w:spacing w:line="260" w:lineRule="exact"/>
              <w:jc w:val="left"/>
              <w:rPr>
                <w:rFonts w:ascii="宋体" w:hAnsi="宋体" w:cs="宋体"/>
                <w:color w:val="000000"/>
                <w:szCs w:val="21"/>
              </w:rPr>
            </w:pPr>
          </w:p>
        </w:tc>
        <w:tc>
          <w:tcPr>
            <w:tcW w:w="2160" w:type="dxa"/>
            <w:gridSpan w:val="2"/>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年度资金总额</w:t>
            </w:r>
          </w:p>
        </w:tc>
        <w:tc>
          <w:tcPr>
            <w:tcW w:w="122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0</w:t>
            </w: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80</w:t>
            </w: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80</w:t>
            </w:r>
          </w:p>
        </w:tc>
        <w:tc>
          <w:tcPr>
            <w:tcW w:w="82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10</w:t>
            </w:r>
          </w:p>
        </w:tc>
        <w:tc>
          <w:tcPr>
            <w:tcW w:w="873"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100%</w:t>
            </w:r>
          </w:p>
        </w:tc>
        <w:tc>
          <w:tcPr>
            <w:tcW w:w="141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10</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widowControl/>
              <w:spacing w:line="260" w:lineRule="exact"/>
              <w:jc w:val="left"/>
              <w:rPr>
                <w:rFonts w:ascii="宋体" w:hAnsi="宋体" w:cs="宋体"/>
                <w:color w:val="000000"/>
                <w:szCs w:val="21"/>
              </w:rPr>
            </w:pPr>
          </w:p>
        </w:tc>
        <w:tc>
          <w:tcPr>
            <w:tcW w:w="2160" w:type="dxa"/>
            <w:gridSpan w:val="2"/>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其中：当年财政拨款</w:t>
            </w:r>
          </w:p>
        </w:tc>
        <w:tc>
          <w:tcPr>
            <w:tcW w:w="122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80</w:t>
            </w: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c>
          <w:tcPr>
            <w:tcW w:w="82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c>
          <w:tcPr>
            <w:tcW w:w="873"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c>
          <w:tcPr>
            <w:tcW w:w="141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widowControl/>
              <w:spacing w:line="260" w:lineRule="exact"/>
              <w:jc w:val="left"/>
              <w:rPr>
                <w:rFonts w:ascii="宋体" w:hAnsi="宋体" w:cs="宋体"/>
                <w:color w:val="000000"/>
                <w:szCs w:val="21"/>
              </w:rPr>
            </w:pPr>
          </w:p>
        </w:tc>
        <w:tc>
          <w:tcPr>
            <w:tcW w:w="2160" w:type="dxa"/>
            <w:gridSpan w:val="2"/>
            <w:tcBorders>
              <w:top w:val="nil"/>
              <w:left w:val="nil"/>
              <w:bottom w:val="single" w:color="auto" w:sz="4" w:space="0"/>
              <w:right w:val="single" w:color="auto" w:sz="4" w:space="0"/>
            </w:tcBorders>
            <w:vAlign w:val="center"/>
          </w:tcPr>
          <w:p>
            <w:pPr>
              <w:widowControl/>
              <w:spacing w:line="260" w:lineRule="exact"/>
              <w:ind w:firstLine="630" w:firstLineChars="300"/>
              <w:jc w:val="left"/>
              <w:rPr>
                <w:rFonts w:ascii="宋体" w:hAnsi="宋体" w:cs="宋体"/>
                <w:color w:val="000000"/>
                <w:szCs w:val="21"/>
              </w:rPr>
            </w:pPr>
            <w:r>
              <w:rPr>
                <w:rFonts w:hint="eastAsia" w:ascii="宋体" w:hAnsi="宋体" w:cs="宋体"/>
                <w:color w:val="000000"/>
                <w:szCs w:val="21"/>
              </w:rPr>
              <w:t>上年结转资金</w:t>
            </w:r>
          </w:p>
        </w:tc>
        <w:tc>
          <w:tcPr>
            <w:tcW w:w="122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c>
          <w:tcPr>
            <w:tcW w:w="82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c>
          <w:tcPr>
            <w:tcW w:w="873"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c>
          <w:tcPr>
            <w:tcW w:w="141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widowControl/>
              <w:spacing w:line="260" w:lineRule="exact"/>
              <w:jc w:val="left"/>
              <w:rPr>
                <w:rFonts w:ascii="宋体" w:hAnsi="宋体" w:cs="宋体"/>
                <w:color w:val="000000"/>
                <w:szCs w:val="21"/>
              </w:rPr>
            </w:pPr>
          </w:p>
        </w:tc>
        <w:tc>
          <w:tcPr>
            <w:tcW w:w="2160" w:type="dxa"/>
            <w:gridSpan w:val="2"/>
            <w:tcBorders>
              <w:top w:val="nil"/>
              <w:left w:val="nil"/>
              <w:bottom w:val="single" w:color="auto" w:sz="4" w:space="0"/>
              <w:right w:val="single" w:color="auto" w:sz="4" w:space="0"/>
            </w:tcBorders>
            <w:vAlign w:val="center"/>
          </w:tcPr>
          <w:p>
            <w:pPr>
              <w:widowControl/>
              <w:spacing w:line="260" w:lineRule="exact"/>
              <w:ind w:firstLine="630" w:firstLineChars="300"/>
              <w:jc w:val="left"/>
              <w:rPr>
                <w:rFonts w:ascii="宋体" w:hAnsi="宋体" w:cs="宋体"/>
                <w:color w:val="000000"/>
                <w:szCs w:val="21"/>
              </w:rPr>
            </w:pPr>
            <w:r>
              <w:rPr>
                <w:rFonts w:hint="eastAsia" w:ascii="宋体" w:hAnsi="宋体" w:cs="宋体"/>
                <w:color w:val="000000"/>
                <w:szCs w:val="21"/>
              </w:rPr>
              <w:t>其他资金</w:t>
            </w:r>
          </w:p>
        </w:tc>
        <w:tc>
          <w:tcPr>
            <w:tcW w:w="122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c>
          <w:tcPr>
            <w:tcW w:w="82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c>
          <w:tcPr>
            <w:tcW w:w="873"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c>
          <w:tcPr>
            <w:tcW w:w="141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r>
      <w:tr>
        <w:tblPrEx>
          <w:tblCellMar>
            <w:top w:w="0" w:type="dxa"/>
            <w:left w:w="108" w:type="dxa"/>
            <w:bottom w:w="0" w:type="dxa"/>
            <w:right w:w="108" w:type="dxa"/>
          </w:tblCellMar>
        </w:tblPrEx>
        <w:trPr>
          <w:trHeight w:val="275" w:hRule="atLeast"/>
          <w:jc w:val="center"/>
        </w:trPr>
        <w:tc>
          <w:tcPr>
            <w:tcW w:w="1080" w:type="dxa"/>
            <w:vMerge w:val="restart"/>
            <w:tcBorders>
              <w:top w:val="nil"/>
              <w:left w:val="single" w:color="auto" w:sz="4" w:space="0"/>
              <w:bottom w:val="single" w:color="000000" w:sz="4" w:space="0"/>
              <w:right w:val="single" w:color="auto" w:sz="4" w:space="0"/>
            </w:tcBorders>
            <w:vAlign w:val="center"/>
          </w:tcPr>
          <w:p>
            <w:pPr>
              <w:widowControl/>
              <w:spacing w:line="260" w:lineRule="exact"/>
              <w:jc w:val="center"/>
              <w:rPr>
                <w:rFonts w:ascii="宋体" w:hAnsi="宋体" w:cs="宋体"/>
                <w:color w:val="000000"/>
                <w:szCs w:val="21"/>
              </w:rPr>
            </w:pPr>
            <w:r>
              <w:rPr>
                <w:rFonts w:hint="eastAsia" w:ascii="宋体" w:hAnsi="宋体" w:cs="宋体"/>
                <w:color w:val="000000"/>
                <w:szCs w:val="21"/>
              </w:rPr>
              <w:t>年度总体目标</w:t>
            </w:r>
          </w:p>
        </w:tc>
        <w:tc>
          <w:tcPr>
            <w:tcW w:w="4518" w:type="dxa"/>
            <w:gridSpan w:val="4"/>
            <w:tcBorders>
              <w:top w:val="single" w:color="auto" w:sz="4" w:space="0"/>
              <w:left w:val="nil"/>
              <w:bottom w:val="single" w:color="auto" w:sz="4" w:space="0"/>
              <w:right w:val="single" w:color="000000" w:sz="4" w:space="0"/>
            </w:tcBorders>
            <w:vAlign w:val="center"/>
          </w:tcPr>
          <w:p>
            <w:pPr>
              <w:widowControl/>
              <w:spacing w:line="260" w:lineRule="exact"/>
              <w:jc w:val="center"/>
              <w:rPr>
                <w:rFonts w:ascii="宋体" w:hAnsi="宋体" w:cs="宋体"/>
                <w:color w:val="000000"/>
                <w:szCs w:val="21"/>
              </w:rPr>
            </w:pPr>
            <w:r>
              <w:rPr>
                <w:rFonts w:hint="eastAsia" w:ascii="宋体" w:hAnsi="宋体" w:cs="宋体"/>
                <w:color w:val="000000"/>
                <w:szCs w:val="21"/>
              </w:rPr>
              <w:t>预期目标</w:t>
            </w:r>
          </w:p>
        </w:tc>
        <w:tc>
          <w:tcPr>
            <w:tcW w:w="4253" w:type="dxa"/>
            <w:gridSpan w:val="4"/>
            <w:tcBorders>
              <w:top w:val="single" w:color="auto" w:sz="4" w:space="0"/>
              <w:left w:val="nil"/>
              <w:bottom w:val="single" w:color="auto" w:sz="4" w:space="0"/>
              <w:right w:val="single" w:color="auto" w:sz="4" w:space="0"/>
            </w:tcBorders>
            <w:vAlign w:val="center"/>
          </w:tcPr>
          <w:p>
            <w:pPr>
              <w:widowControl/>
              <w:spacing w:line="260" w:lineRule="exact"/>
              <w:jc w:val="center"/>
              <w:rPr>
                <w:rFonts w:ascii="宋体" w:hAnsi="宋体" w:cs="宋体"/>
                <w:color w:val="000000"/>
                <w:szCs w:val="21"/>
              </w:rPr>
            </w:pPr>
            <w:r>
              <w:rPr>
                <w:rFonts w:hint="eastAsia" w:ascii="宋体" w:hAnsi="宋体" w:cs="宋体"/>
                <w:color w:val="000000"/>
                <w:szCs w:val="21"/>
              </w:rPr>
              <w:t>实际完成情况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widowControl/>
              <w:spacing w:line="260" w:lineRule="exact"/>
              <w:jc w:val="left"/>
              <w:rPr>
                <w:rFonts w:ascii="宋体" w:hAnsi="宋体" w:cs="宋体"/>
                <w:color w:val="000000"/>
                <w:szCs w:val="21"/>
              </w:rPr>
            </w:pPr>
          </w:p>
        </w:tc>
        <w:tc>
          <w:tcPr>
            <w:tcW w:w="4518" w:type="dxa"/>
            <w:gridSpan w:val="4"/>
            <w:tcBorders>
              <w:top w:val="single" w:color="auto" w:sz="4" w:space="0"/>
              <w:left w:val="nil"/>
              <w:bottom w:val="single" w:color="auto" w:sz="4" w:space="0"/>
              <w:right w:val="single" w:color="000000" w:sz="4" w:space="0"/>
            </w:tcBorders>
            <w:vAlign w:val="center"/>
          </w:tcPr>
          <w:p>
            <w:pPr>
              <w:widowControl/>
              <w:spacing w:line="260" w:lineRule="exact"/>
              <w:jc w:val="center"/>
              <w:rPr>
                <w:rFonts w:ascii="宋体" w:hAnsi="宋体" w:cs="宋体"/>
                <w:color w:val="000000"/>
                <w:szCs w:val="21"/>
              </w:rPr>
            </w:pPr>
            <w:r>
              <w:rPr>
                <w:rFonts w:hint="eastAsia" w:ascii="宋体" w:hAnsi="宋体" w:cs="宋体"/>
                <w:color w:val="000000"/>
                <w:szCs w:val="21"/>
              </w:rPr>
              <w:t>完成护城大垸沟渠捞草</w:t>
            </w:r>
          </w:p>
        </w:tc>
        <w:tc>
          <w:tcPr>
            <w:tcW w:w="4253" w:type="dxa"/>
            <w:gridSpan w:val="4"/>
            <w:tcBorders>
              <w:top w:val="single" w:color="auto" w:sz="4" w:space="0"/>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已全部完成</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vAlign w:val="center"/>
          </w:tcPr>
          <w:p>
            <w:pPr>
              <w:widowControl/>
              <w:spacing w:line="260" w:lineRule="exact"/>
              <w:jc w:val="center"/>
              <w:rPr>
                <w:rFonts w:ascii="宋体" w:hAnsi="宋体" w:cs="宋体"/>
                <w:color w:val="000000"/>
                <w:szCs w:val="21"/>
              </w:rPr>
            </w:pPr>
            <w:r>
              <w:rPr>
                <w:rFonts w:hint="eastAsia" w:ascii="宋体" w:hAnsi="宋体" w:cs="宋体"/>
                <w:color w:val="000000"/>
                <w:szCs w:val="21"/>
              </w:rPr>
              <w:t>绩</w:t>
            </w:r>
          </w:p>
          <w:p>
            <w:pPr>
              <w:widowControl/>
              <w:spacing w:line="260" w:lineRule="exact"/>
              <w:jc w:val="center"/>
              <w:rPr>
                <w:rFonts w:ascii="宋体" w:hAnsi="宋体" w:cs="宋体"/>
                <w:color w:val="000000"/>
                <w:szCs w:val="21"/>
              </w:rPr>
            </w:pPr>
            <w:r>
              <w:rPr>
                <w:rFonts w:hint="eastAsia" w:ascii="宋体" w:hAnsi="宋体" w:cs="宋体"/>
                <w:color w:val="000000"/>
                <w:szCs w:val="21"/>
              </w:rPr>
              <w:t>效</w:t>
            </w:r>
          </w:p>
          <w:p>
            <w:pPr>
              <w:widowControl/>
              <w:spacing w:line="260" w:lineRule="exact"/>
              <w:jc w:val="center"/>
              <w:rPr>
                <w:rFonts w:ascii="宋体" w:hAnsi="宋体" w:cs="宋体"/>
                <w:color w:val="000000"/>
                <w:szCs w:val="21"/>
              </w:rPr>
            </w:pPr>
            <w:r>
              <w:rPr>
                <w:rFonts w:hint="eastAsia" w:ascii="宋体" w:hAnsi="宋体" w:cs="宋体"/>
                <w:color w:val="000000"/>
                <w:szCs w:val="21"/>
              </w:rPr>
              <w:t>指</w:t>
            </w:r>
          </w:p>
          <w:p>
            <w:pPr>
              <w:widowControl/>
              <w:spacing w:line="260" w:lineRule="exact"/>
              <w:jc w:val="center"/>
              <w:rPr>
                <w:rFonts w:ascii="宋体" w:hAnsi="宋体" w:cs="宋体"/>
                <w:color w:val="000000"/>
                <w:szCs w:val="21"/>
              </w:rPr>
            </w:pPr>
            <w:r>
              <w:rPr>
                <w:rFonts w:hint="eastAsia" w:ascii="宋体" w:hAnsi="宋体" w:cs="宋体"/>
                <w:color w:val="000000"/>
                <w:szCs w:val="21"/>
              </w:rPr>
              <w:t>标</w:t>
            </w:r>
          </w:p>
        </w:tc>
        <w:tc>
          <w:tcPr>
            <w:tcW w:w="1080" w:type="dxa"/>
            <w:tcBorders>
              <w:top w:val="nil"/>
              <w:left w:val="nil"/>
              <w:bottom w:val="single" w:color="auto" w:sz="4" w:space="0"/>
              <w:right w:val="single" w:color="auto" w:sz="4" w:space="0"/>
            </w:tcBorders>
            <w:vAlign w:val="center"/>
          </w:tcPr>
          <w:p>
            <w:pPr>
              <w:widowControl/>
              <w:spacing w:line="260" w:lineRule="exact"/>
              <w:jc w:val="center"/>
              <w:rPr>
                <w:rFonts w:ascii="宋体" w:hAnsi="宋体" w:cs="宋体"/>
                <w:color w:val="000000"/>
                <w:szCs w:val="21"/>
              </w:rPr>
            </w:pPr>
            <w:r>
              <w:rPr>
                <w:rFonts w:hint="eastAsia" w:ascii="宋体" w:hAnsi="宋体" w:cs="宋体"/>
                <w:color w:val="000000"/>
                <w:szCs w:val="21"/>
              </w:rPr>
              <w:t>一级指标</w:t>
            </w:r>
          </w:p>
        </w:tc>
        <w:tc>
          <w:tcPr>
            <w:tcW w:w="1080" w:type="dxa"/>
            <w:tcBorders>
              <w:top w:val="nil"/>
              <w:left w:val="nil"/>
              <w:bottom w:val="single" w:color="auto" w:sz="4" w:space="0"/>
              <w:right w:val="single" w:color="auto" w:sz="4" w:space="0"/>
            </w:tcBorders>
            <w:vAlign w:val="center"/>
          </w:tcPr>
          <w:p>
            <w:pPr>
              <w:widowControl/>
              <w:spacing w:line="260" w:lineRule="exact"/>
              <w:jc w:val="center"/>
              <w:rPr>
                <w:rFonts w:ascii="宋体" w:hAnsi="宋体" w:cs="宋体"/>
                <w:color w:val="000000"/>
                <w:szCs w:val="21"/>
              </w:rPr>
            </w:pPr>
            <w:r>
              <w:rPr>
                <w:rFonts w:hint="eastAsia" w:ascii="宋体" w:hAnsi="宋体" w:cs="宋体"/>
                <w:color w:val="000000"/>
                <w:szCs w:val="21"/>
              </w:rPr>
              <w:t>二级指标</w:t>
            </w: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宋体" w:hAnsi="宋体" w:cs="宋体"/>
                <w:color w:val="000000"/>
                <w:szCs w:val="21"/>
              </w:rPr>
            </w:pPr>
            <w:r>
              <w:rPr>
                <w:rFonts w:hint="eastAsia" w:ascii="宋体" w:hAnsi="宋体" w:cs="宋体"/>
                <w:color w:val="000000"/>
                <w:szCs w:val="21"/>
              </w:rPr>
              <w:t>三级指标</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宋体" w:hAnsi="宋体" w:cs="宋体"/>
                <w:color w:val="000000"/>
                <w:szCs w:val="21"/>
              </w:rPr>
            </w:pPr>
            <w:r>
              <w:rPr>
                <w:rFonts w:hint="eastAsia" w:ascii="宋体" w:hAnsi="宋体" w:cs="宋体"/>
                <w:color w:val="000000"/>
                <w:szCs w:val="21"/>
              </w:rPr>
              <w:t>年度</w:t>
            </w:r>
          </w:p>
          <w:p>
            <w:pPr>
              <w:widowControl/>
              <w:spacing w:line="260" w:lineRule="exact"/>
              <w:jc w:val="center"/>
              <w:rPr>
                <w:rFonts w:ascii="宋体" w:hAnsi="宋体" w:cs="宋体"/>
                <w:color w:val="000000"/>
                <w:szCs w:val="21"/>
              </w:rPr>
            </w:pPr>
            <w:r>
              <w:rPr>
                <w:rFonts w:hint="eastAsia" w:ascii="宋体" w:hAnsi="宋体" w:cs="宋体"/>
                <w:color w:val="000000"/>
                <w:szCs w:val="21"/>
              </w:rPr>
              <w:t>指标值</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宋体" w:hAnsi="宋体" w:cs="宋体"/>
                <w:color w:val="000000"/>
                <w:szCs w:val="21"/>
              </w:rPr>
            </w:pPr>
            <w:r>
              <w:rPr>
                <w:rFonts w:hint="eastAsia" w:ascii="宋体" w:hAnsi="宋体" w:cs="宋体"/>
                <w:color w:val="000000"/>
                <w:szCs w:val="21"/>
              </w:rPr>
              <w:t>实际</w:t>
            </w:r>
          </w:p>
          <w:p>
            <w:pPr>
              <w:widowControl/>
              <w:spacing w:line="260" w:lineRule="exact"/>
              <w:jc w:val="center"/>
              <w:rPr>
                <w:rFonts w:ascii="宋体" w:hAnsi="宋体" w:cs="宋体"/>
                <w:color w:val="000000"/>
                <w:szCs w:val="21"/>
              </w:rPr>
            </w:pPr>
            <w:r>
              <w:rPr>
                <w:rFonts w:hint="eastAsia" w:ascii="宋体" w:hAnsi="宋体" w:cs="宋体"/>
                <w:color w:val="000000"/>
                <w:szCs w:val="21"/>
              </w:rPr>
              <w:t>完成值</w:t>
            </w: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宋体" w:hAnsi="宋体" w:cs="宋体"/>
                <w:color w:val="000000"/>
                <w:szCs w:val="21"/>
              </w:rPr>
            </w:pPr>
            <w:r>
              <w:rPr>
                <w:rFonts w:hint="eastAsia" w:ascii="宋体" w:hAnsi="宋体" w:cs="宋体"/>
                <w:color w:val="000000"/>
                <w:szCs w:val="21"/>
              </w:rPr>
              <w:t>分值</w:t>
            </w: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宋体" w:hAnsi="宋体" w:cs="宋体"/>
                <w:color w:val="000000"/>
                <w:szCs w:val="21"/>
              </w:rPr>
            </w:pPr>
            <w:r>
              <w:rPr>
                <w:rFonts w:hint="eastAsia" w:ascii="宋体" w:hAnsi="宋体" w:cs="宋体"/>
                <w:color w:val="000000"/>
                <w:szCs w:val="21"/>
              </w:rPr>
              <w:t>得分</w:t>
            </w:r>
          </w:p>
        </w:tc>
        <w:tc>
          <w:tcPr>
            <w:tcW w:w="1418" w:type="dxa"/>
            <w:tcBorders>
              <w:top w:val="nil"/>
              <w:left w:val="nil"/>
              <w:bottom w:val="single" w:color="auto" w:sz="4" w:space="0"/>
              <w:right w:val="single" w:color="auto" w:sz="4" w:space="0"/>
            </w:tcBorders>
            <w:vAlign w:val="center"/>
          </w:tcPr>
          <w:p>
            <w:pPr>
              <w:widowControl/>
              <w:spacing w:line="260" w:lineRule="exact"/>
              <w:rPr>
                <w:rFonts w:ascii="宋体" w:hAnsi="宋体" w:cs="宋体"/>
                <w:color w:val="000000"/>
                <w:szCs w:val="21"/>
              </w:rPr>
            </w:pPr>
            <w:r>
              <w:rPr>
                <w:rFonts w:hint="eastAsia" w:ascii="宋体" w:hAnsi="宋体" w:cs="宋体"/>
                <w:color w:val="000000"/>
                <w:szCs w:val="21"/>
              </w:rPr>
              <w:t>偏差原因分析及改进措施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left"/>
              <w:rPr>
                <w:rFonts w:ascii="宋体" w:hAnsi="宋体" w:cs="宋体"/>
                <w:color w:val="000000"/>
                <w:szCs w:val="21"/>
              </w:rPr>
            </w:pPr>
          </w:p>
        </w:tc>
        <w:tc>
          <w:tcPr>
            <w:tcW w:w="1080" w:type="dxa"/>
            <w:vMerge w:val="restart"/>
            <w:tcBorders>
              <w:top w:val="nil"/>
              <w:left w:val="nil"/>
              <w:right w:val="single" w:color="auto" w:sz="4" w:space="0"/>
            </w:tcBorders>
            <w:vAlign w:val="center"/>
          </w:tcPr>
          <w:p>
            <w:pPr>
              <w:widowControl/>
              <w:spacing w:line="260" w:lineRule="exact"/>
              <w:jc w:val="center"/>
              <w:rPr>
                <w:rFonts w:ascii="宋体" w:hAnsi="宋体" w:cs="宋体"/>
                <w:color w:val="000000"/>
                <w:szCs w:val="21"/>
              </w:rPr>
            </w:pPr>
            <w:r>
              <w:rPr>
                <w:rFonts w:hint="eastAsia" w:ascii="宋体" w:hAnsi="宋体" w:cs="宋体"/>
                <w:color w:val="000000"/>
                <w:szCs w:val="21"/>
              </w:rPr>
              <w:t>产出指标</w:t>
            </w:r>
          </w:p>
          <w:p>
            <w:pPr>
              <w:widowControl/>
              <w:spacing w:line="260" w:lineRule="exact"/>
              <w:jc w:val="center"/>
              <w:rPr>
                <w:rFonts w:ascii="宋体" w:hAnsi="宋体" w:cs="宋体"/>
                <w:color w:val="000000"/>
                <w:szCs w:val="21"/>
              </w:rPr>
            </w:pPr>
            <w:r>
              <w:rPr>
                <w:rFonts w:hint="eastAsia" w:ascii="宋体" w:hAnsi="宋体" w:cs="宋体"/>
                <w:color w:val="000000"/>
                <w:szCs w:val="21"/>
              </w:rPr>
              <w:t>(50分)</w:t>
            </w:r>
          </w:p>
        </w:tc>
        <w:tc>
          <w:tcPr>
            <w:tcW w:w="1080" w:type="dxa"/>
            <w:vMerge w:val="restart"/>
            <w:tcBorders>
              <w:top w:val="nil"/>
              <w:left w:val="nil"/>
              <w:right w:val="single" w:color="auto" w:sz="4" w:space="0"/>
            </w:tcBorders>
            <w:vAlign w:val="center"/>
          </w:tcPr>
          <w:p>
            <w:pPr>
              <w:widowControl/>
              <w:spacing w:line="260" w:lineRule="exact"/>
              <w:jc w:val="center"/>
              <w:rPr>
                <w:rFonts w:ascii="宋体" w:hAnsi="宋体" w:cs="宋体"/>
                <w:color w:val="000000"/>
                <w:szCs w:val="21"/>
              </w:rPr>
            </w:pPr>
            <w:r>
              <w:rPr>
                <w:rFonts w:hint="eastAsia" w:ascii="宋体" w:hAnsi="宋体" w:cs="宋体"/>
                <w:color w:val="000000"/>
                <w:szCs w:val="21"/>
              </w:rPr>
              <w:t>数量指标</w:t>
            </w:r>
          </w:p>
        </w:tc>
        <w:tc>
          <w:tcPr>
            <w:tcW w:w="122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100%</w:t>
            </w: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100%</w:t>
            </w:r>
          </w:p>
        </w:tc>
        <w:tc>
          <w:tcPr>
            <w:tcW w:w="82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10</w:t>
            </w:r>
          </w:p>
        </w:tc>
        <w:tc>
          <w:tcPr>
            <w:tcW w:w="873"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10</w:t>
            </w:r>
          </w:p>
        </w:tc>
        <w:tc>
          <w:tcPr>
            <w:tcW w:w="141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left"/>
              <w:rPr>
                <w:rFonts w:ascii="宋体" w:hAnsi="宋体" w:cs="宋体"/>
                <w:color w:val="000000"/>
                <w:szCs w:val="21"/>
              </w:rPr>
            </w:pPr>
          </w:p>
        </w:tc>
        <w:tc>
          <w:tcPr>
            <w:tcW w:w="1080" w:type="dxa"/>
            <w:vMerge w:val="continue"/>
            <w:tcBorders>
              <w:left w:val="nil"/>
              <w:right w:val="single" w:color="auto" w:sz="4" w:space="0"/>
            </w:tcBorders>
            <w:vAlign w:val="center"/>
          </w:tcPr>
          <w:p>
            <w:pPr>
              <w:spacing w:line="260" w:lineRule="exact"/>
              <w:jc w:val="left"/>
              <w:rPr>
                <w:rFonts w:ascii="宋体" w:hAnsi="宋体" w:cs="宋体"/>
                <w:color w:val="000000"/>
                <w:szCs w:val="21"/>
              </w:rPr>
            </w:pPr>
          </w:p>
        </w:tc>
        <w:tc>
          <w:tcPr>
            <w:tcW w:w="1080" w:type="dxa"/>
            <w:vMerge w:val="continue"/>
            <w:tcBorders>
              <w:left w:val="nil"/>
              <w:right w:val="single" w:color="auto" w:sz="4" w:space="0"/>
            </w:tcBorders>
            <w:vAlign w:val="center"/>
          </w:tcPr>
          <w:p>
            <w:pPr>
              <w:spacing w:line="260" w:lineRule="exact"/>
              <w:jc w:val="center"/>
              <w:rPr>
                <w:rFonts w:ascii="宋体" w:hAnsi="宋体" w:cs="宋体"/>
                <w:color w:val="000000"/>
                <w:szCs w:val="21"/>
              </w:rPr>
            </w:pPr>
          </w:p>
        </w:tc>
        <w:tc>
          <w:tcPr>
            <w:tcW w:w="122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82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873"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141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left"/>
              <w:rPr>
                <w:rFonts w:ascii="宋体" w:hAnsi="宋体" w:cs="宋体"/>
                <w:color w:val="000000"/>
                <w:szCs w:val="21"/>
              </w:rPr>
            </w:pPr>
          </w:p>
        </w:tc>
        <w:tc>
          <w:tcPr>
            <w:tcW w:w="1080" w:type="dxa"/>
            <w:vMerge w:val="continue"/>
            <w:tcBorders>
              <w:left w:val="nil"/>
              <w:right w:val="single" w:color="auto" w:sz="4" w:space="0"/>
            </w:tcBorders>
            <w:vAlign w:val="center"/>
          </w:tcPr>
          <w:p>
            <w:pPr>
              <w:spacing w:line="260" w:lineRule="exact"/>
              <w:jc w:val="left"/>
              <w:rPr>
                <w:rFonts w:ascii="宋体" w:hAnsi="宋体" w:cs="宋体"/>
                <w:color w:val="000000"/>
                <w:szCs w:val="21"/>
              </w:rPr>
            </w:pPr>
          </w:p>
        </w:tc>
        <w:tc>
          <w:tcPr>
            <w:tcW w:w="1080" w:type="dxa"/>
            <w:vMerge w:val="continue"/>
            <w:tcBorders>
              <w:left w:val="nil"/>
              <w:bottom w:val="single" w:color="auto" w:sz="4" w:space="0"/>
              <w:right w:val="single" w:color="auto" w:sz="4" w:space="0"/>
            </w:tcBorders>
            <w:vAlign w:val="center"/>
          </w:tcPr>
          <w:p>
            <w:pPr>
              <w:widowControl/>
              <w:spacing w:line="260" w:lineRule="exact"/>
              <w:jc w:val="center"/>
              <w:rPr>
                <w:rFonts w:ascii="宋体" w:hAnsi="宋体" w:cs="宋体"/>
                <w:color w:val="000000"/>
                <w:szCs w:val="21"/>
              </w:rPr>
            </w:pPr>
          </w:p>
        </w:tc>
        <w:tc>
          <w:tcPr>
            <w:tcW w:w="122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w:t>
            </w: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82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873"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141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left"/>
              <w:rPr>
                <w:rFonts w:ascii="宋体" w:hAnsi="宋体" w:cs="宋体"/>
                <w:color w:val="000000"/>
                <w:szCs w:val="21"/>
              </w:rPr>
            </w:pPr>
          </w:p>
        </w:tc>
        <w:tc>
          <w:tcPr>
            <w:tcW w:w="1080" w:type="dxa"/>
            <w:vMerge w:val="continue"/>
            <w:tcBorders>
              <w:left w:val="nil"/>
              <w:right w:val="single" w:color="auto" w:sz="4" w:space="0"/>
            </w:tcBorders>
            <w:vAlign w:val="center"/>
          </w:tcPr>
          <w:p>
            <w:pPr>
              <w:spacing w:line="260" w:lineRule="exact"/>
              <w:jc w:val="left"/>
              <w:rPr>
                <w:rFonts w:ascii="宋体" w:hAnsi="宋体" w:cs="宋体"/>
                <w:color w:val="000000"/>
                <w:szCs w:val="21"/>
              </w:rPr>
            </w:pPr>
          </w:p>
        </w:tc>
        <w:tc>
          <w:tcPr>
            <w:tcW w:w="1080" w:type="dxa"/>
            <w:vMerge w:val="restart"/>
            <w:tcBorders>
              <w:top w:val="nil"/>
              <w:left w:val="nil"/>
              <w:right w:val="single" w:color="auto" w:sz="4" w:space="0"/>
            </w:tcBorders>
            <w:vAlign w:val="center"/>
          </w:tcPr>
          <w:p>
            <w:pPr>
              <w:widowControl/>
              <w:spacing w:line="260" w:lineRule="exact"/>
              <w:jc w:val="center"/>
              <w:rPr>
                <w:rFonts w:ascii="宋体" w:hAnsi="宋体" w:cs="宋体"/>
                <w:color w:val="000000"/>
                <w:szCs w:val="21"/>
              </w:rPr>
            </w:pPr>
            <w:r>
              <w:rPr>
                <w:rFonts w:hint="eastAsia" w:ascii="宋体" w:hAnsi="宋体" w:cs="宋体"/>
                <w:color w:val="000000"/>
                <w:szCs w:val="21"/>
              </w:rPr>
              <w:t>质量指标</w:t>
            </w:r>
          </w:p>
        </w:tc>
        <w:tc>
          <w:tcPr>
            <w:tcW w:w="122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100%</w:t>
            </w: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100%</w:t>
            </w:r>
          </w:p>
        </w:tc>
        <w:tc>
          <w:tcPr>
            <w:tcW w:w="82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10</w:t>
            </w:r>
          </w:p>
        </w:tc>
        <w:tc>
          <w:tcPr>
            <w:tcW w:w="873"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10</w:t>
            </w:r>
          </w:p>
        </w:tc>
        <w:tc>
          <w:tcPr>
            <w:tcW w:w="141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left"/>
              <w:rPr>
                <w:rFonts w:ascii="宋体" w:hAnsi="宋体" w:cs="宋体"/>
                <w:color w:val="000000"/>
                <w:szCs w:val="21"/>
              </w:rPr>
            </w:pPr>
          </w:p>
        </w:tc>
        <w:tc>
          <w:tcPr>
            <w:tcW w:w="1080" w:type="dxa"/>
            <w:vMerge w:val="continue"/>
            <w:tcBorders>
              <w:left w:val="nil"/>
              <w:right w:val="single" w:color="auto" w:sz="4" w:space="0"/>
            </w:tcBorders>
            <w:vAlign w:val="center"/>
          </w:tcPr>
          <w:p>
            <w:pPr>
              <w:spacing w:line="260" w:lineRule="exact"/>
              <w:jc w:val="left"/>
              <w:rPr>
                <w:rFonts w:ascii="宋体" w:hAnsi="宋体" w:cs="宋体"/>
                <w:color w:val="000000"/>
                <w:szCs w:val="21"/>
              </w:rPr>
            </w:pPr>
          </w:p>
        </w:tc>
        <w:tc>
          <w:tcPr>
            <w:tcW w:w="1080" w:type="dxa"/>
            <w:vMerge w:val="continue"/>
            <w:tcBorders>
              <w:left w:val="nil"/>
              <w:right w:val="single" w:color="auto" w:sz="4" w:space="0"/>
            </w:tcBorders>
            <w:vAlign w:val="center"/>
          </w:tcPr>
          <w:p>
            <w:pPr>
              <w:spacing w:line="260" w:lineRule="exact"/>
              <w:jc w:val="center"/>
              <w:rPr>
                <w:rFonts w:ascii="宋体" w:hAnsi="宋体" w:cs="宋体"/>
                <w:color w:val="000000"/>
                <w:szCs w:val="21"/>
              </w:rPr>
            </w:pPr>
          </w:p>
        </w:tc>
        <w:tc>
          <w:tcPr>
            <w:tcW w:w="122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82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873"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141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left"/>
              <w:rPr>
                <w:rFonts w:ascii="宋体" w:hAnsi="宋体" w:cs="宋体"/>
                <w:color w:val="000000"/>
                <w:szCs w:val="21"/>
              </w:rPr>
            </w:pPr>
          </w:p>
        </w:tc>
        <w:tc>
          <w:tcPr>
            <w:tcW w:w="1080" w:type="dxa"/>
            <w:vMerge w:val="continue"/>
            <w:tcBorders>
              <w:left w:val="nil"/>
              <w:right w:val="single" w:color="auto" w:sz="4" w:space="0"/>
            </w:tcBorders>
            <w:vAlign w:val="center"/>
          </w:tcPr>
          <w:p>
            <w:pPr>
              <w:spacing w:line="260" w:lineRule="exact"/>
              <w:jc w:val="left"/>
              <w:rPr>
                <w:rFonts w:ascii="宋体" w:hAnsi="宋体" w:cs="宋体"/>
                <w:color w:val="000000"/>
                <w:szCs w:val="21"/>
              </w:rPr>
            </w:pPr>
          </w:p>
        </w:tc>
        <w:tc>
          <w:tcPr>
            <w:tcW w:w="1080" w:type="dxa"/>
            <w:vMerge w:val="continue"/>
            <w:tcBorders>
              <w:left w:val="nil"/>
              <w:bottom w:val="single" w:color="auto" w:sz="4" w:space="0"/>
              <w:right w:val="single" w:color="auto" w:sz="4" w:space="0"/>
            </w:tcBorders>
            <w:vAlign w:val="center"/>
          </w:tcPr>
          <w:p>
            <w:pPr>
              <w:widowControl/>
              <w:spacing w:line="260" w:lineRule="exact"/>
              <w:jc w:val="center"/>
              <w:rPr>
                <w:rFonts w:ascii="宋体" w:hAnsi="宋体" w:cs="宋体"/>
                <w:color w:val="000000"/>
                <w:szCs w:val="21"/>
              </w:rPr>
            </w:pPr>
          </w:p>
        </w:tc>
        <w:tc>
          <w:tcPr>
            <w:tcW w:w="122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w:t>
            </w: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82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873"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141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left"/>
              <w:rPr>
                <w:rFonts w:ascii="宋体" w:hAnsi="宋体" w:cs="宋体"/>
                <w:color w:val="000000"/>
                <w:szCs w:val="21"/>
              </w:rPr>
            </w:pPr>
          </w:p>
        </w:tc>
        <w:tc>
          <w:tcPr>
            <w:tcW w:w="1080" w:type="dxa"/>
            <w:vMerge w:val="continue"/>
            <w:tcBorders>
              <w:left w:val="nil"/>
              <w:right w:val="single" w:color="auto" w:sz="4" w:space="0"/>
            </w:tcBorders>
            <w:vAlign w:val="center"/>
          </w:tcPr>
          <w:p>
            <w:pPr>
              <w:spacing w:line="260" w:lineRule="exact"/>
              <w:jc w:val="left"/>
              <w:rPr>
                <w:rFonts w:ascii="宋体" w:hAnsi="宋体" w:cs="宋体"/>
                <w:color w:val="000000"/>
                <w:szCs w:val="21"/>
              </w:rPr>
            </w:pPr>
          </w:p>
        </w:tc>
        <w:tc>
          <w:tcPr>
            <w:tcW w:w="1080" w:type="dxa"/>
            <w:vMerge w:val="restart"/>
            <w:tcBorders>
              <w:top w:val="nil"/>
              <w:left w:val="nil"/>
              <w:right w:val="single" w:color="auto" w:sz="4" w:space="0"/>
            </w:tcBorders>
            <w:vAlign w:val="center"/>
          </w:tcPr>
          <w:p>
            <w:pPr>
              <w:widowControl/>
              <w:spacing w:line="260" w:lineRule="exact"/>
              <w:jc w:val="center"/>
              <w:rPr>
                <w:rFonts w:ascii="宋体" w:hAnsi="宋体" w:cs="宋体"/>
                <w:color w:val="000000"/>
                <w:szCs w:val="21"/>
              </w:rPr>
            </w:pPr>
            <w:r>
              <w:rPr>
                <w:rFonts w:hint="eastAsia" w:ascii="宋体" w:hAnsi="宋体" w:cs="宋体"/>
                <w:color w:val="000000"/>
                <w:szCs w:val="21"/>
              </w:rPr>
              <w:t>时效指标</w:t>
            </w:r>
          </w:p>
        </w:tc>
        <w:tc>
          <w:tcPr>
            <w:tcW w:w="122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82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873"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141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left"/>
              <w:rPr>
                <w:rFonts w:ascii="宋体" w:hAnsi="宋体" w:cs="宋体"/>
                <w:color w:val="000000"/>
                <w:szCs w:val="21"/>
              </w:rPr>
            </w:pPr>
          </w:p>
        </w:tc>
        <w:tc>
          <w:tcPr>
            <w:tcW w:w="1080" w:type="dxa"/>
            <w:vMerge w:val="continue"/>
            <w:tcBorders>
              <w:left w:val="nil"/>
              <w:right w:val="single" w:color="auto" w:sz="4" w:space="0"/>
            </w:tcBorders>
            <w:vAlign w:val="center"/>
          </w:tcPr>
          <w:p>
            <w:pPr>
              <w:spacing w:line="260" w:lineRule="exact"/>
              <w:jc w:val="left"/>
              <w:rPr>
                <w:rFonts w:ascii="宋体" w:hAnsi="宋体" w:cs="宋体"/>
                <w:color w:val="000000"/>
                <w:szCs w:val="21"/>
              </w:rPr>
            </w:pPr>
          </w:p>
        </w:tc>
        <w:tc>
          <w:tcPr>
            <w:tcW w:w="1080" w:type="dxa"/>
            <w:vMerge w:val="continue"/>
            <w:tcBorders>
              <w:left w:val="nil"/>
              <w:right w:val="single" w:color="auto" w:sz="4" w:space="0"/>
            </w:tcBorders>
            <w:vAlign w:val="center"/>
          </w:tcPr>
          <w:p>
            <w:pPr>
              <w:spacing w:line="260" w:lineRule="exact"/>
              <w:jc w:val="center"/>
              <w:rPr>
                <w:rFonts w:ascii="宋体" w:hAnsi="宋体" w:cs="宋体"/>
                <w:color w:val="000000"/>
                <w:szCs w:val="21"/>
              </w:rPr>
            </w:pPr>
          </w:p>
        </w:tc>
        <w:tc>
          <w:tcPr>
            <w:tcW w:w="122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100%</w:t>
            </w: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100%</w:t>
            </w:r>
          </w:p>
        </w:tc>
        <w:tc>
          <w:tcPr>
            <w:tcW w:w="82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10</w:t>
            </w:r>
          </w:p>
        </w:tc>
        <w:tc>
          <w:tcPr>
            <w:tcW w:w="873"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10</w:t>
            </w:r>
          </w:p>
        </w:tc>
        <w:tc>
          <w:tcPr>
            <w:tcW w:w="141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left"/>
              <w:rPr>
                <w:rFonts w:ascii="宋体" w:hAnsi="宋体" w:cs="宋体"/>
                <w:color w:val="000000"/>
                <w:szCs w:val="21"/>
              </w:rPr>
            </w:pPr>
          </w:p>
        </w:tc>
        <w:tc>
          <w:tcPr>
            <w:tcW w:w="1080" w:type="dxa"/>
            <w:vMerge w:val="continue"/>
            <w:tcBorders>
              <w:left w:val="nil"/>
              <w:right w:val="single" w:color="auto" w:sz="4" w:space="0"/>
            </w:tcBorders>
            <w:vAlign w:val="center"/>
          </w:tcPr>
          <w:p>
            <w:pPr>
              <w:spacing w:line="260" w:lineRule="exact"/>
              <w:jc w:val="left"/>
              <w:rPr>
                <w:rFonts w:ascii="宋体" w:hAnsi="宋体" w:cs="宋体"/>
                <w:color w:val="000000"/>
                <w:szCs w:val="21"/>
              </w:rPr>
            </w:pPr>
          </w:p>
        </w:tc>
        <w:tc>
          <w:tcPr>
            <w:tcW w:w="1080" w:type="dxa"/>
            <w:vMerge w:val="continue"/>
            <w:tcBorders>
              <w:left w:val="nil"/>
              <w:bottom w:val="single" w:color="auto" w:sz="4" w:space="0"/>
              <w:right w:val="single" w:color="auto" w:sz="4" w:space="0"/>
            </w:tcBorders>
            <w:vAlign w:val="center"/>
          </w:tcPr>
          <w:p>
            <w:pPr>
              <w:widowControl/>
              <w:spacing w:line="260" w:lineRule="exact"/>
              <w:jc w:val="center"/>
              <w:rPr>
                <w:rFonts w:ascii="宋体" w:hAnsi="宋体" w:cs="宋体"/>
                <w:color w:val="000000"/>
                <w:szCs w:val="21"/>
              </w:rPr>
            </w:pPr>
          </w:p>
        </w:tc>
        <w:tc>
          <w:tcPr>
            <w:tcW w:w="122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w:t>
            </w: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82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873"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141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left"/>
              <w:rPr>
                <w:rFonts w:ascii="宋体" w:hAnsi="宋体" w:cs="宋体"/>
                <w:color w:val="000000"/>
                <w:szCs w:val="21"/>
              </w:rPr>
            </w:pPr>
          </w:p>
        </w:tc>
        <w:tc>
          <w:tcPr>
            <w:tcW w:w="1080" w:type="dxa"/>
            <w:vMerge w:val="continue"/>
            <w:tcBorders>
              <w:left w:val="nil"/>
              <w:right w:val="single" w:color="auto" w:sz="4" w:space="0"/>
            </w:tcBorders>
            <w:vAlign w:val="center"/>
          </w:tcPr>
          <w:p>
            <w:pPr>
              <w:spacing w:line="260" w:lineRule="exact"/>
              <w:jc w:val="left"/>
              <w:rPr>
                <w:rFonts w:ascii="宋体" w:hAnsi="宋体" w:cs="宋体"/>
                <w:color w:val="000000"/>
                <w:szCs w:val="21"/>
              </w:rPr>
            </w:pPr>
          </w:p>
        </w:tc>
        <w:tc>
          <w:tcPr>
            <w:tcW w:w="1080" w:type="dxa"/>
            <w:vMerge w:val="restart"/>
            <w:tcBorders>
              <w:top w:val="nil"/>
              <w:left w:val="nil"/>
              <w:right w:val="single" w:color="auto" w:sz="4" w:space="0"/>
            </w:tcBorders>
            <w:vAlign w:val="center"/>
          </w:tcPr>
          <w:p>
            <w:pPr>
              <w:widowControl/>
              <w:spacing w:line="260" w:lineRule="exact"/>
              <w:jc w:val="center"/>
              <w:rPr>
                <w:rFonts w:ascii="宋体" w:hAnsi="宋体" w:cs="宋体"/>
                <w:color w:val="000000"/>
                <w:szCs w:val="21"/>
              </w:rPr>
            </w:pPr>
            <w:r>
              <w:rPr>
                <w:rFonts w:hint="eastAsia" w:ascii="宋体" w:hAnsi="宋体" w:cs="宋体"/>
                <w:color w:val="000000"/>
                <w:szCs w:val="21"/>
              </w:rPr>
              <w:t>成本指标</w:t>
            </w:r>
          </w:p>
        </w:tc>
        <w:tc>
          <w:tcPr>
            <w:tcW w:w="122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82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873"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141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left"/>
              <w:rPr>
                <w:rFonts w:ascii="宋体" w:hAnsi="宋体" w:cs="宋体"/>
                <w:color w:val="000000"/>
                <w:szCs w:val="21"/>
              </w:rPr>
            </w:pPr>
          </w:p>
        </w:tc>
        <w:tc>
          <w:tcPr>
            <w:tcW w:w="1080" w:type="dxa"/>
            <w:vMerge w:val="continue"/>
            <w:tcBorders>
              <w:left w:val="nil"/>
              <w:right w:val="single" w:color="auto" w:sz="4" w:space="0"/>
            </w:tcBorders>
            <w:vAlign w:val="center"/>
          </w:tcPr>
          <w:p>
            <w:pPr>
              <w:spacing w:line="260" w:lineRule="exact"/>
              <w:jc w:val="left"/>
              <w:rPr>
                <w:rFonts w:ascii="宋体" w:hAnsi="宋体" w:cs="宋体"/>
                <w:color w:val="000000"/>
                <w:szCs w:val="21"/>
              </w:rPr>
            </w:pPr>
          </w:p>
        </w:tc>
        <w:tc>
          <w:tcPr>
            <w:tcW w:w="1080" w:type="dxa"/>
            <w:vMerge w:val="continue"/>
            <w:tcBorders>
              <w:left w:val="nil"/>
              <w:right w:val="single" w:color="auto" w:sz="4" w:space="0"/>
            </w:tcBorders>
            <w:vAlign w:val="center"/>
          </w:tcPr>
          <w:p>
            <w:pPr>
              <w:spacing w:line="260" w:lineRule="exact"/>
              <w:jc w:val="left"/>
              <w:rPr>
                <w:rFonts w:ascii="宋体" w:hAnsi="宋体" w:cs="宋体"/>
                <w:color w:val="000000"/>
                <w:szCs w:val="21"/>
              </w:rPr>
            </w:pPr>
          </w:p>
        </w:tc>
        <w:tc>
          <w:tcPr>
            <w:tcW w:w="122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100%</w:t>
            </w: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100%</w:t>
            </w:r>
          </w:p>
        </w:tc>
        <w:tc>
          <w:tcPr>
            <w:tcW w:w="82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10</w:t>
            </w:r>
          </w:p>
        </w:tc>
        <w:tc>
          <w:tcPr>
            <w:tcW w:w="873"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10</w:t>
            </w:r>
          </w:p>
        </w:tc>
        <w:tc>
          <w:tcPr>
            <w:tcW w:w="141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left"/>
              <w:rPr>
                <w:rFonts w:ascii="宋体" w:hAnsi="宋体" w:cs="宋体"/>
                <w:color w:val="000000"/>
                <w:szCs w:val="21"/>
              </w:rPr>
            </w:pPr>
          </w:p>
        </w:tc>
        <w:tc>
          <w:tcPr>
            <w:tcW w:w="1080" w:type="dxa"/>
            <w:vMerge w:val="continue"/>
            <w:tcBorders>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c>
          <w:tcPr>
            <w:tcW w:w="1080" w:type="dxa"/>
            <w:vMerge w:val="continue"/>
            <w:tcBorders>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c>
          <w:tcPr>
            <w:tcW w:w="122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w:t>
            </w: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82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873"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141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left"/>
              <w:rPr>
                <w:rFonts w:ascii="宋体" w:hAnsi="宋体" w:cs="宋体"/>
                <w:color w:val="000000"/>
                <w:szCs w:val="21"/>
              </w:rPr>
            </w:pPr>
          </w:p>
        </w:tc>
        <w:tc>
          <w:tcPr>
            <w:tcW w:w="1080" w:type="dxa"/>
            <w:vMerge w:val="restart"/>
            <w:tcBorders>
              <w:top w:val="nil"/>
              <w:left w:val="nil"/>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效益指标</w:t>
            </w:r>
          </w:p>
          <w:p>
            <w:pPr>
              <w:widowControl/>
              <w:spacing w:line="260" w:lineRule="exact"/>
              <w:jc w:val="left"/>
              <w:rPr>
                <w:rFonts w:ascii="宋体" w:hAnsi="宋体" w:cs="宋体"/>
                <w:color w:val="000000"/>
                <w:szCs w:val="21"/>
              </w:rPr>
            </w:pPr>
            <w:r>
              <w:rPr>
                <w:rFonts w:hint="eastAsia" w:ascii="宋体" w:hAnsi="宋体" w:cs="宋体"/>
                <w:color w:val="000000"/>
                <w:szCs w:val="21"/>
              </w:rPr>
              <w:t>（30分）</w:t>
            </w:r>
          </w:p>
        </w:tc>
        <w:tc>
          <w:tcPr>
            <w:tcW w:w="1080" w:type="dxa"/>
            <w:vMerge w:val="restart"/>
            <w:tcBorders>
              <w:top w:val="nil"/>
              <w:left w:val="nil"/>
              <w:right w:val="single" w:color="auto" w:sz="4" w:space="0"/>
            </w:tcBorders>
            <w:vAlign w:val="center"/>
          </w:tcPr>
          <w:p>
            <w:pPr>
              <w:widowControl/>
              <w:spacing w:line="260" w:lineRule="exact"/>
              <w:jc w:val="center"/>
              <w:rPr>
                <w:rFonts w:ascii="宋体" w:hAnsi="宋体" w:cs="宋体"/>
                <w:color w:val="000000"/>
                <w:szCs w:val="21"/>
              </w:rPr>
            </w:pPr>
            <w:r>
              <w:rPr>
                <w:rFonts w:hint="eastAsia" w:ascii="宋体" w:hAnsi="宋体" w:cs="宋体"/>
                <w:color w:val="000000"/>
                <w:szCs w:val="21"/>
              </w:rPr>
              <w:t>经济效</w:t>
            </w:r>
          </w:p>
          <w:p>
            <w:pPr>
              <w:widowControl/>
              <w:spacing w:line="260" w:lineRule="exact"/>
              <w:jc w:val="center"/>
              <w:rPr>
                <w:rFonts w:ascii="宋体" w:hAnsi="宋体" w:cs="宋体"/>
                <w:color w:val="000000"/>
                <w:szCs w:val="21"/>
              </w:rPr>
            </w:pPr>
            <w:r>
              <w:rPr>
                <w:rFonts w:hint="eastAsia" w:ascii="宋体" w:hAnsi="宋体" w:cs="宋体"/>
                <w:color w:val="000000"/>
                <w:szCs w:val="21"/>
              </w:rPr>
              <w:t>益指标</w:t>
            </w:r>
          </w:p>
        </w:tc>
        <w:tc>
          <w:tcPr>
            <w:tcW w:w="122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82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873"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141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left"/>
              <w:rPr>
                <w:rFonts w:ascii="宋体" w:hAnsi="宋体" w:cs="宋体"/>
                <w:color w:val="000000"/>
                <w:szCs w:val="21"/>
              </w:rPr>
            </w:pPr>
          </w:p>
        </w:tc>
        <w:tc>
          <w:tcPr>
            <w:tcW w:w="1080" w:type="dxa"/>
            <w:vMerge w:val="continue"/>
            <w:tcBorders>
              <w:left w:val="nil"/>
              <w:right w:val="single" w:color="auto" w:sz="4" w:space="0"/>
            </w:tcBorders>
            <w:vAlign w:val="center"/>
          </w:tcPr>
          <w:p>
            <w:pPr>
              <w:spacing w:line="260" w:lineRule="exact"/>
              <w:jc w:val="left"/>
              <w:rPr>
                <w:rFonts w:ascii="宋体" w:hAnsi="宋体" w:cs="宋体"/>
                <w:color w:val="000000"/>
                <w:szCs w:val="21"/>
              </w:rPr>
            </w:pPr>
          </w:p>
        </w:tc>
        <w:tc>
          <w:tcPr>
            <w:tcW w:w="1080" w:type="dxa"/>
            <w:vMerge w:val="continue"/>
            <w:tcBorders>
              <w:left w:val="nil"/>
              <w:right w:val="single" w:color="auto" w:sz="4" w:space="0"/>
            </w:tcBorders>
            <w:vAlign w:val="center"/>
          </w:tcPr>
          <w:p>
            <w:pPr>
              <w:spacing w:line="260" w:lineRule="exact"/>
              <w:jc w:val="center"/>
              <w:rPr>
                <w:rFonts w:ascii="宋体" w:hAnsi="宋体" w:cs="宋体"/>
                <w:color w:val="000000"/>
                <w:szCs w:val="21"/>
              </w:rPr>
            </w:pPr>
          </w:p>
        </w:tc>
        <w:tc>
          <w:tcPr>
            <w:tcW w:w="122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100%</w:t>
            </w: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100%</w:t>
            </w:r>
          </w:p>
        </w:tc>
        <w:tc>
          <w:tcPr>
            <w:tcW w:w="82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10</w:t>
            </w:r>
          </w:p>
        </w:tc>
        <w:tc>
          <w:tcPr>
            <w:tcW w:w="873"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10</w:t>
            </w:r>
          </w:p>
        </w:tc>
        <w:tc>
          <w:tcPr>
            <w:tcW w:w="141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left"/>
              <w:rPr>
                <w:rFonts w:ascii="宋体" w:hAnsi="宋体" w:cs="宋体"/>
                <w:color w:val="000000"/>
                <w:szCs w:val="21"/>
              </w:rPr>
            </w:pPr>
          </w:p>
        </w:tc>
        <w:tc>
          <w:tcPr>
            <w:tcW w:w="1080" w:type="dxa"/>
            <w:vMerge w:val="continue"/>
            <w:tcBorders>
              <w:left w:val="nil"/>
              <w:right w:val="single" w:color="auto" w:sz="4" w:space="0"/>
            </w:tcBorders>
            <w:vAlign w:val="center"/>
          </w:tcPr>
          <w:p>
            <w:pPr>
              <w:spacing w:line="260" w:lineRule="exact"/>
              <w:jc w:val="left"/>
              <w:rPr>
                <w:rFonts w:ascii="宋体" w:hAnsi="宋体" w:cs="宋体"/>
                <w:color w:val="000000"/>
                <w:szCs w:val="21"/>
              </w:rPr>
            </w:pPr>
          </w:p>
        </w:tc>
        <w:tc>
          <w:tcPr>
            <w:tcW w:w="1080" w:type="dxa"/>
            <w:vMerge w:val="continue"/>
            <w:tcBorders>
              <w:left w:val="nil"/>
              <w:bottom w:val="single" w:color="auto" w:sz="4" w:space="0"/>
              <w:right w:val="single" w:color="auto" w:sz="4" w:space="0"/>
            </w:tcBorders>
            <w:vAlign w:val="center"/>
          </w:tcPr>
          <w:p>
            <w:pPr>
              <w:widowControl/>
              <w:spacing w:line="260" w:lineRule="exact"/>
              <w:jc w:val="center"/>
              <w:rPr>
                <w:rFonts w:ascii="宋体" w:hAnsi="宋体" w:cs="宋体"/>
                <w:color w:val="000000"/>
                <w:szCs w:val="21"/>
              </w:rPr>
            </w:pPr>
          </w:p>
        </w:tc>
        <w:tc>
          <w:tcPr>
            <w:tcW w:w="122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w:t>
            </w: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82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873"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141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left"/>
              <w:rPr>
                <w:rFonts w:ascii="宋体" w:hAnsi="宋体" w:cs="宋体"/>
                <w:color w:val="000000"/>
                <w:szCs w:val="21"/>
              </w:rPr>
            </w:pPr>
          </w:p>
        </w:tc>
        <w:tc>
          <w:tcPr>
            <w:tcW w:w="1080" w:type="dxa"/>
            <w:vMerge w:val="continue"/>
            <w:tcBorders>
              <w:left w:val="nil"/>
              <w:right w:val="single" w:color="auto" w:sz="4" w:space="0"/>
            </w:tcBorders>
            <w:vAlign w:val="center"/>
          </w:tcPr>
          <w:p>
            <w:pPr>
              <w:spacing w:line="260" w:lineRule="exact"/>
              <w:jc w:val="left"/>
              <w:rPr>
                <w:rFonts w:ascii="宋体" w:hAnsi="宋体" w:cs="宋体"/>
                <w:color w:val="000000"/>
                <w:szCs w:val="21"/>
              </w:rPr>
            </w:pPr>
          </w:p>
        </w:tc>
        <w:tc>
          <w:tcPr>
            <w:tcW w:w="1080" w:type="dxa"/>
            <w:vMerge w:val="restart"/>
            <w:tcBorders>
              <w:top w:val="nil"/>
              <w:left w:val="nil"/>
              <w:right w:val="single" w:color="auto" w:sz="4" w:space="0"/>
            </w:tcBorders>
            <w:vAlign w:val="center"/>
          </w:tcPr>
          <w:p>
            <w:pPr>
              <w:widowControl/>
              <w:spacing w:line="260" w:lineRule="exact"/>
              <w:jc w:val="center"/>
              <w:rPr>
                <w:rFonts w:ascii="宋体" w:hAnsi="宋体" w:cs="宋体"/>
                <w:color w:val="000000"/>
                <w:szCs w:val="21"/>
              </w:rPr>
            </w:pPr>
            <w:r>
              <w:rPr>
                <w:rFonts w:hint="eastAsia" w:ascii="宋体" w:hAnsi="宋体" w:cs="宋体"/>
                <w:color w:val="000000"/>
                <w:szCs w:val="21"/>
              </w:rPr>
              <w:t>社会效</w:t>
            </w:r>
          </w:p>
          <w:p>
            <w:pPr>
              <w:widowControl/>
              <w:spacing w:line="260" w:lineRule="exact"/>
              <w:jc w:val="center"/>
              <w:rPr>
                <w:rFonts w:ascii="宋体" w:hAnsi="宋体" w:cs="宋体"/>
                <w:color w:val="000000"/>
                <w:szCs w:val="21"/>
              </w:rPr>
            </w:pPr>
            <w:r>
              <w:rPr>
                <w:rFonts w:hint="eastAsia" w:ascii="宋体" w:hAnsi="宋体" w:cs="宋体"/>
                <w:color w:val="000000"/>
                <w:szCs w:val="21"/>
              </w:rPr>
              <w:t>益指标</w:t>
            </w:r>
          </w:p>
        </w:tc>
        <w:tc>
          <w:tcPr>
            <w:tcW w:w="122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82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873"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141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left"/>
              <w:rPr>
                <w:rFonts w:ascii="宋体" w:hAnsi="宋体" w:cs="宋体"/>
                <w:color w:val="000000"/>
                <w:szCs w:val="21"/>
              </w:rPr>
            </w:pPr>
          </w:p>
        </w:tc>
        <w:tc>
          <w:tcPr>
            <w:tcW w:w="1080" w:type="dxa"/>
            <w:vMerge w:val="continue"/>
            <w:tcBorders>
              <w:left w:val="nil"/>
              <w:right w:val="single" w:color="auto" w:sz="4" w:space="0"/>
            </w:tcBorders>
            <w:vAlign w:val="center"/>
          </w:tcPr>
          <w:p>
            <w:pPr>
              <w:spacing w:line="260" w:lineRule="exact"/>
              <w:jc w:val="left"/>
              <w:rPr>
                <w:rFonts w:ascii="宋体" w:hAnsi="宋体" w:cs="宋体"/>
                <w:color w:val="000000"/>
                <w:szCs w:val="21"/>
              </w:rPr>
            </w:pPr>
          </w:p>
        </w:tc>
        <w:tc>
          <w:tcPr>
            <w:tcW w:w="1080" w:type="dxa"/>
            <w:vMerge w:val="continue"/>
            <w:tcBorders>
              <w:left w:val="nil"/>
              <w:right w:val="single" w:color="auto" w:sz="4" w:space="0"/>
            </w:tcBorders>
            <w:vAlign w:val="center"/>
          </w:tcPr>
          <w:p>
            <w:pPr>
              <w:spacing w:line="260" w:lineRule="exact"/>
              <w:jc w:val="center"/>
              <w:rPr>
                <w:rFonts w:ascii="宋体" w:hAnsi="宋体" w:cs="宋体"/>
                <w:color w:val="000000"/>
                <w:szCs w:val="21"/>
              </w:rPr>
            </w:pPr>
          </w:p>
        </w:tc>
        <w:tc>
          <w:tcPr>
            <w:tcW w:w="122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100%</w:t>
            </w: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100%</w:t>
            </w:r>
          </w:p>
        </w:tc>
        <w:tc>
          <w:tcPr>
            <w:tcW w:w="82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10</w:t>
            </w:r>
          </w:p>
        </w:tc>
        <w:tc>
          <w:tcPr>
            <w:tcW w:w="873"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10</w:t>
            </w:r>
          </w:p>
        </w:tc>
        <w:tc>
          <w:tcPr>
            <w:tcW w:w="141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left"/>
              <w:rPr>
                <w:rFonts w:ascii="宋体" w:hAnsi="宋体" w:cs="宋体"/>
                <w:color w:val="000000"/>
                <w:szCs w:val="21"/>
              </w:rPr>
            </w:pPr>
          </w:p>
        </w:tc>
        <w:tc>
          <w:tcPr>
            <w:tcW w:w="1080" w:type="dxa"/>
            <w:vMerge w:val="continue"/>
            <w:tcBorders>
              <w:left w:val="nil"/>
              <w:right w:val="single" w:color="auto" w:sz="4" w:space="0"/>
            </w:tcBorders>
            <w:vAlign w:val="center"/>
          </w:tcPr>
          <w:p>
            <w:pPr>
              <w:spacing w:line="260" w:lineRule="exact"/>
              <w:jc w:val="left"/>
              <w:rPr>
                <w:rFonts w:ascii="宋体" w:hAnsi="宋体" w:cs="宋体"/>
                <w:color w:val="000000"/>
                <w:szCs w:val="21"/>
              </w:rPr>
            </w:pPr>
          </w:p>
        </w:tc>
        <w:tc>
          <w:tcPr>
            <w:tcW w:w="1080" w:type="dxa"/>
            <w:vMerge w:val="continue"/>
            <w:tcBorders>
              <w:left w:val="nil"/>
              <w:bottom w:val="single" w:color="auto" w:sz="4" w:space="0"/>
              <w:right w:val="single" w:color="auto" w:sz="4" w:space="0"/>
            </w:tcBorders>
            <w:vAlign w:val="center"/>
          </w:tcPr>
          <w:p>
            <w:pPr>
              <w:widowControl/>
              <w:spacing w:line="260" w:lineRule="exact"/>
              <w:jc w:val="center"/>
              <w:rPr>
                <w:rFonts w:ascii="宋体" w:hAnsi="宋体" w:cs="宋体"/>
                <w:color w:val="000000"/>
                <w:szCs w:val="21"/>
              </w:rPr>
            </w:pPr>
          </w:p>
        </w:tc>
        <w:tc>
          <w:tcPr>
            <w:tcW w:w="122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w:t>
            </w: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82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873"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141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left"/>
              <w:rPr>
                <w:rFonts w:ascii="宋体" w:hAnsi="宋体" w:cs="宋体"/>
                <w:color w:val="000000"/>
                <w:szCs w:val="21"/>
              </w:rPr>
            </w:pPr>
          </w:p>
        </w:tc>
        <w:tc>
          <w:tcPr>
            <w:tcW w:w="1080" w:type="dxa"/>
            <w:vMerge w:val="continue"/>
            <w:tcBorders>
              <w:left w:val="nil"/>
              <w:right w:val="single" w:color="auto" w:sz="4" w:space="0"/>
            </w:tcBorders>
            <w:vAlign w:val="center"/>
          </w:tcPr>
          <w:p>
            <w:pPr>
              <w:spacing w:line="260" w:lineRule="exact"/>
              <w:jc w:val="left"/>
              <w:rPr>
                <w:rFonts w:ascii="宋体" w:hAnsi="宋体" w:cs="宋体"/>
                <w:color w:val="000000"/>
                <w:szCs w:val="21"/>
              </w:rPr>
            </w:pPr>
          </w:p>
        </w:tc>
        <w:tc>
          <w:tcPr>
            <w:tcW w:w="1080" w:type="dxa"/>
            <w:vMerge w:val="restart"/>
            <w:tcBorders>
              <w:top w:val="nil"/>
              <w:left w:val="nil"/>
              <w:right w:val="single" w:color="auto" w:sz="4" w:space="0"/>
            </w:tcBorders>
            <w:vAlign w:val="center"/>
          </w:tcPr>
          <w:p>
            <w:pPr>
              <w:widowControl/>
              <w:spacing w:line="260" w:lineRule="exact"/>
              <w:jc w:val="center"/>
              <w:rPr>
                <w:rFonts w:ascii="宋体" w:hAnsi="宋体" w:cs="宋体"/>
                <w:color w:val="000000"/>
                <w:szCs w:val="21"/>
              </w:rPr>
            </w:pPr>
            <w:r>
              <w:rPr>
                <w:rFonts w:hint="eastAsia" w:ascii="宋体" w:hAnsi="宋体" w:cs="宋体"/>
                <w:color w:val="000000"/>
                <w:szCs w:val="21"/>
              </w:rPr>
              <w:t>生态效</w:t>
            </w:r>
          </w:p>
          <w:p>
            <w:pPr>
              <w:widowControl/>
              <w:spacing w:line="260" w:lineRule="exact"/>
              <w:jc w:val="center"/>
              <w:rPr>
                <w:rFonts w:ascii="宋体" w:hAnsi="宋体" w:cs="宋体"/>
                <w:color w:val="000000"/>
                <w:szCs w:val="21"/>
              </w:rPr>
            </w:pPr>
            <w:r>
              <w:rPr>
                <w:rFonts w:hint="eastAsia" w:ascii="宋体" w:hAnsi="宋体" w:cs="宋体"/>
                <w:color w:val="000000"/>
                <w:szCs w:val="21"/>
              </w:rPr>
              <w:t>益指标</w:t>
            </w:r>
          </w:p>
        </w:tc>
        <w:tc>
          <w:tcPr>
            <w:tcW w:w="122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82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873"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141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left"/>
              <w:rPr>
                <w:rFonts w:ascii="宋体" w:hAnsi="宋体" w:cs="宋体"/>
                <w:color w:val="000000"/>
                <w:szCs w:val="21"/>
              </w:rPr>
            </w:pPr>
          </w:p>
        </w:tc>
        <w:tc>
          <w:tcPr>
            <w:tcW w:w="1080" w:type="dxa"/>
            <w:vMerge w:val="continue"/>
            <w:tcBorders>
              <w:left w:val="nil"/>
              <w:right w:val="single" w:color="auto" w:sz="4" w:space="0"/>
            </w:tcBorders>
            <w:vAlign w:val="center"/>
          </w:tcPr>
          <w:p>
            <w:pPr>
              <w:spacing w:line="260" w:lineRule="exact"/>
              <w:jc w:val="left"/>
              <w:rPr>
                <w:rFonts w:ascii="宋体" w:hAnsi="宋体" w:cs="宋体"/>
                <w:color w:val="000000"/>
                <w:szCs w:val="21"/>
              </w:rPr>
            </w:pPr>
          </w:p>
        </w:tc>
        <w:tc>
          <w:tcPr>
            <w:tcW w:w="1080" w:type="dxa"/>
            <w:vMerge w:val="continue"/>
            <w:tcBorders>
              <w:left w:val="nil"/>
              <w:right w:val="single" w:color="auto" w:sz="4" w:space="0"/>
            </w:tcBorders>
            <w:vAlign w:val="center"/>
          </w:tcPr>
          <w:p>
            <w:pPr>
              <w:spacing w:line="260" w:lineRule="exact"/>
              <w:jc w:val="left"/>
              <w:rPr>
                <w:rFonts w:ascii="宋体" w:hAnsi="宋体" w:cs="宋体"/>
                <w:color w:val="000000"/>
                <w:szCs w:val="21"/>
              </w:rPr>
            </w:pPr>
          </w:p>
        </w:tc>
        <w:tc>
          <w:tcPr>
            <w:tcW w:w="122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100%</w:t>
            </w: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100%</w:t>
            </w:r>
          </w:p>
        </w:tc>
        <w:tc>
          <w:tcPr>
            <w:tcW w:w="82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10</w:t>
            </w:r>
          </w:p>
        </w:tc>
        <w:tc>
          <w:tcPr>
            <w:tcW w:w="873"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10</w:t>
            </w:r>
          </w:p>
        </w:tc>
        <w:tc>
          <w:tcPr>
            <w:tcW w:w="141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c>
          <w:tcPr>
            <w:tcW w:w="1080" w:type="dxa"/>
            <w:vMerge w:val="continue"/>
            <w:tcBorders>
              <w:left w:val="nil"/>
              <w:right w:val="single" w:color="auto" w:sz="4" w:space="0"/>
            </w:tcBorders>
            <w:vAlign w:val="center"/>
          </w:tcPr>
          <w:p>
            <w:pPr>
              <w:widowControl/>
              <w:spacing w:line="260" w:lineRule="exact"/>
              <w:jc w:val="left"/>
              <w:rPr>
                <w:rFonts w:ascii="宋体" w:hAnsi="宋体" w:cs="宋体"/>
                <w:color w:val="000000"/>
                <w:szCs w:val="21"/>
              </w:rPr>
            </w:pPr>
          </w:p>
        </w:tc>
        <w:tc>
          <w:tcPr>
            <w:tcW w:w="1080" w:type="dxa"/>
            <w:vMerge w:val="continue"/>
            <w:tcBorders>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c>
          <w:tcPr>
            <w:tcW w:w="122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w:t>
            </w: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82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873"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141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widowControl/>
              <w:spacing w:line="260" w:lineRule="exact"/>
              <w:jc w:val="center"/>
              <w:rPr>
                <w:rFonts w:ascii="宋体" w:hAnsi="宋体" w:cs="宋体"/>
                <w:color w:val="000000"/>
                <w:szCs w:val="21"/>
              </w:rPr>
            </w:pPr>
          </w:p>
        </w:tc>
        <w:tc>
          <w:tcPr>
            <w:tcW w:w="1080" w:type="dxa"/>
            <w:vMerge w:val="continue"/>
            <w:tcBorders>
              <w:left w:val="nil"/>
              <w:right w:val="single" w:color="auto" w:sz="4" w:space="0"/>
            </w:tcBorders>
            <w:vAlign w:val="center"/>
          </w:tcPr>
          <w:p>
            <w:pPr>
              <w:widowControl/>
              <w:spacing w:line="260" w:lineRule="exact"/>
              <w:jc w:val="left"/>
              <w:rPr>
                <w:rFonts w:ascii="宋体" w:hAnsi="宋体" w:cs="宋体"/>
                <w:color w:val="000000"/>
                <w:szCs w:val="21"/>
              </w:rPr>
            </w:pPr>
          </w:p>
        </w:tc>
        <w:tc>
          <w:tcPr>
            <w:tcW w:w="1080" w:type="dxa"/>
            <w:vMerge w:val="restart"/>
            <w:tcBorders>
              <w:top w:val="single" w:color="auto" w:sz="4" w:space="0"/>
              <w:left w:val="single" w:color="auto" w:sz="4" w:space="0"/>
              <w:right w:val="single" w:color="auto" w:sz="4" w:space="0"/>
            </w:tcBorders>
            <w:vAlign w:val="center"/>
          </w:tcPr>
          <w:p>
            <w:pPr>
              <w:widowControl/>
              <w:spacing w:line="260" w:lineRule="exact"/>
              <w:jc w:val="center"/>
              <w:rPr>
                <w:rFonts w:ascii="宋体" w:hAnsi="宋体" w:cs="宋体"/>
                <w:color w:val="000000"/>
                <w:szCs w:val="21"/>
              </w:rPr>
            </w:pPr>
            <w:r>
              <w:rPr>
                <w:rFonts w:hint="eastAsia" w:ascii="宋体" w:hAnsi="宋体" w:cs="宋体"/>
                <w:color w:val="000000"/>
                <w:szCs w:val="21"/>
              </w:rPr>
              <w:t>可持续</w:t>
            </w:r>
          </w:p>
          <w:p>
            <w:pPr>
              <w:widowControl/>
              <w:spacing w:line="260" w:lineRule="exact"/>
              <w:jc w:val="center"/>
              <w:rPr>
                <w:rFonts w:ascii="宋体" w:hAnsi="宋体" w:cs="宋体"/>
                <w:color w:val="000000"/>
                <w:szCs w:val="21"/>
              </w:rPr>
            </w:pPr>
            <w:r>
              <w:rPr>
                <w:rFonts w:hint="eastAsia" w:ascii="宋体" w:hAnsi="宋体" w:cs="宋体"/>
                <w:color w:val="000000"/>
                <w:szCs w:val="21"/>
              </w:rPr>
              <w:t>影响指标</w:t>
            </w:r>
          </w:p>
        </w:tc>
        <w:tc>
          <w:tcPr>
            <w:tcW w:w="1224"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82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87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left"/>
              <w:rPr>
                <w:rFonts w:ascii="宋体" w:hAnsi="宋体" w:cs="宋体"/>
                <w:color w:val="000000"/>
                <w:szCs w:val="21"/>
              </w:rPr>
            </w:pPr>
          </w:p>
        </w:tc>
        <w:tc>
          <w:tcPr>
            <w:tcW w:w="1080" w:type="dxa"/>
            <w:vMerge w:val="continue"/>
            <w:tcBorders>
              <w:left w:val="nil"/>
              <w:right w:val="single" w:color="auto" w:sz="4" w:space="0"/>
            </w:tcBorders>
            <w:vAlign w:val="center"/>
          </w:tcPr>
          <w:p>
            <w:pPr>
              <w:spacing w:line="260" w:lineRule="exact"/>
              <w:jc w:val="left"/>
              <w:rPr>
                <w:rFonts w:ascii="宋体" w:hAnsi="宋体" w:cs="宋体"/>
                <w:color w:val="000000"/>
                <w:szCs w:val="21"/>
              </w:rPr>
            </w:pPr>
          </w:p>
        </w:tc>
        <w:tc>
          <w:tcPr>
            <w:tcW w:w="1080" w:type="dxa"/>
            <w:vMerge w:val="continue"/>
            <w:tcBorders>
              <w:left w:val="single" w:color="auto" w:sz="4" w:space="0"/>
              <w:right w:val="single" w:color="auto" w:sz="4" w:space="0"/>
            </w:tcBorders>
            <w:vAlign w:val="center"/>
          </w:tcPr>
          <w:p>
            <w:pPr>
              <w:spacing w:line="260" w:lineRule="exact"/>
              <w:jc w:val="left"/>
              <w:rPr>
                <w:rFonts w:ascii="宋体" w:hAnsi="宋体" w:cs="宋体"/>
                <w:color w:val="000000"/>
                <w:szCs w:val="21"/>
              </w:rPr>
            </w:pPr>
          </w:p>
        </w:tc>
        <w:tc>
          <w:tcPr>
            <w:tcW w:w="1224" w:type="dxa"/>
            <w:tcBorders>
              <w:top w:val="single" w:color="auto" w:sz="4" w:space="0"/>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c>
          <w:tcPr>
            <w:tcW w:w="1134" w:type="dxa"/>
            <w:tcBorders>
              <w:top w:val="single" w:color="auto" w:sz="4" w:space="0"/>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100%</w:t>
            </w:r>
          </w:p>
        </w:tc>
        <w:tc>
          <w:tcPr>
            <w:tcW w:w="1134" w:type="dxa"/>
            <w:tcBorders>
              <w:top w:val="single" w:color="auto" w:sz="4" w:space="0"/>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100%</w:t>
            </w:r>
          </w:p>
        </w:tc>
        <w:tc>
          <w:tcPr>
            <w:tcW w:w="828" w:type="dxa"/>
            <w:tcBorders>
              <w:top w:val="single" w:color="auto" w:sz="4" w:space="0"/>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10</w:t>
            </w:r>
          </w:p>
        </w:tc>
        <w:tc>
          <w:tcPr>
            <w:tcW w:w="873" w:type="dxa"/>
            <w:tcBorders>
              <w:top w:val="single" w:color="auto" w:sz="4" w:space="0"/>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10</w:t>
            </w:r>
          </w:p>
        </w:tc>
        <w:tc>
          <w:tcPr>
            <w:tcW w:w="1418" w:type="dxa"/>
            <w:tcBorders>
              <w:top w:val="single" w:color="auto" w:sz="4" w:space="0"/>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left"/>
              <w:rPr>
                <w:rFonts w:ascii="宋体" w:hAnsi="宋体" w:cs="宋体"/>
                <w:color w:val="000000"/>
                <w:szCs w:val="21"/>
              </w:rPr>
            </w:pPr>
          </w:p>
        </w:tc>
        <w:tc>
          <w:tcPr>
            <w:tcW w:w="1080" w:type="dxa"/>
            <w:vMerge w:val="continue"/>
            <w:tcBorders>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c>
          <w:tcPr>
            <w:tcW w:w="1080" w:type="dxa"/>
            <w:vMerge w:val="continue"/>
            <w:tcBorders>
              <w:left w:val="single" w:color="auto" w:sz="4" w:space="0"/>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c>
          <w:tcPr>
            <w:tcW w:w="122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w:t>
            </w: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82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873"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141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left"/>
              <w:rPr>
                <w:rFonts w:ascii="宋体" w:hAnsi="宋体" w:cs="宋体"/>
                <w:color w:val="000000"/>
                <w:szCs w:val="21"/>
              </w:rPr>
            </w:pPr>
          </w:p>
        </w:tc>
        <w:tc>
          <w:tcPr>
            <w:tcW w:w="1080" w:type="dxa"/>
            <w:vMerge w:val="restart"/>
            <w:tcBorders>
              <w:top w:val="nil"/>
              <w:left w:val="nil"/>
              <w:right w:val="single" w:color="auto" w:sz="4" w:space="0"/>
            </w:tcBorders>
            <w:vAlign w:val="center"/>
          </w:tcPr>
          <w:p>
            <w:pPr>
              <w:widowControl/>
              <w:spacing w:line="260" w:lineRule="exact"/>
              <w:jc w:val="center"/>
              <w:rPr>
                <w:rFonts w:ascii="宋体" w:hAnsi="宋体" w:cs="宋体"/>
                <w:color w:val="000000"/>
                <w:szCs w:val="21"/>
              </w:rPr>
            </w:pPr>
            <w:r>
              <w:rPr>
                <w:rFonts w:hint="eastAsia" w:ascii="宋体" w:hAnsi="宋体" w:cs="宋体"/>
                <w:color w:val="000000"/>
                <w:szCs w:val="21"/>
              </w:rPr>
              <w:t>满意度</w:t>
            </w:r>
          </w:p>
          <w:p>
            <w:pPr>
              <w:widowControl/>
              <w:spacing w:line="260" w:lineRule="exact"/>
              <w:jc w:val="center"/>
              <w:rPr>
                <w:rFonts w:ascii="宋体" w:hAnsi="宋体" w:cs="宋体"/>
                <w:color w:val="000000"/>
                <w:szCs w:val="21"/>
              </w:rPr>
            </w:pPr>
            <w:r>
              <w:rPr>
                <w:rFonts w:hint="eastAsia" w:ascii="宋体" w:hAnsi="宋体" w:cs="宋体"/>
                <w:color w:val="000000"/>
                <w:szCs w:val="21"/>
              </w:rPr>
              <w:t>指标</w:t>
            </w:r>
          </w:p>
          <w:p>
            <w:pPr>
              <w:widowControl/>
              <w:spacing w:line="260" w:lineRule="exact"/>
              <w:jc w:val="center"/>
              <w:rPr>
                <w:rFonts w:ascii="宋体" w:hAnsi="宋体" w:cs="宋体"/>
                <w:color w:val="000000"/>
                <w:szCs w:val="21"/>
              </w:rPr>
            </w:pPr>
            <w:r>
              <w:rPr>
                <w:rFonts w:hint="eastAsia" w:ascii="宋体" w:hAnsi="宋体" w:cs="宋体"/>
                <w:color w:val="000000"/>
                <w:szCs w:val="21"/>
              </w:rPr>
              <w:t>（10分）</w:t>
            </w:r>
          </w:p>
        </w:tc>
        <w:tc>
          <w:tcPr>
            <w:tcW w:w="1080" w:type="dxa"/>
            <w:vMerge w:val="restart"/>
            <w:tcBorders>
              <w:top w:val="nil"/>
              <w:left w:val="nil"/>
              <w:right w:val="single" w:color="auto" w:sz="4" w:space="0"/>
            </w:tcBorders>
            <w:vAlign w:val="center"/>
          </w:tcPr>
          <w:p>
            <w:pPr>
              <w:widowControl/>
              <w:spacing w:line="260" w:lineRule="exact"/>
              <w:jc w:val="center"/>
              <w:rPr>
                <w:rFonts w:ascii="宋体" w:hAnsi="宋体" w:cs="宋体"/>
                <w:color w:val="000000"/>
                <w:szCs w:val="21"/>
              </w:rPr>
            </w:pPr>
            <w:r>
              <w:rPr>
                <w:rFonts w:hint="eastAsia" w:ascii="宋体" w:hAnsi="宋体" w:cs="宋体"/>
                <w:color w:val="000000"/>
                <w:szCs w:val="21"/>
              </w:rPr>
              <w:t>服务对象满意度</w:t>
            </w:r>
          </w:p>
          <w:p>
            <w:pPr>
              <w:widowControl/>
              <w:spacing w:line="260" w:lineRule="exact"/>
              <w:jc w:val="center"/>
              <w:rPr>
                <w:rFonts w:ascii="宋体" w:hAnsi="宋体" w:cs="宋体"/>
                <w:color w:val="000000"/>
                <w:szCs w:val="21"/>
              </w:rPr>
            </w:pPr>
            <w:r>
              <w:rPr>
                <w:rFonts w:hint="eastAsia" w:ascii="宋体" w:hAnsi="宋体" w:cs="宋体"/>
                <w:color w:val="000000"/>
                <w:szCs w:val="21"/>
              </w:rPr>
              <w:t>指标</w:t>
            </w:r>
          </w:p>
        </w:tc>
        <w:tc>
          <w:tcPr>
            <w:tcW w:w="122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82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873"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141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left"/>
              <w:rPr>
                <w:rFonts w:ascii="宋体" w:hAnsi="宋体" w:cs="宋体"/>
                <w:color w:val="000000"/>
                <w:szCs w:val="21"/>
              </w:rPr>
            </w:pPr>
          </w:p>
        </w:tc>
        <w:tc>
          <w:tcPr>
            <w:tcW w:w="1080" w:type="dxa"/>
            <w:vMerge w:val="continue"/>
            <w:tcBorders>
              <w:left w:val="nil"/>
              <w:right w:val="single" w:color="auto" w:sz="4" w:space="0"/>
            </w:tcBorders>
            <w:vAlign w:val="center"/>
          </w:tcPr>
          <w:p>
            <w:pPr>
              <w:spacing w:line="260" w:lineRule="exact"/>
              <w:jc w:val="left"/>
              <w:rPr>
                <w:rFonts w:ascii="宋体" w:hAnsi="宋体" w:cs="宋体"/>
                <w:color w:val="000000"/>
                <w:szCs w:val="21"/>
              </w:rPr>
            </w:pPr>
          </w:p>
        </w:tc>
        <w:tc>
          <w:tcPr>
            <w:tcW w:w="1080" w:type="dxa"/>
            <w:vMerge w:val="continue"/>
            <w:tcBorders>
              <w:left w:val="nil"/>
              <w:right w:val="single" w:color="auto" w:sz="4" w:space="0"/>
            </w:tcBorders>
            <w:vAlign w:val="center"/>
          </w:tcPr>
          <w:p>
            <w:pPr>
              <w:spacing w:line="260" w:lineRule="exact"/>
              <w:jc w:val="left"/>
              <w:rPr>
                <w:rFonts w:ascii="宋体" w:hAnsi="宋体" w:cs="宋体"/>
                <w:color w:val="000000"/>
                <w:szCs w:val="21"/>
              </w:rPr>
            </w:pPr>
          </w:p>
        </w:tc>
        <w:tc>
          <w:tcPr>
            <w:tcW w:w="122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100%</w:t>
            </w: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100%</w:t>
            </w:r>
          </w:p>
        </w:tc>
        <w:tc>
          <w:tcPr>
            <w:tcW w:w="82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10</w:t>
            </w:r>
          </w:p>
        </w:tc>
        <w:tc>
          <w:tcPr>
            <w:tcW w:w="873"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10</w:t>
            </w:r>
          </w:p>
        </w:tc>
        <w:tc>
          <w:tcPr>
            <w:tcW w:w="141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c>
          <w:tcPr>
            <w:tcW w:w="1080" w:type="dxa"/>
            <w:vMerge w:val="continue"/>
            <w:tcBorders>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c>
          <w:tcPr>
            <w:tcW w:w="1080" w:type="dxa"/>
            <w:vMerge w:val="continue"/>
            <w:tcBorders>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p>
        </w:tc>
        <w:tc>
          <w:tcPr>
            <w:tcW w:w="122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w:t>
            </w: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1134"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82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873"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c>
          <w:tcPr>
            <w:tcW w:w="141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r>
      <w:tr>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vAlign w:val="center"/>
          </w:tcPr>
          <w:p>
            <w:pPr>
              <w:widowControl/>
              <w:spacing w:line="260" w:lineRule="exact"/>
              <w:jc w:val="center"/>
              <w:rPr>
                <w:rFonts w:ascii="宋体" w:hAnsi="宋体" w:cs="宋体"/>
                <w:color w:val="000000"/>
                <w:szCs w:val="21"/>
              </w:rPr>
            </w:pPr>
            <w:r>
              <w:rPr>
                <w:rFonts w:hint="eastAsia" w:ascii="宋体" w:hAnsi="宋体" w:cs="宋体"/>
                <w:color w:val="000000"/>
                <w:szCs w:val="21"/>
              </w:rPr>
              <w:t>总分</w:t>
            </w: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宋体" w:hAnsi="宋体" w:cs="宋体"/>
                <w:color w:val="000000"/>
                <w:szCs w:val="21"/>
              </w:rPr>
            </w:pPr>
            <w:r>
              <w:rPr>
                <w:rFonts w:hint="eastAsia" w:ascii="宋体" w:hAnsi="宋体" w:cs="宋体"/>
                <w:color w:val="000000"/>
                <w:szCs w:val="21"/>
              </w:rPr>
              <w:t>100</w:t>
            </w:r>
          </w:p>
        </w:tc>
        <w:tc>
          <w:tcPr>
            <w:tcW w:w="873"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100</w:t>
            </w:r>
          </w:p>
        </w:tc>
        <w:tc>
          <w:tcPr>
            <w:tcW w:w="1418" w:type="dxa"/>
            <w:tcBorders>
              <w:top w:val="nil"/>
              <w:left w:val="nil"/>
              <w:bottom w:val="single" w:color="auto" w:sz="4" w:space="0"/>
              <w:right w:val="single" w:color="auto" w:sz="4" w:space="0"/>
            </w:tcBorders>
            <w:vAlign w:val="center"/>
          </w:tcPr>
          <w:p>
            <w:pPr>
              <w:widowControl/>
              <w:spacing w:line="260" w:lineRule="exact"/>
              <w:jc w:val="left"/>
              <w:rPr>
                <w:rFonts w:ascii="宋体" w:hAnsi="宋体" w:cs="宋体"/>
                <w:color w:val="000000"/>
                <w:szCs w:val="21"/>
              </w:rPr>
            </w:pPr>
            <w:r>
              <w:rPr>
                <w:rFonts w:hint="eastAsia" w:ascii="宋体" w:hAnsi="宋体" w:cs="宋体"/>
                <w:color w:val="000000"/>
                <w:szCs w:val="21"/>
              </w:rPr>
              <w:t>　</w:t>
            </w:r>
          </w:p>
        </w:tc>
      </w:tr>
    </w:tbl>
    <w:p>
      <w:pPr>
        <w:rPr>
          <w:rFonts w:ascii="新宋体" w:hAnsi="新宋体" w:eastAsia="新宋体" w:cs="新宋体"/>
          <w:szCs w:val="21"/>
        </w:rPr>
      </w:pPr>
      <w:r>
        <w:rPr>
          <w:rFonts w:hint="eastAsia" w:ascii="仿宋_GB2312" w:hAnsi="仿宋_GB2312" w:eastAsia="仿宋_GB2312" w:cs="仿宋_GB2312"/>
          <w:szCs w:val="21"/>
        </w:rPr>
        <w:t>备注：一个一级项目支出一张表。如，业务工作经费，运行维护经费，XX项目资金…各一张表。</w:t>
      </w:r>
    </w:p>
    <w:p>
      <w:pPr>
        <w:pStyle w:val="2"/>
        <w:rPr>
          <w:rFonts w:ascii="仿宋_GB2312" w:hAnsi="仿宋_GB2312" w:eastAsia="仿宋_GB2312" w:cs="仿宋_GB2312"/>
          <w:sz w:val="28"/>
          <w:szCs w:val="28"/>
        </w:rPr>
      </w:pPr>
    </w:p>
    <w:p>
      <w:pPr>
        <w:jc w:val="left"/>
        <w:rPr>
          <w:rFonts w:ascii="新宋体" w:hAnsi="新宋体" w:eastAsia="新宋体" w:cs="新宋体"/>
          <w:szCs w:val="21"/>
        </w:rPr>
      </w:pPr>
      <w:r>
        <w:rPr>
          <w:rFonts w:hint="eastAsia" w:ascii="仿宋_GB2312" w:hAnsi="仿宋_GB2312" w:eastAsia="仿宋_GB2312" w:cs="仿宋_GB2312"/>
          <w:sz w:val="22"/>
          <w:szCs w:val="22"/>
        </w:rPr>
        <w:t>填表人：</w:t>
      </w:r>
      <w:r>
        <w:rPr>
          <w:rFonts w:hint="eastAsia" w:ascii="仿宋_GB2312" w:hAnsi="仿宋_GB2312" w:eastAsia="仿宋_GB2312" w:cs="仿宋_GB2312"/>
          <w:sz w:val="22"/>
          <w:szCs w:val="22"/>
          <w:u w:val="single"/>
        </w:rPr>
        <w:t>张琼</w:t>
      </w:r>
      <w:r>
        <w:rPr>
          <w:rFonts w:hint="eastAsia" w:ascii="仿宋_GB2312" w:hAnsi="仿宋_GB2312" w:eastAsia="仿宋_GB2312" w:cs="仿宋_GB2312"/>
          <w:sz w:val="22"/>
          <w:szCs w:val="22"/>
        </w:rPr>
        <w:t xml:space="preserve">  填报日期：</w:t>
      </w:r>
      <w:r>
        <w:rPr>
          <w:rFonts w:hint="eastAsia" w:ascii="仿宋_GB2312" w:hAnsi="仿宋_GB2312" w:eastAsia="仿宋_GB2312" w:cs="仿宋_GB2312"/>
          <w:sz w:val="22"/>
          <w:szCs w:val="22"/>
          <w:u w:val="single"/>
        </w:rPr>
        <w:t>2023.07.16</w:t>
      </w:r>
      <w:r>
        <w:rPr>
          <w:rFonts w:hint="eastAsia" w:ascii="仿宋_GB2312" w:hAnsi="仿宋_GB2312" w:eastAsia="仿宋_GB2312" w:cs="仿宋_GB2312"/>
          <w:sz w:val="22"/>
          <w:szCs w:val="22"/>
        </w:rPr>
        <w:t xml:space="preserve">  联系电话：</w:t>
      </w:r>
      <w:r>
        <w:rPr>
          <w:rFonts w:hint="eastAsia" w:ascii="仿宋_GB2312" w:hAnsi="仿宋_GB2312" w:eastAsia="仿宋_GB2312" w:cs="仿宋_GB2312"/>
          <w:sz w:val="22"/>
          <w:szCs w:val="22"/>
          <w:u w:val="single"/>
        </w:rPr>
        <w:t>13787842533</w:t>
      </w:r>
      <w:r>
        <w:rPr>
          <w:rFonts w:hint="eastAsia" w:ascii="仿宋_GB2312" w:hAnsi="仿宋_GB2312" w:eastAsia="仿宋_GB2312" w:cs="仿宋_GB2312"/>
          <w:sz w:val="22"/>
          <w:szCs w:val="22"/>
        </w:rPr>
        <w:t xml:space="preserve">  单位负责人签字：</w:t>
      </w:r>
      <w:r>
        <w:rPr>
          <w:rFonts w:hint="eastAsia" w:ascii="仿宋_GB2312" w:hAnsi="仿宋_GB2312" w:eastAsia="仿宋_GB2312" w:cs="仿宋_GB2312"/>
          <w:sz w:val="22"/>
          <w:szCs w:val="22"/>
          <w:u w:val="single"/>
        </w:rPr>
        <w:t xml:space="preserve">     </w:t>
      </w:r>
    </w:p>
    <w:p>
      <w:pPr>
        <w:jc w:val="left"/>
        <w:outlineLvl w:val="0"/>
        <w:rPr>
          <w:rFonts w:ascii="新宋体" w:hAnsi="新宋体" w:eastAsia="新宋体" w:cs="新宋体"/>
          <w:szCs w:val="21"/>
        </w:rPr>
        <w:sectPr>
          <w:pgSz w:w="11906" w:h="16838"/>
          <w:pgMar w:top="1701" w:right="1417" w:bottom="1417" w:left="1417" w:header="851" w:footer="992" w:gutter="0"/>
          <w:cols w:space="0" w:num="1"/>
          <w:docGrid w:type="lines" w:linePitch="312" w:charSpace="0"/>
        </w:sectPr>
      </w:pPr>
    </w:p>
    <w:p>
      <w:pPr>
        <w:rPr>
          <w:rFonts w:ascii="黑体" w:hAnsi="黑体" w:eastAsia="黑体" w:cs="黑体"/>
          <w:sz w:val="32"/>
          <w:szCs w:val="32"/>
        </w:rPr>
      </w:pPr>
      <w:r>
        <w:rPr>
          <w:rFonts w:hint="eastAsia" w:ascii="黑体" w:hAnsi="黑体" w:eastAsia="黑体" w:cs="黑体"/>
          <w:sz w:val="32"/>
          <w:szCs w:val="32"/>
        </w:rPr>
        <w:t>附件6</w:t>
      </w:r>
    </w:p>
    <w:p>
      <w:pPr>
        <w:jc w:val="center"/>
        <w:rPr>
          <w:rFonts w:eastAsia="方正小标宋_GBK"/>
          <w:sz w:val="52"/>
          <w:szCs w:val="52"/>
        </w:rPr>
      </w:pP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2022年度水旱灾害防御事务中心护城大垸沟渠捞草扫障项目支出</w:t>
      </w: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jc w:val="center"/>
        <w:rPr>
          <w:rFonts w:eastAsia="方正小标宋_GBK"/>
          <w:b/>
          <w:sz w:val="52"/>
          <w:szCs w:val="5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黑体"/>
          <w:sz w:val="32"/>
          <w:szCs w:val="32"/>
        </w:rPr>
      </w:pPr>
    </w:p>
    <w:p>
      <w:pPr>
        <w:jc w:val="center"/>
        <w:rPr>
          <w:rFonts w:eastAsia="黑体"/>
          <w:sz w:val="32"/>
          <w:szCs w:val="32"/>
        </w:rPr>
      </w:pPr>
    </w:p>
    <w:p>
      <w:pPr>
        <w:rPr>
          <w:rFonts w:eastAsia="黑体"/>
          <w:sz w:val="32"/>
          <w:szCs w:val="32"/>
        </w:rPr>
      </w:pPr>
    </w:p>
    <w:p>
      <w:pPr>
        <w:rPr>
          <w:rFonts w:eastAsia="黑体"/>
          <w:sz w:val="32"/>
          <w:szCs w:val="32"/>
        </w:rPr>
      </w:pPr>
    </w:p>
    <w:p>
      <w:pPr>
        <w:spacing w:line="560" w:lineRule="exact"/>
        <w:jc w:val="center"/>
        <w:rPr>
          <w:rFonts w:eastAsia="仿宋_GB2312"/>
          <w:sz w:val="30"/>
          <w:szCs w:val="30"/>
        </w:rPr>
      </w:pPr>
      <w:r>
        <w:rPr>
          <w:rFonts w:hint="eastAsia" w:eastAsia="仿宋_GB2312"/>
          <w:sz w:val="30"/>
          <w:szCs w:val="30"/>
        </w:rPr>
        <w:t>部门（单位）名称：（盖章）</w:t>
      </w:r>
    </w:p>
    <w:p>
      <w:pPr>
        <w:spacing w:line="560" w:lineRule="exact"/>
        <w:jc w:val="center"/>
        <w:rPr>
          <w:rFonts w:eastAsia="仿宋_GB2312"/>
          <w:sz w:val="30"/>
          <w:szCs w:val="30"/>
        </w:rPr>
      </w:pPr>
      <w:r>
        <w:rPr>
          <w:rFonts w:hint="eastAsia" w:eastAsia="仿宋_GB2312"/>
          <w:sz w:val="30"/>
          <w:szCs w:val="30"/>
        </w:rPr>
        <w:t>2023年  07月  16日</w:t>
      </w:r>
    </w:p>
    <w:p>
      <w:pPr>
        <w:spacing w:line="560" w:lineRule="exact"/>
        <w:jc w:val="center"/>
        <w:rPr>
          <w:rFonts w:eastAsia="仿宋_GB2312"/>
          <w:sz w:val="30"/>
          <w:szCs w:val="30"/>
        </w:rPr>
      </w:pPr>
      <w:r>
        <w:rPr>
          <w:rFonts w:hint="eastAsia" w:eastAsia="仿宋_GB2312"/>
          <w:sz w:val="30"/>
          <w:szCs w:val="30"/>
        </w:rPr>
        <w:t>（此页为封面）</w:t>
      </w:r>
    </w:p>
    <w:p>
      <w:pPr>
        <w:spacing w:line="610" w:lineRule="exact"/>
        <w:jc w:val="center"/>
        <w:rPr>
          <w:rFonts w:ascii="方正小标宋简体" w:hAnsi="方正小标宋简体" w:eastAsia="方正小标宋简体" w:cs="方正小标宋简体"/>
          <w:sz w:val="44"/>
          <w:szCs w:val="44"/>
        </w:rPr>
      </w:pPr>
      <w:r>
        <w:rPr>
          <w:rFonts w:eastAsia="仿宋_GB2312"/>
          <w:sz w:val="32"/>
          <w:szCs w:val="32"/>
        </w:rPr>
        <w:br w:type="page"/>
      </w:r>
      <w:r>
        <w:rPr>
          <w:rFonts w:hint="eastAsia" w:ascii="方正小标宋简体" w:hAnsi="方正小标宋简体" w:eastAsia="方正小标宋简体" w:cs="方正小标宋简体"/>
          <w:sz w:val="44"/>
          <w:szCs w:val="44"/>
        </w:rPr>
        <w:t>2022年度水旱灾害防御事务中心护城大垸沟渠捞草扫障项目支出</w:t>
      </w:r>
    </w:p>
    <w:p>
      <w:pPr>
        <w:spacing w:line="610" w:lineRule="exact"/>
        <w:jc w:val="center"/>
        <w:rPr>
          <w:rFonts w:eastAsia="仿宋_GB2312"/>
          <w:sz w:val="32"/>
          <w:szCs w:val="32"/>
        </w:rPr>
      </w:pPr>
      <w:r>
        <w:rPr>
          <w:rFonts w:hint="eastAsia" w:ascii="方正小标宋简体" w:hAnsi="方正小标宋简体" w:eastAsia="方正小标宋简体" w:cs="方正小标宋简体"/>
          <w:sz w:val="44"/>
          <w:szCs w:val="44"/>
        </w:rPr>
        <w:t>绩效自评报告</w:t>
      </w:r>
    </w:p>
    <w:p>
      <w:pPr>
        <w:spacing w:line="610" w:lineRule="exact"/>
        <w:ind w:firstLine="600" w:firstLineChars="200"/>
        <w:rPr>
          <w:rFonts w:ascii="黑体" w:hAnsi="黑体" w:eastAsia="黑体" w:cs="黑体"/>
          <w:sz w:val="30"/>
          <w:szCs w:val="30"/>
        </w:rPr>
      </w:pP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一、基本情况</w:t>
      </w:r>
    </w:p>
    <w:p>
      <w:pPr>
        <w:spacing w:line="560" w:lineRule="exact"/>
        <w:ind w:firstLine="640" w:firstLineChars="200"/>
        <w:rPr>
          <w:rFonts w:eastAsia="仿宋_GB2312"/>
          <w:sz w:val="32"/>
          <w:szCs w:val="32"/>
        </w:rPr>
      </w:pPr>
      <w:r>
        <w:rPr>
          <w:rFonts w:hint="eastAsia" w:eastAsia="仿宋_GB2312"/>
          <w:sz w:val="32"/>
          <w:szCs w:val="32"/>
        </w:rPr>
        <w:t>（一)项目概况。包括项目背景、主要内容及实施情况、资金投入和使用情况等。</w:t>
      </w:r>
    </w:p>
    <w:p>
      <w:pPr>
        <w:pStyle w:val="12"/>
        <w:widowControl/>
        <w:spacing w:before="0" w:beforeAutospacing="0" w:after="0" w:afterAutospacing="0" w:line="240" w:lineRule="atLeast"/>
        <w:ind w:firstLine="640" w:firstLineChars="200"/>
        <w:jc w:val="both"/>
        <w:rPr>
          <w:rFonts w:eastAsia="仿宋_GB2312"/>
          <w:kern w:val="2"/>
          <w:sz w:val="32"/>
          <w:szCs w:val="32"/>
        </w:rPr>
      </w:pPr>
      <w:r>
        <w:rPr>
          <w:rFonts w:hint="eastAsia" w:eastAsia="仿宋_GB2312"/>
          <w:kern w:val="2"/>
          <w:sz w:val="32"/>
          <w:szCs w:val="32"/>
        </w:rPr>
        <w:t>2022年下达捞草扫障经费80万元。</w:t>
      </w:r>
    </w:p>
    <w:p>
      <w:pPr>
        <w:spacing w:line="560" w:lineRule="exact"/>
        <w:ind w:firstLine="640" w:firstLineChars="200"/>
        <w:rPr>
          <w:rFonts w:eastAsia="仿宋_GB2312"/>
          <w:sz w:val="32"/>
          <w:szCs w:val="32"/>
        </w:rPr>
      </w:pPr>
      <w:r>
        <w:rPr>
          <w:rFonts w:hint="eastAsia" w:eastAsia="仿宋_GB2312"/>
          <w:sz w:val="32"/>
          <w:szCs w:val="32"/>
        </w:rPr>
        <w:t>(二)项目绩效目标。包括总体目标和阶段性目标。</w:t>
      </w:r>
    </w:p>
    <w:p>
      <w:pPr>
        <w:pStyle w:val="12"/>
        <w:widowControl/>
        <w:spacing w:before="0" w:beforeAutospacing="0" w:after="0" w:afterAutospacing="0" w:line="240" w:lineRule="atLeast"/>
        <w:ind w:firstLine="640" w:firstLineChars="200"/>
        <w:jc w:val="both"/>
        <w:rPr>
          <w:rFonts w:eastAsia="仿宋_GB2312"/>
          <w:kern w:val="2"/>
          <w:sz w:val="32"/>
          <w:szCs w:val="32"/>
        </w:rPr>
      </w:pPr>
      <w:r>
        <w:rPr>
          <w:rFonts w:hint="eastAsia" w:eastAsia="仿宋_GB2312"/>
          <w:kern w:val="2"/>
          <w:sz w:val="32"/>
          <w:szCs w:val="32"/>
        </w:rPr>
        <w:t>2022年批复下达县水旱灾害防御事务中心资金80万元。</w:t>
      </w:r>
    </w:p>
    <w:p>
      <w:pPr>
        <w:spacing w:line="560" w:lineRule="exact"/>
        <w:rPr>
          <w:rFonts w:eastAsia="仿宋_GB2312"/>
          <w:sz w:val="30"/>
          <w:szCs w:val="30"/>
        </w:rPr>
      </w:pPr>
      <w:r>
        <w:rPr>
          <w:rFonts w:hint="eastAsia" w:ascii="黑体" w:hAnsi="黑体" w:eastAsia="黑体" w:cs="黑体"/>
          <w:sz w:val="32"/>
          <w:szCs w:val="32"/>
        </w:rPr>
        <w:t>二．绩效评价工作开展情况：</w:t>
      </w:r>
    </w:p>
    <w:p>
      <w:pPr>
        <w:spacing w:line="560" w:lineRule="exact"/>
        <w:ind w:left="640"/>
        <w:rPr>
          <w:rFonts w:eastAsia="仿宋_GB2312"/>
          <w:sz w:val="30"/>
          <w:szCs w:val="30"/>
        </w:rPr>
      </w:pPr>
      <w:r>
        <w:rPr>
          <w:rFonts w:hint="eastAsia" w:eastAsia="仿宋_GB2312"/>
          <w:sz w:val="30"/>
          <w:szCs w:val="30"/>
        </w:rPr>
        <w:t>（一)绩效评价目的、对象和范围。</w:t>
      </w:r>
    </w:p>
    <w:p>
      <w:pPr>
        <w:spacing w:line="560" w:lineRule="exact"/>
        <w:ind w:firstLine="600" w:firstLineChars="200"/>
        <w:rPr>
          <w:rFonts w:eastAsia="仿宋_GB2312"/>
          <w:sz w:val="30"/>
          <w:szCs w:val="30"/>
        </w:rPr>
      </w:pPr>
      <w:r>
        <w:rPr>
          <w:rFonts w:hint="eastAsia" w:ascii="仿宋" w:hAnsi="仿宋" w:eastAsia="仿宋" w:cs="仿宋"/>
          <w:sz w:val="30"/>
          <w:szCs w:val="30"/>
        </w:rPr>
        <w:t>捞草扫障专项经费，是用于主汛期三大主排渠水葫芦革命草等水草地的扫捞，以确保排捞涝抗灾的顺利进行，根据县防指2022年第一次全体会议意见，由石山矶电排站，花兰窖电排，城排组织实施。</w:t>
      </w:r>
    </w:p>
    <w:p>
      <w:pPr>
        <w:spacing w:line="560" w:lineRule="exact"/>
        <w:ind w:firstLine="600" w:firstLineChars="200"/>
        <w:rPr>
          <w:rFonts w:eastAsia="仿宋_GB2312"/>
          <w:sz w:val="30"/>
          <w:szCs w:val="30"/>
        </w:rPr>
      </w:pPr>
      <w:r>
        <w:rPr>
          <w:rFonts w:hint="eastAsia" w:eastAsia="仿宋_GB2312"/>
          <w:sz w:val="30"/>
          <w:szCs w:val="30"/>
        </w:rPr>
        <w:t>（二）绩效评价原则、评价指标体系(附表说明)、评价方法、 评价标准等。</w:t>
      </w:r>
    </w:p>
    <w:p>
      <w:pPr>
        <w:pStyle w:val="12"/>
        <w:widowControl/>
        <w:spacing w:before="0" w:beforeAutospacing="0" w:after="0" w:afterAutospacing="0" w:line="240" w:lineRule="atLeast"/>
        <w:ind w:firstLine="600" w:firstLineChars="200"/>
        <w:jc w:val="both"/>
        <w:rPr>
          <w:rFonts w:ascii="仿宋" w:hAnsi="仿宋" w:eastAsia="仿宋" w:cs="仿宋"/>
          <w:kern w:val="2"/>
          <w:sz w:val="30"/>
          <w:szCs w:val="30"/>
        </w:rPr>
      </w:pPr>
      <w:r>
        <w:rPr>
          <w:rFonts w:hint="eastAsia" w:ascii="仿宋" w:hAnsi="仿宋" w:eastAsia="仿宋" w:cs="仿宋"/>
          <w:kern w:val="2"/>
          <w:sz w:val="30"/>
          <w:szCs w:val="30"/>
        </w:rPr>
        <w:t>严格按照相应的业务管理制度，规范各项经费的开支。资金使用规范，符合国家财经法规和财务管理以及有关专项资金管理办法的规定；资金的拨付有完整的审批程序和手续；不存在截留、挤占、挪用、虚列支出等情况。会计核算准确、财务资料完整。</w:t>
      </w:r>
    </w:p>
    <w:p>
      <w:pPr>
        <w:pStyle w:val="12"/>
        <w:widowControl/>
        <w:spacing w:before="0" w:beforeAutospacing="0" w:after="0" w:afterAutospacing="0" w:line="240" w:lineRule="atLeast"/>
        <w:ind w:firstLine="600" w:firstLineChars="200"/>
        <w:jc w:val="both"/>
        <w:rPr>
          <w:rFonts w:eastAsia="仿宋_GB2312"/>
          <w:sz w:val="30"/>
          <w:szCs w:val="30"/>
        </w:rPr>
      </w:pPr>
      <w:r>
        <w:rPr>
          <w:rFonts w:hint="eastAsia" w:eastAsia="仿宋_GB2312"/>
          <w:kern w:val="2"/>
          <w:sz w:val="30"/>
          <w:szCs w:val="30"/>
        </w:rPr>
        <w:t>(三)</w:t>
      </w:r>
      <w:r>
        <w:rPr>
          <w:rFonts w:hint="eastAsia" w:eastAsia="仿宋_GB2312"/>
          <w:sz w:val="30"/>
          <w:szCs w:val="30"/>
        </w:rPr>
        <w:t>绩效评价工作过程。</w:t>
      </w:r>
    </w:p>
    <w:p>
      <w:pPr>
        <w:numPr>
          <w:ilvl w:val="0"/>
          <w:numId w:val="12"/>
        </w:numPr>
        <w:spacing w:line="560" w:lineRule="exact"/>
        <w:ind w:firstLine="600" w:firstLineChars="200"/>
        <w:rPr>
          <w:rFonts w:ascii="黑体" w:hAnsi="黑体" w:eastAsia="黑体" w:cs="黑体"/>
          <w:sz w:val="30"/>
          <w:szCs w:val="30"/>
        </w:rPr>
      </w:pPr>
      <w:r>
        <w:rPr>
          <w:rFonts w:hint="eastAsia" w:ascii="黑体" w:hAnsi="黑体" w:eastAsia="黑体" w:cs="黑体"/>
          <w:sz w:val="30"/>
          <w:szCs w:val="30"/>
        </w:rPr>
        <w:t>综合评价情况及价结论 (附相关评分表)</w:t>
      </w:r>
    </w:p>
    <w:p>
      <w:pPr>
        <w:pStyle w:val="12"/>
        <w:widowControl/>
        <w:spacing w:before="0" w:beforeAutospacing="0" w:after="0" w:afterAutospacing="0" w:line="240" w:lineRule="atLeast"/>
        <w:ind w:firstLine="600" w:firstLineChars="200"/>
        <w:jc w:val="both"/>
        <w:rPr>
          <w:rFonts w:ascii="仿宋" w:hAnsi="仿宋" w:eastAsia="仿宋" w:cs="仿宋"/>
          <w:kern w:val="2"/>
          <w:sz w:val="30"/>
          <w:szCs w:val="30"/>
        </w:rPr>
      </w:pPr>
      <w:r>
        <w:rPr>
          <w:rFonts w:hint="eastAsia" w:ascii="仿宋" w:hAnsi="仿宋" w:eastAsia="仿宋" w:cs="仿宋"/>
          <w:kern w:val="2"/>
          <w:sz w:val="30"/>
          <w:szCs w:val="30"/>
        </w:rPr>
        <w:t>1、我单位根据专项绩效评定指标对各项目量化评价，自评指标得分100分。</w:t>
      </w:r>
    </w:p>
    <w:p>
      <w:pPr>
        <w:spacing w:line="560" w:lineRule="exact"/>
        <w:ind w:firstLine="600" w:firstLineChars="200"/>
        <w:rPr>
          <w:rFonts w:ascii="仿宋" w:hAnsi="仿宋" w:eastAsia="仿宋" w:cs="仿宋"/>
          <w:sz w:val="30"/>
          <w:szCs w:val="30"/>
        </w:rPr>
      </w:pPr>
      <w:r>
        <w:rPr>
          <w:rFonts w:hint="eastAsia" w:ascii="仿宋" w:hAnsi="仿宋" w:eastAsia="仿宋" w:cs="仿宋"/>
          <w:sz w:val="30"/>
          <w:szCs w:val="30"/>
        </w:rPr>
        <w:t>2、将项目支出后的实际状况与项目申报的绩效目标进行对比分析。按项目实际支出和项目申报绩效目标进行对比分析自评得分100分，项目均与批复下达相符。</w:t>
      </w:r>
    </w:p>
    <w:p>
      <w:pPr>
        <w:spacing w:line="560" w:lineRule="exact"/>
        <w:ind w:firstLine="600" w:firstLineChars="200"/>
        <w:rPr>
          <w:rFonts w:ascii="黑体" w:hAnsi="黑体" w:eastAsia="黑体" w:cs="黑体"/>
          <w:sz w:val="30"/>
          <w:szCs w:val="30"/>
        </w:rPr>
      </w:pPr>
      <w:r>
        <w:rPr>
          <w:rFonts w:hint="eastAsia" w:ascii="黑体" w:hAnsi="黑体" w:eastAsia="黑体" w:cs="黑体"/>
          <w:sz w:val="30"/>
          <w:szCs w:val="30"/>
        </w:rPr>
        <w:t>四、绩效评价指标分析</w:t>
      </w:r>
    </w:p>
    <w:p>
      <w:pPr>
        <w:spacing w:line="560" w:lineRule="exact"/>
        <w:ind w:firstLine="600" w:firstLineChars="200"/>
        <w:rPr>
          <w:rFonts w:eastAsia="仿宋_GB2312"/>
          <w:sz w:val="30"/>
          <w:szCs w:val="30"/>
        </w:rPr>
      </w:pPr>
      <w:r>
        <w:rPr>
          <w:rFonts w:hint="eastAsia" w:eastAsia="仿宋_GB2312"/>
          <w:sz w:val="30"/>
          <w:szCs w:val="30"/>
        </w:rPr>
        <w:t>(一)项目决策情况。</w:t>
      </w:r>
    </w:p>
    <w:p>
      <w:pPr>
        <w:pStyle w:val="12"/>
        <w:widowControl/>
        <w:spacing w:before="0" w:beforeAutospacing="0" w:after="0" w:afterAutospacing="0" w:line="240" w:lineRule="atLeast"/>
        <w:ind w:firstLine="600" w:firstLineChars="200"/>
        <w:jc w:val="both"/>
        <w:rPr>
          <w:rFonts w:ascii="仿宋" w:hAnsi="仿宋" w:eastAsia="仿宋" w:cs="仿宋"/>
          <w:kern w:val="2"/>
          <w:sz w:val="30"/>
          <w:szCs w:val="30"/>
        </w:rPr>
      </w:pPr>
      <w:r>
        <w:rPr>
          <w:rFonts w:hint="eastAsia" w:ascii="仿宋" w:hAnsi="仿宋" w:eastAsia="仿宋" w:cs="仿宋"/>
          <w:kern w:val="2"/>
          <w:sz w:val="30"/>
          <w:szCs w:val="30"/>
        </w:rPr>
        <w:t>所有资金都已经全部及时安排到位，并按项目落实要求和进度全部执行到位。截止目前实际总支出为80万元。</w:t>
      </w:r>
    </w:p>
    <w:p>
      <w:pPr>
        <w:spacing w:line="560" w:lineRule="exact"/>
        <w:ind w:firstLine="600" w:firstLineChars="200"/>
        <w:rPr>
          <w:rFonts w:eastAsia="仿宋_GB2312"/>
          <w:sz w:val="30"/>
          <w:szCs w:val="30"/>
        </w:rPr>
      </w:pPr>
      <w:r>
        <w:rPr>
          <w:rFonts w:hint="eastAsia" w:eastAsia="仿宋_GB2312"/>
          <w:sz w:val="30"/>
          <w:szCs w:val="30"/>
        </w:rPr>
        <w:t>(二)项目过程情况。</w:t>
      </w:r>
    </w:p>
    <w:p>
      <w:pPr>
        <w:spacing w:line="560" w:lineRule="exact"/>
        <w:ind w:firstLine="600" w:firstLineChars="200"/>
        <w:rPr>
          <w:rFonts w:eastAsia="仿宋_GB2312"/>
          <w:sz w:val="30"/>
          <w:szCs w:val="30"/>
        </w:rPr>
      </w:pPr>
      <w:r>
        <w:rPr>
          <w:rFonts w:hint="eastAsia" w:eastAsia="仿宋_GB2312"/>
          <w:sz w:val="30"/>
          <w:szCs w:val="30"/>
        </w:rPr>
        <w:t>(三)项目产出情况。</w:t>
      </w:r>
    </w:p>
    <w:p>
      <w:pPr>
        <w:spacing w:line="560" w:lineRule="exact"/>
        <w:ind w:firstLine="600" w:firstLineChars="200"/>
      </w:pPr>
      <w:r>
        <w:rPr>
          <w:rFonts w:hint="eastAsia" w:eastAsia="仿宋_GB2312"/>
          <w:sz w:val="30"/>
          <w:szCs w:val="30"/>
        </w:rPr>
        <w:t>(四)项目效益情况。</w:t>
      </w:r>
    </w:p>
    <w:p>
      <w:pPr>
        <w:spacing w:line="560" w:lineRule="exact"/>
        <w:ind w:firstLine="600" w:firstLineChars="200"/>
        <w:rPr>
          <w:rFonts w:ascii="仿宋" w:hAnsi="仿宋" w:eastAsia="仿宋" w:cs="仿宋"/>
          <w:sz w:val="30"/>
          <w:szCs w:val="30"/>
        </w:rPr>
      </w:pPr>
      <w:r>
        <w:rPr>
          <w:rFonts w:hint="eastAsia" w:ascii="仿宋" w:hAnsi="仿宋" w:eastAsia="仿宋" w:cs="仿宋"/>
          <w:sz w:val="30"/>
          <w:szCs w:val="30"/>
        </w:rPr>
        <w:t>1、效益指标完成情况分析。我单位较好地完成了2022年初设定的工作任务，各项项目得到有序开展。到年底完成全部项目的100%，资金拨付达到100%，完成项目验收率达到100%。</w:t>
      </w:r>
    </w:p>
    <w:p>
      <w:pPr>
        <w:spacing w:line="560" w:lineRule="exact"/>
        <w:ind w:firstLine="600" w:firstLineChars="200"/>
        <w:rPr>
          <w:rFonts w:ascii="仿宋" w:hAnsi="仿宋" w:eastAsia="仿宋" w:cs="仿宋"/>
          <w:sz w:val="30"/>
          <w:szCs w:val="30"/>
        </w:rPr>
      </w:pPr>
      <w:r>
        <w:rPr>
          <w:rFonts w:hint="eastAsia" w:ascii="仿宋" w:hAnsi="仿宋" w:eastAsia="仿宋" w:cs="仿宋"/>
          <w:sz w:val="30"/>
          <w:szCs w:val="30"/>
        </w:rPr>
        <w:t>2、满意度指标完成情况分析。自2022年以来，我单位对全部资金实施和整体社会效益及满意度等各项指标调查，基本情况是群众对项目实施满意度达98%。项目社会效益和经济效益明显，达到了预期效果。</w:t>
      </w:r>
    </w:p>
    <w:p>
      <w:pPr>
        <w:spacing w:line="560" w:lineRule="exact"/>
        <w:ind w:firstLine="600" w:firstLineChars="200"/>
        <w:rPr>
          <w:rFonts w:eastAsia="仿宋_GB2312"/>
          <w:sz w:val="30"/>
          <w:szCs w:val="30"/>
        </w:rPr>
      </w:pPr>
    </w:p>
    <w:tbl>
      <w:tblPr>
        <w:tblStyle w:val="14"/>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1" w:hRule="atLeast"/>
          <w:jc w:val="center"/>
        </w:trPr>
        <w:tc>
          <w:tcPr>
            <w:tcW w:w="9360" w:type="dxa"/>
            <w:tcBorders>
              <w:top w:val="nil"/>
              <w:left w:val="nil"/>
              <w:bottom w:val="nil"/>
              <w:right w:val="nil"/>
            </w:tcBorders>
          </w:tcPr>
          <w:p>
            <w:pPr>
              <w:spacing w:line="560" w:lineRule="exact"/>
              <w:rPr>
                <w:rFonts w:ascii="黑体" w:hAnsi="黑体" w:eastAsia="黑体" w:cs="黑体"/>
                <w:sz w:val="30"/>
                <w:szCs w:val="30"/>
              </w:rPr>
            </w:pPr>
            <w:bookmarkStart w:id="1" w:name="_GoBack"/>
            <w:bookmarkEnd w:id="1"/>
          </w:p>
          <w:p>
            <w:pPr>
              <w:pStyle w:val="12"/>
              <w:widowControl/>
              <w:spacing w:before="0" w:beforeAutospacing="0" w:after="0" w:afterAutospacing="0" w:line="240" w:lineRule="atLeast"/>
              <w:ind w:firstLine="600" w:firstLineChars="200"/>
              <w:jc w:val="both"/>
              <w:rPr>
                <w:rFonts w:ascii="黑体" w:hAnsi="黑体" w:eastAsia="黑体" w:cs="黑体"/>
                <w:sz w:val="30"/>
                <w:szCs w:val="30"/>
              </w:rPr>
            </w:pPr>
            <w:r>
              <w:rPr>
                <w:rFonts w:hint="eastAsia" w:ascii="仿宋" w:hAnsi="仿宋" w:eastAsia="仿宋" w:cs="仿宋"/>
                <w:kern w:val="2"/>
                <w:sz w:val="30"/>
                <w:szCs w:val="30"/>
              </w:rPr>
              <w:t>规定和各行业财务会计制度。根据自身实际，相应制订了资金分配、拨付、使用、管理、监督等规范性制度，做到了用制度管人，用制度办事。严格开展自清自查。每年都组织成立专门工作组，到捞草区域，采取走访群众、检查资料等方式，对到资金进行自清自查，通过检查，对存在的问题进行限期整改。</w:t>
            </w:r>
          </w:p>
          <w:p>
            <w:pPr>
              <w:spacing w:line="600" w:lineRule="exact"/>
              <w:ind w:firstLine="600" w:firstLineChars="200"/>
              <w:rPr>
                <w:rFonts w:ascii="黑体" w:hAnsi="黑体" w:eastAsia="黑体" w:cs="黑体"/>
                <w:sz w:val="30"/>
                <w:szCs w:val="30"/>
              </w:rPr>
            </w:pPr>
            <w:r>
              <w:rPr>
                <w:rFonts w:hint="eastAsia" w:ascii="黑体" w:hAnsi="黑体" w:eastAsia="黑体" w:cs="黑体"/>
                <w:sz w:val="30"/>
                <w:szCs w:val="30"/>
              </w:rPr>
              <w:t>五、主要经验及做法、存在的问题及原因分析</w:t>
            </w:r>
          </w:p>
          <w:p>
            <w:pPr>
              <w:pStyle w:val="12"/>
              <w:widowControl/>
              <w:spacing w:before="0" w:beforeAutospacing="0" w:after="0" w:afterAutospacing="0" w:line="240" w:lineRule="atLeast"/>
              <w:ind w:firstLine="602" w:firstLineChars="200"/>
              <w:jc w:val="both"/>
              <w:rPr>
                <w:rFonts w:ascii="仿宋" w:hAnsi="仿宋" w:eastAsia="仿宋" w:cs="仿宋"/>
                <w:sz w:val="30"/>
                <w:szCs w:val="30"/>
              </w:rPr>
            </w:pPr>
            <w:r>
              <w:rPr>
                <w:rFonts w:hint="eastAsia" w:ascii="仿宋" w:hAnsi="仿宋" w:eastAsia="仿宋" w:cs="仿宋"/>
                <w:b/>
                <w:bCs/>
                <w:sz w:val="30"/>
                <w:szCs w:val="30"/>
              </w:rPr>
              <w:t>一是领导重视。</w:t>
            </w:r>
            <w:r>
              <w:rPr>
                <w:rFonts w:hint="eastAsia" w:ascii="仿宋" w:hAnsi="仿宋" w:eastAsia="仿宋" w:cs="仿宋"/>
                <w:kern w:val="2"/>
                <w:sz w:val="30"/>
                <w:szCs w:val="30"/>
              </w:rPr>
              <w:t>专项资金预算下拨后，中心领导和分管领导高度重视，落实责任分工，确保项目顺利进行。</w:t>
            </w:r>
            <w:r>
              <w:rPr>
                <w:rFonts w:hint="eastAsia" w:ascii="仿宋" w:hAnsi="仿宋" w:eastAsia="仿宋" w:cs="仿宋"/>
                <w:b/>
                <w:bCs/>
                <w:sz w:val="30"/>
                <w:szCs w:val="30"/>
              </w:rPr>
              <w:t>二是编制规划。</w:t>
            </w:r>
            <w:r>
              <w:rPr>
                <w:rFonts w:hint="eastAsia" w:ascii="仿宋" w:hAnsi="仿宋" w:eastAsia="仿宋" w:cs="仿宋"/>
                <w:kern w:val="2"/>
                <w:sz w:val="30"/>
                <w:szCs w:val="30"/>
              </w:rPr>
              <w:t>领会文件实质，确定规划编制思路。</w:t>
            </w:r>
            <w:r>
              <w:rPr>
                <w:rFonts w:hint="eastAsia" w:ascii="仿宋" w:hAnsi="仿宋" w:eastAsia="仿宋" w:cs="仿宋"/>
                <w:b/>
                <w:bCs/>
                <w:sz w:val="30"/>
                <w:szCs w:val="30"/>
              </w:rPr>
              <w:t>三是用好资金。</w:t>
            </w:r>
            <w:r>
              <w:rPr>
                <w:rFonts w:hint="eastAsia" w:ascii="仿宋" w:hAnsi="仿宋" w:eastAsia="仿宋" w:cs="仿宋"/>
                <w:kern w:val="2"/>
                <w:sz w:val="30"/>
                <w:szCs w:val="30"/>
              </w:rPr>
              <w:t>建立了严格的资金管理制度。实行制度化管理。规范了资金拨付程序。项目资金实行专款专用。管理模式是县财政局监管，实行国库统一支付。在资金支付上，一律实行转帐支付。</w:t>
            </w:r>
            <w:r>
              <w:rPr>
                <w:rFonts w:hint="eastAsia" w:ascii="仿宋" w:hAnsi="仿宋" w:eastAsia="仿宋" w:cs="仿宋"/>
                <w:b/>
                <w:bCs/>
                <w:sz w:val="30"/>
                <w:szCs w:val="30"/>
              </w:rPr>
              <w:t>四是建立了规范的管理体系。</w:t>
            </w:r>
            <w:r>
              <w:rPr>
                <w:rFonts w:hint="eastAsia" w:ascii="仿宋" w:hAnsi="仿宋" w:eastAsia="仿宋" w:cs="仿宋"/>
                <w:kern w:val="2"/>
                <w:sz w:val="30"/>
                <w:szCs w:val="30"/>
              </w:rPr>
              <w:t>根据《预算法》《财政部关于印发财政支出绩效评价管理暂行办法的通知》.</w:t>
            </w:r>
            <w:r>
              <w:rPr>
                <w:rFonts w:hint="eastAsia" w:ascii="仿宋" w:hAnsi="仿宋" w:eastAsia="仿宋" w:cs="仿宋"/>
                <w:sz w:val="30"/>
                <w:szCs w:val="30"/>
              </w:rPr>
              <w:t>以及省市县有关政策规定和各行业财务会计制度。根据自身实际，相应制订了资金分配、拨付、使用、管理、监督等规范性制度，做到了用制度管人，用制度办事。严格开展自清自查。每年都组织成立专门工作组，到捞草区域，采取走访群众、检查资料等方式，对到资金进行自清自查，通过检查，对存在的问题进行限期整改。</w:t>
            </w:r>
          </w:p>
          <w:p>
            <w:pPr>
              <w:pStyle w:val="2"/>
              <w:spacing w:line="600" w:lineRule="exact"/>
              <w:rPr>
                <w:rFonts w:ascii="黑体" w:hAnsi="黑体" w:eastAsia="黑体" w:cs="黑体"/>
                <w:sz w:val="30"/>
                <w:szCs w:val="30"/>
              </w:rPr>
            </w:pPr>
          </w:p>
          <w:p>
            <w:pPr>
              <w:ind w:firstLine="600" w:firstLineChars="200"/>
              <w:rPr>
                <w:rFonts w:ascii="仿宋" w:hAnsi="仿宋" w:eastAsia="仿宋" w:cs="仿宋"/>
                <w:sz w:val="30"/>
                <w:szCs w:val="30"/>
              </w:rPr>
            </w:pPr>
          </w:p>
          <w:p>
            <w:pPr>
              <w:spacing w:line="560" w:lineRule="exact"/>
              <w:ind w:firstLine="560" w:firstLineChars="200"/>
              <w:rPr>
                <w:rFonts w:ascii="黑体" w:hAnsi="黑体" w:eastAsia="黑体" w:cs="黑体"/>
                <w:bCs/>
                <w:sz w:val="28"/>
                <w:szCs w:val="28"/>
              </w:rPr>
            </w:pPr>
            <w:r>
              <w:rPr>
                <w:rFonts w:hint="eastAsia" w:ascii="黑体" w:hAnsi="黑体" w:eastAsia="黑体" w:cs="黑体"/>
                <w:bCs/>
                <w:sz w:val="28"/>
                <w:szCs w:val="28"/>
              </w:rPr>
              <w:t>六、其他需要说明的问题</w:t>
            </w:r>
          </w:p>
          <w:p>
            <w:pPr>
              <w:spacing w:line="560" w:lineRule="exact"/>
              <w:ind w:firstLine="560" w:firstLineChars="200"/>
              <w:rPr>
                <w:rFonts w:eastAsia="楷体_GB2312"/>
                <w:bCs/>
                <w:sz w:val="28"/>
                <w:szCs w:val="28"/>
              </w:rPr>
            </w:pPr>
          </w:p>
        </w:tc>
      </w:tr>
    </w:tbl>
    <w:p>
      <w:pPr>
        <w:pStyle w:val="13"/>
        <w:ind w:left="0" w:leftChars="0" w:firstLine="0" w:firstLineChars="0"/>
        <w:rPr>
          <w:rFonts w:hint="eastAsia"/>
          <w:lang w:val="en-US" w:eastAsia="zh-CN"/>
        </w:rPr>
      </w:pPr>
    </w:p>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3"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5B860C7-7A28-4C21-ADF8-E31D26C6A309}"/>
  </w:font>
  <w:font w:name="Arial">
    <w:panose1 w:val="020B0604020202020204"/>
    <w:charset w:val="01"/>
    <w:family w:val="swiss"/>
    <w:pitch w:val="default"/>
    <w:sig w:usb0="E0002AFF" w:usb1="C0007843" w:usb2="00000009" w:usb3="00000000" w:csb0="400001FF" w:csb1="FFFF0000"/>
    <w:embedRegular r:id="rId2" w:fontKey="{92DC4B63-DD59-4FF8-B54E-75683CCC11CB}"/>
  </w:font>
  <w:font w:name="黑体">
    <w:panose1 w:val="02010609060101010101"/>
    <w:charset w:val="86"/>
    <w:family w:val="auto"/>
    <w:pitch w:val="default"/>
    <w:sig w:usb0="800002BF" w:usb1="38CF7CFA" w:usb2="00000016" w:usb3="00000000" w:csb0="00040001" w:csb1="00000000"/>
    <w:embedRegular r:id="rId3" w:fontKey="{8D80F173-A2F1-4F5D-84EB-9266C101E370}"/>
  </w:font>
  <w:font w:name="Courier New">
    <w:panose1 w:val="02070309020205020404"/>
    <w:charset w:val="01"/>
    <w:family w:val="modern"/>
    <w:pitch w:val="default"/>
    <w:sig w:usb0="E0002AFF" w:usb1="C0007843" w:usb2="00000009" w:usb3="00000000" w:csb0="400001FF" w:csb1="FFFF0000"/>
    <w:embedRegular r:id="rId4" w:fontKey="{54397E13-B575-42BC-9F54-D7F5F2351834}"/>
  </w:font>
  <w:font w:name="Symbol">
    <w:panose1 w:val="05050102010706020507"/>
    <w:charset w:val="02"/>
    <w:family w:val="roman"/>
    <w:pitch w:val="default"/>
    <w:sig w:usb0="00000000" w:usb1="00000000" w:usb2="00000000" w:usb3="00000000" w:csb0="80000000" w:csb1="00000000"/>
    <w:embedRegular r:id="rId5" w:fontKey="{6771F2AB-54E0-4FA6-890E-6AF1D38FAF41}"/>
  </w:font>
  <w:font w:name="Calibri">
    <w:panose1 w:val="020F0502020204030204"/>
    <w:charset w:val="00"/>
    <w:family w:val="swiss"/>
    <w:pitch w:val="default"/>
    <w:sig w:usb0="E00002FF" w:usb1="4000ACFF" w:usb2="00000001" w:usb3="00000000" w:csb0="2000019F" w:csb1="00000000"/>
    <w:embedRegular r:id="rId6" w:fontKey="{3AEE2161-1466-4FC6-9BB6-FB07C09C64CD}"/>
  </w:font>
  <w:font w:name="方正小标宋简体">
    <w:altName w:val="仿宋_GB2312"/>
    <w:panose1 w:val="03000509000000000000"/>
    <w:charset w:val="86"/>
    <w:family w:val="auto"/>
    <w:pitch w:val="default"/>
    <w:sig w:usb0="00000000" w:usb1="00000000" w:usb2="00000000" w:usb3="00000000" w:csb0="00040000" w:csb1="00000000"/>
    <w:embedRegular r:id="rId7" w:fontKey="{8F9D0277-F718-4BAB-85EB-3E2882BCFB10}"/>
  </w:font>
  <w:font w:name="新宋体">
    <w:panose1 w:val="02010609030101010101"/>
    <w:charset w:val="86"/>
    <w:family w:val="auto"/>
    <w:pitch w:val="default"/>
    <w:sig w:usb0="00000003" w:usb1="288F0000" w:usb2="00000006" w:usb3="00000000" w:csb0="00040001" w:csb1="00000000"/>
    <w:embedRegular r:id="rId8" w:fontKey="{510979B3-62FA-4BC1-8697-84F00F281AAA}"/>
  </w:font>
  <w:font w:name="仿宋_GB2312">
    <w:panose1 w:val="02010609030101010101"/>
    <w:charset w:val="86"/>
    <w:family w:val="auto"/>
    <w:pitch w:val="default"/>
    <w:sig w:usb0="00000001" w:usb1="080E0000" w:usb2="00000000" w:usb3="00000000" w:csb0="00040000" w:csb1="00000000"/>
    <w:embedRegular r:id="rId9" w:fontKey="{05907411-5357-4DEF-BCA2-31E4AA3B1FF2}"/>
  </w:font>
  <w:font w:name="仿宋">
    <w:panose1 w:val="02010609060101010101"/>
    <w:charset w:val="86"/>
    <w:family w:val="modern"/>
    <w:pitch w:val="default"/>
    <w:sig w:usb0="800002BF" w:usb1="38CF7CFA" w:usb2="00000016" w:usb3="00000000" w:csb0="00040001" w:csb1="00000000"/>
    <w:embedRegular r:id="rId10" w:fontKey="{861F37E9-8A2D-43B8-A274-5F31D38F82E2}"/>
  </w:font>
  <w:font w:name="方正小标宋_GBK">
    <w:altName w:val="微软雅黑"/>
    <w:panose1 w:val="03000509000000000000"/>
    <w:charset w:val="86"/>
    <w:family w:val="script"/>
    <w:pitch w:val="default"/>
    <w:sig w:usb0="00000000" w:usb1="00000000" w:usb2="00000000" w:usb3="00000000" w:csb0="00040000" w:csb1="00000000"/>
    <w:embedRegular r:id="rId11" w:fontKey="{EB94B5F0-7FBE-49A1-8B6E-24F2EE5067F3}"/>
  </w:font>
  <w:font w:name="楷体_GB2312">
    <w:panose1 w:val="02010609030101010101"/>
    <w:charset w:val="86"/>
    <w:family w:val="auto"/>
    <w:pitch w:val="default"/>
    <w:sig w:usb0="00000001" w:usb1="080E0000" w:usb2="00000000" w:usb3="00000000" w:csb0="00040000" w:csb1="00000000"/>
    <w:embedRegular r:id="rId12" w:fontKey="{9800D626-6466-4C62-9F6E-6C1926D234CE}"/>
  </w:font>
  <w:font w:name="MS Mincho">
    <w:panose1 w:val="02020609040205080304"/>
    <w:charset w:val="80"/>
    <w:family w:val="swiss"/>
    <w:pitch w:val="default"/>
    <w:sig w:usb0="E00002FF" w:usb1="6AC7FDFB" w:usb2="00000012" w:usb3="00000000" w:csb0="4002009F" w:csb1="DFD70000"/>
    <w:embedRegular r:id="rId13" w:fontKey="{0ADF21C4-C58D-49B6-972C-5021574645E3}"/>
  </w:font>
  <w:font w:name="MS PGothic">
    <w:panose1 w:val="020B0600070205080204"/>
    <w:charset w:val="80"/>
    <w:family w:val="auto"/>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embedRegular r:id="rId14" w:fontKey="{84D5165A-B1E9-4012-AC10-5EDC0586FE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rPr>
        <w:rFonts w:ascii="仿宋_GB2312" w:eastAsia="仿宋_GB2312"/>
        <w:sz w:val="28"/>
        <w:szCs w:val="28"/>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9"/>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rPr>
        <w:rFonts w:ascii="仿宋_GB2312" w:eastAsia="仿宋_GB2312"/>
        <w:sz w:val="28"/>
        <w:szCs w:val="28"/>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pPr>
                      <w:pStyle w:val="9"/>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00C914"/>
    <w:multiLevelType w:val="singleLevel"/>
    <w:tmpl w:val="8A00C914"/>
    <w:lvl w:ilvl="0" w:tentative="0">
      <w:start w:val="2"/>
      <w:numFmt w:val="chineseCounting"/>
      <w:lvlText w:val="(%1)"/>
      <w:lvlJc w:val="left"/>
      <w:pPr>
        <w:tabs>
          <w:tab w:val="left" w:pos="312"/>
        </w:tabs>
      </w:pPr>
      <w:rPr>
        <w:rFonts w:hint="eastAsia"/>
      </w:rPr>
    </w:lvl>
  </w:abstractNum>
  <w:abstractNum w:abstractNumId="1">
    <w:nsid w:val="A21425F8"/>
    <w:multiLevelType w:val="singleLevel"/>
    <w:tmpl w:val="A21425F8"/>
    <w:lvl w:ilvl="0" w:tentative="0">
      <w:start w:val="1"/>
      <w:numFmt w:val="decimal"/>
      <w:suff w:val="nothing"/>
      <w:lvlText w:val="%1，"/>
      <w:lvlJc w:val="left"/>
    </w:lvl>
  </w:abstractNum>
  <w:abstractNum w:abstractNumId="2">
    <w:nsid w:val="B4559573"/>
    <w:multiLevelType w:val="singleLevel"/>
    <w:tmpl w:val="B4559573"/>
    <w:lvl w:ilvl="0" w:tentative="0">
      <w:start w:val="6"/>
      <w:numFmt w:val="chineseCounting"/>
      <w:suff w:val="nothing"/>
      <w:lvlText w:val="%1、"/>
      <w:lvlJc w:val="left"/>
      <w:pPr>
        <w:ind w:left="210"/>
      </w:pPr>
      <w:rPr>
        <w:rFonts w:hint="eastAsia"/>
      </w:rPr>
    </w:lvl>
  </w:abstractNum>
  <w:abstractNum w:abstractNumId="3">
    <w:nsid w:val="BE68E695"/>
    <w:multiLevelType w:val="singleLevel"/>
    <w:tmpl w:val="BE68E695"/>
    <w:lvl w:ilvl="0" w:tentative="0">
      <w:start w:val="1"/>
      <w:numFmt w:val="chineseCounting"/>
      <w:suff w:val="nothing"/>
      <w:lvlText w:val="%1、"/>
      <w:lvlJc w:val="left"/>
      <w:rPr>
        <w:rFonts w:hint="eastAsia"/>
      </w:rPr>
    </w:lvl>
  </w:abstractNum>
  <w:abstractNum w:abstractNumId="4">
    <w:nsid w:val="BF6E7B68"/>
    <w:multiLevelType w:val="singleLevel"/>
    <w:tmpl w:val="BF6E7B68"/>
    <w:lvl w:ilvl="0" w:tentative="0">
      <w:start w:val="2"/>
      <w:numFmt w:val="chineseCounting"/>
      <w:lvlText w:val="(%1)"/>
      <w:lvlJc w:val="left"/>
      <w:pPr>
        <w:tabs>
          <w:tab w:val="left" w:pos="312"/>
        </w:tabs>
      </w:pPr>
      <w:rPr>
        <w:rFonts w:hint="eastAsia"/>
      </w:rPr>
    </w:lvl>
  </w:abstractNum>
  <w:abstractNum w:abstractNumId="5">
    <w:nsid w:val="C152AC84"/>
    <w:multiLevelType w:val="singleLevel"/>
    <w:tmpl w:val="C152AC84"/>
    <w:lvl w:ilvl="0" w:tentative="0">
      <w:start w:val="1"/>
      <w:numFmt w:val="chineseCounting"/>
      <w:suff w:val="nothing"/>
      <w:lvlText w:val="%1、"/>
      <w:lvlJc w:val="left"/>
      <w:rPr>
        <w:rFonts w:hint="eastAsia"/>
      </w:rPr>
    </w:lvl>
  </w:abstractNum>
  <w:abstractNum w:abstractNumId="6">
    <w:nsid w:val="0F83921C"/>
    <w:multiLevelType w:val="singleLevel"/>
    <w:tmpl w:val="0F83921C"/>
    <w:lvl w:ilvl="0" w:tentative="0">
      <w:start w:val="2"/>
      <w:numFmt w:val="chineseCounting"/>
      <w:lvlText w:val="(%1)"/>
      <w:lvlJc w:val="left"/>
      <w:pPr>
        <w:tabs>
          <w:tab w:val="left" w:pos="312"/>
        </w:tabs>
      </w:pPr>
      <w:rPr>
        <w:rFonts w:hint="eastAsia"/>
      </w:rPr>
    </w:lvl>
  </w:abstractNum>
  <w:abstractNum w:abstractNumId="7">
    <w:nsid w:val="177EFD05"/>
    <w:multiLevelType w:val="singleLevel"/>
    <w:tmpl w:val="177EFD05"/>
    <w:lvl w:ilvl="0" w:tentative="0">
      <w:start w:val="3"/>
      <w:numFmt w:val="chineseCounting"/>
      <w:suff w:val="nothing"/>
      <w:lvlText w:val="%1、"/>
      <w:lvlJc w:val="left"/>
      <w:rPr>
        <w:rFonts w:hint="eastAsia"/>
      </w:rPr>
    </w:lvl>
  </w:abstractNum>
  <w:abstractNum w:abstractNumId="8">
    <w:nsid w:val="24B8FB1A"/>
    <w:multiLevelType w:val="singleLevel"/>
    <w:tmpl w:val="24B8FB1A"/>
    <w:lvl w:ilvl="0" w:tentative="0">
      <w:start w:val="2"/>
      <w:numFmt w:val="chineseCounting"/>
      <w:lvlText w:val="(%1)"/>
      <w:lvlJc w:val="left"/>
      <w:pPr>
        <w:tabs>
          <w:tab w:val="left" w:pos="312"/>
        </w:tabs>
      </w:pPr>
      <w:rPr>
        <w:rFonts w:hint="eastAsia"/>
      </w:rPr>
    </w:lvl>
  </w:abstractNum>
  <w:abstractNum w:abstractNumId="9">
    <w:nsid w:val="406BF8D7"/>
    <w:multiLevelType w:val="singleLevel"/>
    <w:tmpl w:val="406BF8D7"/>
    <w:lvl w:ilvl="0" w:tentative="0">
      <w:start w:val="1"/>
      <w:numFmt w:val="decimal"/>
      <w:suff w:val="nothing"/>
      <w:lvlText w:val="%1、"/>
      <w:lvlJc w:val="left"/>
    </w:lvl>
  </w:abstractNum>
  <w:abstractNum w:abstractNumId="10">
    <w:nsid w:val="594B4201"/>
    <w:multiLevelType w:val="singleLevel"/>
    <w:tmpl w:val="594B4201"/>
    <w:lvl w:ilvl="0" w:tentative="0">
      <w:start w:val="5"/>
      <w:numFmt w:val="chineseCounting"/>
      <w:suff w:val="nothing"/>
      <w:lvlText w:val="%1、"/>
      <w:lvlJc w:val="left"/>
      <w:rPr>
        <w:rFonts w:hint="eastAsia"/>
      </w:rPr>
    </w:lvl>
  </w:abstractNum>
  <w:abstractNum w:abstractNumId="11">
    <w:nsid w:val="7307EA67"/>
    <w:multiLevelType w:val="singleLevel"/>
    <w:tmpl w:val="7307EA67"/>
    <w:lvl w:ilvl="0" w:tentative="0">
      <w:start w:val="2"/>
      <w:numFmt w:val="chineseCounting"/>
      <w:lvlText w:val="(%1)"/>
      <w:lvlJc w:val="left"/>
      <w:pPr>
        <w:tabs>
          <w:tab w:val="left" w:pos="312"/>
        </w:tabs>
      </w:pPr>
      <w:rPr>
        <w:rFonts w:hint="eastAsia"/>
      </w:rPr>
    </w:lvl>
  </w:abstractNum>
  <w:num w:numId="1">
    <w:abstractNumId w:val="3"/>
  </w:num>
  <w:num w:numId="2">
    <w:abstractNumId w:val="9"/>
  </w:num>
  <w:num w:numId="3">
    <w:abstractNumId w:val="2"/>
  </w:num>
  <w:num w:numId="4">
    <w:abstractNumId w:val="11"/>
  </w:num>
  <w:num w:numId="5">
    <w:abstractNumId w:val="4"/>
  </w:num>
  <w:num w:numId="6">
    <w:abstractNumId w:val="10"/>
  </w:num>
  <w:num w:numId="7">
    <w:abstractNumId w:val="1"/>
  </w:num>
  <w:num w:numId="8">
    <w:abstractNumId w:val="6"/>
  </w:num>
  <w:num w:numId="9">
    <w:abstractNumId w:val="0"/>
  </w:num>
  <w:num w:numId="10">
    <w:abstractNumId w:val="8"/>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lhN2Y5ZGY3OWY3ODc0YmUzYjQwODEzMDE0MjQ5Y2QifQ=="/>
  </w:docVars>
  <w:rsids>
    <w:rsidRoot w:val="0CCB7736"/>
    <w:rsid w:val="00047FEF"/>
    <w:rsid w:val="000A3906"/>
    <w:rsid w:val="001776F1"/>
    <w:rsid w:val="006F0A16"/>
    <w:rsid w:val="00773328"/>
    <w:rsid w:val="00821883"/>
    <w:rsid w:val="00917857"/>
    <w:rsid w:val="00A755C2"/>
    <w:rsid w:val="01537475"/>
    <w:rsid w:val="016A347B"/>
    <w:rsid w:val="01AB7B24"/>
    <w:rsid w:val="01AC1704"/>
    <w:rsid w:val="02B50488"/>
    <w:rsid w:val="0338470A"/>
    <w:rsid w:val="034822A9"/>
    <w:rsid w:val="03D86621"/>
    <w:rsid w:val="04EE6171"/>
    <w:rsid w:val="05395EA9"/>
    <w:rsid w:val="09BE6112"/>
    <w:rsid w:val="0ABD557B"/>
    <w:rsid w:val="0BBB5A8D"/>
    <w:rsid w:val="0C104906"/>
    <w:rsid w:val="0CCB7736"/>
    <w:rsid w:val="0D9E0E8D"/>
    <w:rsid w:val="0EAB7397"/>
    <w:rsid w:val="0EF755B3"/>
    <w:rsid w:val="0F17035E"/>
    <w:rsid w:val="0F4E168D"/>
    <w:rsid w:val="11404466"/>
    <w:rsid w:val="11963ADD"/>
    <w:rsid w:val="11EB0F5C"/>
    <w:rsid w:val="11F20483"/>
    <w:rsid w:val="12460DCF"/>
    <w:rsid w:val="136F31F8"/>
    <w:rsid w:val="138750E0"/>
    <w:rsid w:val="15A620D3"/>
    <w:rsid w:val="166922FC"/>
    <w:rsid w:val="16A3369E"/>
    <w:rsid w:val="17027C18"/>
    <w:rsid w:val="178536BD"/>
    <w:rsid w:val="19516372"/>
    <w:rsid w:val="19575CC2"/>
    <w:rsid w:val="19A80228"/>
    <w:rsid w:val="1A101464"/>
    <w:rsid w:val="1AB74849"/>
    <w:rsid w:val="1AC52FF2"/>
    <w:rsid w:val="1AE6175D"/>
    <w:rsid w:val="1B282FFD"/>
    <w:rsid w:val="1B4A20DA"/>
    <w:rsid w:val="1B742AA7"/>
    <w:rsid w:val="1C3F0D3A"/>
    <w:rsid w:val="1CA34935"/>
    <w:rsid w:val="1D5A640E"/>
    <w:rsid w:val="1F6B3CF7"/>
    <w:rsid w:val="1F7640EC"/>
    <w:rsid w:val="20D76C5F"/>
    <w:rsid w:val="21057490"/>
    <w:rsid w:val="214A230E"/>
    <w:rsid w:val="21B052C4"/>
    <w:rsid w:val="22FF5445"/>
    <w:rsid w:val="230545CE"/>
    <w:rsid w:val="238D0E57"/>
    <w:rsid w:val="2402572D"/>
    <w:rsid w:val="24256710"/>
    <w:rsid w:val="251E7983"/>
    <w:rsid w:val="260D5D83"/>
    <w:rsid w:val="284A2254"/>
    <w:rsid w:val="292F1467"/>
    <w:rsid w:val="29786927"/>
    <w:rsid w:val="297B51B4"/>
    <w:rsid w:val="29E40467"/>
    <w:rsid w:val="29F527E2"/>
    <w:rsid w:val="2BF35971"/>
    <w:rsid w:val="2C487650"/>
    <w:rsid w:val="2E4F43C0"/>
    <w:rsid w:val="2EC7368E"/>
    <w:rsid w:val="30FB4B41"/>
    <w:rsid w:val="31621165"/>
    <w:rsid w:val="323C5548"/>
    <w:rsid w:val="332E1CAB"/>
    <w:rsid w:val="332F11C0"/>
    <w:rsid w:val="37450F88"/>
    <w:rsid w:val="37D6106F"/>
    <w:rsid w:val="38F862EB"/>
    <w:rsid w:val="39343807"/>
    <w:rsid w:val="39887BBC"/>
    <w:rsid w:val="39974B3E"/>
    <w:rsid w:val="3A53023B"/>
    <w:rsid w:val="3AF42D2D"/>
    <w:rsid w:val="3B3A041F"/>
    <w:rsid w:val="3BAE6BF9"/>
    <w:rsid w:val="3C4F420B"/>
    <w:rsid w:val="3C9A591B"/>
    <w:rsid w:val="3CCA47F2"/>
    <w:rsid w:val="3CDE0708"/>
    <w:rsid w:val="3D5877DF"/>
    <w:rsid w:val="3DC55CAA"/>
    <w:rsid w:val="3DD556CA"/>
    <w:rsid w:val="3E6B5C26"/>
    <w:rsid w:val="3F450429"/>
    <w:rsid w:val="40226C80"/>
    <w:rsid w:val="40C451A5"/>
    <w:rsid w:val="4156470B"/>
    <w:rsid w:val="41943ACE"/>
    <w:rsid w:val="425D4066"/>
    <w:rsid w:val="42D34B85"/>
    <w:rsid w:val="43173FD4"/>
    <w:rsid w:val="43315F5F"/>
    <w:rsid w:val="43EE0D1B"/>
    <w:rsid w:val="44143822"/>
    <w:rsid w:val="4464157C"/>
    <w:rsid w:val="44654A12"/>
    <w:rsid w:val="45261842"/>
    <w:rsid w:val="457C5F26"/>
    <w:rsid w:val="466603F5"/>
    <w:rsid w:val="496C483B"/>
    <w:rsid w:val="49CF255F"/>
    <w:rsid w:val="4B2C5DCD"/>
    <w:rsid w:val="4B7D1173"/>
    <w:rsid w:val="4C150E22"/>
    <w:rsid w:val="4C6A38FC"/>
    <w:rsid w:val="4CE74BC3"/>
    <w:rsid w:val="4CF5000E"/>
    <w:rsid w:val="4DB17672"/>
    <w:rsid w:val="50AC44C4"/>
    <w:rsid w:val="50EA6DB9"/>
    <w:rsid w:val="51CA7471"/>
    <w:rsid w:val="521C2FA3"/>
    <w:rsid w:val="522529B2"/>
    <w:rsid w:val="53910AF4"/>
    <w:rsid w:val="555952B3"/>
    <w:rsid w:val="556B5A36"/>
    <w:rsid w:val="55AF40BB"/>
    <w:rsid w:val="56F72F7C"/>
    <w:rsid w:val="579D011F"/>
    <w:rsid w:val="586243BF"/>
    <w:rsid w:val="58FD3402"/>
    <w:rsid w:val="590C3027"/>
    <w:rsid w:val="599B3659"/>
    <w:rsid w:val="5AAF7799"/>
    <w:rsid w:val="5B5C1753"/>
    <w:rsid w:val="5D9E389A"/>
    <w:rsid w:val="5E134100"/>
    <w:rsid w:val="5F7A1C50"/>
    <w:rsid w:val="5FC067A5"/>
    <w:rsid w:val="601C4AB5"/>
    <w:rsid w:val="60BE691E"/>
    <w:rsid w:val="61444403"/>
    <w:rsid w:val="62265BDF"/>
    <w:rsid w:val="62E1699A"/>
    <w:rsid w:val="63875A0E"/>
    <w:rsid w:val="64147F0D"/>
    <w:rsid w:val="64D66362"/>
    <w:rsid w:val="65860217"/>
    <w:rsid w:val="667E0AA1"/>
    <w:rsid w:val="681850E4"/>
    <w:rsid w:val="68FB17C3"/>
    <w:rsid w:val="695F12F9"/>
    <w:rsid w:val="69636C3A"/>
    <w:rsid w:val="698C4704"/>
    <w:rsid w:val="69CF7B2C"/>
    <w:rsid w:val="69F34AD9"/>
    <w:rsid w:val="6A0B0004"/>
    <w:rsid w:val="6A1F0F97"/>
    <w:rsid w:val="6B4C508F"/>
    <w:rsid w:val="6BA1010E"/>
    <w:rsid w:val="6CE47E41"/>
    <w:rsid w:val="6CED5810"/>
    <w:rsid w:val="6CF92413"/>
    <w:rsid w:val="6D574911"/>
    <w:rsid w:val="6DFE5E04"/>
    <w:rsid w:val="6E87203D"/>
    <w:rsid w:val="6F9278BB"/>
    <w:rsid w:val="6FA17113"/>
    <w:rsid w:val="7026440D"/>
    <w:rsid w:val="70BF1643"/>
    <w:rsid w:val="71572F19"/>
    <w:rsid w:val="719B7427"/>
    <w:rsid w:val="724A6793"/>
    <w:rsid w:val="741F26FA"/>
    <w:rsid w:val="74470DF8"/>
    <w:rsid w:val="75FD1676"/>
    <w:rsid w:val="770E2F52"/>
    <w:rsid w:val="799536BA"/>
    <w:rsid w:val="7B170752"/>
    <w:rsid w:val="7B8F681B"/>
    <w:rsid w:val="7C0A6D91"/>
    <w:rsid w:val="7DD96C0E"/>
    <w:rsid w:val="7E474F7B"/>
    <w:rsid w:val="7E8F7AC1"/>
    <w:rsid w:val="7FDC6E7F"/>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9"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qFormat="1"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0"/>
    <w:pPr>
      <w:keepNext/>
      <w:keepLines/>
      <w:outlineLvl w:val="0"/>
    </w:pPr>
    <w:rPr>
      <w:rFonts w:eastAsia="黑体"/>
      <w:bCs/>
      <w:kern w:val="44"/>
      <w:szCs w:val="44"/>
    </w:rPr>
  </w:style>
  <w:style w:type="paragraph" w:styleId="4">
    <w:name w:val="heading 2"/>
    <w:basedOn w:val="1"/>
    <w:next w:val="1"/>
    <w:unhideWhenUsed/>
    <w:qFormat/>
    <w:locked/>
    <w:uiPriority w:val="9"/>
    <w:pPr>
      <w:keepNext/>
      <w:keepLines/>
      <w:outlineLvl w:val="1"/>
    </w:pPr>
    <w:rPr>
      <w:rFonts w:cs="Times New Roman"/>
      <w:bCs/>
      <w:szCs w:val="32"/>
    </w:rPr>
  </w:style>
  <w:style w:type="paragraph" w:styleId="5">
    <w:name w:val="heading 3"/>
    <w:basedOn w:val="1"/>
    <w:next w:val="1"/>
    <w:semiHidden/>
    <w:unhideWhenUsed/>
    <w:qFormat/>
    <w:locked/>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6">
    <w:name w:val="Default Paragraph Font"/>
    <w:semiHidden/>
    <w:qFormat/>
    <w:uiPriority w:val="99"/>
  </w:style>
  <w:style w:type="table" w:default="1" w:styleId="1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footnote text"/>
    <w:basedOn w:val="1"/>
    <w:next w:val="1"/>
    <w:qFormat/>
    <w:uiPriority w:val="0"/>
    <w:pPr>
      <w:snapToGrid w:val="0"/>
      <w:jc w:val="left"/>
    </w:pPr>
    <w:rPr>
      <w:sz w:val="18"/>
      <w:szCs w:val="18"/>
    </w:rPr>
  </w:style>
  <w:style w:type="paragraph" w:styleId="6">
    <w:name w:val="Normal Indent"/>
    <w:basedOn w:val="1"/>
    <w:qFormat/>
    <w:uiPriority w:val="0"/>
    <w:pPr>
      <w:ind w:firstLine="420" w:firstLineChars="200"/>
    </w:pPr>
  </w:style>
  <w:style w:type="paragraph" w:styleId="7">
    <w:name w:val="Body Text"/>
    <w:basedOn w:val="1"/>
    <w:qFormat/>
    <w:uiPriority w:val="0"/>
    <w:pPr>
      <w:widowControl/>
      <w:spacing w:before="100" w:beforeAutospacing="1" w:after="100" w:afterAutospacing="1"/>
      <w:jc w:val="left"/>
    </w:pPr>
    <w:rPr>
      <w:rFonts w:ascii="宋体" w:hAnsi="宋体" w:cs="宋体"/>
      <w:kern w:val="0"/>
      <w:sz w:val="24"/>
    </w:rPr>
  </w:style>
  <w:style w:type="paragraph" w:styleId="8">
    <w:name w:val="Body Text Indent"/>
    <w:basedOn w:val="1"/>
    <w:unhideWhenUsed/>
    <w:qFormat/>
    <w:uiPriority w:val="99"/>
    <w:pPr>
      <w:spacing w:after="120"/>
      <w:ind w:left="420" w:leftChars="200"/>
    </w:pPr>
    <w:rPr>
      <w:rFonts w:ascii="Times New Roman" w:hAnsi="Times New Roman" w:eastAsia="宋体" w:cs="Times New Roman"/>
    </w:rPr>
  </w:style>
  <w:style w:type="paragraph" w:styleId="9">
    <w:name w:val="footer"/>
    <w:basedOn w:val="1"/>
    <w:link w:val="18"/>
    <w:qFormat/>
    <w:uiPriority w:val="99"/>
    <w:pPr>
      <w:tabs>
        <w:tab w:val="center" w:pos="4153"/>
        <w:tab w:val="right" w:pos="8306"/>
      </w:tabs>
      <w:snapToGrid w:val="0"/>
      <w:jc w:val="left"/>
    </w:pPr>
    <w:rPr>
      <w:sz w:val="18"/>
      <w:szCs w:val="18"/>
    </w:rPr>
  </w:style>
  <w:style w:type="paragraph" w:styleId="10">
    <w:name w:val="header"/>
    <w:basedOn w:val="1"/>
    <w:link w:val="19"/>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able of figures"/>
    <w:basedOn w:val="1"/>
    <w:next w:val="1"/>
    <w:unhideWhenUsed/>
    <w:qFormat/>
    <w:uiPriority w:val="99"/>
    <w:pPr>
      <w:ind w:left="200" w:leftChars="200" w:hanging="200" w:hangingChars="200"/>
    </w:pPr>
  </w:style>
  <w:style w:type="paragraph" w:styleId="12">
    <w:name w:val="Normal (Web)"/>
    <w:basedOn w:val="1"/>
    <w:unhideWhenUsed/>
    <w:qFormat/>
    <w:uiPriority w:val="99"/>
    <w:pPr>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styleId="13">
    <w:name w:val="Body Text First Indent 2"/>
    <w:basedOn w:val="8"/>
    <w:unhideWhenUsed/>
    <w:qFormat/>
    <w:uiPriority w:val="99"/>
    <w:pPr>
      <w:spacing w:before="100" w:beforeAutospacing="1" w:after="0"/>
      <w:ind w:left="0" w:firstLine="420" w:firstLineChars="200"/>
    </w:pPr>
    <w:rPr>
      <w:rFonts w:ascii="Calibri" w:hAnsi="Calibri" w:eastAsia="宋体" w:cs="Times New Roman"/>
    </w:rPr>
  </w:style>
  <w:style w:type="table" w:styleId="15">
    <w:name w:val="Table Grid"/>
    <w:basedOn w:val="14"/>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basedOn w:val="16"/>
    <w:qFormat/>
    <w:uiPriority w:val="99"/>
    <w:rPr>
      <w:rFonts w:cs="Times New Roman"/>
    </w:rPr>
  </w:style>
  <w:style w:type="character" w:customStyle="1" w:styleId="18">
    <w:name w:val="Footer Char"/>
    <w:basedOn w:val="16"/>
    <w:link w:val="9"/>
    <w:semiHidden/>
    <w:qFormat/>
    <w:uiPriority w:val="99"/>
    <w:rPr>
      <w:sz w:val="18"/>
      <w:szCs w:val="18"/>
    </w:rPr>
  </w:style>
  <w:style w:type="character" w:customStyle="1" w:styleId="19">
    <w:name w:val="Header Char"/>
    <w:basedOn w:val="16"/>
    <w:link w:val="10"/>
    <w:semiHidden/>
    <w:qFormat/>
    <w:uiPriority w:val="99"/>
    <w:rPr>
      <w:sz w:val="18"/>
      <w:szCs w:val="18"/>
    </w:rPr>
  </w:style>
  <w:style w:type="paragraph" w:styleId="20">
    <w:name w:val="List Paragraph"/>
    <w:basedOn w:val="1"/>
    <w:qFormat/>
    <w:uiPriority w:val="99"/>
    <w:pPr>
      <w:ind w:firstLine="420" w:firstLineChars="200"/>
    </w:pPr>
    <w:rPr>
      <w:rFonts w:ascii="Calibri" w:hAnsi="Calibri"/>
      <w:szCs w:val="22"/>
    </w:rPr>
  </w:style>
  <w:style w:type="paragraph" w:customStyle="1" w:styleId="21">
    <w:name w:val="Other|1"/>
    <w:basedOn w:val="1"/>
    <w:qFormat/>
    <w:uiPriority w:val="0"/>
    <w:pPr>
      <w:widowControl w:val="0"/>
      <w:spacing w:line="415" w:lineRule="auto"/>
      <w:ind w:firstLine="400"/>
    </w:pPr>
    <w:rPr>
      <w:rFonts w:ascii="宋体" w:hAnsi="宋体" w:eastAsia="宋体" w:cs="宋体"/>
      <w:sz w:val="28"/>
      <w:szCs w:val="28"/>
      <w:lang w:val="zh-TW" w:eastAsia="zh-TW" w:bidi="zh-TW"/>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60</Pages>
  <Words>25098</Words>
  <Characters>27561</Characters>
  <Lines>0</Lines>
  <Paragraphs>0</Paragraphs>
  <TotalTime>1</TotalTime>
  <ScaleCrop>false</ScaleCrop>
  <LinksUpToDate>false</LinksUpToDate>
  <CharactersWithSpaces>28104</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2020-06-04T01:07:00Z</dcterms:created>
  <dc:creator>Administrator</dc:creator>
  <cp:lastModifiedBy>吴涛</cp:lastModifiedBy>
  <cp:lastPrinted>2023-07-17T03:55:00Z</cp:lastPrinted>
  <dcterms:modified xsi:type="dcterms:W3CDTF">2023-07-17T07:21:10Z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KSOSaveFontToCloudKey">
    <vt:lpwstr>386772509_embed</vt:lpwstr>
  </property>
  <property fmtid="{D5CDD505-2E9C-101B-9397-08002B2CF9AE}" pid="4" name="ICV">
    <vt:lpwstr>19AC332D51064352AC23DB3AB8F19EE4</vt:lpwstr>
  </property>
</Properties>
</file>