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zh-CN"/>
              </w:rPr>
              <w:t>86.14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96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.29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96.29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0.66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/>
              </w:rPr>
              <w:t>63.2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244.35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344.35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1.19年灌区节水配套项目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244.35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张霁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2023.7.13</w:t>
      </w:r>
      <w:r>
        <w:rPr>
          <w:rFonts w:hint="default" w:ascii="Times New Roman" w:hAnsi="Times New Roman" w:eastAsia="仿宋_GB2312" w:cs="Times New Roman"/>
          <w:sz w:val="22"/>
        </w:rPr>
        <w:t xml:space="preserve">    联系电话：</w:t>
      </w:r>
      <w:r>
        <w:rPr>
          <w:rFonts w:hint="eastAsia" w:eastAsia="仿宋_GB2312" w:cs="Times New Roman"/>
          <w:sz w:val="22"/>
          <w:lang w:val="en-US" w:eastAsia="zh-CN"/>
        </w:rPr>
        <w:t>18673073720</w:t>
      </w:r>
      <w:r>
        <w:rPr>
          <w:rFonts w:hint="default" w:ascii="Times New Roman" w:hAnsi="Times New Roman" w:eastAsia="仿宋_GB2312" w:cs="Times New Roman"/>
          <w:sz w:val="22"/>
        </w:rPr>
        <w:t xml:space="preserve">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7"/>
        <w:gridCol w:w="880"/>
        <w:gridCol w:w="867"/>
        <w:gridCol w:w="1057"/>
        <w:gridCol w:w="1103"/>
        <w:gridCol w:w="1077"/>
        <w:gridCol w:w="589"/>
        <w:gridCol w:w="1023"/>
        <w:gridCol w:w="159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08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华容县沙河水库管理所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91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342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340.64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340.64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340.64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244.35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342</w:t>
            </w:r>
          </w:p>
        </w:tc>
        <w:tc>
          <w:tcPr>
            <w:tcW w:w="23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340.2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财政供养人员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8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8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8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8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在职人员数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8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8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8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8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社会工资水平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中等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中等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12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12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满足基本运转人均额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中等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中等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7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6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4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3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人员费用金额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97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96.29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7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7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公用费用金额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7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7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7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7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项目费用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344.35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  <w:lang w:val="en-US" w:eastAsia="zh-CN"/>
              </w:rPr>
              <w:t>244.35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7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7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指标值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工作人员工作水平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良好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良好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9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员工工作较积极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改善基础设施的状况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有待改善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有所改善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维持水利工作的良好发展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良好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良好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促进社会健康发展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良好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良好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服务公众，社会效益反馈不错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100%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……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0" w:lineRule="atLeast"/>
              <w:jc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73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97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填表人： </w:t>
      </w:r>
      <w:r>
        <w:rPr>
          <w:rFonts w:hint="eastAsia" w:eastAsia="仿宋_GB2312" w:cs="Times New Roman"/>
          <w:sz w:val="22"/>
          <w:szCs w:val="22"/>
          <w:lang w:eastAsia="zh-CN"/>
        </w:rPr>
        <w:t>张霁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2023.7.13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18673073720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（一）单位基本情况</w:t>
      </w:r>
    </w:p>
    <w:p>
      <w:pPr>
        <w:ind w:firstLine="64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" w:hAnsi="仿宋" w:eastAsia="仿宋"/>
          <w:sz w:val="32"/>
          <w:szCs w:val="32"/>
        </w:rPr>
        <w:t>华容县沙河水库管理所是县水利局下属二级单位，成立于1989年。沙河水库全长8480米，集雨面积3平方公里，总库容610万立米，灌洪区内有操军镇、梅田湖镇两个乡镇，23个村场，受益人口1.8万人，受益耕地面积为5.3万亩。现有干部职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sz w:val="32"/>
          <w:szCs w:val="32"/>
        </w:rPr>
        <w:t>人，其中正式职工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人，劳务派遣人员1人。</w:t>
      </w:r>
    </w:p>
    <w:p>
      <w:pPr>
        <w:pStyle w:val="2"/>
        <w:numPr>
          <w:numId w:val="0"/>
        </w:numPr>
        <w:rPr>
          <w:rFonts w:hint="default" w:eastAsia="宋体"/>
          <w:lang w:val="en-US" w:eastAsia="zh-CN"/>
        </w:rPr>
      </w:pP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Style w:val="2"/>
        <w:spacing w:line="610" w:lineRule="exact"/>
        <w:ind w:left="210" w:right="210" w:firstLine="640" w:firstLineChars="200"/>
        <w:jc w:val="both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2022年支出年初预算为97万元，与上年支出年初预算86.09万元增加了10.93万元，增幅12.69%；支出全年预算数为96.29万元，与上年支出全年预算数86.09万元增加了10.2万元，增幅11.84%。</w:t>
      </w:r>
    </w:p>
    <w:p>
      <w:pPr>
        <w:pStyle w:val="12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2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项目支出244.35万元，与上年63.2万元相比增加了181.15万元，主要用于支付2019年沙河灌区节水配套工程尾款。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ind w:firstLine="640" w:firstLineChars="20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本单位2022年度确保了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沙河</w:t>
      </w:r>
      <w:r>
        <w:rPr>
          <w:rFonts w:hint="eastAsia" w:ascii="仿宋" w:hAnsi="仿宋" w:eastAsia="仿宋" w:cs="Times New Roman"/>
          <w:sz w:val="32"/>
          <w:szCs w:val="32"/>
        </w:rPr>
        <w:t>灌区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Times New Roman"/>
          <w:sz w:val="32"/>
          <w:szCs w:val="32"/>
        </w:rPr>
        <w:t>.3万亩农田的灌溉用水，保证了2022年度水库的安全渡汛。已按水利目标管理单位完成各项指标，农田灌溉用水利用率提高了10%，灌区农民对我们的服务满意程</w:t>
      </w:r>
      <w:bookmarkStart w:id="0" w:name="_GoBack"/>
      <w:bookmarkEnd w:id="0"/>
      <w:r>
        <w:rPr>
          <w:rFonts w:hint="eastAsia" w:ascii="仿宋" w:hAnsi="仿宋" w:eastAsia="仿宋" w:cs="Times New Roman"/>
          <w:sz w:val="32"/>
          <w:szCs w:val="32"/>
        </w:rPr>
        <w:t>度达到95%以上。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可以从预算和预算绩效管理，部门履职效能，资金分配、使用和管理，资产和财务管理、政府采购等方面归纳存在的问</w:t>
      </w:r>
      <w:r>
        <w:rPr>
          <w:rFonts w:hint="default" w:ascii="Times New Roman" w:hAnsi="Times New Roman" w:eastAsia="仿宋_GB2312" w:cs="Times New Roman"/>
          <w:spacing w:val="11"/>
          <w:sz w:val="32"/>
          <w:szCs w:val="32"/>
        </w:rPr>
        <w:t>题；反映各种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</w:rPr>
        <w:t>预算支出执行偏离绩效目标的情况，</w:t>
      </w:r>
      <w:r>
        <w:rPr>
          <w:rFonts w:hint="default" w:ascii="Times New Roman" w:hAnsi="Times New Roman" w:eastAsia="仿宋_GB2312" w:cs="Times New Roman"/>
          <w:spacing w:val="11"/>
          <w:sz w:val="32"/>
          <w:szCs w:val="32"/>
        </w:rPr>
        <w:t>并分析其原因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6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6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D1FAA8-59CB-494D-932D-058B74416F4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16851F5-5D30-420B-9245-8729DB9FAC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E31EB45-1387-4E85-A548-8B3923EA301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C4C345A-B3FC-407A-B9D5-7F6E8C6682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CA9F682-A859-44B4-A242-37C8388DDEE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E097624-FC53-46FE-8380-D3E355BF61D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147B1CC0-25A4-47C2-82FF-0BEC0311EE7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8492280-EA62-4AF0-B545-6C292E6143E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F091C98E-0805-4E60-A7A6-E44CF24EBF4E}"/>
  </w:font>
  <w:font w:name="华文楷体">
    <w:altName w:val="楷体_GB2312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F2F63E70-D6B5-4C51-BF0A-13510D185775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11" w:fontKey="{BB7A1C60-5EB0-4524-87D4-52910FAD8D1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7EF99BA7-E60E-453F-BD8E-E420B6EE68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C0E69B"/>
    <w:multiLevelType w:val="singleLevel"/>
    <w:tmpl w:val="13C0E6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lNTc2ZjE3OTIyZDRhNGY0MTg0Y2ZjNmVhZjY0YzI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785623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13</Pages>
  <Words>4354</Words>
  <Characters>4599</Characters>
  <Lines>0</Lines>
  <Paragraphs>0</Paragraphs>
  <TotalTime>1</TotalTime>
  <ScaleCrop>false</ScaleCrop>
  <LinksUpToDate>false</LinksUpToDate>
  <CharactersWithSpaces>4995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张霁</cp:lastModifiedBy>
  <cp:lastPrinted>2023-06-29T01:04:00Z</cp:lastPrinted>
  <dcterms:modified xsi:type="dcterms:W3CDTF">2023-07-13T06:58:40Z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386772509_embed</vt:lpwstr>
  </property>
  <property fmtid="{D5CDD505-2E9C-101B-9397-08002B2CF9AE}" pid="4" name="ICV">
    <vt:lpwstr>083B94ED7DAC47A8B8602991D1B2BE55</vt:lpwstr>
  </property>
</Properties>
</file>