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cs="Times New Roman"/>
          <w:sz w:val="32"/>
          <w:szCs w:val="32"/>
        </w:rPr>
      </w:pPr>
    </w:p>
    <w:p>
      <w:pPr>
        <w:spacing w:after="120" w:afterLines="50" w:line="60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年度部门整体支出绩效评价基础数据表</w:t>
      </w:r>
    </w:p>
    <w:tbl>
      <w:tblPr>
        <w:tblStyle w:val="9"/>
        <w:tblW w:w="4997" w:type="pct"/>
        <w:jc w:val="center"/>
        <w:tblLayout w:type="autofit"/>
        <w:tblCellMar>
          <w:top w:w="0" w:type="dxa"/>
          <w:left w:w="108" w:type="dxa"/>
          <w:bottom w:w="0" w:type="dxa"/>
          <w:right w:w="108" w:type="dxa"/>
        </w:tblCellMar>
      </w:tblPr>
      <w:tblGrid>
        <w:gridCol w:w="3218"/>
        <w:gridCol w:w="1955"/>
        <w:gridCol w:w="2436"/>
        <w:gridCol w:w="1673"/>
      </w:tblGrid>
      <w:tr>
        <w:tblPrEx>
          <w:tblCellMar>
            <w:top w:w="0" w:type="dxa"/>
            <w:left w:w="108" w:type="dxa"/>
            <w:bottom w:w="0" w:type="dxa"/>
            <w:right w:w="108" w:type="dxa"/>
          </w:tblCellMar>
        </w:tblPrEx>
        <w:trPr>
          <w:trHeight w:val="539" w:hRule="atLeast"/>
          <w:jc w:val="center"/>
        </w:trPr>
        <w:tc>
          <w:tcPr>
            <w:tcW w:w="173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财政供养人员情况（人）</w:t>
            </w: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编制数</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年实际在职人数</w:t>
            </w:r>
          </w:p>
        </w:tc>
        <w:tc>
          <w:tcPr>
            <w:tcW w:w="90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控制率</w:t>
            </w:r>
          </w:p>
        </w:tc>
      </w:tr>
      <w:tr>
        <w:tblPrEx>
          <w:tblCellMar>
            <w:top w:w="0" w:type="dxa"/>
            <w:left w:w="108" w:type="dxa"/>
            <w:bottom w:w="0" w:type="dxa"/>
            <w:right w:w="108" w:type="dxa"/>
          </w:tblCellMar>
        </w:tblPrEx>
        <w:trPr>
          <w:trHeight w:val="539" w:hRule="atLeast"/>
          <w:jc w:val="center"/>
        </w:trPr>
        <w:tc>
          <w:tcPr>
            <w:tcW w:w="173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19</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20</w:t>
            </w:r>
          </w:p>
        </w:tc>
        <w:tc>
          <w:tcPr>
            <w:tcW w:w="90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105.26%</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经费控制情况（万元）</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2021年决算数</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年预算数</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年决算数</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一、基本支出：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376.3</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350.25</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350.25</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其中：</w:t>
            </w:r>
            <w:r>
              <w:rPr>
                <w:rFonts w:hint="eastAsia" w:ascii="新宋体" w:hAnsi="新宋体" w:eastAsia="新宋体" w:cs="新宋体"/>
                <w:sz w:val="21"/>
                <w:szCs w:val="21"/>
              </w:rPr>
              <w:t>三公经费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1.35</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1.09</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公务用车购置和维护经费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其中：公车购置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公车运行维护</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出国经费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公务接待</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1.35</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1.09</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项目支出：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119.54</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335.2</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335.2</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.天然林管护补助资金</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2.54</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2.53</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2.53</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.天然林停伐支出项目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3.森林抚育项目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48</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48</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4.森林生态效益补偿项目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15</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14.67</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14.67</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5.林业草原防灾</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6.森林质量精准提升项目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7.欠发达国有林场巩固提升项目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8.国家战略储备林项目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130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130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9.林区道路养护项目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厉行节约保障措施</w:t>
            </w:r>
          </w:p>
        </w:tc>
        <w:tc>
          <w:tcPr>
            <w:tcW w:w="3266" w:type="pct"/>
            <w:gridSpan w:val="3"/>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bl>
    <w:p>
      <w:pPr>
        <w:widowControl/>
        <w:spacing w:afterLines="0" w:line="400" w:lineRule="exact"/>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说明：</w:t>
      </w:r>
      <w:r>
        <w:rPr>
          <w:rFonts w:hint="eastAsia" w:ascii="新宋体" w:hAnsi="新宋体" w:eastAsia="新宋体" w:cs="新宋体"/>
          <w:sz w:val="21"/>
          <w:szCs w:val="21"/>
          <w:lang w:eastAsia="zh-CN"/>
        </w:rPr>
        <w:t>以上数据均来源于</w:t>
      </w:r>
      <w:r>
        <w:rPr>
          <w:rFonts w:hint="eastAsia" w:ascii="新宋体" w:hAnsi="新宋体" w:eastAsia="新宋体" w:cs="新宋体"/>
          <w:sz w:val="21"/>
          <w:szCs w:val="21"/>
          <w:lang w:val="en-US" w:eastAsia="zh-CN"/>
        </w:rPr>
        <w:t>部门决算报表，其中</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基本支出</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数据参照基本支出决算明细表（财决</w:t>
      </w:r>
      <w:r>
        <w:rPr>
          <w:rFonts w:hint="eastAsia" w:ascii="新宋体" w:hAnsi="新宋体" w:eastAsia="新宋体" w:cs="新宋体"/>
          <w:sz w:val="21"/>
          <w:szCs w:val="21"/>
          <w:lang w:val="en-US" w:eastAsia="zh-CN"/>
        </w:rPr>
        <w:t>05-1表</w:t>
      </w:r>
      <w:r>
        <w:rPr>
          <w:rFonts w:hint="eastAsia" w:ascii="新宋体" w:hAnsi="新宋体" w:eastAsia="新宋体" w:cs="新宋体"/>
          <w:sz w:val="21"/>
          <w:szCs w:val="21"/>
          <w:lang w:eastAsia="zh-CN"/>
        </w:rPr>
        <w:t>）；“三公经费”数据参照机构运行信息表（财决附</w:t>
      </w:r>
      <w:r>
        <w:rPr>
          <w:rFonts w:hint="eastAsia" w:ascii="新宋体" w:hAnsi="新宋体" w:eastAsia="新宋体" w:cs="新宋体"/>
          <w:sz w:val="21"/>
          <w:szCs w:val="21"/>
          <w:lang w:val="en-US" w:eastAsia="zh-CN"/>
        </w:rPr>
        <w:t>03表</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“项目支出”</w:t>
      </w:r>
      <w:r>
        <w:rPr>
          <w:rFonts w:hint="eastAsia" w:ascii="新宋体" w:hAnsi="新宋体" w:eastAsia="新宋体" w:cs="新宋体"/>
          <w:sz w:val="21"/>
          <w:szCs w:val="21"/>
          <w:lang w:eastAsia="zh-CN"/>
        </w:rPr>
        <w:t>数据参照项目支出决算明细表（财决</w:t>
      </w:r>
      <w:r>
        <w:rPr>
          <w:rFonts w:hint="eastAsia" w:ascii="新宋体" w:hAnsi="新宋体" w:eastAsia="新宋体" w:cs="新宋体"/>
          <w:sz w:val="21"/>
          <w:szCs w:val="21"/>
          <w:lang w:val="en-US" w:eastAsia="zh-CN"/>
        </w:rPr>
        <w:t>05-2表</w:t>
      </w:r>
      <w:r>
        <w:rPr>
          <w:rFonts w:hint="eastAsia" w:ascii="新宋体" w:hAnsi="新宋体" w:eastAsia="新宋体" w:cs="新宋体"/>
          <w:sz w:val="21"/>
          <w:szCs w:val="21"/>
          <w:lang w:eastAsia="zh-CN"/>
        </w:rPr>
        <w:t>）。</w:t>
      </w:r>
    </w:p>
    <w:p>
      <w:pPr>
        <w:widowControl/>
        <w:spacing w:after="0" w:afterLines="0" w:line="400" w:lineRule="exact"/>
        <w:jc w:val="left"/>
        <w:rPr>
          <w:rFonts w:hint="default" w:ascii="Times New Roman" w:hAnsi="Times New Roman" w:eastAsia="仿宋_GB2312" w:cs="Times New Roman"/>
          <w:sz w:val="22"/>
        </w:rPr>
      </w:pPr>
    </w:p>
    <w:p>
      <w:pPr>
        <w:widowControl/>
        <w:spacing w:after="0" w:afterLines="0" w:line="400" w:lineRule="exact"/>
        <w:jc w:val="left"/>
        <w:rPr>
          <w:rFonts w:hint="eastAsia" w:ascii="Times New Roman" w:hAnsi="Times New Roman" w:eastAsia="黑体" w:cs="Times New Roman"/>
          <w:sz w:val="32"/>
          <w:szCs w:val="32"/>
          <w:lang w:eastAsia="zh-CN"/>
        </w:rPr>
      </w:pPr>
      <w:r>
        <w:rPr>
          <w:rFonts w:hint="default" w:ascii="Times New Roman" w:hAnsi="Times New Roman" w:eastAsia="仿宋_GB2312" w:cs="Times New Roman"/>
          <w:sz w:val="22"/>
        </w:rPr>
        <w:t>填表人：</w:t>
      </w:r>
      <w:r>
        <w:rPr>
          <w:rFonts w:hint="eastAsia" w:eastAsia="仿宋_GB2312" w:cs="Times New Roman"/>
          <w:sz w:val="22"/>
          <w:lang w:eastAsia="zh-CN"/>
        </w:rPr>
        <w:t>李红</w:t>
      </w:r>
      <w:r>
        <w:rPr>
          <w:rFonts w:hint="default" w:ascii="Times New Roman" w:hAnsi="Times New Roman" w:eastAsia="仿宋_GB2312" w:cs="Times New Roman"/>
          <w:sz w:val="22"/>
        </w:rPr>
        <w:t xml:space="preserve">  填报日期：</w:t>
      </w:r>
      <w:r>
        <w:rPr>
          <w:rFonts w:hint="eastAsia" w:eastAsia="仿宋_GB2312" w:cs="Times New Roman"/>
          <w:sz w:val="22"/>
          <w:lang w:val="en-US" w:eastAsia="zh-CN"/>
        </w:rPr>
        <w:t>2023.7.13</w:t>
      </w:r>
      <w:r>
        <w:rPr>
          <w:rFonts w:hint="default" w:ascii="Times New Roman" w:hAnsi="Times New Roman" w:eastAsia="仿宋_GB2312" w:cs="Times New Roman"/>
          <w:sz w:val="22"/>
        </w:rPr>
        <w:t xml:space="preserve">  联系电话：</w:t>
      </w:r>
      <w:r>
        <w:rPr>
          <w:rFonts w:hint="eastAsia" w:eastAsia="仿宋_GB2312" w:cs="Times New Roman"/>
          <w:sz w:val="22"/>
          <w:lang w:val="en-US" w:eastAsia="zh-CN"/>
        </w:rPr>
        <w:t>18873000175</w:t>
      </w:r>
      <w:r>
        <w:rPr>
          <w:rFonts w:hint="default" w:ascii="Times New Roman" w:hAnsi="Times New Roman" w:eastAsia="仿宋_GB2312" w:cs="Times New Roman"/>
          <w:sz w:val="22"/>
        </w:rPr>
        <w:t xml:space="preserve">  单位负责人签字：</w:t>
      </w:r>
      <w:r>
        <w:rPr>
          <w:rFonts w:hint="default" w:ascii="Times New Roman" w:hAnsi="Times New Roman" w:eastAsia="仿宋_GB2312" w:cs="Times New Roman"/>
          <w:sz w:val="22"/>
        </w:rPr>
        <w:br w:type="page"/>
      </w:r>
      <w:r>
        <w:rPr>
          <w:rFonts w:hint="default"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年度部门整体支出绩效自评表</w:t>
      </w:r>
    </w:p>
    <w:tbl>
      <w:tblPr>
        <w:tblStyle w:val="9"/>
        <w:tblW w:w="4998" w:type="pct"/>
        <w:jc w:val="center"/>
        <w:tblLayout w:type="autofit"/>
        <w:tblCellMar>
          <w:top w:w="0" w:type="dxa"/>
          <w:left w:w="108" w:type="dxa"/>
          <w:bottom w:w="0" w:type="dxa"/>
          <w:right w:w="108" w:type="dxa"/>
        </w:tblCellMar>
      </w:tblPr>
      <w:tblGrid>
        <w:gridCol w:w="1097"/>
        <w:gridCol w:w="880"/>
        <w:gridCol w:w="867"/>
        <w:gridCol w:w="1057"/>
        <w:gridCol w:w="1103"/>
        <w:gridCol w:w="1077"/>
        <w:gridCol w:w="589"/>
        <w:gridCol w:w="1023"/>
        <w:gridCol w:w="1591"/>
      </w:tblGrid>
      <w:tr>
        <w:trPr>
          <w:trHeight w:val="1003" w:hRule="atLeast"/>
          <w:jc w:val="center"/>
        </w:trPr>
        <w:tc>
          <w:tcPr>
            <w:tcW w:w="5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县</w:t>
            </w:r>
            <w:r>
              <w:rPr>
                <w:rFonts w:hint="eastAsia" w:ascii="新宋体" w:hAnsi="新宋体" w:eastAsia="新宋体" w:cs="新宋体"/>
                <w:color w:val="000000"/>
                <w:sz w:val="21"/>
                <w:szCs w:val="21"/>
              </w:rPr>
              <w:t>级预算部门名称</w:t>
            </w:r>
          </w:p>
        </w:tc>
        <w:tc>
          <w:tcPr>
            <w:tcW w:w="4408" w:type="pct"/>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湖南省华容县胜峰国有林场</w:t>
            </w:r>
          </w:p>
        </w:tc>
      </w:tr>
      <w:tr>
        <w:tblPrEx>
          <w:tblCellMar>
            <w:top w:w="0" w:type="dxa"/>
            <w:left w:w="108" w:type="dxa"/>
            <w:bottom w:w="0" w:type="dxa"/>
            <w:right w:w="108" w:type="dxa"/>
          </w:tblCellMar>
        </w:tblPrEx>
        <w:trPr>
          <w:trHeight w:val="863" w:hRule="atLeast"/>
          <w:jc w:val="center"/>
        </w:trPr>
        <w:tc>
          <w:tcPr>
            <w:tcW w:w="591" w:type="pct"/>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预算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lang w:eastAsia="zh-CN"/>
              </w:rPr>
            </w:pPr>
            <w:r>
              <w:rPr>
                <w:rFonts w:hint="eastAsia" w:ascii="新宋体" w:hAnsi="新宋体" w:eastAsia="新宋体" w:cs="新宋体"/>
                <w:i w:val="0"/>
                <w:iCs w:val="0"/>
                <w:color w:val="000000"/>
                <w:sz w:val="21"/>
                <w:szCs w:val="21"/>
              </w:rPr>
              <w:t>申请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（万元）</w:t>
            </w:r>
          </w:p>
        </w:tc>
        <w:tc>
          <w:tcPr>
            <w:tcW w:w="941"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p>
        </w:tc>
        <w:tc>
          <w:tcPr>
            <w:tcW w:w="56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年初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593"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57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执行数</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分值</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执行率</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得分</w:t>
            </w:r>
          </w:p>
        </w:tc>
      </w:tr>
      <w:tr>
        <w:tblPrEx>
          <w:tblCellMar>
            <w:top w:w="0" w:type="dxa"/>
            <w:left w:w="108" w:type="dxa"/>
            <w:bottom w:w="0" w:type="dxa"/>
            <w:right w:w="108" w:type="dxa"/>
          </w:tblCellMar>
        </w:tblPrEx>
        <w:trPr>
          <w:trHeight w:val="462" w:hRule="atLeast"/>
          <w:jc w:val="center"/>
        </w:trPr>
        <w:tc>
          <w:tcPr>
            <w:tcW w:w="591" w:type="pct"/>
            <w:vMerge w:val="continue"/>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941"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color w:val="000000"/>
                <w:sz w:val="21"/>
                <w:szCs w:val="21"/>
              </w:rPr>
              <w:t>年度资金总额</w:t>
            </w:r>
          </w:p>
        </w:tc>
        <w:tc>
          <w:tcPr>
            <w:tcW w:w="56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248</w:t>
            </w:r>
          </w:p>
        </w:tc>
        <w:tc>
          <w:tcPr>
            <w:tcW w:w="593"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685.45</w:t>
            </w:r>
          </w:p>
        </w:tc>
        <w:tc>
          <w:tcPr>
            <w:tcW w:w="57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685.45</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10</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r>
      <w:tr>
        <w:tblPrEx>
          <w:tblCellMar>
            <w:top w:w="0" w:type="dxa"/>
            <w:left w:w="108" w:type="dxa"/>
            <w:bottom w:w="0" w:type="dxa"/>
            <w:right w:w="108" w:type="dxa"/>
          </w:tblCellMar>
        </w:tblPrEx>
        <w:trPr>
          <w:trHeight w:val="462" w:hRule="atLeast"/>
          <w:jc w:val="center"/>
        </w:trPr>
        <w:tc>
          <w:tcPr>
            <w:tcW w:w="591"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按收入性质分：</w:t>
            </w:r>
          </w:p>
        </w:tc>
        <w:tc>
          <w:tcPr>
            <w:tcW w:w="230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按支出性质分：</w:t>
            </w:r>
          </w:p>
        </w:tc>
      </w:tr>
      <w:tr>
        <w:tblPrEx>
          <w:tblCellMar>
            <w:top w:w="0" w:type="dxa"/>
            <w:left w:w="108" w:type="dxa"/>
            <w:bottom w:w="0" w:type="dxa"/>
            <w:right w:w="108" w:type="dxa"/>
          </w:tblCellMar>
        </w:tblPrEx>
        <w:trPr>
          <w:trHeight w:val="462" w:hRule="atLeast"/>
          <w:jc w:val="center"/>
        </w:trPr>
        <w:tc>
          <w:tcPr>
            <w:tcW w:w="591"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其中：</w:t>
            </w:r>
            <w:r>
              <w:rPr>
                <w:rFonts w:hint="eastAsia" w:ascii="新宋体" w:hAnsi="新宋体" w:eastAsia="新宋体" w:cs="新宋体"/>
                <w:i w:val="0"/>
                <w:iCs w:val="0"/>
                <w:color w:val="000000"/>
                <w:sz w:val="21"/>
                <w:szCs w:val="21"/>
                <w:lang w:val="en-US" w:eastAsia="zh-CN"/>
              </w:rPr>
              <w:t xml:space="preserve">  </w:t>
            </w:r>
            <w:r>
              <w:rPr>
                <w:rFonts w:hint="eastAsia" w:ascii="新宋体" w:hAnsi="新宋体" w:eastAsia="新宋体" w:cs="新宋体"/>
                <w:i w:val="0"/>
                <w:iCs w:val="0"/>
                <w:color w:val="000000"/>
                <w:sz w:val="21"/>
                <w:szCs w:val="21"/>
              </w:rPr>
              <w:t>一般公共预算：</w:t>
            </w:r>
            <w:r>
              <w:rPr>
                <w:rFonts w:hint="eastAsia" w:ascii="新宋体" w:hAnsi="新宋体" w:eastAsia="新宋体" w:cs="新宋体"/>
                <w:i w:val="0"/>
                <w:iCs w:val="0"/>
                <w:color w:val="000000"/>
                <w:sz w:val="21"/>
                <w:szCs w:val="21"/>
                <w:lang w:val="en-US" w:eastAsia="zh-CN"/>
              </w:rPr>
              <w:t>685.45</w:t>
            </w:r>
          </w:p>
        </w:tc>
        <w:tc>
          <w:tcPr>
            <w:tcW w:w="230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其中：基本支出：</w:t>
            </w:r>
            <w:r>
              <w:rPr>
                <w:rFonts w:hint="eastAsia" w:ascii="新宋体" w:hAnsi="新宋体" w:eastAsia="新宋体" w:cs="新宋体"/>
                <w:color w:val="000000"/>
                <w:sz w:val="21"/>
                <w:szCs w:val="21"/>
                <w:lang w:val="en-US" w:eastAsia="zh-CN"/>
              </w:rPr>
              <w:t>350.25</w:t>
            </w:r>
          </w:p>
        </w:tc>
      </w:tr>
      <w:tr>
        <w:tblPrEx>
          <w:tblCellMar>
            <w:top w:w="0" w:type="dxa"/>
            <w:left w:w="108" w:type="dxa"/>
            <w:bottom w:w="0" w:type="dxa"/>
            <w:right w:w="108" w:type="dxa"/>
          </w:tblCellMar>
        </w:tblPrEx>
        <w:trPr>
          <w:trHeight w:val="462" w:hRule="atLeast"/>
          <w:jc w:val="center"/>
        </w:trPr>
        <w:tc>
          <w:tcPr>
            <w:tcW w:w="591"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政府性基金拨款：</w:t>
            </w:r>
            <w:r>
              <w:rPr>
                <w:rFonts w:hint="eastAsia" w:ascii="新宋体" w:hAnsi="新宋体" w:eastAsia="新宋体" w:cs="新宋体"/>
                <w:i w:val="0"/>
                <w:iCs w:val="0"/>
                <w:color w:val="000000"/>
                <w:sz w:val="21"/>
                <w:szCs w:val="21"/>
                <w:lang w:val="en-US" w:eastAsia="zh-CN"/>
              </w:rPr>
              <w:t>0</w:t>
            </w:r>
          </w:p>
        </w:tc>
        <w:tc>
          <w:tcPr>
            <w:tcW w:w="230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项目支出：</w:t>
            </w:r>
            <w:r>
              <w:rPr>
                <w:rFonts w:hint="eastAsia" w:ascii="新宋体" w:hAnsi="新宋体" w:eastAsia="新宋体" w:cs="新宋体"/>
                <w:color w:val="000000"/>
                <w:sz w:val="21"/>
                <w:szCs w:val="21"/>
                <w:lang w:val="en-US" w:eastAsia="zh-CN"/>
              </w:rPr>
              <w:t>335.2</w:t>
            </w:r>
          </w:p>
        </w:tc>
      </w:tr>
      <w:tr>
        <w:tblPrEx>
          <w:tblCellMar>
            <w:top w:w="0" w:type="dxa"/>
            <w:left w:w="108" w:type="dxa"/>
            <w:bottom w:w="0" w:type="dxa"/>
            <w:right w:w="108" w:type="dxa"/>
          </w:tblCellMar>
        </w:tblPrEx>
        <w:trPr>
          <w:trHeight w:val="462" w:hRule="atLeast"/>
          <w:jc w:val="center"/>
        </w:trPr>
        <w:tc>
          <w:tcPr>
            <w:tcW w:w="591"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纳入专户管理的非税收入拨款：</w:t>
            </w:r>
            <w:r>
              <w:rPr>
                <w:rFonts w:hint="eastAsia" w:ascii="新宋体" w:hAnsi="新宋体" w:eastAsia="新宋体" w:cs="新宋体"/>
                <w:i w:val="0"/>
                <w:iCs w:val="0"/>
                <w:color w:val="000000"/>
                <w:sz w:val="21"/>
                <w:szCs w:val="21"/>
                <w:lang w:val="en-US" w:eastAsia="zh-CN"/>
              </w:rPr>
              <w:t>0</w:t>
            </w:r>
          </w:p>
        </w:tc>
        <w:tc>
          <w:tcPr>
            <w:tcW w:w="230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591" w:type="pct"/>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1260" w:firstLineChars="60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其他资金：</w:t>
            </w:r>
          </w:p>
        </w:tc>
        <w:tc>
          <w:tcPr>
            <w:tcW w:w="230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591" w:type="pct"/>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numPr>
                <w:numId w:val="0"/>
              </w:numPr>
              <w:suppressLineNumbers w:val="0"/>
              <w:kinsoku/>
              <w:wordWrap/>
              <w:overflowPunct/>
              <w:topLinePunct w:val="0"/>
              <w:autoSpaceDE/>
              <w:autoSpaceDN/>
              <w:bidi w:val="0"/>
              <w:adjustRightInd/>
              <w:snapToGrid/>
              <w:spacing w:before="0" w:beforeAutospacing="0" w:after="0" w:afterAutospacing="0" w:line="0" w:lineRule="atLeast"/>
              <w:ind w:right="0" w:rightChars="0"/>
              <w:jc w:val="both"/>
              <w:textAlignment w:val="auto"/>
              <w:rPr>
                <w:rFonts w:hint="eastAsia"/>
                <w:lang w:val="en-US" w:eastAsia="zh-CN"/>
              </w:rPr>
            </w:pPr>
            <w:r>
              <w:rPr>
                <w:rFonts w:hint="eastAsia"/>
                <w:lang w:val="en-US" w:eastAsia="zh-CN"/>
              </w:rPr>
              <w:t>年度总体目标</w:t>
            </w:r>
          </w:p>
        </w:tc>
        <w:tc>
          <w:tcPr>
            <w:tcW w:w="2104"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numPr>
                <w:numId w:val="0"/>
              </w:numPr>
              <w:suppressLineNumbers w:val="0"/>
              <w:kinsoku/>
              <w:wordWrap/>
              <w:overflowPunct/>
              <w:topLinePunct w:val="0"/>
              <w:autoSpaceDE/>
              <w:autoSpaceDN/>
              <w:bidi w:val="0"/>
              <w:adjustRightInd/>
              <w:snapToGrid/>
              <w:spacing w:before="0" w:beforeAutospacing="0" w:after="0" w:afterAutospacing="0" w:line="0" w:lineRule="atLeast"/>
              <w:ind w:right="0" w:rightChars="0"/>
              <w:jc w:val="center"/>
              <w:textAlignment w:val="auto"/>
              <w:rPr>
                <w:rFonts w:hint="eastAsia"/>
                <w:lang w:val="en-US" w:eastAsia="zh-CN"/>
              </w:rPr>
            </w:pPr>
            <w:r>
              <w:rPr>
                <w:rFonts w:hint="eastAsia"/>
                <w:lang w:val="en-US" w:eastAsia="zh-CN"/>
              </w:rPr>
              <w:t>预期目标</w:t>
            </w:r>
          </w:p>
        </w:tc>
        <w:tc>
          <w:tcPr>
            <w:tcW w:w="2304"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实际完成情况　</w:t>
            </w:r>
          </w:p>
        </w:tc>
      </w:tr>
      <w:tr>
        <w:tblPrEx>
          <w:tblCellMar>
            <w:top w:w="0" w:type="dxa"/>
            <w:left w:w="108" w:type="dxa"/>
            <w:bottom w:w="0" w:type="dxa"/>
            <w:right w:w="108" w:type="dxa"/>
          </w:tblCellMar>
        </w:tblPrEx>
        <w:trPr>
          <w:trHeight w:val="462" w:hRule="atLeast"/>
          <w:jc w:val="center"/>
        </w:trPr>
        <w:tc>
          <w:tcPr>
            <w:tcW w:w="591"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eastAsia"/>
                <w:lang w:val="en-US" w:eastAsia="zh-CN"/>
              </w:rPr>
            </w:pPr>
          </w:p>
        </w:tc>
        <w:tc>
          <w:tcPr>
            <w:tcW w:w="2104"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eastAsia"/>
                <w:lang w:val="en-US" w:eastAsia="zh-CN"/>
              </w:rPr>
            </w:pPr>
            <w:r>
              <w:rPr>
                <w:rFonts w:hint="eastAsia"/>
                <w:lang w:val="en-US" w:eastAsia="zh-CN"/>
              </w:rPr>
              <w:t>培育森林资源、提高森林覆盖率</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default"/>
                <w:lang w:val="en-US" w:eastAsia="zh-CN"/>
              </w:rPr>
            </w:pPr>
            <w:r>
              <w:rPr>
                <w:rFonts w:hint="eastAsia"/>
                <w:lang w:val="en-US" w:eastAsia="zh-CN"/>
              </w:rPr>
              <w:t>保护森林资源、加大森林法的宣传力度，加强森林防火、防盗意识目标</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eastAsia"/>
                <w:lang w:val="en-US" w:eastAsia="zh-CN"/>
              </w:rPr>
            </w:pPr>
            <w:r>
              <w:rPr>
                <w:rFonts w:hint="eastAsia"/>
                <w:lang w:val="en-US" w:eastAsia="zh-CN"/>
              </w:rPr>
              <w:t>为社会提供生态服务。</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default"/>
                <w:lang w:val="en-US" w:eastAsia="zh-CN"/>
              </w:rPr>
            </w:pPr>
            <w:r>
              <w:rPr>
                <w:rFonts w:hint="eastAsia"/>
                <w:lang w:val="en-US" w:eastAsia="zh-CN"/>
              </w:rPr>
              <w:t>提高职工生产、生活质量。</w:t>
            </w:r>
          </w:p>
        </w:tc>
        <w:tc>
          <w:tcPr>
            <w:tcW w:w="2304" w:type="pct"/>
            <w:gridSpan w:val="4"/>
            <w:tcBorders>
              <w:top w:val="single" w:color="auto" w:sz="4" w:space="0"/>
              <w:left w:val="nil"/>
              <w:bottom w:val="single" w:color="auto" w:sz="4" w:space="0"/>
              <w:right w:val="single" w:color="auto" w:sz="4" w:space="0"/>
            </w:tcBorders>
            <w:noWrap w:val="0"/>
            <w:vAlign w:val="center"/>
          </w:tcPr>
          <w:p>
            <w:pPr>
              <w:numPr>
                <w:ilvl w:val="0"/>
                <w:numId w:val="2"/>
              </w:numPr>
              <w:autoSpaceDN w:val="0"/>
              <w:spacing w:line="320" w:lineRule="exact"/>
              <w:jc w:val="left"/>
              <w:textAlignment w:val="center"/>
              <w:rPr>
                <w:rFonts w:hint="eastAsia" w:ascii="宋体" w:hAnsi="宋体" w:eastAsia="宋体" w:cs="宋体"/>
                <w:color w:val="333333"/>
                <w:kern w:val="0"/>
                <w:sz w:val="21"/>
                <w:szCs w:val="21"/>
                <w:shd w:val="clear" w:color="auto" w:fill="FFFFFF"/>
                <w:lang w:val="en-US" w:eastAsia="zh-CN" w:bidi="ar-SA"/>
              </w:rPr>
            </w:pPr>
            <w:r>
              <w:rPr>
                <w:rFonts w:hint="eastAsia" w:ascii="宋体" w:hAnsi="宋体" w:eastAsia="宋体" w:cs="宋体"/>
                <w:color w:val="333333"/>
                <w:kern w:val="0"/>
                <w:sz w:val="21"/>
                <w:szCs w:val="21"/>
                <w:shd w:val="clear" w:color="auto" w:fill="FFFFFF"/>
                <w:lang w:val="en-US" w:eastAsia="zh-CN" w:bidi="ar-SA"/>
              </w:rPr>
              <w:t>完成了</w:t>
            </w:r>
            <w:r>
              <w:rPr>
                <w:rFonts w:hint="eastAsia" w:ascii="宋体" w:hAnsi="宋体" w:cs="宋体"/>
                <w:color w:val="333333"/>
                <w:kern w:val="0"/>
                <w:sz w:val="21"/>
                <w:szCs w:val="21"/>
                <w:shd w:val="clear" w:color="auto" w:fill="FFFFFF"/>
                <w:lang w:val="en-US" w:eastAsia="zh-CN" w:bidi="ar-SA"/>
              </w:rPr>
              <w:t>24</w:t>
            </w:r>
            <w:r>
              <w:rPr>
                <w:rFonts w:hint="eastAsia" w:ascii="宋体" w:hAnsi="宋体" w:eastAsia="宋体" w:cs="宋体"/>
                <w:color w:val="333333"/>
                <w:kern w:val="0"/>
                <w:sz w:val="21"/>
                <w:szCs w:val="21"/>
                <w:shd w:val="clear" w:color="auto" w:fill="FFFFFF"/>
                <w:lang w:val="en-US" w:eastAsia="zh-CN" w:bidi="ar-SA"/>
              </w:rPr>
              <w:t>00亩中幼林的抚育营林建设、1000亩国家战略储备林建设、</w:t>
            </w:r>
            <w:r>
              <w:rPr>
                <w:rFonts w:hint="eastAsia" w:ascii="宋体" w:hAnsi="宋体" w:cs="宋体"/>
                <w:color w:val="333333"/>
                <w:kern w:val="0"/>
                <w:sz w:val="21"/>
                <w:szCs w:val="21"/>
                <w:shd w:val="clear" w:color="auto" w:fill="FFFFFF"/>
                <w:lang w:val="en-US" w:eastAsia="zh-CN" w:bidi="ar-SA"/>
              </w:rPr>
              <w:t>3</w:t>
            </w:r>
            <w:r>
              <w:rPr>
                <w:rFonts w:hint="eastAsia" w:ascii="宋体" w:hAnsi="宋体" w:eastAsia="宋体" w:cs="宋体"/>
                <w:color w:val="333333"/>
                <w:kern w:val="0"/>
                <w:sz w:val="21"/>
                <w:szCs w:val="21"/>
                <w:shd w:val="clear" w:color="auto" w:fill="FFFFFF"/>
                <w:lang w:val="en-US" w:eastAsia="zh-CN" w:bidi="ar-SA"/>
              </w:rPr>
              <w:t>000亩森林质量精准提升项目建设。</w:t>
            </w:r>
          </w:p>
          <w:p>
            <w:pPr>
              <w:numPr>
                <w:ilvl w:val="0"/>
                <w:numId w:val="2"/>
              </w:numPr>
              <w:autoSpaceDN w:val="0"/>
              <w:spacing w:line="320" w:lineRule="exact"/>
              <w:jc w:val="left"/>
              <w:textAlignment w:val="center"/>
              <w:rPr>
                <w:rFonts w:hint="eastAsia" w:ascii="宋体" w:hAnsi="宋体" w:eastAsia="宋体" w:cs="宋体"/>
                <w:color w:val="333333"/>
                <w:kern w:val="0"/>
                <w:sz w:val="21"/>
                <w:szCs w:val="21"/>
                <w:shd w:val="clear" w:color="auto" w:fill="FFFFFF"/>
                <w:lang w:val="en-US" w:eastAsia="zh-CN" w:bidi="ar-SA"/>
              </w:rPr>
            </w:pPr>
            <w:r>
              <w:rPr>
                <w:rFonts w:hint="eastAsia" w:ascii="宋体" w:hAnsi="宋体" w:eastAsia="宋体" w:cs="宋体"/>
                <w:color w:val="333333"/>
                <w:kern w:val="0"/>
                <w:sz w:val="21"/>
                <w:szCs w:val="21"/>
                <w:shd w:val="clear" w:color="auto" w:fill="FFFFFF"/>
                <w:lang w:val="en-US" w:eastAsia="zh-CN" w:bidi="ar-SA"/>
              </w:rPr>
              <w:t>完成了辖区内项目外林地的造林、抚育等营林工作。</w:t>
            </w:r>
          </w:p>
          <w:p>
            <w:pPr>
              <w:numPr>
                <w:ilvl w:val="0"/>
                <w:numId w:val="2"/>
              </w:numPr>
              <w:autoSpaceDN w:val="0"/>
              <w:spacing w:line="320" w:lineRule="exact"/>
              <w:jc w:val="left"/>
              <w:textAlignment w:val="center"/>
              <w:rPr>
                <w:rFonts w:hint="eastAsia" w:ascii="宋体" w:hAnsi="宋体" w:eastAsia="宋体" w:cs="宋体"/>
                <w:color w:val="333333"/>
                <w:kern w:val="0"/>
                <w:sz w:val="21"/>
                <w:szCs w:val="21"/>
                <w:shd w:val="clear" w:color="auto" w:fill="FFFFFF"/>
                <w:lang w:val="en-US" w:eastAsia="zh-CN" w:bidi="ar-SA"/>
              </w:rPr>
            </w:pPr>
            <w:r>
              <w:rPr>
                <w:rFonts w:hint="eastAsia" w:ascii="宋体" w:hAnsi="宋体" w:eastAsia="宋体" w:cs="宋体"/>
                <w:color w:val="333333"/>
                <w:kern w:val="0"/>
                <w:sz w:val="21"/>
                <w:szCs w:val="21"/>
                <w:shd w:val="clear" w:color="auto" w:fill="FFFFFF"/>
                <w:lang w:val="en-US" w:eastAsia="zh-CN" w:bidi="ar-SA"/>
              </w:rPr>
              <w:t>确保了全年辖区内无一起森林火灾事故。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宋体" w:hAnsi="宋体" w:cs="宋体"/>
                <w:color w:val="333333"/>
                <w:kern w:val="0"/>
                <w:sz w:val="21"/>
                <w:szCs w:val="21"/>
                <w:shd w:val="clear" w:color="auto" w:fill="FFFFFF"/>
                <w:lang w:val="en-US" w:eastAsia="zh-CN" w:bidi="ar-SA"/>
              </w:rPr>
              <w:t>（四）</w:t>
            </w:r>
            <w:r>
              <w:rPr>
                <w:rFonts w:hint="eastAsia" w:ascii="宋体" w:hAnsi="宋体" w:eastAsia="宋体" w:cs="宋体"/>
                <w:color w:val="333333"/>
                <w:kern w:val="0"/>
                <w:sz w:val="21"/>
                <w:szCs w:val="21"/>
                <w:shd w:val="clear" w:color="auto" w:fill="FFFFFF"/>
                <w:lang w:val="en-US" w:eastAsia="zh-CN" w:bidi="ar-SA"/>
              </w:rPr>
              <w:t>确保了林场的其它日常工作的顺利进行。</w:t>
            </w:r>
          </w:p>
        </w:tc>
      </w:tr>
      <w:tr>
        <w:tblPrEx>
          <w:tblCellMar>
            <w:top w:w="0" w:type="dxa"/>
            <w:left w:w="108" w:type="dxa"/>
            <w:bottom w:w="0" w:type="dxa"/>
            <w:right w:w="108" w:type="dxa"/>
          </w:tblCellMar>
        </w:tblPrEx>
        <w:trPr>
          <w:trHeight w:val="850" w:hRule="atLeast"/>
          <w:jc w:val="center"/>
        </w:trPr>
        <w:tc>
          <w:tcPr>
            <w:tcW w:w="591"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5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59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产出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(50分)</w:t>
            </w:r>
          </w:p>
        </w:tc>
        <w:tc>
          <w:tcPr>
            <w:tcW w:w="46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数量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rPr>
            </w:pPr>
            <w:r>
              <w:rPr>
                <w:rFonts w:hint="eastAsia" w:ascii="宋体" w:hAnsi="宋体" w:eastAsia="宋体" w:cs="宋体"/>
                <w:color w:val="333333"/>
                <w:kern w:val="0"/>
                <w:sz w:val="18"/>
                <w:szCs w:val="18"/>
                <w:shd w:val="clear" w:color="auto" w:fill="FFFFFF"/>
                <w:lang w:val="en-US" w:eastAsia="zh-CN" w:bidi="ar-SA"/>
              </w:rPr>
              <w:t>中幼林抚育</w:t>
            </w:r>
            <w:r>
              <w:rPr>
                <w:rFonts w:hint="eastAsia" w:ascii="宋体" w:hAnsi="宋体" w:cs="宋体"/>
                <w:color w:val="333333"/>
                <w:kern w:val="0"/>
                <w:sz w:val="18"/>
                <w:szCs w:val="18"/>
                <w:shd w:val="clear" w:color="auto" w:fill="FFFFFF"/>
                <w:lang w:val="en-US" w:eastAsia="zh-CN" w:bidi="ar-SA"/>
              </w:rPr>
              <w:t>24</w:t>
            </w:r>
            <w:r>
              <w:rPr>
                <w:rFonts w:hint="eastAsia" w:ascii="宋体" w:hAnsi="宋体" w:eastAsia="宋体" w:cs="宋体"/>
                <w:color w:val="333333"/>
                <w:kern w:val="0"/>
                <w:sz w:val="18"/>
                <w:szCs w:val="18"/>
                <w:shd w:val="clear" w:color="auto" w:fill="FFFFFF"/>
                <w:lang w:val="en-US" w:eastAsia="zh-CN" w:bidi="ar-SA"/>
              </w:rPr>
              <w:t>00亩、国家战略储备</w:t>
            </w:r>
            <w:r>
              <w:rPr>
                <w:rFonts w:hint="eastAsia" w:ascii="宋体" w:hAnsi="宋体" w:cs="宋体"/>
                <w:color w:val="333333"/>
                <w:kern w:val="0"/>
                <w:sz w:val="18"/>
                <w:szCs w:val="18"/>
                <w:shd w:val="clear" w:color="auto" w:fill="FFFFFF"/>
                <w:lang w:val="en-US" w:eastAsia="zh-CN" w:bidi="ar-SA"/>
              </w:rPr>
              <w:t>林</w:t>
            </w:r>
            <w:r>
              <w:rPr>
                <w:rFonts w:hint="eastAsia" w:ascii="宋体" w:hAnsi="宋体" w:eastAsia="宋体" w:cs="宋体"/>
                <w:color w:val="333333"/>
                <w:kern w:val="0"/>
                <w:sz w:val="18"/>
                <w:szCs w:val="18"/>
                <w:shd w:val="clear" w:color="auto" w:fill="FFFFFF"/>
                <w:lang w:val="en-US" w:eastAsia="zh-CN" w:bidi="ar-SA"/>
              </w:rPr>
              <w:t>1000亩林</w:t>
            </w:r>
            <w:r>
              <w:rPr>
                <w:rFonts w:hint="eastAsia" w:ascii="宋体" w:hAnsi="宋体" w:cs="宋体"/>
                <w:color w:val="333333"/>
                <w:kern w:val="0"/>
                <w:sz w:val="18"/>
                <w:szCs w:val="18"/>
                <w:shd w:val="clear" w:color="auto" w:fill="FFFFFF"/>
                <w:lang w:val="en-US" w:eastAsia="zh-CN" w:bidi="ar-SA"/>
              </w:rPr>
              <w:t>、</w:t>
            </w:r>
            <w:r>
              <w:rPr>
                <w:rFonts w:hint="eastAsia" w:ascii="宋体" w:hAnsi="宋体" w:eastAsia="宋体" w:cs="宋体"/>
                <w:color w:val="333333"/>
                <w:kern w:val="0"/>
                <w:sz w:val="18"/>
                <w:szCs w:val="18"/>
                <w:shd w:val="clear" w:color="auto" w:fill="FFFFFF"/>
                <w:lang w:val="en-US" w:eastAsia="zh-CN" w:bidi="ar-SA"/>
              </w:rPr>
              <w:t>森林质量精准</w:t>
            </w:r>
            <w:r>
              <w:rPr>
                <w:rFonts w:hint="eastAsia" w:ascii="宋体" w:hAnsi="宋体" w:cs="宋体"/>
                <w:color w:val="333333"/>
                <w:kern w:val="0"/>
                <w:sz w:val="18"/>
                <w:szCs w:val="18"/>
                <w:shd w:val="clear" w:color="auto" w:fill="FFFFFF"/>
                <w:lang w:val="en-US" w:eastAsia="zh-CN" w:bidi="ar-SA"/>
              </w:rPr>
              <w:t>3000亩</w:t>
            </w:r>
          </w:p>
        </w:tc>
        <w:tc>
          <w:tcPr>
            <w:tcW w:w="5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6400亩</w:t>
            </w:r>
          </w:p>
        </w:tc>
        <w:tc>
          <w:tcPr>
            <w:tcW w:w="5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10</w:t>
            </w:r>
            <w:r>
              <w:rPr>
                <w:rFonts w:hint="eastAsia" w:ascii="新宋体" w:hAnsi="新宋体" w:eastAsia="新宋体" w:cs="新宋体"/>
                <w:color w:val="000000"/>
                <w:sz w:val="21"/>
                <w:szCs w:val="21"/>
              </w:rPr>
              <w:t>　</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宋体" w:hAnsi="宋体" w:eastAsia="宋体" w:cs="宋体"/>
                <w:color w:val="333333"/>
                <w:kern w:val="0"/>
                <w:sz w:val="18"/>
                <w:szCs w:val="18"/>
                <w:shd w:val="clear" w:color="auto" w:fill="FFFFFF"/>
                <w:lang w:val="en-US" w:eastAsia="zh-CN" w:bidi="ar-SA"/>
              </w:rPr>
              <w:t>公益林管护面积9777亩</w:t>
            </w:r>
          </w:p>
        </w:tc>
        <w:tc>
          <w:tcPr>
            <w:tcW w:w="5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9777亩</w:t>
            </w:r>
          </w:p>
        </w:tc>
        <w:tc>
          <w:tcPr>
            <w:tcW w:w="5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numId w:val="0"/>
              </w:numPr>
              <w:suppressLineNumbers w:val="0"/>
              <w:kinsoku/>
              <w:wordWrap/>
              <w:overflowPunct/>
              <w:topLinePunct w:val="0"/>
              <w:autoSpaceDE/>
              <w:autoSpaceDN/>
              <w:bidi w:val="0"/>
              <w:adjustRightInd/>
              <w:snapToGrid/>
              <w:spacing w:before="0" w:beforeAutospacing="0" w:after="0" w:afterAutospacing="0" w:line="0" w:lineRule="atLeast"/>
              <w:ind w:leftChars="0" w:right="0" w:rightChars="0"/>
              <w:jc w:val="both"/>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eastAsia" w:ascii="新宋体" w:hAnsi="新宋体" w:eastAsia="新宋体" w:cs="新宋体"/>
                <w:color w:val="000000"/>
                <w:sz w:val="21"/>
                <w:szCs w:val="21"/>
              </w:rPr>
            </w:pP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质量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按年初规划设计方案完成达到预期效果。</w:t>
            </w:r>
          </w:p>
        </w:tc>
        <w:tc>
          <w:tcPr>
            <w:tcW w:w="5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时效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eastAsia="zh-CN"/>
              </w:rPr>
              <w:t>当年任务完成率</w:t>
            </w:r>
          </w:p>
        </w:tc>
        <w:tc>
          <w:tcPr>
            <w:tcW w:w="5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kern w:val="2"/>
                <w:sz w:val="21"/>
                <w:szCs w:val="21"/>
                <w:lang w:val="en-US" w:eastAsia="zh-CN" w:bidi="ar-SA"/>
              </w:rPr>
              <w:t>5</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成本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cs="Times New Roman"/>
                <w:kern w:val="2"/>
                <w:sz w:val="18"/>
                <w:szCs w:val="18"/>
                <w:lang w:val="en-US" w:eastAsia="zh-CN" w:bidi="ar-SA"/>
              </w:rPr>
            </w:pPr>
            <w:r>
              <w:rPr>
                <w:rFonts w:hint="eastAsia" w:cs="Times New Roman"/>
                <w:kern w:val="2"/>
                <w:sz w:val="18"/>
                <w:szCs w:val="18"/>
                <w:lang w:val="en-US" w:eastAsia="zh-CN" w:bidi="ar-SA"/>
              </w:rPr>
              <w:t>抚育</w:t>
            </w:r>
          </w:p>
        </w:tc>
        <w:tc>
          <w:tcPr>
            <w:tcW w:w="5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200元/亩</w:t>
            </w:r>
          </w:p>
        </w:tc>
        <w:tc>
          <w:tcPr>
            <w:tcW w:w="5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cs="Times New Roman"/>
                <w:kern w:val="2"/>
                <w:sz w:val="18"/>
                <w:szCs w:val="18"/>
                <w:lang w:val="en-US" w:eastAsia="zh-CN" w:bidi="ar-SA"/>
              </w:rPr>
            </w:pPr>
            <w:r>
              <w:rPr>
                <w:rFonts w:hint="eastAsia" w:cs="Times New Roman"/>
                <w:kern w:val="2"/>
                <w:sz w:val="18"/>
                <w:szCs w:val="18"/>
                <w:lang w:val="en-US" w:eastAsia="zh-CN" w:bidi="ar-SA"/>
              </w:rPr>
              <w:t>木材战略储备</w:t>
            </w:r>
          </w:p>
        </w:tc>
        <w:tc>
          <w:tcPr>
            <w:tcW w:w="5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500元/亩</w:t>
            </w:r>
            <w:r>
              <w:rPr>
                <w:rFonts w:hint="eastAsia" w:ascii="新宋体" w:hAnsi="新宋体" w:eastAsia="新宋体" w:cs="新宋体"/>
                <w:color w:val="000000"/>
                <w:sz w:val="21"/>
                <w:szCs w:val="21"/>
              </w:rPr>
              <w:t>　</w:t>
            </w:r>
          </w:p>
        </w:tc>
        <w:tc>
          <w:tcPr>
            <w:tcW w:w="5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cs="Times New Roman"/>
                <w:kern w:val="2"/>
                <w:sz w:val="18"/>
                <w:szCs w:val="18"/>
                <w:lang w:val="en-US" w:eastAsia="zh-CN" w:bidi="ar-SA"/>
              </w:rPr>
            </w:pPr>
            <w:r>
              <w:rPr>
                <w:rFonts w:hint="eastAsia" w:cs="Times New Roman"/>
                <w:kern w:val="2"/>
                <w:sz w:val="18"/>
                <w:szCs w:val="18"/>
                <w:lang w:val="en-US" w:eastAsia="zh-CN" w:bidi="ar-SA"/>
              </w:rPr>
              <w:t>森林质量精准改培项目</w:t>
            </w:r>
          </w:p>
        </w:tc>
        <w:tc>
          <w:tcPr>
            <w:tcW w:w="5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600元/亩</w:t>
            </w:r>
          </w:p>
        </w:tc>
        <w:tc>
          <w:tcPr>
            <w:tcW w:w="5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850" w:hRule="atLeast"/>
          <w:jc w:val="center"/>
        </w:trPr>
        <w:tc>
          <w:tcPr>
            <w:tcW w:w="591"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5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591"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（30分）</w:t>
            </w:r>
          </w:p>
        </w:tc>
        <w:tc>
          <w:tcPr>
            <w:tcW w:w="46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职工年收入水平增幅</w:t>
            </w:r>
          </w:p>
        </w:tc>
        <w:tc>
          <w:tcPr>
            <w:tcW w:w="5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≥10%</w:t>
            </w:r>
          </w:p>
        </w:tc>
        <w:tc>
          <w:tcPr>
            <w:tcW w:w="5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1</w:t>
            </w:r>
            <w:r>
              <w:rPr>
                <w:rFonts w:hint="eastAsia" w:ascii="新宋体" w:hAnsi="新宋体" w:eastAsia="新宋体" w:cs="新宋体"/>
                <w:color w:val="000000"/>
                <w:sz w:val="21"/>
                <w:szCs w:val="21"/>
                <w:lang w:val="en-US" w:eastAsia="zh-CN"/>
              </w:rPr>
              <w:t>2</w:t>
            </w:r>
            <w:r>
              <w:rPr>
                <w:rFonts w:hint="eastAsia" w:ascii="新宋体" w:hAnsi="新宋体" w:eastAsia="新宋体" w:cs="新宋体"/>
                <w:color w:val="000000"/>
                <w:sz w:val="21"/>
                <w:szCs w:val="21"/>
              </w:rPr>
              <w:t>%</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1"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1"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3"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1"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林区民生状况（是否逐渐改善）</w:t>
            </w:r>
          </w:p>
        </w:tc>
        <w:tc>
          <w:tcPr>
            <w:tcW w:w="59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是</w:t>
            </w:r>
          </w:p>
        </w:tc>
        <w:tc>
          <w:tcPr>
            <w:tcW w:w="57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是</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8</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1"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1"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1"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国家级自然保护区保护和管理能力（是否提高）</w:t>
            </w:r>
          </w:p>
        </w:tc>
        <w:tc>
          <w:tcPr>
            <w:tcW w:w="59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是</w:t>
            </w:r>
          </w:p>
        </w:tc>
        <w:tc>
          <w:tcPr>
            <w:tcW w:w="57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是</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5</w:t>
            </w:r>
            <w:r>
              <w:rPr>
                <w:rFonts w:hint="eastAsia" w:ascii="新宋体" w:hAnsi="新宋体" w:eastAsia="新宋体" w:cs="新宋体"/>
                <w:color w:val="000000"/>
                <w:sz w:val="21"/>
                <w:szCs w:val="21"/>
              </w:rPr>
              <w:t>　</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3</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1"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1"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1"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可持续影响指标</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1"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持续发挥生态作用（是否明显）</w:t>
            </w:r>
          </w:p>
        </w:tc>
        <w:tc>
          <w:tcPr>
            <w:tcW w:w="593"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明显</w:t>
            </w:r>
          </w:p>
        </w:tc>
        <w:tc>
          <w:tcPr>
            <w:tcW w:w="57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明显</w:t>
            </w:r>
          </w:p>
        </w:tc>
        <w:tc>
          <w:tcPr>
            <w:tcW w:w="31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5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4</w:t>
            </w:r>
          </w:p>
        </w:tc>
        <w:tc>
          <w:tcPr>
            <w:tcW w:w="85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1"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1"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（10分）</w:t>
            </w:r>
          </w:p>
        </w:tc>
        <w:tc>
          <w:tcPr>
            <w:tcW w:w="466"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服务对象满意度指标</w:t>
            </w:r>
          </w:p>
        </w:tc>
        <w:tc>
          <w:tcPr>
            <w:tcW w:w="56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退耕农户、林区职工和周边群众满意度（%）</w:t>
            </w:r>
          </w:p>
        </w:tc>
        <w:tc>
          <w:tcPr>
            <w:tcW w:w="59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90%</w:t>
            </w:r>
          </w:p>
        </w:tc>
        <w:tc>
          <w:tcPr>
            <w:tcW w:w="57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95%</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1"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66"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800" w:hRule="atLeast"/>
          <w:jc w:val="center"/>
        </w:trPr>
        <w:tc>
          <w:tcPr>
            <w:tcW w:w="591"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66"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89" w:hRule="atLeast"/>
          <w:jc w:val="center"/>
        </w:trPr>
        <w:tc>
          <w:tcPr>
            <w:tcW w:w="3273" w:type="pct"/>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总分</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100</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94</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bl>
    <w:p>
      <w:pPr>
        <w:rPr>
          <w:rFonts w:hint="eastAsia" w:eastAsia="仿宋_GB2312" w:cs="Times New Roman"/>
          <w:sz w:val="22"/>
          <w:lang w:val="en-US" w:eastAsia="zh-CN"/>
        </w:rPr>
      </w:pPr>
      <w:r>
        <w:rPr>
          <w:rFonts w:hint="default" w:ascii="Times New Roman" w:hAnsi="Times New Roman" w:eastAsia="仿宋_GB2312" w:cs="Times New Roman"/>
          <w:sz w:val="22"/>
        </w:rPr>
        <w:t>说明：</w:t>
      </w:r>
      <w:r>
        <w:rPr>
          <w:rFonts w:hint="eastAsia" w:eastAsia="仿宋_GB2312" w:cs="Times New Roman"/>
          <w:sz w:val="22"/>
          <w:lang w:eastAsia="zh-CN"/>
        </w:rPr>
        <w:t>以上数据参照</w:t>
      </w:r>
      <w:r>
        <w:rPr>
          <w:rFonts w:hint="eastAsia" w:eastAsia="仿宋_GB2312" w:cs="Times New Roman"/>
          <w:sz w:val="22"/>
          <w:lang w:val="en-US" w:eastAsia="zh-CN"/>
        </w:rPr>
        <w:t>2022年部门决算报表中的“收入支出决算总表”(财决01表)。</w:t>
      </w:r>
    </w:p>
    <w:p>
      <w:pPr>
        <w:pStyle w:val="2"/>
        <w:rPr>
          <w:rFonts w:hint="default"/>
          <w:lang w:val="en-US" w:eastAsia="zh-CN"/>
        </w:rPr>
      </w:pPr>
    </w:p>
    <w:p>
      <w:pPr>
        <w:rPr>
          <w:rFonts w:hint="eastAsia" w:ascii="黑体" w:hAnsi="黑体" w:eastAsia="黑体" w:cs="黑体"/>
          <w:sz w:val="32"/>
          <w:szCs w:val="32"/>
          <w:lang w:val="en-US" w:eastAsia="zh-CN"/>
        </w:rPr>
      </w:pPr>
      <w:r>
        <w:rPr>
          <w:rFonts w:hint="default" w:ascii="Times New Roman" w:hAnsi="Times New Roman" w:eastAsia="仿宋_GB2312" w:cs="Times New Roman"/>
          <w:sz w:val="22"/>
          <w:szCs w:val="22"/>
        </w:rPr>
        <w:t>填表人</w:t>
      </w:r>
      <w:r>
        <w:rPr>
          <w:rFonts w:hint="eastAsia" w:eastAsia="仿宋_GB2312" w:cs="Times New Roman"/>
          <w:sz w:val="22"/>
          <w:szCs w:val="22"/>
          <w:lang w:eastAsia="zh-CN"/>
        </w:rPr>
        <w:t>：李红</w:t>
      </w:r>
      <w:r>
        <w:rPr>
          <w:rFonts w:hint="default" w:ascii="Times New Roman" w:hAnsi="Times New Roman" w:eastAsia="仿宋_GB2312" w:cs="Times New Roman"/>
          <w:sz w:val="22"/>
          <w:szCs w:val="22"/>
        </w:rPr>
        <w:t xml:space="preserve"> 填报日期：</w:t>
      </w:r>
      <w:r>
        <w:rPr>
          <w:rFonts w:hint="eastAsia" w:eastAsia="仿宋_GB2312" w:cs="Times New Roman"/>
          <w:sz w:val="22"/>
          <w:szCs w:val="22"/>
          <w:lang w:val="en-US" w:eastAsia="zh-CN"/>
        </w:rPr>
        <w:t>2023.7.13</w:t>
      </w:r>
      <w:r>
        <w:rPr>
          <w:rFonts w:hint="default" w:ascii="Times New Roman" w:hAnsi="Times New Roman" w:eastAsia="仿宋_GB2312" w:cs="Times New Roman"/>
          <w:sz w:val="22"/>
          <w:szCs w:val="22"/>
        </w:rPr>
        <w:t xml:space="preserve"> 联系电话：</w:t>
      </w:r>
      <w:r>
        <w:rPr>
          <w:rFonts w:hint="eastAsia" w:eastAsia="仿宋_GB2312" w:cs="Times New Roman"/>
          <w:sz w:val="22"/>
          <w:szCs w:val="22"/>
          <w:lang w:val="en-US" w:eastAsia="zh-CN"/>
        </w:rPr>
        <w:t>18873000175</w:t>
      </w:r>
      <w:r>
        <w:rPr>
          <w:rFonts w:hint="eastAsia" w:ascii="Times New Roman" w:hAnsi="Times New Roman" w:eastAsia="仿宋_GB2312" w:cs="Times New Roman"/>
          <w:sz w:val="22"/>
          <w:szCs w:val="22"/>
          <w:lang w:val="en-US" w:eastAsia="zh-CN"/>
        </w:rPr>
        <w:t xml:space="preserve">  </w:t>
      </w:r>
      <w:r>
        <w:rPr>
          <w:rFonts w:hint="default" w:ascii="Times New Roman" w:hAnsi="Times New Roman" w:eastAsia="仿宋_GB2312" w:cs="Times New Roman"/>
          <w:sz w:val="22"/>
          <w:szCs w:val="22"/>
        </w:rPr>
        <w:t>单位负责人签字：</w:t>
      </w:r>
      <w:r>
        <w:rPr>
          <w:rFonts w:hint="default" w:ascii="Times New Roman" w:hAnsi="Times New Roman" w:eastAsia="仿宋_GB2312" w:cs="Times New Roman"/>
          <w:sz w:val="22"/>
          <w:szCs w:val="22"/>
        </w:rPr>
        <w:br w:type="page"/>
      </w: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华容县胜峰国有林场</w:t>
      </w:r>
      <w:r>
        <w:rPr>
          <w:rFonts w:hint="eastAsia" w:ascii="方正小标宋简体" w:hAnsi="方正小标宋简体" w:eastAsia="方正小标宋简体" w:cs="方正小标宋简体"/>
          <w:sz w:val="44"/>
          <w:szCs w:val="44"/>
        </w:rPr>
        <w:t>整体支出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年</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月</w:t>
      </w:r>
      <w:r>
        <w:rPr>
          <w:rFonts w:hint="eastAsia" w:eastAsia="楷体_GB2312" w:cs="Times New Roman"/>
          <w:sz w:val="32"/>
          <w:szCs w:val="32"/>
          <w:lang w:val="en-US" w:eastAsia="zh-CN"/>
        </w:rPr>
        <w:t>13</w:t>
      </w:r>
      <w:r>
        <w:rPr>
          <w:rFonts w:hint="default" w:ascii="Times New Roman" w:hAnsi="Times New Roman" w:eastAsia="楷体_GB2312" w:cs="Times New Roman"/>
          <w:sz w:val="32"/>
          <w:szCs w:val="32"/>
        </w:rPr>
        <w:t>日</w:t>
      </w:r>
    </w:p>
    <w:p>
      <w:pPr>
        <w:jc w:val="center"/>
        <w:rPr>
          <w:rFonts w:hint="default" w:ascii="Times New Roman" w:hAnsi="Times New Roman" w:eastAsia="仿宋_GB2312" w:cs="Times New Roman"/>
          <w:sz w:val="32"/>
          <w:szCs w:val="32"/>
        </w:rPr>
        <w:sectPr>
          <w:footerReference r:id="rId3" w:type="default"/>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华容县胜峰国有林场</w:t>
      </w:r>
      <w:r>
        <w:rPr>
          <w:rFonts w:hint="eastAsia" w:ascii="方正小标宋简体" w:hAnsi="方正小标宋简体" w:eastAsia="方正小标宋简体" w:cs="方正小标宋简体"/>
          <w:sz w:val="44"/>
          <w:szCs w:val="44"/>
        </w:rPr>
        <w:t>整体支出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keepNext w:val="0"/>
        <w:keepLines w:val="0"/>
        <w:pageBreakBefore w:val="0"/>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numPr>
          <w:ilvl w:val="0"/>
          <w:numId w:val="3"/>
        </w:numPr>
        <w:kinsoku/>
        <w:wordWrap/>
        <w:overflowPunct/>
        <w:topLinePunct w:val="0"/>
        <w:autoSpaceDE/>
        <w:autoSpaceDN/>
        <w:bidi w:val="0"/>
        <w:adjustRightInd/>
        <w:snapToGrid/>
        <w:spacing w:line="610" w:lineRule="exact"/>
        <w:ind w:firstLine="560" w:firstLineChars="200"/>
        <w:jc w:val="both"/>
        <w:textAlignment w:val="auto"/>
        <w:rPr>
          <w:rFonts w:hint="default" w:ascii="仿宋_GB2312" w:hAnsi="仿宋_GB2312" w:eastAsia="仿宋_GB2312" w:cs="仿宋_GB2312"/>
          <w:bCs/>
          <w:kern w:val="2"/>
          <w:sz w:val="28"/>
          <w:szCs w:val="28"/>
          <w:lang w:val="en-US" w:eastAsia="zh-CN" w:bidi="ar-SA"/>
        </w:rPr>
      </w:pPr>
      <w:r>
        <w:rPr>
          <w:rFonts w:hint="default" w:ascii="仿宋_GB2312" w:hAnsi="仿宋_GB2312" w:eastAsia="仿宋_GB2312" w:cs="仿宋_GB2312"/>
          <w:bCs/>
          <w:kern w:val="2"/>
          <w:sz w:val="28"/>
          <w:szCs w:val="28"/>
          <w:lang w:val="en-US" w:eastAsia="zh-CN" w:bidi="ar-SA"/>
        </w:rPr>
        <w:t>基本情况</w:t>
      </w:r>
    </w:p>
    <w:p>
      <w:pPr>
        <w:spacing w:line="560" w:lineRule="exact"/>
        <w:ind w:firstLine="560" w:firstLineChars="200"/>
        <w:rPr>
          <w:rFonts w:hint="eastAsia" w:ascii="仿宋_GB2312" w:hAnsi="仿宋_GB2312" w:eastAsia="仿宋_GB2312" w:cs="仿宋_GB2312"/>
          <w:bCs/>
          <w:kern w:val="2"/>
          <w:sz w:val="28"/>
          <w:szCs w:val="28"/>
          <w:lang w:val="en-US" w:eastAsia="zh-CN" w:bidi="ar-SA"/>
        </w:rPr>
      </w:pPr>
      <w:r>
        <w:rPr>
          <w:rFonts w:hint="eastAsia" w:ascii="仿宋_GB2312" w:hAnsi="仿宋_GB2312" w:eastAsia="仿宋_GB2312" w:cs="仿宋_GB2312"/>
          <w:bCs/>
          <w:kern w:val="2"/>
          <w:sz w:val="28"/>
          <w:szCs w:val="28"/>
          <w:lang w:val="en-US" w:eastAsia="zh-CN" w:bidi="ar-SA"/>
        </w:rPr>
        <w:t xml:space="preserve">  湖南省华容县胜峰国有林场始建于1958年，2010年12月与华容县桃花山省级森林公园管理处合署办公，实行两块牌子，一套人马。林场性质属公益性一类事业单位。主要职能是保护培育森林资源；维护生态安全；负责桃花山省级森林公园管理。内设办公室、计财股、营林森工股、林调队、综治办、计生办等机构，内含一个桃花山省级森林公园，鼎山、七女峰两个工区和一个种养分场。在册职工</w:t>
      </w:r>
      <w:r>
        <w:rPr>
          <w:rFonts w:hint="default" w:ascii="仿宋_GB2312" w:hAnsi="仿宋_GB2312" w:eastAsia="仿宋_GB2312" w:cs="仿宋_GB2312"/>
          <w:bCs/>
          <w:kern w:val="2"/>
          <w:sz w:val="28"/>
          <w:szCs w:val="28"/>
          <w:lang w:val="en-US" w:eastAsia="zh-CN" w:bidi="ar-SA"/>
        </w:rPr>
        <w:t>218</w:t>
      </w:r>
      <w:r>
        <w:rPr>
          <w:rFonts w:hint="eastAsia" w:ascii="仿宋_GB2312" w:hAnsi="仿宋_GB2312" w:eastAsia="仿宋_GB2312" w:cs="仿宋_GB2312"/>
          <w:bCs/>
          <w:kern w:val="2"/>
          <w:sz w:val="28"/>
          <w:szCs w:val="28"/>
          <w:lang w:val="en-US" w:eastAsia="zh-CN" w:bidi="ar-SA"/>
        </w:rPr>
        <w:t>人，其中在职职工</w:t>
      </w:r>
      <w:r>
        <w:rPr>
          <w:rFonts w:hint="default" w:ascii="仿宋_GB2312" w:hAnsi="仿宋_GB2312" w:eastAsia="仿宋_GB2312" w:cs="仿宋_GB2312"/>
          <w:bCs/>
          <w:kern w:val="2"/>
          <w:sz w:val="28"/>
          <w:szCs w:val="28"/>
          <w:lang w:val="en-US" w:eastAsia="zh-CN" w:bidi="ar-SA"/>
        </w:rPr>
        <w:t>47</w:t>
      </w:r>
      <w:r>
        <w:rPr>
          <w:rFonts w:hint="eastAsia" w:ascii="仿宋_GB2312" w:hAnsi="仿宋_GB2312" w:eastAsia="仿宋_GB2312" w:cs="仿宋_GB2312"/>
          <w:bCs/>
          <w:kern w:val="2"/>
          <w:sz w:val="28"/>
          <w:szCs w:val="28"/>
          <w:lang w:val="en-US" w:eastAsia="zh-CN" w:bidi="ar-SA"/>
        </w:rPr>
        <w:t>人，退休职工</w:t>
      </w:r>
      <w:r>
        <w:rPr>
          <w:rFonts w:hint="default" w:ascii="仿宋_GB2312" w:hAnsi="仿宋_GB2312" w:eastAsia="仿宋_GB2312" w:cs="仿宋_GB2312"/>
          <w:bCs/>
          <w:kern w:val="2"/>
          <w:sz w:val="28"/>
          <w:szCs w:val="28"/>
          <w:lang w:val="en-US" w:eastAsia="zh-CN" w:bidi="ar-SA"/>
        </w:rPr>
        <w:t>171</w:t>
      </w:r>
      <w:r>
        <w:rPr>
          <w:rFonts w:hint="eastAsia" w:ascii="仿宋_GB2312" w:hAnsi="仿宋_GB2312" w:eastAsia="仿宋_GB2312" w:cs="仿宋_GB2312"/>
          <w:bCs/>
          <w:kern w:val="2"/>
          <w:sz w:val="28"/>
          <w:szCs w:val="28"/>
          <w:lang w:val="en-US" w:eastAsia="zh-CN" w:bidi="ar-SA"/>
        </w:rPr>
        <w:t>人。在职人员中有技术干部8名，其中工程师2名，助理工程师6名。</w:t>
      </w:r>
    </w:p>
    <w:p>
      <w:pPr>
        <w:pStyle w:val="2"/>
        <w:rPr>
          <w:rFonts w:hint="default" w:ascii="仿宋_GB2312" w:hAnsi="仿宋_GB2312" w:eastAsia="仿宋_GB2312" w:cs="仿宋_GB2312"/>
          <w:bCs/>
          <w:kern w:val="2"/>
          <w:sz w:val="28"/>
          <w:szCs w:val="28"/>
          <w:lang w:val="en-US" w:eastAsia="zh-CN" w:bidi="ar-SA"/>
        </w:rPr>
      </w:pPr>
    </w:p>
    <w:p>
      <w:pPr>
        <w:pStyle w:val="15"/>
        <w:keepNext w:val="0"/>
        <w:keepLines w:val="0"/>
        <w:pageBreakBefore w:val="0"/>
        <w:widowControl/>
        <w:numPr>
          <w:ilvl w:val="0"/>
          <w:numId w:val="3"/>
        </w:numPr>
        <w:kinsoku/>
        <w:wordWrap/>
        <w:overflowPunct/>
        <w:topLinePunct w:val="0"/>
        <w:autoSpaceDE/>
        <w:autoSpaceDN/>
        <w:bidi w:val="0"/>
        <w:adjustRightInd/>
        <w:snapToGrid/>
        <w:spacing w:line="610" w:lineRule="exact"/>
        <w:ind w:left="0" w:leftChars="0" w:firstLine="560" w:firstLineChars="200"/>
        <w:jc w:val="both"/>
        <w:textAlignment w:val="auto"/>
        <w:rPr>
          <w:rFonts w:hint="default" w:ascii="仿宋_GB2312" w:hAnsi="仿宋_GB2312" w:eastAsia="仿宋_GB2312" w:cs="仿宋_GB2312"/>
          <w:bCs/>
          <w:kern w:val="2"/>
          <w:sz w:val="28"/>
          <w:szCs w:val="28"/>
          <w:lang w:val="en-US" w:eastAsia="zh-CN" w:bidi="ar-SA"/>
        </w:rPr>
      </w:pPr>
      <w:r>
        <w:rPr>
          <w:rFonts w:hint="default" w:ascii="仿宋_GB2312" w:hAnsi="仿宋_GB2312" w:eastAsia="仿宋_GB2312" w:cs="仿宋_GB2312"/>
          <w:bCs/>
          <w:kern w:val="2"/>
          <w:sz w:val="28"/>
          <w:szCs w:val="28"/>
          <w:lang w:val="en-US" w:eastAsia="zh-CN" w:bidi="ar-SA"/>
        </w:rPr>
        <w:t>基本支出情况</w:t>
      </w:r>
    </w:p>
    <w:p>
      <w:pPr>
        <w:pStyle w:val="8"/>
        <w:keepNext w:val="0"/>
        <w:keepLines w:val="0"/>
        <w:widowControl/>
        <w:suppressLineNumbers w:val="0"/>
        <w:pBdr>
          <w:bottom w:val="none" w:color="auto" w:sz="0" w:space="0"/>
        </w:pBdr>
        <w:spacing w:before="0" w:beforeAutospacing="0" w:after="0" w:afterAutospacing="0" w:line="33" w:lineRule="atLeast"/>
        <w:ind w:firstLine="560" w:firstLineChars="200"/>
        <w:jc w:val="both"/>
        <w:rPr>
          <w:rFonts w:hint="default" w:ascii="仿宋_GB2312" w:hAnsi="仿宋_GB2312" w:eastAsia="仿宋_GB2312" w:cs="仿宋_GB2312"/>
          <w:bCs/>
          <w:kern w:val="2"/>
          <w:sz w:val="28"/>
          <w:szCs w:val="28"/>
          <w:lang w:val="en-US" w:eastAsia="zh-CN" w:bidi="ar-SA"/>
        </w:rPr>
      </w:pPr>
      <w:r>
        <w:rPr>
          <w:rFonts w:hint="eastAsia" w:ascii="仿宋_GB2312" w:hAnsi="仿宋_GB2312" w:eastAsia="仿宋_GB2312" w:cs="仿宋_GB2312"/>
          <w:bCs/>
          <w:kern w:val="2"/>
          <w:sz w:val="28"/>
          <w:szCs w:val="28"/>
          <w:lang w:val="en-US" w:eastAsia="zh-CN" w:bidi="ar-SA"/>
        </w:rPr>
        <w:t>全年的</w:t>
      </w:r>
      <w:r>
        <w:rPr>
          <w:rFonts w:hint="default" w:ascii="仿宋_GB2312" w:hAnsi="仿宋_GB2312" w:eastAsia="仿宋_GB2312" w:cs="仿宋_GB2312"/>
          <w:bCs/>
          <w:kern w:val="2"/>
          <w:sz w:val="28"/>
          <w:szCs w:val="28"/>
          <w:lang w:val="en-US" w:eastAsia="zh-CN" w:bidi="ar-SA"/>
        </w:rPr>
        <w:t>基本支出</w:t>
      </w:r>
      <w:r>
        <w:rPr>
          <w:rFonts w:hint="eastAsia" w:ascii="仿宋_GB2312" w:hAnsi="仿宋_GB2312" w:eastAsia="仿宋_GB2312" w:cs="仿宋_GB2312"/>
          <w:bCs/>
          <w:kern w:val="2"/>
          <w:sz w:val="28"/>
          <w:szCs w:val="28"/>
          <w:lang w:val="en-US" w:eastAsia="zh-CN" w:bidi="ar-SA"/>
        </w:rPr>
        <w:t>350.25</w:t>
      </w:r>
      <w:r>
        <w:rPr>
          <w:rFonts w:hint="default" w:ascii="仿宋_GB2312" w:hAnsi="仿宋_GB2312" w:eastAsia="仿宋_GB2312" w:cs="仿宋_GB2312"/>
          <w:bCs/>
          <w:kern w:val="2"/>
          <w:sz w:val="28"/>
          <w:szCs w:val="28"/>
          <w:lang w:val="en-US" w:eastAsia="zh-CN" w:bidi="ar-SA"/>
        </w:rPr>
        <w:t>万元，其中人员经费</w:t>
      </w:r>
      <w:r>
        <w:rPr>
          <w:rFonts w:hint="eastAsia" w:ascii="仿宋_GB2312" w:hAnsi="仿宋_GB2312" w:eastAsia="仿宋_GB2312" w:cs="仿宋_GB2312"/>
          <w:bCs/>
          <w:kern w:val="2"/>
          <w:sz w:val="28"/>
          <w:szCs w:val="28"/>
          <w:lang w:val="en-US" w:eastAsia="zh-CN" w:bidi="ar-SA"/>
        </w:rPr>
        <w:t>282.53</w:t>
      </w:r>
      <w:r>
        <w:rPr>
          <w:rFonts w:hint="default" w:ascii="仿宋_GB2312" w:hAnsi="仿宋_GB2312" w:eastAsia="仿宋_GB2312" w:cs="仿宋_GB2312"/>
          <w:bCs/>
          <w:kern w:val="2"/>
          <w:sz w:val="28"/>
          <w:szCs w:val="28"/>
          <w:lang w:val="en-US" w:eastAsia="zh-CN" w:bidi="ar-SA"/>
        </w:rPr>
        <w:t>万元，主要用于人员工资及社保缴纳等</w:t>
      </w:r>
      <w:r>
        <w:rPr>
          <w:rFonts w:hint="eastAsia" w:ascii="仿宋_GB2312" w:hAnsi="仿宋_GB2312" w:eastAsia="仿宋_GB2312" w:cs="仿宋_GB2312"/>
          <w:bCs/>
          <w:kern w:val="2"/>
          <w:sz w:val="28"/>
          <w:szCs w:val="28"/>
          <w:lang w:val="en-US" w:eastAsia="zh-CN" w:bidi="ar-SA"/>
        </w:rPr>
        <w:t>；</w:t>
      </w:r>
      <w:r>
        <w:rPr>
          <w:rFonts w:hint="default" w:ascii="仿宋_GB2312" w:hAnsi="仿宋_GB2312" w:eastAsia="仿宋_GB2312" w:cs="仿宋_GB2312"/>
          <w:bCs/>
          <w:kern w:val="2"/>
          <w:sz w:val="28"/>
          <w:szCs w:val="28"/>
          <w:lang w:val="en-US" w:eastAsia="zh-CN" w:bidi="ar-SA"/>
        </w:rPr>
        <w:t>一般商品服务支出</w:t>
      </w:r>
      <w:r>
        <w:rPr>
          <w:rFonts w:hint="eastAsia" w:ascii="仿宋_GB2312" w:hAnsi="仿宋_GB2312" w:eastAsia="仿宋_GB2312" w:cs="仿宋_GB2312"/>
          <w:bCs/>
          <w:kern w:val="2"/>
          <w:sz w:val="28"/>
          <w:szCs w:val="28"/>
          <w:lang w:val="en-US" w:eastAsia="zh-CN" w:bidi="ar-SA"/>
        </w:rPr>
        <w:t>32.96</w:t>
      </w:r>
      <w:r>
        <w:rPr>
          <w:rFonts w:hint="default" w:ascii="仿宋_GB2312" w:hAnsi="仿宋_GB2312" w:eastAsia="仿宋_GB2312" w:cs="仿宋_GB2312"/>
          <w:bCs/>
          <w:kern w:val="2"/>
          <w:sz w:val="28"/>
          <w:szCs w:val="28"/>
          <w:lang w:val="en-US" w:eastAsia="zh-CN" w:bidi="ar-SA"/>
        </w:rPr>
        <w:t>万元，主要用于日常办公开支</w:t>
      </w:r>
      <w:r>
        <w:rPr>
          <w:rFonts w:hint="eastAsia" w:ascii="仿宋_GB2312" w:hAnsi="仿宋_GB2312" w:eastAsia="仿宋_GB2312" w:cs="仿宋_GB2312"/>
          <w:bCs/>
          <w:kern w:val="2"/>
          <w:sz w:val="28"/>
          <w:szCs w:val="28"/>
          <w:lang w:val="en-US" w:eastAsia="zh-CN" w:bidi="ar-SA"/>
        </w:rPr>
        <w:t>，对个人和家庭的补助支出34.76万元，主要用于生活补助方面开支</w:t>
      </w:r>
      <w:r>
        <w:rPr>
          <w:rFonts w:hint="default" w:ascii="仿宋_GB2312" w:hAnsi="仿宋_GB2312" w:eastAsia="仿宋_GB2312" w:cs="仿宋_GB2312"/>
          <w:bCs/>
          <w:kern w:val="2"/>
          <w:sz w:val="28"/>
          <w:szCs w:val="28"/>
          <w:lang w:val="en-US" w:eastAsia="zh-CN" w:bidi="ar-SA"/>
        </w:rPr>
        <w:t>。</w:t>
      </w:r>
    </w:p>
    <w:p>
      <w:pPr>
        <w:pStyle w:val="15"/>
        <w:keepNext w:val="0"/>
        <w:keepLines w:val="0"/>
        <w:pageBreakBefore w:val="0"/>
        <w:widowControl/>
        <w:numPr>
          <w:ilvl w:val="0"/>
          <w:numId w:val="3"/>
        </w:numPr>
        <w:kinsoku/>
        <w:wordWrap/>
        <w:overflowPunct/>
        <w:topLinePunct w:val="0"/>
        <w:autoSpaceDE/>
        <w:autoSpaceDN/>
        <w:bidi w:val="0"/>
        <w:adjustRightInd/>
        <w:snapToGrid/>
        <w:spacing w:line="610" w:lineRule="exact"/>
        <w:ind w:left="0" w:leftChars="0" w:firstLine="560" w:firstLineChars="200"/>
        <w:jc w:val="both"/>
        <w:textAlignment w:val="auto"/>
        <w:rPr>
          <w:rFonts w:hint="eastAsia" w:ascii="仿宋_GB2312" w:hAnsi="仿宋_GB2312" w:eastAsia="仿宋_GB2312" w:cs="仿宋_GB2312"/>
          <w:bCs/>
          <w:kern w:val="2"/>
          <w:sz w:val="28"/>
          <w:szCs w:val="28"/>
          <w:lang w:val="en-US" w:eastAsia="zh-CN" w:bidi="ar-SA"/>
        </w:rPr>
      </w:pPr>
      <w:r>
        <w:rPr>
          <w:rFonts w:hint="default" w:ascii="仿宋_GB2312" w:hAnsi="仿宋_GB2312" w:eastAsia="仿宋_GB2312" w:cs="仿宋_GB2312"/>
          <w:bCs/>
          <w:kern w:val="2"/>
          <w:sz w:val="28"/>
          <w:szCs w:val="28"/>
          <w:lang w:val="en-US" w:eastAsia="zh-CN" w:bidi="ar-SA"/>
        </w:rPr>
        <w:t>项目支出情况</w:t>
      </w:r>
    </w:p>
    <w:p>
      <w:pPr>
        <w:spacing w:line="560" w:lineRule="exact"/>
        <w:ind w:firstLine="560" w:firstLineChars="200"/>
        <w:rPr>
          <w:rFonts w:hint="eastAsia" w:ascii="仿宋_GB2312" w:hAnsi="仿宋_GB2312" w:eastAsia="仿宋_GB2312" w:cs="仿宋_GB2312"/>
          <w:bCs/>
          <w:kern w:val="2"/>
          <w:sz w:val="28"/>
          <w:szCs w:val="28"/>
          <w:lang w:val="en-US" w:eastAsia="zh-CN" w:bidi="ar-SA"/>
        </w:rPr>
      </w:pPr>
      <w:r>
        <w:rPr>
          <w:rFonts w:hint="eastAsia" w:ascii="仿宋_GB2312" w:hAnsi="仿宋_GB2312" w:eastAsia="仿宋_GB2312" w:cs="仿宋_GB2312"/>
          <w:bCs/>
          <w:kern w:val="2"/>
          <w:sz w:val="28"/>
          <w:szCs w:val="28"/>
          <w:lang w:val="en-US" w:eastAsia="zh-CN" w:bidi="ar-SA"/>
        </w:rPr>
        <w:t>1、专项资金安排落实、总投入等情况分析</w:t>
      </w:r>
    </w:p>
    <w:p>
      <w:pPr>
        <w:pStyle w:val="8"/>
        <w:keepNext w:val="0"/>
        <w:keepLines w:val="0"/>
        <w:widowControl/>
        <w:suppressLineNumbers w:val="0"/>
        <w:pBdr>
          <w:bottom w:val="none" w:color="auto" w:sz="0" w:space="0"/>
        </w:pBdr>
        <w:spacing w:before="0" w:beforeAutospacing="0" w:after="0" w:afterAutospacing="0" w:line="33" w:lineRule="atLeast"/>
        <w:ind w:firstLine="560" w:firstLineChars="200"/>
        <w:jc w:val="both"/>
        <w:rPr>
          <w:rFonts w:hint="eastAsia" w:ascii="仿宋_GB2312" w:hAnsi="仿宋_GB2312" w:eastAsia="仿宋_GB2312" w:cs="仿宋_GB2312"/>
          <w:bCs/>
          <w:kern w:val="2"/>
          <w:sz w:val="28"/>
          <w:szCs w:val="28"/>
          <w:lang w:val="en-US" w:eastAsia="zh-CN" w:bidi="ar-SA"/>
        </w:rPr>
      </w:pPr>
      <w:r>
        <w:rPr>
          <w:rFonts w:hint="default" w:ascii="仿宋_GB2312" w:hAnsi="仿宋_GB2312" w:eastAsia="仿宋_GB2312" w:cs="仿宋_GB2312"/>
          <w:bCs/>
          <w:kern w:val="2"/>
          <w:sz w:val="28"/>
          <w:szCs w:val="28"/>
          <w:lang w:val="en-US" w:eastAsia="zh-CN" w:bidi="ar-SA"/>
        </w:rPr>
        <w:t>20</w:t>
      </w:r>
      <w:r>
        <w:rPr>
          <w:rFonts w:hint="eastAsia" w:ascii="仿宋_GB2312" w:hAnsi="仿宋_GB2312" w:eastAsia="仿宋_GB2312" w:cs="仿宋_GB2312"/>
          <w:bCs/>
          <w:kern w:val="2"/>
          <w:sz w:val="28"/>
          <w:szCs w:val="28"/>
          <w:lang w:val="en-US" w:eastAsia="zh-CN" w:bidi="ar-SA"/>
        </w:rPr>
        <w:t>22</w:t>
      </w:r>
      <w:r>
        <w:rPr>
          <w:rFonts w:hint="default" w:ascii="仿宋_GB2312" w:hAnsi="仿宋_GB2312" w:eastAsia="仿宋_GB2312" w:cs="仿宋_GB2312"/>
          <w:bCs/>
          <w:kern w:val="2"/>
          <w:sz w:val="28"/>
          <w:szCs w:val="28"/>
          <w:lang w:val="en-US" w:eastAsia="zh-CN" w:bidi="ar-SA"/>
        </w:rPr>
        <w:t>年专项资金</w:t>
      </w:r>
      <w:r>
        <w:rPr>
          <w:rFonts w:hint="eastAsia" w:ascii="仿宋_GB2312" w:hAnsi="仿宋_GB2312" w:eastAsia="仿宋_GB2312" w:cs="仿宋_GB2312"/>
          <w:bCs/>
          <w:kern w:val="2"/>
          <w:sz w:val="28"/>
          <w:szCs w:val="28"/>
          <w:lang w:val="en-US" w:eastAsia="zh-CN" w:bidi="ar-SA"/>
        </w:rPr>
        <w:t>计划335.2万元，</w:t>
      </w:r>
      <w:r>
        <w:rPr>
          <w:rFonts w:hint="default" w:ascii="仿宋_GB2312" w:hAnsi="仿宋_GB2312" w:eastAsia="仿宋_GB2312" w:cs="仿宋_GB2312"/>
          <w:bCs/>
          <w:kern w:val="2"/>
          <w:sz w:val="28"/>
          <w:szCs w:val="28"/>
          <w:lang w:val="en-US" w:eastAsia="zh-CN" w:bidi="ar-SA"/>
        </w:rPr>
        <w:t>共投入</w:t>
      </w:r>
      <w:r>
        <w:rPr>
          <w:rFonts w:hint="eastAsia" w:ascii="仿宋_GB2312" w:hAnsi="仿宋_GB2312" w:eastAsia="仿宋_GB2312" w:cs="仿宋_GB2312"/>
          <w:bCs/>
          <w:kern w:val="2"/>
          <w:sz w:val="28"/>
          <w:szCs w:val="28"/>
          <w:lang w:val="en-US" w:eastAsia="zh-CN" w:bidi="ar-SA"/>
        </w:rPr>
        <w:t>335.2</w:t>
      </w:r>
      <w:r>
        <w:rPr>
          <w:rFonts w:hint="default" w:ascii="仿宋_GB2312" w:hAnsi="仿宋_GB2312" w:eastAsia="仿宋_GB2312" w:cs="仿宋_GB2312"/>
          <w:bCs/>
          <w:kern w:val="2"/>
          <w:sz w:val="28"/>
          <w:szCs w:val="28"/>
          <w:lang w:val="en-US" w:eastAsia="zh-CN" w:bidi="ar-SA"/>
        </w:rPr>
        <w:t>万元</w:t>
      </w:r>
      <w:r>
        <w:rPr>
          <w:rFonts w:hint="eastAsia" w:ascii="仿宋_GB2312" w:hAnsi="仿宋_GB2312" w:eastAsia="仿宋_GB2312" w:cs="仿宋_GB2312"/>
          <w:bCs/>
          <w:kern w:val="2"/>
          <w:sz w:val="28"/>
          <w:szCs w:val="28"/>
          <w:lang w:val="en-US" w:eastAsia="zh-CN" w:bidi="ar-SA"/>
        </w:rPr>
        <w:t>。</w:t>
      </w:r>
    </w:p>
    <w:p>
      <w:pPr>
        <w:numPr>
          <w:ilvl w:val="0"/>
          <w:numId w:val="0"/>
        </w:numPr>
        <w:spacing w:line="560" w:lineRule="exact"/>
        <w:ind w:firstLine="560" w:firstLineChars="200"/>
        <w:rPr>
          <w:rFonts w:hint="eastAsia" w:ascii="仿宋_GB2312" w:hAnsi="仿宋_GB2312" w:eastAsia="仿宋_GB2312" w:cs="仿宋_GB2312"/>
          <w:bCs/>
          <w:kern w:val="2"/>
          <w:sz w:val="28"/>
          <w:szCs w:val="28"/>
          <w:lang w:val="en-US" w:eastAsia="zh-CN" w:bidi="ar-SA"/>
        </w:rPr>
      </w:pPr>
      <w:r>
        <w:rPr>
          <w:rFonts w:hint="eastAsia" w:ascii="仿宋_GB2312" w:hAnsi="仿宋_GB2312" w:eastAsia="仿宋_GB2312" w:cs="仿宋_GB2312"/>
          <w:bCs/>
          <w:kern w:val="2"/>
          <w:sz w:val="28"/>
          <w:szCs w:val="28"/>
          <w:lang w:val="en-US" w:eastAsia="zh-CN" w:bidi="ar-SA"/>
        </w:rPr>
        <w:t>2.专项资金实际使用情况分析</w:t>
      </w:r>
    </w:p>
    <w:p>
      <w:pPr>
        <w:numPr>
          <w:ilvl w:val="0"/>
          <w:numId w:val="0"/>
        </w:numPr>
        <w:spacing w:line="560" w:lineRule="exact"/>
        <w:ind w:firstLine="560" w:firstLineChars="200"/>
        <w:rPr>
          <w:rFonts w:hint="eastAsia" w:ascii="仿宋_GB2312" w:hAnsi="仿宋_GB2312" w:eastAsia="仿宋_GB2312" w:cs="仿宋_GB2312"/>
          <w:bCs/>
          <w:kern w:val="2"/>
          <w:sz w:val="28"/>
          <w:szCs w:val="28"/>
          <w:lang w:val="en-US" w:eastAsia="zh-CN" w:bidi="ar-SA"/>
        </w:rPr>
      </w:pPr>
      <w:r>
        <w:rPr>
          <w:rFonts w:hint="default" w:ascii="仿宋_GB2312" w:hAnsi="仿宋_GB2312" w:eastAsia="仿宋_GB2312" w:cs="仿宋_GB2312"/>
          <w:bCs/>
          <w:kern w:val="2"/>
          <w:sz w:val="28"/>
          <w:szCs w:val="28"/>
          <w:lang w:val="en-US" w:eastAsia="zh-CN" w:bidi="ar-SA"/>
        </w:rPr>
        <w:t>20</w:t>
      </w:r>
      <w:r>
        <w:rPr>
          <w:rFonts w:hint="eastAsia" w:ascii="仿宋_GB2312" w:hAnsi="仿宋_GB2312" w:eastAsia="仿宋_GB2312" w:cs="仿宋_GB2312"/>
          <w:bCs/>
          <w:kern w:val="2"/>
          <w:sz w:val="28"/>
          <w:szCs w:val="28"/>
          <w:lang w:val="en-US" w:eastAsia="zh-CN" w:bidi="ar-SA"/>
        </w:rPr>
        <w:t>22</w:t>
      </w:r>
      <w:r>
        <w:rPr>
          <w:rFonts w:hint="default" w:ascii="仿宋_GB2312" w:hAnsi="仿宋_GB2312" w:eastAsia="仿宋_GB2312" w:cs="仿宋_GB2312"/>
          <w:bCs/>
          <w:kern w:val="2"/>
          <w:sz w:val="28"/>
          <w:szCs w:val="28"/>
          <w:lang w:val="en-US" w:eastAsia="zh-CN" w:bidi="ar-SA"/>
        </w:rPr>
        <w:t>年专项资金支出为</w:t>
      </w:r>
      <w:r>
        <w:rPr>
          <w:rFonts w:hint="eastAsia" w:ascii="仿宋_GB2312" w:hAnsi="仿宋_GB2312" w:eastAsia="仿宋_GB2312" w:cs="仿宋_GB2312"/>
          <w:bCs/>
          <w:kern w:val="2"/>
          <w:sz w:val="28"/>
          <w:szCs w:val="28"/>
          <w:lang w:val="en-US" w:eastAsia="zh-CN" w:bidi="ar-SA"/>
        </w:rPr>
        <w:t>335.2</w:t>
      </w:r>
      <w:r>
        <w:rPr>
          <w:rFonts w:hint="default" w:ascii="仿宋_GB2312" w:hAnsi="仿宋_GB2312" w:eastAsia="仿宋_GB2312" w:cs="仿宋_GB2312"/>
          <w:bCs/>
          <w:kern w:val="2"/>
          <w:sz w:val="28"/>
          <w:szCs w:val="28"/>
          <w:lang w:val="en-US" w:eastAsia="zh-CN" w:bidi="ar-SA"/>
        </w:rPr>
        <w:t>万元，主要用于</w:t>
      </w:r>
      <w:r>
        <w:rPr>
          <w:rFonts w:hint="eastAsia" w:ascii="仿宋_GB2312" w:hAnsi="仿宋_GB2312" w:eastAsia="仿宋_GB2312" w:cs="仿宋_GB2312"/>
          <w:bCs/>
          <w:kern w:val="2"/>
          <w:sz w:val="28"/>
          <w:szCs w:val="28"/>
          <w:lang w:val="en-US" w:eastAsia="zh-CN" w:bidi="ar-SA"/>
        </w:rPr>
        <w:t>营林生产、基础建设等</w:t>
      </w:r>
      <w:r>
        <w:rPr>
          <w:rFonts w:hint="default" w:ascii="仿宋_GB2312" w:hAnsi="仿宋_GB2312" w:eastAsia="仿宋_GB2312" w:cs="仿宋_GB2312"/>
          <w:bCs/>
          <w:kern w:val="2"/>
          <w:sz w:val="28"/>
          <w:szCs w:val="28"/>
          <w:lang w:val="en-US" w:eastAsia="zh-CN" w:bidi="ar-SA"/>
        </w:rPr>
        <w:t>工作</w:t>
      </w:r>
      <w:r>
        <w:rPr>
          <w:rFonts w:hint="eastAsia" w:ascii="仿宋_GB2312" w:hAnsi="仿宋_GB2312" w:eastAsia="仿宋_GB2312" w:cs="仿宋_GB2312"/>
          <w:bCs/>
          <w:kern w:val="2"/>
          <w:sz w:val="28"/>
          <w:szCs w:val="28"/>
          <w:lang w:val="en-US" w:eastAsia="zh-CN" w:bidi="ar-SA"/>
        </w:rPr>
        <w:t>，年末无结余。</w:t>
      </w:r>
    </w:p>
    <w:p>
      <w:pPr>
        <w:numPr>
          <w:ilvl w:val="0"/>
          <w:numId w:val="4"/>
        </w:numPr>
        <w:spacing w:line="560" w:lineRule="exact"/>
        <w:ind w:left="-140" w:leftChars="0" w:firstLine="560" w:firstLineChars="0"/>
        <w:rPr>
          <w:rFonts w:hint="eastAsia" w:ascii="仿宋_GB2312" w:hAnsi="仿宋_GB2312" w:eastAsia="仿宋_GB2312" w:cs="仿宋_GB2312"/>
          <w:bCs/>
          <w:kern w:val="2"/>
          <w:sz w:val="28"/>
          <w:szCs w:val="28"/>
          <w:lang w:val="en-US" w:eastAsia="zh-CN" w:bidi="ar-SA"/>
        </w:rPr>
      </w:pPr>
      <w:r>
        <w:rPr>
          <w:rFonts w:hint="eastAsia" w:ascii="仿宋_GB2312" w:hAnsi="仿宋_GB2312" w:eastAsia="仿宋_GB2312" w:cs="仿宋_GB2312"/>
          <w:bCs/>
          <w:kern w:val="2"/>
          <w:sz w:val="28"/>
          <w:szCs w:val="28"/>
          <w:lang w:val="en-US" w:eastAsia="zh-CN" w:bidi="ar-SA"/>
        </w:rPr>
        <w:t>专项资金管理情况分析</w:t>
      </w:r>
    </w:p>
    <w:p>
      <w:pPr>
        <w:pStyle w:val="8"/>
        <w:keepNext w:val="0"/>
        <w:keepLines w:val="0"/>
        <w:widowControl/>
        <w:suppressLineNumbers w:val="0"/>
        <w:pBdr>
          <w:bottom w:val="none" w:color="auto" w:sz="0" w:space="0"/>
        </w:pBdr>
        <w:spacing w:before="0" w:beforeAutospacing="0" w:after="0" w:afterAutospacing="0" w:line="33" w:lineRule="atLeast"/>
        <w:ind w:firstLine="560" w:firstLineChars="200"/>
        <w:jc w:val="both"/>
        <w:rPr>
          <w:rFonts w:hint="default" w:ascii="Times New Roman" w:hAnsi="Times New Roman" w:eastAsia="黑体" w:cs="Times New Roman"/>
          <w:kern w:val="2"/>
          <w:sz w:val="32"/>
          <w:szCs w:val="32"/>
          <w:lang w:val="en-US" w:eastAsia="zh-CN" w:bidi="ar-SA"/>
        </w:rPr>
      </w:pPr>
      <w:r>
        <w:rPr>
          <w:rFonts w:hint="default" w:ascii="仿宋_GB2312" w:hAnsi="仿宋_GB2312" w:eastAsia="仿宋_GB2312" w:cs="仿宋_GB2312"/>
          <w:bCs/>
          <w:kern w:val="2"/>
          <w:sz w:val="28"/>
          <w:szCs w:val="28"/>
          <w:lang w:val="en-US" w:eastAsia="zh-CN" w:bidi="ar-SA"/>
        </w:rPr>
        <w:t>各项资金本着专款专用的原则，严格执行项目资金批准的使用计划和项目批复内容，不擅自调项、扩项、缩项，不拆借、挪用、挤占。资金拨付动向按不同专项资金的要求执行</w:t>
      </w:r>
      <w:r>
        <w:rPr>
          <w:rFonts w:hint="eastAsia" w:ascii="仿宋_GB2312" w:hAnsi="仿宋_GB2312" w:eastAsia="仿宋_GB2312" w:cs="仿宋_GB2312"/>
          <w:bCs/>
          <w:kern w:val="2"/>
          <w:sz w:val="28"/>
          <w:szCs w:val="28"/>
          <w:lang w:val="en-US" w:eastAsia="zh-CN" w:bidi="ar-SA"/>
        </w:rPr>
        <w:t>，</w:t>
      </w:r>
      <w:r>
        <w:rPr>
          <w:rFonts w:hint="default" w:ascii="仿宋_GB2312" w:hAnsi="仿宋_GB2312" w:eastAsia="仿宋_GB2312" w:cs="仿宋_GB2312"/>
          <w:bCs/>
          <w:kern w:val="2"/>
          <w:sz w:val="28"/>
          <w:szCs w:val="28"/>
          <w:lang w:val="en-US" w:eastAsia="zh-CN" w:bidi="ar-SA"/>
        </w:rPr>
        <w:t>同时对每笔专项资金的支付，严格执行财务制度，落实专项资金审核程序。</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四</w:t>
      </w:r>
      <w:r>
        <w:rPr>
          <w:rFonts w:hint="default" w:ascii="Times New Roman" w:hAnsi="Times New Roman" w:eastAsia="黑体" w:cs="Times New Roman"/>
          <w:sz w:val="32"/>
          <w:szCs w:val="32"/>
        </w:rPr>
        <w:t>、部门整体支出绩效情况</w:t>
      </w:r>
    </w:p>
    <w:p>
      <w:pPr>
        <w:pStyle w:val="8"/>
        <w:keepNext w:val="0"/>
        <w:keepLines w:val="0"/>
        <w:widowControl/>
        <w:suppressLineNumbers w:val="0"/>
        <w:pBdr>
          <w:bottom w:val="none" w:color="auto" w:sz="0" w:space="0"/>
        </w:pBdr>
        <w:spacing w:before="0" w:beforeAutospacing="0" w:after="0" w:afterAutospacing="0" w:line="33" w:lineRule="atLeast"/>
        <w:ind w:firstLine="560" w:firstLineChars="200"/>
        <w:jc w:val="both"/>
        <w:rPr>
          <w:rFonts w:hint="eastAsia" w:ascii="仿宋_GB2312" w:hAnsi="仿宋_GB2312" w:eastAsia="仿宋_GB2312" w:cs="仿宋_GB2312"/>
          <w:bCs/>
          <w:kern w:val="2"/>
          <w:sz w:val="28"/>
          <w:szCs w:val="28"/>
          <w:lang w:val="en-US" w:eastAsia="zh-CN" w:bidi="ar-SA"/>
        </w:rPr>
      </w:pPr>
      <w:r>
        <w:rPr>
          <w:rFonts w:hint="eastAsia" w:ascii="仿宋_GB2312" w:hAnsi="仿宋_GB2312" w:eastAsia="仿宋_GB2312" w:cs="仿宋_GB2312"/>
          <w:bCs/>
          <w:kern w:val="2"/>
          <w:sz w:val="28"/>
          <w:szCs w:val="28"/>
          <w:lang w:val="en-US" w:eastAsia="zh-CN" w:bidi="ar-SA"/>
        </w:rPr>
        <w:t>2022年，根据年初工作规划和重点工作，围绕县委、县政府的工作部署，积极履行职责，强化管理，较好地完成了年度工作目标，同时加强预算收支的管理，建立健全内部管理制度，严格内部管理流程，部门整体支出管理得到了提升。2022年度部门整体支出绩效情况如下：</w:t>
      </w:r>
    </w:p>
    <w:p>
      <w:pPr>
        <w:pStyle w:val="8"/>
        <w:keepNext w:val="0"/>
        <w:keepLines w:val="0"/>
        <w:widowControl/>
        <w:suppressLineNumbers w:val="0"/>
        <w:pBdr>
          <w:bottom w:val="none" w:color="auto" w:sz="0" w:space="0"/>
        </w:pBdr>
        <w:spacing w:before="0" w:beforeAutospacing="0" w:after="0" w:afterAutospacing="0" w:line="33" w:lineRule="atLeast"/>
        <w:ind w:firstLine="560" w:firstLineChars="200"/>
        <w:jc w:val="both"/>
        <w:rPr>
          <w:rFonts w:hint="eastAsia" w:ascii="仿宋_GB2312" w:hAnsi="仿宋_GB2312" w:eastAsia="仿宋_GB2312" w:cs="仿宋_GB2312"/>
          <w:bCs/>
          <w:kern w:val="2"/>
          <w:sz w:val="28"/>
          <w:szCs w:val="28"/>
          <w:lang w:val="en-US" w:eastAsia="zh-CN" w:bidi="ar-SA"/>
        </w:rPr>
      </w:pPr>
      <w:r>
        <w:rPr>
          <w:rFonts w:hint="eastAsia" w:ascii="仿宋_GB2312" w:hAnsi="仿宋_GB2312" w:eastAsia="仿宋_GB2312" w:cs="仿宋_GB2312"/>
          <w:bCs/>
          <w:kern w:val="2"/>
          <w:sz w:val="28"/>
          <w:szCs w:val="28"/>
          <w:lang w:val="en-US" w:eastAsia="zh-CN" w:bidi="ar-SA"/>
        </w:rPr>
        <w:t>1. 资金使用效益高。表现在:一是保障了职工工资,津补贴的及时足额发放,没有出现拖欠职工工资、离退休费用等现象；二是保障了单位的正常运转,各项工作开展顺利,林业各项指标得到了增长,林农收入得到了提高；三是财政供养人员控制较好；四是资金使用无虚列支出及随意使用现象,无大额现金支付现象。</w:t>
      </w:r>
    </w:p>
    <w:p>
      <w:pPr>
        <w:pStyle w:val="8"/>
        <w:keepNext w:val="0"/>
        <w:keepLines w:val="0"/>
        <w:widowControl/>
        <w:suppressLineNumbers w:val="0"/>
        <w:pBdr>
          <w:bottom w:val="none" w:color="auto" w:sz="0" w:space="0"/>
        </w:pBdr>
        <w:spacing w:before="0" w:beforeAutospacing="0" w:after="0" w:afterAutospacing="0" w:line="33" w:lineRule="atLeast"/>
        <w:ind w:firstLine="560" w:firstLineChars="200"/>
        <w:jc w:val="both"/>
        <w:rPr>
          <w:rFonts w:hint="eastAsia" w:ascii="仿宋_GB2312" w:hAnsi="仿宋_GB2312" w:eastAsia="仿宋_GB2312" w:cs="仿宋_GB2312"/>
          <w:bCs/>
          <w:kern w:val="2"/>
          <w:sz w:val="28"/>
          <w:szCs w:val="28"/>
          <w:lang w:val="en-US" w:eastAsia="zh-CN" w:bidi="ar-SA"/>
        </w:rPr>
      </w:pPr>
      <w:r>
        <w:rPr>
          <w:rFonts w:hint="eastAsia" w:ascii="仿宋_GB2312" w:hAnsi="仿宋_GB2312" w:eastAsia="仿宋_GB2312" w:cs="仿宋_GB2312"/>
          <w:bCs/>
          <w:kern w:val="2"/>
          <w:sz w:val="28"/>
          <w:szCs w:val="28"/>
          <w:lang w:val="en-US" w:eastAsia="zh-CN" w:bidi="ar-SA"/>
        </w:rPr>
        <w:t>2.预算执行方面，支出总额控制在预算总额以内，其他专项工程建设资金按时拨付资金，较好的完成了当年任务目标，财政拨款支出总体控制较好。</w:t>
      </w:r>
    </w:p>
    <w:p>
      <w:pPr>
        <w:pStyle w:val="8"/>
        <w:keepNext w:val="0"/>
        <w:keepLines w:val="0"/>
        <w:widowControl/>
        <w:suppressLineNumbers w:val="0"/>
        <w:pBdr>
          <w:bottom w:val="none" w:color="auto" w:sz="0" w:space="0"/>
        </w:pBdr>
        <w:spacing w:before="0" w:beforeAutospacing="0" w:after="0" w:afterAutospacing="0" w:line="33" w:lineRule="atLeast"/>
        <w:ind w:firstLine="560" w:firstLineChars="200"/>
        <w:jc w:val="both"/>
        <w:rPr>
          <w:rFonts w:hint="eastAsia" w:ascii="仿宋_GB2312" w:hAnsi="仿宋_GB2312" w:eastAsia="仿宋_GB2312" w:cs="仿宋_GB2312"/>
          <w:bCs/>
          <w:kern w:val="2"/>
          <w:sz w:val="28"/>
          <w:szCs w:val="28"/>
          <w:lang w:val="en-US" w:eastAsia="zh-CN" w:bidi="ar-SA"/>
        </w:rPr>
      </w:pPr>
      <w:r>
        <w:rPr>
          <w:rFonts w:hint="eastAsia" w:ascii="仿宋_GB2312" w:hAnsi="仿宋_GB2312" w:eastAsia="仿宋_GB2312" w:cs="仿宋_GB2312"/>
          <w:bCs/>
          <w:kern w:val="2"/>
          <w:sz w:val="28"/>
          <w:szCs w:val="28"/>
          <w:lang w:val="en-US" w:eastAsia="zh-CN" w:bidi="ar-SA"/>
        </w:rPr>
        <w:t>3.预算管理方面，林业部门制定了切实有效的内部财务、车辆、资产内部管理制度，执行总体较为有效。</w:t>
      </w:r>
    </w:p>
    <w:p>
      <w:pPr>
        <w:pStyle w:val="8"/>
        <w:keepNext w:val="0"/>
        <w:keepLines w:val="0"/>
        <w:widowControl/>
        <w:suppressLineNumbers w:val="0"/>
        <w:pBdr>
          <w:bottom w:val="none" w:color="auto" w:sz="0" w:space="0"/>
        </w:pBdr>
        <w:spacing w:before="0" w:beforeAutospacing="0" w:after="0" w:afterAutospacing="0" w:line="33" w:lineRule="atLeast"/>
        <w:ind w:firstLine="560" w:firstLineChars="200"/>
        <w:jc w:val="both"/>
        <w:rPr>
          <w:rFonts w:hint="eastAsia" w:ascii="黑体" w:hAnsi="黑体" w:eastAsia="黑体" w:cs="黑体"/>
          <w:bCs/>
          <w:sz w:val="28"/>
          <w:szCs w:val="28"/>
        </w:rPr>
      </w:pPr>
      <w:r>
        <w:rPr>
          <w:rFonts w:hint="eastAsia" w:ascii="仿宋_GB2312" w:hAnsi="仿宋_GB2312" w:eastAsia="仿宋_GB2312" w:cs="仿宋_GB2312"/>
          <w:bCs/>
          <w:kern w:val="2"/>
          <w:sz w:val="28"/>
          <w:szCs w:val="28"/>
          <w:lang w:val="en-US" w:eastAsia="zh-CN" w:bidi="ar-SA"/>
        </w:rPr>
        <w:t>按照部门整体支出绩效评价指标体系对照打分得出结果为94分，等级为优秀。</w:t>
      </w:r>
    </w:p>
    <w:p>
      <w:pPr>
        <w:pStyle w:val="15"/>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eastAsia="zh-CN"/>
        </w:rPr>
        <w:t>五</w:t>
      </w:r>
      <w:r>
        <w:rPr>
          <w:rFonts w:hint="default" w:ascii="Times New Roman" w:hAnsi="Times New Roman" w:eastAsia="黑体" w:cs="Times New Roman"/>
          <w:sz w:val="32"/>
          <w:szCs w:val="32"/>
        </w:rPr>
        <w:t>、存在的问题及原因分析</w:t>
      </w:r>
    </w:p>
    <w:p>
      <w:pPr>
        <w:pStyle w:val="8"/>
        <w:keepNext w:val="0"/>
        <w:keepLines w:val="0"/>
        <w:widowControl/>
        <w:suppressLineNumbers w:val="0"/>
        <w:pBdr>
          <w:bottom w:val="none" w:color="auto" w:sz="0" w:space="0"/>
        </w:pBdr>
        <w:spacing w:before="0" w:beforeAutospacing="0" w:after="0" w:afterAutospacing="0" w:line="33" w:lineRule="atLeast"/>
        <w:ind w:firstLine="560" w:firstLineChars="200"/>
        <w:jc w:val="both"/>
        <w:rPr>
          <w:rFonts w:hint="eastAsia" w:ascii="仿宋_GB2312" w:hAnsi="仿宋_GB2312" w:eastAsia="仿宋_GB2312" w:cs="仿宋_GB2312"/>
          <w:bCs/>
          <w:kern w:val="2"/>
          <w:sz w:val="28"/>
          <w:szCs w:val="28"/>
          <w:lang w:val="en-US" w:eastAsia="zh-CN" w:bidi="ar-SA"/>
        </w:rPr>
      </w:pPr>
      <w:r>
        <w:rPr>
          <w:rFonts w:hint="eastAsia" w:ascii="仿宋_GB2312" w:hAnsi="仿宋_GB2312" w:eastAsia="仿宋_GB2312" w:cs="仿宋_GB2312"/>
          <w:bCs/>
          <w:kern w:val="2"/>
          <w:sz w:val="28"/>
          <w:szCs w:val="28"/>
          <w:lang w:val="en-US" w:eastAsia="zh-CN" w:bidi="ar-SA"/>
        </w:rPr>
        <w:t>1、由于上级交办林业调查监测任务的突发性，一些无法预计和列入年初预算的项目支出，需要在年度中间进行预算追加和调整。</w:t>
      </w:r>
    </w:p>
    <w:p>
      <w:pPr>
        <w:pStyle w:val="8"/>
        <w:keepNext w:val="0"/>
        <w:keepLines w:val="0"/>
        <w:widowControl/>
        <w:suppressLineNumbers w:val="0"/>
        <w:pBdr>
          <w:bottom w:val="none" w:color="auto" w:sz="0" w:space="0"/>
        </w:pBdr>
        <w:spacing w:before="0" w:beforeAutospacing="0" w:after="0" w:afterAutospacing="0" w:line="33" w:lineRule="atLeast"/>
        <w:ind w:firstLine="560" w:firstLineChars="200"/>
        <w:jc w:val="both"/>
        <w:rPr>
          <w:rFonts w:hint="eastAsia" w:ascii="黑体" w:hAnsi="黑体" w:eastAsia="黑体" w:cs="黑体"/>
          <w:bCs/>
          <w:sz w:val="28"/>
          <w:szCs w:val="28"/>
        </w:rPr>
      </w:pPr>
      <w:r>
        <w:rPr>
          <w:rFonts w:hint="eastAsia" w:ascii="仿宋_GB2312" w:hAnsi="仿宋_GB2312" w:eastAsia="仿宋_GB2312" w:cs="仿宋_GB2312"/>
          <w:bCs/>
          <w:kern w:val="2"/>
          <w:sz w:val="28"/>
          <w:szCs w:val="28"/>
          <w:lang w:val="en-US" w:eastAsia="zh-CN" w:bidi="ar-SA"/>
        </w:rPr>
        <w:t>2、非税收入执收项目无法事先控制，如部门收费标准和依据临时调整，非税收入预算编制难以准确编制。</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六</w:t>
      </w:r>
      <w:r>
        <w:rPr>
          <w:rFonts w:hint="default" w:ascii="Times New Roman" w:hAnsi="Times New Roman" w:eastAsia="黑体" w:cs="Times New Roman"/>
          <w:sz w:val="32"/>
          <w:szCs w:val="32"/>
        </w:rPr>
        <w:t>、下一步改进措施</w:t>
      </w:r>
    </w:p>
    <w:p>
      <w:pPr>
        <w:pStyle w:val="8"/>
        <w:keepNext w:val="0"/>
        <w:keepLines w:val="0"/>
        <w:widowControl/>
        <w:suppressLineNumbers w:val="0"/>
        <w:pBdr>
          <w:bottom w:val="none" w:color="auto" w:sz="0" w:space="0"/>
        </w:pBdr>
        <w:spacing w:before="0" w:beforeAutospacing="0" w:after="0" w:afterAutospacing="0" w:line="33" w:lineRule="atLeast"/>
        <w:ind w:firstLine="560" w:firstLineChars="200"/>
        <w:jc w:val="both"/>
        <w:rPr>
          <w:rFonts w:hint="eastAsia" w:ascii="仿宋_GB2312" w:hAnsi="仿宋_GB2312" w:eastAsia="仿宋_GB2312" w:cs="仿宋_GB2312"/>
          <w:bCs/>
          <w:kern w:val="2"/>
          <w:sz w:val="28"/>
          <w:szCs w:val="28"/>
          <w:lang w:val="en-US" w:eastAsia="zh-CN" w:bidi="ar-SA"/>
        </w:rPr>
      </w:pPr>
      <w:r>
        <w:rPr>
          <w:rFonts w:hint="eastAsia" w:ascii="仿宋_GB2312" w:hAnsi="仿宋_GB2312" w:eastAsia="仿宋_GB2312" w:cs="仿宋_GB2312"/>
          <w:bCs/>
          <w:kern w:val="2"/>
          <w:sz w:val="28"/>
          <w:szCs w:val="28"/>
          <w:lang w:val="en-US" w:eastAsia="zh-CN" w:bidi="ar-SA"/>
        </w:rPr>
        <w:t>一是按照预算规定的项目和用途严格财务审核，经费支出严格按预算规定项目的财务支出内容进行财务核算，在预算金额内严格控制费用的支出。</w:t>
      </w:r>
    </w:p>
    <w:p>
      <w:pPr>
        <w:pStyle w:val="8"/>
        <w:keepNext w:val="0"/>
        <w:keepLines w:val="0"/>
        <w:widowControl/>
        <w:suppressLineNumbers w:val="0"/>
        <w:pBdr>
          <w:bottom w:val="none" w:color="auto" w:sz="0" w:space="0"/>
        </w:pBdr>
        <w:spacing w:before="0" w:beforeAutospacing="0" w:after="0" w:afterAutospacing="0" w:line="33" w:lineRule="atLeast"/>
        <w:ind w:firstLine="560" w:firstLineChars="200"/>
        <w:jc w:val="both"/>
        <w:rPr>
          <w:rFonts w:hint="eastAsia" w:ascii="仿宋_GB2312" w:hAnsi="仿宋_GB2312" w:eastAsia="仿宋_GB2312" w:cs="仿宋_GB2312"/>
          <w:bCs/>
          <w:kern w:val="2"/>
          <w:sz w:val="28"/>
          <w:szCs w:val="28"/>
          <w:lang w:val="en-US" w:eastAsia="zh-CN" w:bidi="ar-SA"/>
        </w:rPr>
      </w:pPr>
      <w:r>
        <w:rPr>
          <w:rFonts w:hint="eastAsia" w:ascii="仿宋_GB2312" w:hAnsi="仿宋_GB2312" w:eastAsia="仿宋_GB2312" w:cs="仿宋_GB2312"/>
          <w:bCs/>
          <w:kern w:val="2"/>
          <w:sz w:val="28"/>
          <w:szCs w:val="28"/>
          <w:lang w:val="en-US" w:eastAsia="zh-CN" w:bidi="ar-SA"/>
        </w:rPr>
        <w:t>二是严格控制“三公经费”支出，杜绝挪用和挤占其他预算资金；进一步细化“三公经费”管理，压缩“三公经费”支出。</w:t>
      </w:r>
    </w:p>
    <w:p>
      <w:pPr>
        <w:pStyle w:val="8"/>
        <w:keepNext w:val="0"/>
        <w:keepLines w:val="0"/>
        <w:widowControl/>
        <w:suppressLineNumbers w:val="0"/>
        <w:pBdr>
          <w:bottom w:val="none" w:color="auto" w:sz="0" w:space="0"/>
        </w:pBdr>
        <w:spacing w:before="0" w:beforeAutospacing="0" w:after="0" w:afterAutospacing="0" w:line="33" w:lineRule="atLeast"/>
        <w:ind w:firstLine="560" w:firstLineChars="200"/>
        <w:jc w:val="both"/>
        <w:rPr>
          <w:rFonts w:hint="default" w:ascii="仿宋_GB2312" w:hAnsi="仿宋_GB2312" w:eastAsia="仿宋_GB2312" w:cs="仿宋_GB2312"/>
          <w:bCs/>
          <w:kern w:val="2"/>
          <w:sz w:val="28"/>
          <w:szCs w:val="28"/>
          <w:lang w:val="en-US" w:eastAsia="zh-CN" w:bidi="ar-SA"/>
        </w:rPr>
      </w:pPr>
      <w:r>
        <w:rPr>
          <w:rFonts w:hint="eastAsia" w:ascii="仿宋_GB2312" w:hAnsi="仿宋_GB2312" w:eastAsia="仿宋_GB2312" w:cs="仿宋_GB2312"/>
          <w:bCs/>
          <w:kern w:val="2"/>
          <w:sz w:val="28"/>
          <w:szCs w:val="28"/>
          <w:lang w:val="en-US" w:eastAsia="zh-CN" w:bidi="ar-SA"/>
        </w:rPr>
        <w:t>三是加强项目资金的使用管理，充分发挥财政专项资金的使用效益。同时，强化项目资金的监督，主动接受相关职能部门的检查和审计监督，并加强项目建设指导和检查验收。</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kinsoku/>
        <w:wordWrap/>
        <w:overflowPunct/>
        <w:topLinePunct w:val="0"/>
        <w:autoSpaceDE/>
        <w:autoSpaceDN/>
        <w:bidi w:val="0"/>
        <w:adjustRightInd/>
        <w:snapToGrid/>
        <w:spacing w:line="560" w:lineRule="exact"/>
        <w:ind w:firstLine="0" w:firstLineChars="0"/>
        <w:jc w:val="left"/>
        <w:textAlignment w:val="auto"/>
        <w:outlineLvl w:val="0"/>
        <w:rPr>
          <w:rFonts w:hint="eastAsia" w:ascii="仿宋_GB2312" w:eastAsia="仿宋_GB2312"/>
          <w:sz w:val="32"/>
          <w:szCs w:val="32"/>
          <w:lang w:val="en-US" w:eastAsia="zh-CN"/>
        </w:rPr>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4</w:t>
      </w: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项目支出绩效评价</w:t>
      </w:r>
      <w:r>
        <w:rPr>
          <w:rFonts w:hint="eastAsia" w:ascii="方正小标宋简体" w:hAnsi="方正小标宋简体" w:eastAsia="方正小标宋简体" w:cs="方正小标宋简体"/>
          <w:color w:val="000000"/>
          <w:sz w:val="44"/>
          <w:szCs w:val="44"/>
          <w:lang w:eastAsia="zh-CN"/>
        </w:rPr>
        <w:t>评分表</w:t>
      </w:r>
      <w:r>
        <w:rPr>
          <w:rFonts w:hint="eastAsia" w:ascii="方正小标宋简体" w:hAnsi="方正小标宋简体" w:eastAsia="方正小标宋简体" w:cs="方正小标宋简体"/>
          <w:color w:val="000000"/>
          <w:sz w:val="44"/>
          <w:szCs w:val="44"/>
        </w:rPr>
        <w:t>（</w:t>
      </w:r>
      <w:r>
        <w:rPr>
          <w:rFonts w:hint="eastAsia" w:ascii="方正小标宋简体" w:hAnsi="方正小标宋简体" w:eastAsia="方正小标宋简体" w:cs="方正小标宋简体"/>
          <w:color w:val="000000"/>
          <w:sz w:val="44"/>
          <w:szCs w:val="44"/>
          <w:lang w:eastAsia="zh-CN"/>
        </w:rPr>
        <w:t>共性</w:t>
      </w:r>
      <w:r>
        <w:rPr>
          <w:rFonts w:hint="eastAsia" w:ascii="方正小标宋简体" w:hAnsi="方正小标宋简体" w:eastAsia="方正小标宋简体" w:cs="方正小标宋简体"/>
          <w:color w:val="000000"/>
          <w:sz w:val="44"/>
          <w:szCs w:val="44"/>
        </w:rPr>
        <w:t>）</w:t>
      </w:r>
    </w:p>
    <w:tbl>
      <w:tblPr>
        <w:tblStyle w:val="9"/>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一级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二级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三级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rPr>
            </w:pPr>
            <w:r>
              <w:rPr>
                <w:rFonts w:hint="eastAsia" w:ascii="仿宋_GB2312" w:hAnsi="宋体" w:eastAsia="仿宋_GB2312" w:cs="宋体"/>
                <w:b/>
                <w:bCs/>
                <w:kern w:val="0"/>
                <w:sz w:val="18"/>
                <w:szCs w:val="18"/>
              </w:rPr>
              <w:t>自评</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24"/>
              </w:rPr>
            </w:pPr>
            <w:r>
              <w:rPr>
                <w:rFonts w:hint="eastAsia" w:ascii="仿宋_GB2312" w:hAnsi="宋体" w:eastAsia="仿宋_GB2312" w:cs="宋体"/>
                <w:b/>
                <w:bCs/>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20</w:t>
            </w:r>
          </w:p>
        </w:tc>
        <w:tc>
          <w:tcPr>
            <w:tcW w:w="703" w:type="dxa"/>
            <w:tcBorders>
              <w:top w:val="nil"/>
              <w:left w:val="nil"/>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项目目标</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目标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内容</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①设有目标（1分）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②目标明确（1分）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③目标细化（1分）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④目标量化（1分）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依据</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①符合法律法规（1分）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②符合经济社会发展规划（1分）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③部门年度工作计划（1分）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6"/>
                <w:kern w:val="0"/>
                <w:sz w:val="18"/>
                <w:szCs w:val="18"/>
                <w:lang w:eastAsia="zh-CN"/>
              </w:rPr>
            </w:pPr>
            <w:r>
              <w:rPr>
                <w:rFonts w:hint="eastAsia" w:ascii="仿宋_GB2312" w:hAnsi="宋体" w:eastAsia="仿宋_GB2312" w:cs="宋体"/>
                <w:spacing w:val="-6"/>
                <w:kern w:val="0"/>
                <w:sz w:val="18"/>
                <w:szCs w:val="18"/>
              </w:rPr>
              <w:t>④针对某一实际问题和需求（1分）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程序</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①符合申报条件（2分）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②项目申报、批复程序符合管理办法（1分）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办法</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①有相应的资金管理办法（1分）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②办法健全、规范（1分）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③因素全面合理（1分）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结果</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①符合分配办法（2分）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②分配公平合理（3分）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firstLine="2520" w:firstLineChars="1400"/>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r>
              <w:rPr>
                <w:rFonts w:hint="eastAsia" w:ascii="仿宋_GB2312" w:hAnsi="宋体" w:eastAsia="仿宋_GB2312" w:cs="宋体"/>
                <w:kern w:val="0"/>
                <w:sz w:val="18"/>
                <w:szCs w:val="18"/>
                <w:lang w:eastAsia="zh-CN"/>
              </w:rPr>
              <w:t>管理</w:t>
            </w:r>
          </w:p>
        </w:tc>
        <w:tc>
          <w:tcPr>
            <w:tcW w:w="540" w:type="dxa"/>
            <w:vMerge w:val="restart"/>
            <w:tcBorders>
              <w:top w:val="nil"/>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25</w:t>
            </w:r>
          </w:p>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到位率</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实际到位/计划到位*100%</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到位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①到位及时（2分）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10"/>
                <w:kern w:val="0"/>
                <w:sz w:val="18"/>
                <w:szCs w:val="18"/>
                <w:lang w:eastAsia="zh-CN"/>
              </w:rPr>
            </w:pPr>
            <w:r>
              <w:rPr>
                <w:rFonts w:hint="eastAsia" w:ascii="仿宋_GB2312" w:hAnsi="宋体" w:eastAsia="仿宋_GB2312" w:cs="宋体"/>
                <w:spacing w:val="-10"/>
                <w:kern w:val="0"/>
                <w:sz w:val="18"/>
                <w:szCs w:val="18"/>
              </w:rPr>
              <w:t>②不及时但未影响项目进度 （1分）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2</w:t>
            </w: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资金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使用</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7</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 xml:space="preserve">①虚列套取扣4-7分 </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②依据不合规扣2分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③截留、挤占、挪用扣3-6分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④超标准开支扣2-5分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⑤超预算扣2-5分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财务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管理</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①财务制度健全（1分）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②严格执行制度（1分）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③会计核算规范（1分）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组织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支撑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条件</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实施</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①按计划开工（1分）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rPr>
              <w:t>②按计划开展（1分）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管理</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制度</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①管理制度健全（2分）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②制度执行严格（3分）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质量</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成本</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经济</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社会</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生态</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可持续</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影响</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服务</w:t>
            </w:r>
          </w:p>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对象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满意度</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宋体" w:hAnsi="宋体" w:eastAsia="宋体" w:cs="宋体"/>
                <w:kern w:val="0"/>
                <w:sz w:val="24"/>
                <w:lang w:val="en-US" w:eastAsia="zh-CN"/>
              </w:rPr>
            </w:pPr>
            <w:r>
              <w:rPr>
                <w:rFonts w:hint="eastAsia" w:ascii="宋体" w:hAnsi="宋体" w:cs="宋体"/>
                <w:kern w:val="0"/>
                <w:sz w:val="24"/>
                <w:lang w:val="en-US" w:eastAsia="zh-CN"/>
              </w:rPr>
              <w:t>7</w:t>
            </w:r>
          </w:p>
        </w:tc>
      </w:tr>
      <w:tr>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总分</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7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宋体" w:hAnsi="宋体" w:eastAsia="宋体" w:cs="宋体"/>
                <w:b/>
                <w:bCs/>
                <w:kern w:val="0"/>
                <w:sz w:val="24"/>
                <w:lang w:val="en-US" w:eastAsia="zh-CN"/>
              </w:rPr>
            </w:pPr>
            <w:r>
              <w:rPr>
                <w:rFonts w:hint="eastAsia" w:ascii="宋体" w:hAnsi="宋体" w:cs="宋体"/>
                <w:b/>
                <w:bCs/>
                <w:kern w:val="0"/>
                <w:sz w:val="24"/>
                <w:lang w:val="en-US" w:eastAsia="zh-CN"/>
              </w:rPr>
              <w:t>95</w:t>
            </w:r>
          </w:p>
        </w:tc>
      </w:tr>
    </w:tbl>
    <w:p>
      <w:pPr>
        <w:adjustRightInd w:val="0"/>
        <w:snapToGrid w:val="0"/>
        <w:spacing w:before="156" w:beforeLines="50"/>
        <w:ind w:left="840" w:hanging="840" w:hangingChars="400"/>
        <w:contextualSpacing/>
        <w:rPr>
          <w:rFonts w:hint="eastAsia" w:ascii="仿宋_GB2312" w:eastAsia="仿宋_GB2312"/>
        </w:rPr>
      </w:pPr>
      <w:r>
        <w:rPr>
          <w:rFonts w:hint="eastAsia" w:ascii="仿宋_GB2312" w:eastAsia="仿宋_GB2312"/>
        </w:rPr>
        <w:t>备注：</w:t>
      </w:r>
      <w:r>
        <w:rPr>
          <w:rFonts w:hint="eastAsia" w:ascii="仿宋_GB2312" w:eastAsia="仿宋_GB2312"/>
          <w:lang w:val="en-US" w:eastAsia="zh-CN"/>
        </w:rPr>
        <w:t>1、</w:t>
      </w:r>
      <w:r>
        <w:rPr>
          <w:rFonts w:hint="eastAsia" w:ascii="仿宋_GB2312" w:eastAsia="仿宋_GB2312"/>
        </w:rPr>
        <w:t>部门（单位）根据项目实际，在《项目支出绩效评价指标</w:t>
      </w:r>
      <w:r>
        <w:rPr>
          <w:rFonts w:hint="eastAsia" w:ascii="仿宋_GB2312" w:eastAsia="仿宋_GB2312"/>
          <w:lang w:eastAsia="zh-CN"/>
        </w:rPr>
        <w:t>评分表</w:t>
      </w:r>
      <w:r>
        <w:rPr>
          <w:rFonts w:hint="eastAsia" w:ascii="仿宋_GB2312" w:eastAsia="仿宋_GB2312"/>
        </w:rPr>
        <w:t>（</w:t>
      </w:r>
      <w:r>
        <w:rPr>
          <w:rFonts w:hint="eastAsia" w:ascii="仿宋_GB2312" w:eastAsia="仿宋_GB2312"/>
          <w:lang w:eastAsia="zh-CN"/>
        </w:rPr>
        <w:t>共性</w:t>
      </w:r>
      <w:r>
        <w:rPr>
          <w:rFonts w:hint="eastAsia" w:ascii="仿宋_GB2312" w:eastAsia="仿宋_GB2312"/>
        </w:rPr>
        <w:t>）》上进一步完善、量化、细化个性指标，形成本项目的指标体系。</w:t>
      </w:r>
    </w:p>
    <w:p>
      <w:pPr>
        <w:adjustRightInd w:val="0"/>
        <w:snapToGrid w:val="0"/>
        <w:spacing w:before="156" w:beforeLines="50"/>
        <w:ind w:firstLine="630" w:firstLineChars="300"/>
        <w:contextualSpacing/>
        <w:rPr>
          <w:rFonts w:hint="eastAsia" w:eastAsia="仿宋_GB2312"/>
          <w:sz w:val="32"/>
          <w:lang w:eastAsia="zh-CN"/>
        </w:rPr>
      </w:pPr>
      <w:r>
        <w:rPr>
          <w:rFonts w:hint="eastAsia" w:ascii="仿宋_GB2312" w:eastAsia="仿宋_GB2312"/>
          <w:lang w:val="en-US" w:eastAsia="zh-CN"/>
        </w:rPr>
        <w:t>2、</w:t>
      </w:r>
      <w:r>
        <w:rPr>
          <w:rFonts w:hint="eastAsia" w:ascii="仿宋_GB2312" w:eastAsia="仿宋_GB2312"/>
          <w:lang w:eastAsia="zh-CN"/>
        </w:rPr>
        <w:t>一个一级项目一张表。</w:t>
      </w:r>
    </w:p>
    <w:p/>
    <w:p>
      <w:pPr>
        <w:pStyle w:val="2"/>
        <w:rPr>
          <w:rFonts w:hint="eastAsia"/>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spacing w:line="240" w:lineRule="auto"/>
        <w:ind w:firstLine="0" w:firstLineChars="0"/>
        <w:jc w:val="left"/>
        <w:outlineLvl w:val="0"/>
        <w:rPr>
          <w:rFonts w:hint="eastAsia" w:ascii="Times New Roman" w:hAnsi="Times New Roman" w:eastAsia="黑体" w:cs="Times New Roman"/>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9"/>
        <w:tblW w:w="9851" w:type="dxa"/>
        <w:jc w:val="center"/>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其他林业和草原支出（</w:t>
            </w:r>
            <w:r>
              <w:rPr>
                <w:rFonts w:hint="eastAsia" w:eastAsia="仿宋_GB2312" w:cs="Times New Roman"/>
                <w:color w:val="000000"/>
                <w:sz w:val="20"/>
                <w:szCs w:val="20"/>
                <w:lang w:val="en-US" w:eastAsia="zh-CN"/>
              </w:rPr>
              <w:t>2020年度国家储备林项目</w:t>
            </w:r>
            <w:r>
              <w:rPr>
                <w:rFonts w:hint="eastAsia" w:eastAsia="仿宋_GB2312" w:cs="Times New Roman"/>
                <w:color w:val="000000"/>
                <w:sz w:val="20"/>
                <w:szCs w:val="20"/>
                <w:lang w:eastAsia="zh-CN"/>
              </w:rPr>
              <w:t>）</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华容县林业局</w:t>
            </w:r>
          </w:p>
        </w:tc>
        <w:tc>
          <w:tcPr>
            <w:tcW w:w="113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华容县胜峰国有林场</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项目资金</w:t>
            </w:r>
            <w:r>
              <w:rPr>
                <w:rFonts w:hint="default" w:ascii="Times New Roman" w:hAnsi="Times New Roman" w:eastAsia="仿宋_GB2312" w:cs="Times New Roman"/>
                <w:color w:val="000000"/>
                <w:sz w:val="20"/>
                <w:szCs w:val="20"/>
              </w:rPr>
              <w:br w:type="textWrapping"/>
            </w:r>
            <w:r>
              <w:rPr>
                <w:rFonts w:hint="default" w:ascii="Times New Roman" w:hAnsi="Times New Roman" w:eastAsia="仿宋_GB2312" w:cs="Times New Roman"/>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CellMar>
            <w:top w:w="0" w:type="dxa"/>
            <w:left w:w="108" w:type="dxa"/>
            <w:bottom w:w="0" w:type="dxa"/>
            <w:right w:w="108" w:type="dxa"/>
          </w:tblCellMar>
        </w:tblPrEx>
        <w:trPr>
          <w:trHeight w:val="245"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其中：当年财政拨款</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宋体"/>
                <w:sz w:val="15"/>
                <w:szCs w:val="15"/>
                <w:lang w:eastAsia="zh-CN"/>
              </w:rPr>
              <w:t>现有林改培面积（亩）</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224" w:type="dxa"/>
            <w:tcBorders>
              <w:top w:val="nil"/>
              <w:left w:val="nil"/>
              <w:bottom w:val="single" w:color="auto" w:sz="4" w:space="0"/>
              <w:right w:val="single" w:color="auto" w:sz="4" w:space="0"/>
            </w:tcBorders>
            <w:noWrap w:val="0"/>
            <w:vAlign w:val="top"/>
          </w:tcPr>
          <w:p>
            <w:pPr>
              <w:spacing w:line="205" w:lineRule="exact"/>
              <w:rPr>
                <w:rFonts w:hint="default" w:ascii="Arial" w:hAnsi="Times New Roman" w:eastAsia="宋体" w:cs="Times New Roman"/>
                <w:kern w:val="2"/>
                <w:sz w:val="15"/>
                <w:szCs w:val="15"/>
                <w:lang w:val="en-US" w:eastAsia="zh-CN" w:bidi="ar-SA"/>
              </w:rPr>
            </w:pPr>
            <w:r>
              <w:rPr>
                <w:rFonts w:hint="eastAsia" w:eastAsia="宋体"/>
                <w:sz w:val="15"/>
                <w:szCs w:val="15"/>
                <w:lang w:eastAsia="zh-CN"/>
              </w:rPr>
              <w:t>现有林改培面积完成率</w:t>
            </w:r>
          </w:p>
        </w:tc>
        <w:tc>
          <w:tcPr>
            <w:tcW w:w="1134" w:type="dxa"/>
            <w:tcBorders>
              <w:top w:val="nil"/>
              <w:left w:val="nil"/>
              <w:bottom w:val="single" w:color="auto" w:sz="4" w:space="0"/>
              <w:right w:val="single" w:color="auto" w:sz="4" w:space="0"/>
            </w:tcBorders>
            <w:noWrap w:val="0"/>
            <w:vAlign w:val="top"/>
          </w:tcPr>
          <w:p>
            <w:pPr>
              <w:spacing w:line="205" w:lineRule="exact"/>
              <w:rPr>
                <w:rFonts w:hint="default" w:ascii="Arial" w:hAnsi="Times New Roman" w:eastAsia="宋体" w:cs="Times New Roman"/>
                <w:kern w:val="2"/>
                <w:sz w:val="15"/>
                <w:szCs w:val="15"/>
                <w:lang w:val="en-US" w:eastAsia="zh-CN" w:bidi="ar-SA"/>
              </w:rPr>
            </w:pPr>
            <w:r>
              <w:rPr>
                <w:rFonts w:hint="default" w:ascii="Arial" w:hAnsi="Arial" w:cs="Arial"/>
                <w:sz w:val="16"/>
                <w:szCs w:val="16"/>
              </w:rPr>
              <w:t>≥</w:t>
            </w:r>
            <w:r>
              <w:rPr>
                <w:rFonts w:hint="eastAsia" w:ascii="Arial" w:hAnsi="Arial" w:eastAsia="宋体" w:cs="Arial"/>
                <w:sz w:val="16"/>
                <w:szCs w:val="16"/>
                <w:lang w:val="en-US" w:eastAsia="zh-CN"/>
              </w:rPr>
              <w:t>95</w:t>
            </w:r>
            <w:r>
              <w:rPr>
                <w:rFonts w:hint="eastAsia" w:eastAsia="宋体"/>
                <w:sz w:val="16"/>
                <w:szCs w:val="16"/>
                <w:lang w:val="en-US" w:eastAsia="zh-CN"/>
              </w:rPr>
              <w:t>%</w:t>
            </w:r>
          </w:p>
        </w:tc>
        <w:tc>
          <w:tcPr>
            <w:tcW w:w="1134" w:type="dxa"/>
            <w:tcBorders>
              <w:top w:val="nil"/>
              <w:left w:val="nil"/>
              <w:bottom w:val="single" w:color="auto" w:sz="4" w:space="0"/>
              <w:right w:val="single" w:color="auto" w:sz="4" w:space="0"/>
            </w:tcBorders>
            <w:noWrap w:val="0"/>
            <w:vAlign w:val="top"/>
          </w:tcPr>
          <w:p>
            <w:pPr>
              <w:spacing w:line="205" w:lineRule="exact"/>
              <w:rPr>
                <w:rFonts w:hint="default" w:ascii="Arial" w:hAnsi="Times New Roman" w:eastAsia="宋体" w:cs="Times New Roman"/>
                <w:kern w:val="2"/>
                <w:sz w:val="15"/>
                <w:szCs w:val="15"/>
                <w:lang w:val="en-US" w:eastAsia="zh-CN" w:bidi="ar-SA"/>
              </w:rPr>
            </w:pPr>
            <w:r>
              <w:rPr>
                <w:rFonts w:hint="eastAsia" w:eastAsia="宋体"/>
                <w:sz w:val="15"/>
                <w:szCs w:val="15"/>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top"/>
          </w:tcPr>
          <w:p>
            <w:pPr>
              <w:spacing w:line="195" w:lineRule="exact"/>
              <w:rPr>
                <w:rFonts w:hint="default" w:ascii="Arial" w:hAnsi="Times New Roman" w:eastAsia="宋体" w:cs="Times New Roman"/>
                <w:kern w:val="2"/>
                <w:sz w:val="15"/>
                <w:szCs w:val="15"/>
                <w:lang w:val="en-US" w:eastAsia="zh-CN" w:bidi="ar-SA"/>
              </w:rPr>
            </w:pPr>
            <w:r>
              <w:rPr>
                <w:rFonts w:hint="eastAsia" w:eastAsia="宋体"/>
                <w:sz w:val="15"/>
                <w:szCs w:val="15"/>
                <w:lang w:eastAsia="zh-CN"/>
              </w:rPr>
              <w:t>现有林改培质量合格率</w:t>
            </w:r>
          </w:p>
        </w:tc>
        <w:tc>
          <w:tcPr>
            <w:tcW w:w="1134" w:type="dxa"/>
            <w:tcBorders>
              <w:top w:val="nil"/>
              <w:left w:val="nil"/>
              <w:bottom w:val="single" w:color="auto" w:sz="4" w:space="0"/>
              <w:right w:val="single" w:color="auto" w:sz="4" w:space="0"/>
            </w:tcBorders>
            <w:noWrap w:val="0"/>
            <w:vAlign w:val="top"/>
          </w:tcPr>
          <w:p>
            <w:pPr>
              <w:spacing w:line="195" w:lineRule="exact"/>
              <w:rPr>
                <w:rFonts w:hint="default" w:ascii="Arial" w:hAnsi="Times New Roman" w:eastAsia="宋体" w:cs="Times New Roman"/>
                <w:kern w:val="2"/>
                <w:sz w:val="15"/>
                <w:szCs w:val="15"/>
                <w:lang w:val="en-US" w:eastAsia="zh-CN" w:bidi="ar-SA"/>
              </w:rPr>
            </w:pPr>
            <w:r>
              <w:rPr>
                <w:rFonts w:hint="default" w:ascii="Arial" w:hAnsi="Arial" w:cs="Arial"/>
                <w:sz w:val="16"/>
                <w:szCs w:val="16"/>
              </w:rPr>
              <w:t>≥</w:t>
            </w:r>
            <w:r>
              <w:rPr>
                <w:rFonts w:hint="eastAsia" w:ascii="Arial" w:hAnsi="Arial" w:eastAsia="宋体" w:cs="Arial"/>
                <w:sz w:val="16"/>
                <w:szCs w:val="16"/>
                <w:lang w:val="en-US" w:eastAsia="zh-CN"/>
              </w:rPr>
              <w:t>9</w:t>
            </w:r>
            <w:r>
              <w:rPr>
                <w:rFonts w:hint="eastAsia" w:eastAsia="宋体" w:cs="Arial"/>
                <w:sz w:val="16"/>
                <w:szCs w:val="16"/>
                <w:lang w:val="en-US" w:eastAsia="zh-CN"/>
              </w:rPr>
              <w:t>0</w:t>
            </w:r>
            <w:r>
              <w:rPr>
                <w:rFonts w:hint="eastAsia" w:eastAsia="宋体"/>
                <w:sz w:val="16"/>
                <w:szCs w:val="16"/>
                <w:lang w:val="en-US" w:eastAsia="zh-CN"/>
              </w:rPr>
              <w:t>%</w:t>
            </w:r>
          </w:p>
        </w:tc>
        <w:tc>
          <w:tcPr>
            <w:tcW w:w="1134" w:type="dxa"/>
            <w:tcBorders>
              <w:top w:val="nil"/>
              <w:left w:val="nil"/>
              <w:bottom w:val="single" w:color="auto" w:sz="4" w:space="0"/>
              <w:right w:val="single" w:color="auto" w:sz="4" w:space="0"/>
            </w:tcBorders>
            <w:noWrap w:val="0"/>
            <w:vAlign w:val="top"/>
          </w:tcPr>
          <w:p>
            <w:pPr>
              <w:spacing w:line="195" w:lineRule="exact"/>
              <w:rPr>
                <w:rFonts w:hint="default" w:ascii="Arial" w:hAnsi="Times New Roman" w:eastAsia="宋体" w:cs="Times New Roman"/>
                <w:kern w:val="2"/>
                <w:sz w:val="15"/>
                <w:szCs w:val="15"/>
                <w:lang w:val="en-US" w:eastAsia="zh-CN" w:bidi="ar-SA"/>
              </w:rPr>
            </w:pPr>
            <w:r>
              <w:rPr>
                <w:rFonts w:hint="eastAsia" w:ascii="Arial" w:hAnsi="Arial" w:eastAsia="宋体" w:cs="Arial"/>
                <w:sz w:val="16"/>
                <w:szCs w:val="16"/>
                <w:lang w:val="en-US" w:eastAsia="zh-CN"/>
              </w:rPr>
              <w:t>95</w:t>
            </w:r>
            <w:r>
              <w:rPr>
                <w:rFonts w:hint="eastAsia" w:eastAsia="宋体"/>
                <w:sz w:val="16"/>
                <w:szCs w:val="16"/>
                <w:lang w:val="en-US" w:eastAsia="zh-CN"/>
              </w:rPr>
              <w:t>%</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224" w:type="dxa"/>
            <w:tcBorders>
              <w:top w:val="nil"/>
              <w:left w:val="nil"/>
              <w:bottom w:val="single" w:color="auto" w:sz="4" w:space="0"/>
              <w:right w:val="single" w:color="auto" w:sz="4" w:space="0"/>
            </w:tcBorders>
            <w:noWrap w:val="0"/>
            <w:vAlign w:val="top"/>
          </w:tcPr>
          <w:p>
            <w:pPr>
              <w:spacing w:line="205" w:lineRule="exact"/>
              <w:rPr>
                <w:rFonts w:hint="default" w:ascii="Arial" w:hAnsi="Times New Roman" w:eastAsia="宋体" w:cs="Times New Roman"/>
                <w:kern w:val="2"/>
                <w:sz w:val="15"/>
                <w:szCs w:val="15"/>
                <w:lang w:val="en-US" w:eastAsia="zh-CN" w:bidi="ar-SA"/>
              </w:rPr>
            </w:pPr>
            <w:r>
              <w:rPr>
                <w:rFonts w:hint="eastAsia" w:eastAsia="宋体"/>
                <w:sz w:val="16"/>
                <w:szCs w:val="16"/>
                <w:lang w:val="en-US" w:eastAsia="zh-CN"/>
              </w:rPr>
              <w:t>现有林改培当期任务完成率</w:t>
            </w:r>
          </w:p>
        </w:tc>
        <w:tc>
          <w:tcPr>
            <w:tcW w:w="1134" w:type="dxa"/>
            <w:tcBorders>
              <w:top w:val="nil"/>
              <w:left w:val="nil"/>
              <w:bottom w:val="single" w:color="auto" w:sz="4" w:space="0"/>
              <w:right w:val="single" w:color="auto" w:sz="4" w:space="0"/>
            </w:tcBorders>
            <w:noWrap w:val="0"/>
            <w:vAlign w:val="top"/>
          </w:tcPr>
          <w:p>
            <w:pPr>
              <w:spacing w:line="205" w:lineRule="exact"/>
              <w:rPr>
                <w:rFonts w:hint="default" w:ascii="Arial" w:hAnsi="Arial" w:eastAsia="宋体" w:cs="Arial"/>
                <w:snapToGrid w:val="0"/>
                <w:color w:val="000000"/>
                <w:kern w:val="0"/>
                <w:sz w:val="16"/>
                <w:szCs w:val="16"/>
                <w:lang w:val="en-US" w:eastAsia="zh-CN" w:bidi="ar-SA"/>
              </w:rPr>
            </w:pPr>
            <w:r>
              <w:rPr>
                <w:rFonts w:hint="default" w:ascii="Arial" w:hAnsi="Arial" w:cs="Arial"/>
                <w:sz w:val="16"/>
                <w:szCs w:val="16"/>
              </w:rPr>
              <w:t>≥</w:t>
            </w:r>
            <w:r>
              <w:rPr>
                <w:rFonts w:hint="eastAsia" w:ascii="Arial" w:hAnsi="Arial" w:eastAsia="宋体" w:cs="Arial"/>
                <w:sz w:val="16"/>
                <w:szCs w:val="16"/>
                <w:lang w:val="en-US" w:eastAsia="zh-CN"/>
              </w:rPr>
              <w:t>95</w:t>
            </w:r>
            <w:r>
              <w:rPr>
                <w:rFonts w:hint="eastAsia" w:eastAsia="宋体"/>
                <w:sz w:val="16"/>
                <w:szCs w:val="16"/>
                <w:lang w:val="en-US" w:eastAsia="zh-CN"/>
              </w:rPr>
              <w:t>%</w:t>
            </w:r>
          </w:p>
        </w:tc>
        <w:tc>
          <w:tcPr>
            <w:tcW w:w="1134" w:type="dxa"/>
            <w:tcBorders>
              <w:top w:val="nil"/>
              <w:left w:val="nil"/>
              <w:bottom w:val="single" w:color="auto" w:sz="4" w:space="0"/>
              <w:right w:val="single" w:color="auto" w:sz="4" w:space="0"/>
            </w:tcBorders>
            <w:noWrap w:val="0"/>
            <w:vAlign w:val="top"/>
          </w:tcPr>
          <w:p>
            <w:pPr>
              <w:spacing w:line="205" w:lineRule="exact"/>
              <w:rPr>
                <w:rFonts w:hint="default" w:ascii="Arial" w:hAnsi="Arial" w:eastAsia="宋体" w:cs="Arial"/>
                <w:snapToGrid w:val="0"/>
                <w:color w:val="000000"/>
                <w:kern w:val="0"/>
                <w:sz w:val="16"/>
                <w:szCs w:val="16"/>
                <w:lang w:val="en-US" w:eastAsia="zh-CN" w:bidi="ar-SA"/>
              </w:rPr>
            </w:pPr>
            <w:r>
              <w:rPr>
                <w:rFonts w:hint="eastAsia" w:eastAsia="宋体"/>
                <w:sz w:val="16"/>
                <w:szCs w:val="16"/>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224" w:type="dxa"/>
            <w:tcBorders>
              <w:top w:val="nil"/>
              <w:left w:val="nil"/>
              <w:bottom w:val="single" w:color="auto" w:sz="4" w:space="0"/>
              <w:right w:val="single" w:color="auto" w:sz="4" w:space="0"/>
            </w:tcBorders>
            <w:noWrap w:val="0"/>
            <w:vAlign w:val="top"/>
          </w:tcPr>
          <w:p>
            <w:pPr>
              <w:spacing w:line="195" w:lineRule="exact"/>
              <w:rPr>
                <w:rFonts w:hint="default" w:ascii="Arial" w:hAnsi="Times New Roman" w:eastAsia="宋体" w:cs="Times New Roman"/>
                <w:kern w:val="2"/>
                <w:sz w:val="15"/>
                <w:szCs w:val="15"/>
                <w:lang w:val="en-US" w:eastAsia="zh-CN" w:bidi="ar-SA"/>
              </w:rPr>
            </w:pPr>
            <w:r>
              <w:rPr>
                <w:rFonts w:hint="eastAsia" w:eastAsia="宋体"/>
                <w:sz w:val="15"/>
                <w:szCs w:val="15"/>
                <w:lang w:eastAsia="zh-CN"/>
              </w:rPr>
              <w:t>木材战略储备林中央财政补助标准（元</w:t>
            </w:r>
            <w:r>
              <w:rPr>
                <w:rFonts w:hint="eastAsia" w:eastAsia="宋体"/>
                <w:sz w:val="15"/>
                <w:szCs w:val="15"/>
                <w:lang w:val="en-US" w:eastAsia="zh-CN"/>
              </w:rPr>
              <w:t>/亩）</w:t>
            </w:r>
          </w:p>
        </w:tc>
        <w:tc>
          <w:tcPr>
            <w:tcW w:w="1134" w:type="dxa"/>
            <w:tcBorders>
              <w:top w:val="nil"/>
              <w:left w:val="nil"/>
              <w:bottom w:val="single" w:color="auto" w:sz="4" w:space="0"/>
              <w:right w:val="single" w:color="auto" w:sz="4" w:space="0"/>
            </w:tcBorders>
            <w:noWrap w:val="0"/>
            <w:vAlign w:val="top"/>
          </w:tcPr>
          <w:p>
            <w:pPr>
              <w:spacing w:line="195" w:lineRule="exact"/>
              <w:rPr>
                <w:rFonts w:hint="default" w:ascii="Arial" w:hAnsi="Times New Roman" w:eastAsia="宋体" w:cs="Times New Roman"/>
                <w:kern w:val="2"/>
                <w:sz w:val="15"/>
                <w:szCs w:val="15"/>
                <w:lang w:val="en-US" w:eastAsia="zh-CN" w:bidi="ar-SA"/>
              </w:rPr>
            </w:pPr>
            <w:r>
              <w:rPr>
                <w:rFonts w:hint="eastAsia"/>
                <w:sz w:val="15"/>
                <w:szCs w:val="15"/>
                <w:lang w:val="en-US" w:eastAsia="zh-CN"/>
              </w:rPr>
              <w:t>5</w:t>
            </w:r>
            <w:r>
              <w:rPr>
                <w:rFonts w:hint="eastAsia" w:eastAsia="宋体"/>
                <w:sz w:val="15"/>
                <w:szCs w:val="15"/>
                <w:lang w:val="en-US" w:eastAsia="zh-CN"/>
              </w:rPr>
              <w:t>00</w:t>
            </w:r>
          </w:p>
        </w:tc>
        <w:tc>
          <w:tcPr>
            <w:tcW w:w="1134" w:type="dxa"/>
            <w:tcBorders>
              <w:top w:val="nil"/>
              <w:left w:val="nil"/>
              <w:bottom w:val="single" w:color="auto" w:sz="4" w:space="0"/>
              <w:right w:val="single" w:color="auto" w:sz="4" w:space="0"/>
            </w:tcBorders>
            <w:noWrap w:val="0"/>
            <w:vAlign w:val="top"/>
          </w:tcPr>
          <w:p>
            <w:pPr>
              <w:spacing w:line="195" w:lineRule="exact"/>
              <w:rPr>
                <w:rFonts w:hint="default" w:ascii="Arial" w:hAnsi="Times New Roman" w:eastAsia="宋体" w:cs="Times New Roman"/>
                <w:kern w:val="2"/>
                <w:sz w:val="15"/>
                <w:szCs w:val="15"/>
                <w:lang w:val="en-US" w:eastAsia="zh-CN" w:bidi="ar-SA"/>
              </w:rPr>
            </w:pPr>
            <w:r>
              <w:rPr>
                <w:rFonts w:hint="eastAsia"/>
                <w:sz w:val="15"/>
                <w:szCs w:val="15"/>
                <w:lang w:val="en-US" w:eastAsia="zh-CN"/>
              </w:rPr>
              <w:t>5</w:t>
            </w:r>
            <w:r>
              <w:rPr>
                <w:rFonts w:hint="eastAsia" w:eastAsia="宋体"/>
                <w:sz w:val="15"/>
                <w:szCs w:val="15"/>
                <w:lang w:val="en-US" w:eastAsia="zh-CN"/>
              </w:rPr>
              <w:t>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宋体"/>
                <w:sz w:val="15"/>
                <w:szCs w:val="15"/>
                <w:lang w:eastAsia="zh-CN"/>
              </w:rPr>
              <w:t>间伐木材收入（元</w:t>
            </w:r>
            <w:r>
              <w:rPr>
                <w:rFonts w:hint="eastAsia" w:eastAsia="宋体"/>
                <w:sz w:val="15"/>
                <w:szCs w:val="15"/>
                <w:lang w:val="en-US" w:eastAsia="zh-CN"/>
              </w:rPr>
              <w:t>/亩）</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90" w:hRule="atLeast"/>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宋体"/>
                <w:sz w:val="15"/>
                <w:szCs w:val="15"/>
                <w:lang w:eastAsia="zh-CN"/>
              </w:rPr>
              <w:t>现有林改培带动就业人数（人）</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80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80</w:t>
            </w: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宋体"/>
                <w:sz w:val="15"/>
                <w:szCs w:val="15"/>
                <w:lang w:eastAsia="zh-CN"/>
              </w:rPr>
              <w:t>森林资源培育对生态环境改善情况（是否明显）</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宋体"/>
                <w:sz w:val="15"/>
                <w:szCs w:val="15"/>
                <w:lang w:eastAsia="zh-CN"/>
              </w:rPr>
              <w:t>明显</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宋体"/>
                <w:sz w:val="15"/>
                <w:szCs w:val="15"/>
                <w:lang w:eastAsia="zh-CN"/>
              </w:rPr>
              <w:t>明显</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4</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影响指标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宋体"/>
                <w:sz w:val="15"/>
                <w:szCs w:val="15"/>
                <w:lang w:eastAsia="zh-CN"/>
              </w:rPr>
              <w:t>森林资源培育是否维护林区稳定</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line="205" w:lineRule="exact"/>
              <w:rPr>
                <w:rFonts w:hint="default" w:ascii="Arial" w:hAnsi="Times New Roman" w:eastAsia="宋体" w:cs="Times New Roman"/>
                <w:kern w:val="2"/>
                <w:sz w:val="15"/>
                <w:szCs w:val="15"/>
                <w:lang w:val="en-US" w:eastAsia="zh-CN" w:bidi="ar-SA"/>
              </w:rPr>
            </w:pPr>
            <w:r>
              <w:rPr>
                <w:rFonts w:hint="eastAsia" w:eastAsia="宋体"/>
                <w:sz w:val="15"/>
                <w:szCs w:val="15"/>
                <w:lang w:eastAsia="zh-CN"/>
              </w:rPr>
              <w:t>是</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line="205" w:lineRule="exact"/>
              <w:rPr>
                <w:rFonts w:hint="default" w:ascii="Arial" w:hAnsi="Times New Roman" w:eastAsia="宋体" w:cs="Times New Roman"/>
                <w:kern w:val="2"/>
                <w:sz w:val="15"/>
                <w:szCs w:val="15"/>
                <w:lang w:val="en-US" w:eastAsia="zh-CN" w:bidi="ar-SA"/>
              </w:rPr>
            </w:pPr>
            <w:r>
              <w:rPr>
                <w:rFonts w:hint="eastAsia" w:eastAsia="宋体"/>
                <w:sz w:val="15"/>
                <w:szCs w:val="15"/>
                <w:lang w:eastAsia="zh-CN"/>
              </w:rPr>
              <w:t>是</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4</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宋体"/>
                <w:sz w:val="15"/>
                <w:szCs w:val="15"/>
                <w:lang w:eastAsia="zh-CN"/>
              </w:rPr>
              <w:t>改培推进林业可持续发展（是否明显）</w:t>
            </w:r>
          </w:p>
        </w:tc>
        <w:tc>
          <w:tcPr>
            <w:tcW w:w="1134" w:type="dxa"/>
            <w:tcBorders>
              <w:top w:val="single" w:color="auto" w:sz="4" w:space="0"/>
              <w:left w:val="nil"/>
              <w:bottom w:val="single" w:color="auto" w:sz="4" w:space="0"/>
              <w:right w:val="single" w:color="auto" w:sz="4" w:space="0"/>
            </w:tcBorders>
            <w:noWrap w:val="0"/>
            <w:vAlign w:val="top"/>
          </w:tcPr>
          <w:p>
            <w:pPr>
              <w:spacing w:line="205" w:lineRule="exact"/>
              <w:rPr>
                <w:rFonts w:hint="default" w:ascii="Arial" w:hAnsi="Arial" w:eastAsia="宋体" w:cs="Arial"/>
                <w:snapToGrid w:val="0"/>
                <w:color w:val="000000"/>
                <w:kern w:val="0"/>
                <w:sz w:val="15"/>
                <w:szCs w:val="15"/>
                <w:lang w:val="en-US" w:eastAsia="zh-CN" w:bidi="ar-SA"/>
              </w:rPr>
            </w:pPr>
            <w:r>
              <w:rPr>
                <w:rFonts w:hint="eastAsia" w:eastAsia="宋体"/>
                <w:sz w:val="15"/>
                <w:szCs w:val="15"/>
                <w:lang w:eastAsia="zh-CN"/>
              </w:rPr>
              <w:t>明显</w:t>
            </w:r>
          </w:p>
        </w:tc>
        <w:tc>
          <w:tcPr>
            <w:tcW w:w="1134" w:type="dxa"/>
            <w:tcBorders>
              <w:top w:val="single" w:color="auto" w:sz="4" w:space="0"/>
              <w:left w:val="nil"/>
              <w:bottom w:val="single" w:color="auto" w:sz="4" w:space="0"/>
              <w:right w:val="single" w:color="auto" w:sz="4" w:space="0"/>
            </w:tcBorders>
            <w:noWrap w:val="0"/>
            <w:vAlign w:val="top"/>
          </w:tcPr>
          <w:p>
            <w:pPr>
              <w:spacing w:line="205" w:lineRule="exact"/>
              <w:rPr>
                <w:rFonts w:hint="default" w:ascii="Arial" w:hAnsi="Arial" w:eastAsia="宋体" w:cs="Arial"/>
                <w:snapToGrid w:val="0"/>
                <w:color w:val="000000"/>
                <w:kern w:val="0"/>
                <w:sz w:val="15"/>
                <w:szCs w:val="15"/>
                <w:lang w:val="en-US" w:eastAsia="zh-CN" w:bidi="ar-SA"/>
              </w:rPr>
            </w:pPr>
            <w:r>
              <w:rPr>
                <w:rFonts w:hint="eastAsia" w:eastAsia="宋体"/>
                <w:sz w:val="15"/>
                <w:szCs w:val="15"/>
                <w:lang w:eastAsia="zh-CN"/>
              </w:rPr>
              <w:t>明显</w:t>
            </w:r>
          </w:p>
        </w:tc>
        <w:tc>
          <w:tcPr>
            <w:tcW w:w="82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4</w:t>
            </w:r>
          </w:p>
        </w:tc>
        <w:tc>
          <w:tcPr>
            <w:tcW w:w="14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宋体"/>
                <w:sz w:val="15"/>
                <w:szCs w:val="15"/>
                <w:lang w:eastAsia="zh-CN"/>
              </w:rPr>
              <w:t>改培构建稳定森林生态系统（是否明显）</w:t>
            </w:r>
          </w:p>
        </w:tc>
        <w:tc>
          <w:tcPr>
            <w:tcW w:w="1134" w:type="dxa"/>
            <w:tcBorders>
              <w:top w:val="nil"/>
              <w:left w:val="nil"/>
              <w:bottom w:val="single" w:color="auto" w:sz="4" w:space="0"/>
              <w:right w:val="single" w:color="auto" w:sz="4" w:space="0"/>
            </w:tcBorders>
            <w:noWrap w:val="0"/>
            <w:vAlign w:val="top"/>
          </w:tcPr>
          <w:p>
            <w:pPr>
              <w:spacing w:line="205" w:lineRule="exact"/>
              <w:rPr>
                <w:rFonts w:hint="default" w:ascii="Arial" w:hAnsi="Arial" w:eastAsia="宋体" w:cs="Arial"/>
                <w:snapToGrid w:val="0"/>
                <w:color w:val="000000"/>
                <w:kern w:val="0"/>
                <w:sz w:val="15"/>
                <w:szCs w:val="15"/>
                <w:lang w:val="en-US" w:eastAsia="zh-CN" w:bidi="ar-SA"/>
              </w:rPr>
            </w:pPr>
            <w:r>
              <w:rPr>
                <w:rFonts w:hint="eastAsia" w:eastAsia="宋体"/>
                <w:sz w:val="15"/>
                <w:szCs w:val="15"/>
                <w:lang w:eastAsia="zh-CN"/>
              </w:rPr>
              <w:t>明显</w:t>
            </w:r>
          </w:p>
        </w:tc>
        <w:tc>
          <w:tcPr>
            <w:tcW w:w="1134" w:type="dxa"/>
            <w:tcBorders>
              <w:top w:val="nil"/>
              <w:left w:val="nil"/>
              <w:bottom w:val="single" w:color="auto" w:sz="4" w:space="0"/>
              <w:right w:val="single" w:color="auto" w:sz="4" w:space="0"/>
            </w:tcBorders>
            <w:noWrap w:val="0"/>
            <w:vAlign w:val="top"/>
          </w:tcPr>
          <w:p>
            <w:pPr>
              <w:spacing w:line="205" w:lineRule="exact"/>
              <w:rPr>
                <w:rFonts w:hint="default" w:ascii="Arial" w:hAnsi="Arial" w:eastAsia="宋体" w:cs="Arial"/>
                <w:snapToGrid w:val="0"/>
                <w:color w:val="000000"/>
                <w:kern w:val="0"/>
                <w:sz w:val="15"/>
                <w:szCs w:val="15"/>
                <w:lang w:val="en-US" w:eastAsia="zh-CN" w:bidi="ar-SA"/>
              </w:rPr>
            </w:pPr>
            <w:r>
              <w:rPr>
                <w:rFonts w:hint="eastAsia" w:eastAsia="宋体"/>
                <w:sz w:val="15"/>
                <w:szCs w:val="15"/>
                <w:lang w:eastAsia="zh-CN"/>
              </w:rPr>
              <w:t>明显</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4</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宋体"/>
                <w:sz w:val="16"/>
                <w:szCs w:val="16"/>
                <w:lang w:eastAsia="zh-CN"/>
              </w:rPr>
              <w:t>受益群众满意度</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default" w:ascii="Arial" w:hAnsi="Arial" w:cs="Arial"/>
                <w:sz w:val="16"/>
                <w:szCs w:val="16"/>
              </w:rPr>
              <w:t>≥</w:t>
            </w:r>
            <w:r>
              <w:rPr>
                <w:rFonts w:hint="eastAsia" w:eastAsia="宋体"/>
                <w:sz w:val="16"/>
                <w:szCs w:val="16"/>
                <w:lang w:val="en-US" w:eastAsia="zh-CN"/>
              </w:rPr>
              <w:t>80%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宋体"/>
                <w:sz w:val="16"/>
                <w:szCs w:val="16"/>
                <w:lang w:val="en-US" w:eastAsia="zh-CN"/>
              </w:rPr>
              <w:t>95%</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8</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94</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rPr>
          <w:rFonts w:hint="eastAsia" w:ascii="新宋体" w:hAnsi="新宋体" w:eastAsia="新宋体" w:cs="新宋体"/>
          <w:sz w:val="21"/>
          <w:szCs w:val="21"/>
          <w:lang w:eastAsia="zh-CN"/>
        </w:rPr>
      </w:pPr>
      <w:r>
        <w:rPr>
          <w:rFonts w:hint="eastAsia" w:ascii="新宋体" w:hAnsi="新宋体" w:eastAsia="新宋体" w:cs="新宋体"/>
          <w:sz w:val="21"/>
          <w:szCs w:val="21"/>
        </w:rPr>
        <w:t>备注：一个一级项目支出一张表。</w:t>
      </w:r>
      <w:r>
        <w:rPr>
          <w:rFonts w:hint="eastAsia" w:ascii="新宋体" w:hAnsi="新宋体" w:eastAsia="新宋体" w:cs="新宋体"/>
          <w:sz w:val="21"/>
          <w:szCs w:val="21"/>
          <w:lang w:eastAsia="zh-CN"/>
        </w:rPr>
        <w:t>如，</w:t>
      </w:r>
      <w:r>
        <w:rPr>
          <w:rFonts w:hint="eastAsia" w:ascii="新宋体" w:hAnsi="新宋体" w:eastAsia="新宋体" w:cs="新宋体"/>
          <w:sz w:val="21"/>
          <w:szCs w:val="21"/>
        </w:rPr>
        <w:t>业务工作经费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运行维护经费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lang w:val="en-US" w:eastAsia="zh-CN"/>
        </w:rPr>
        <w:t>XX项目</w:t>
      </w:r>
      <w:r>
        <w:rPr>
          <w:rFonts w:hint="eastAsia" w:ascii="新宋体" w:hAnsi="新宋体" w:eastAsia="新宋体" w:cs="新宋体"/>
          <w:sz w:val="21"/>
          <w:szCs w:val="21"/>
          <w:lang w:eastAsia="zh-CN"/>
        </w:rPr>
        <w:t>资金…各一张表。</w:t>
      </w:r>
    </w:p>
    <w:p>
      <w:pPr>
        <w:pStyle w:val="2"/>
        <w:rPr>
          <w:rFonts w:hint="eastAsia"/>
        </w:rPr>
      </w:pPr>
    </w:p>
    <w:p>
      <w:pPr>
        <w:rPr>
          <w:rFonts w:hint="eastAsia"/>
        </w:rPr>
      </w:pPr>
    </w:p>
    <w:p>
      <w:pPr>
        <w:jc w:val="left"/>
        <w:rPr>
          <w:rFonts w:hint="eastAsia" w:ascii="新宋体" w:hAnsi="新宋体" w:eastAsia="新宋体" w:cs="新宋体"/>
          <w:sz w:val="21"/>
          <w:szCs w:val="21"/>
        </w:rPr>
      </w:pPr>
      <w:r>
        <w:rPr>
          <w:rFonts w:hint="eastAsia" w:ascii="新宋体" w:hAnsi="新宋体" w:eastAsia="新宋体" w:cs="新宋体"/>
          <w:sz w:val="21"/>
          <w:szCs w:val="21"/>
        </w:rPr>
        <w:t xml:space="preserve">填表人： </w:t>
      </w:r>
      <w:r>
        <w:rPr>
          <w:rFonts w:hint="eastAsia" w:ascii="新宋体" w:hAnsi="新宋体" w:eastAsia="新宋体" w:cs="新宋体"/>
          <w:sz w:val="21"/>
          <w:szCs w:val="21"/>
          <w:lang w:val="en-US" w:eastAsia="zh-CN"/>
        </w:rPr>
        <w:t>李红</w:t>
      </w:r>
      <w:r>
        <w:rPr>
          <w:rFonts w:hint="eastAsia" w:ascii="新宋体" w:hAnsi="新宋体" w:eastAsia="新宋体" w:cs="新宋体"/>
          <w:sz w:val="21"/>
          <w:szCs w:val="21"/>
        </w:rPr>
        <w:t xml:space="preserve">  填报日期： </w:t>
      </w:r>
      <w:r>
        <w:rPr>
          <w:rFonts w:hint="eastAsia" w:ascii="新宋体" w:hAnsi="新宋体" w:eastAsia="新宋体" w:cs="新宋体"/>
          <w:sz w:val="21"/>
          <w:szCs w:val="21"/>
          <w:lang w:val="en-US" w:eastAsia="zh-CN"/>
        </w:rPr>
        <w:t>2023.7.13</w:t>
      </w:r>
      <w:r>
        <w:rPr>
          <w:rFonts w:hint="eastAsia" w:ascii="新宋体" w:hAnsi="新宋体" w:eastAsia="新宋体" w:cs="新宋体"/>
          <w:sz w:val="21"/>
          <w:szCs w:val="21"/>
        </w:rPr>
        <w:t xml:space="preserve">   联系电话：</w:t>
      </w:r>
      <w:r>
        <w:rPr>
          <w:rFonts w:hint="eastAsia" w:ascii="新宋体" w:hAnsi="新宋体" w:eastAsia="新宋体" w:cs="新宋体"/>
          <w:sz w:val="21"/>
          <w:szCs w:val="21"/>
          <w:lang w:val="en-US" w:eastAsia="zh-CN"/>
        </w:rPr>
        <w:t>18873000175</w:t>
      </w:r>
      <w:r>
        <w:rPr>
          <w:rFonts w:hint="eastAsia" w:ascii="新宋体" w:hAnsi="新宋体" w:eastAsia="新宋体" w:cs="新宋体"/>
          <w:sz w:val="21"/>
          <w:szCs w:val="21"/>
        </w:rPr>
        <w:t xml:space="preserve">   单位负责人签字：</w:t>
      </w:r>
    </w:p>
    <w:p>
      <w:pPr>
        <w:spacing w:line="240" w:lineRule="auto"/>
        <w:ind w:firstLine="0" w:firstLineChars="0"/>
        <w:jc w:val="left"/>
        <w:outlineLvl w:val="0"/>
        <w:rPr>
          <w:rFonts w:hint="eastAsia" w:ascii="新宋体" w:hAnsi="新宋体" w:eastAsia="新宋体" w:cs="新宋体"/>
          <w:sz w:val="21"/>
          <w:szCs w:val="21"/>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6</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华容县胜峰国有</w:t>
      </w:r>
      <w:r>
        <w:rPr>
          <w:rFonts w:hint="eastAsia" w:ascii="方正小标宋简体" w:hAnsi="方正小标宋简体" w:eastAsia="方正小标宋简体" w:cs="方正小标宋简体"/>
          <w:sz w:val="44"/>
          <w:szCs w:val="44"/>
          <w:lang w:val="en-US" w:eastAsia="zh-CN"/>
        </w:rPr>
        <w:t>2020年度国家储备林</w:t>
      </w: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rPr>
        <w:t>支出绩效自评报告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eastAsia" w:ascii="Times New Roman" w:hAnsi="Times New Roman" w:eastAsia="仿宋_GB2312" w:cs="Times New Roman"/>
          <w:sz w:val="32"/>
          <w:szCs w:val="32"/>
          <w:u w:val="single"/>
          <w:lang w:eastAsia="zh-CN"/>
        </w:rPr>
      </w:pPr>
      <w:r>
        <w:rPr>
          <w:rFonts w:hint="eastAsia" w:eastAsia="仿宋_GB2312" w:cs="Times New Roman"/>
          <w:sz w:val="32"/>
          <w:szCs w:val="32"/>
          <w:lang w:eastAsia="zh-CN"/>
        </w:rPr>
        <w:t>单位</w:t>
      </w:r>
      <w:r>
        <w:rPr>
          <w:rFonts w:hint="default" w:ascii="Times New Roman" w:hAnsi="Times New Roman" w:eastAsia="仿宋_GB2312" w:cs="Times New Roman"/>
          <w:sz w:val="32"/>
          <w:szCs w:val="32"/>
        </w:rPr>
        <w:t>名称：</w:t>
      </w:r>
      <w:r>
        <w:rPr>
          <w:rFonts w:hint="eastAsia" w:eastAsia="仿宋_GB2312" w:cs="Times New Roman"/>
          <w:sz w:val="32"/>
          <w:szCs w:val="32"/>
          <w:u w:val="single"/>
          <w:lang w:eastAsia="zh-CN"/>
        </w:rPr>
        <w:t>湖南省华容县胜峰国有林场</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年</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月</w:t>
      </w:r>
      <w:r>
        <w:rPr>
          <w:rFonts w:hint="eastAsia" w:eastAsia="楷体_GB2312" w:cs="Times New Roman"/>
          <w:sz w:val="32"/>
          <w:szCs w:val="32"/>
          <w:lang w:val="en-US" w:eastAsia="zh-CN"/>
        </w:rPr>
        <w:t>13</w:t>
      </w:r>
      <w:r>
        <w:rPr>
          <w:rFonts w:hint="default" w:ascii="Times New Roman" w:hAnsi="Times New Roman" w:eastAsia="楷体_GB2312" w:cs="Times New Roman"/>
          <w:sz w:val="32"/>
          <w:szCs w:val="32"/>
        </w:rPr>
        <w:t>日</w:t>
      </w:r>
    </w:p>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华容县胜峰国有林场</w:t>
      </w:r>
      <w:r>
        <w:rPr>
          <w:rFonts w:hint="eastAsia" w:ascii="方正小标宋简体" w:hAnsi="方正小标宋简体" w:eastAsia="方正小标宋简体" w:cs="方正小标宋简体"/>
          <w:sz w:val="44"/>
          <w:szCs w:val="44"/>
          <w:lang w:val="en-US" w:eastAsia="zh-CN"/>
        </w:rPr>
        <w:t>2020年度国家储备林</w:t>
      </w: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rPr>
        <w:t>支出绩效自评报告</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一、基本情况</w:t>
      </w:r>
    </w:p>
    <w:p>
      <w:pPr>
        <w:autoSpaceDE w:val="0"/>
        <w:autoSpaceDN w:val="0"/>
        <w:adjustRightInd w:val="0"/>
        <w:spacing w:line="360" w:lineRule="auto"/>
        <w:ind w:firstLine="560" w:firstLineChars="200"/>
        <w:rPr>
          <w:rFonts w:hint="eastAsia" w:ascii="仿宋_GB2312" w:hAnsi="宋体" w:eastAsia="仿宋_GB2312"/>
          <w:color w:val="000000"/>
          <w:sz w:val="28"/>
          <w:szCs w:val="28"/>
          <w:lang w:eastAsia="zh-CN"/>
        </w:rPr>
      </w:pPr>
      <w:r>
        <w:rPr>
          <w:rFonts w:hint="eastAsia" w:ascii="仿宋_GB2312" w:hAnsi="宋体" w:eastAsia="仿宋_GB2312"/>
          <w:color w:val="000000"/>
          <w:sz w:val="28"/>
          <w:szCs w:val="28"/>
        </w:rPr>
        <w:t>(一)项目概况。实施现有林改培1000亩，形成</w:t>
      </w:r>
      <w:r>
        <w:rPr>
          <w:rFonts w:hint="eastAsia" w:ascii="仿宋_GB2312" w:hAnsi="宋体" w:eastAsia="仿宋_GB2312"/>
          <w:color w:val="000000"/>
          <w:sz w:val="28"/>
          <w:szCs w:val="28"/>
          <w:lang w:eastAsia="zh-CN"/>
        </w:rPr>
        <w:t>酸枣（檫木）</w:t>
      </w:r>
      <w:r>
        <w:rPr>
          <w:rFonts w:hint="eastAsia" w:ascii="仿宋_GB2312" w:hAnsi="宋体" w:eastAsia="仿宋_GB2312"/>
          <w:color w:val="000000"/>
          <w:sz w:val="28"/>
          <w:szCs w:val="28"/>
        </w:rPr>
        <w:t>+红豆杉+楠木+栎树等异龄复层混交结构。对改培项目林分采取割灌除草、修枝、抚育间伐和施肥等综合技术措施，促进林木及早成林、成材。1000亩储备林分布于2个工区</w:t>
      </w:r>
      <w:r>
        <w:rPr>
          <w:rFonts w:hint="eastAsia" w:ascii="仿宋_GB2312" w:hAnsi="宋体" w:eastAsia="仿宋_GB2312"/>
          <w:color w:val="000000"/>
          <w:sz w:val="28"/>
          <w:szCs w:val="28"/>
          <w:lang w:val="en-US" w:eastAsia="zh-CN"/>
        </w:rPr>
        <w:t>4</w:t>
      </w:r>
      <w:r>
        <w:rPr>
          <w:rFonts w:hint="eastAsia" w:ascii="仿宋_GB2312" w:hAnsi="宋体" w:eastAsia="仿宋_GB2312"/>
          <w:color w:val="000000"/>
          <w:sz w:val="28"/>
          <w:szCs w:val="28"/>
        </w:rPr>
        <w:t>个小班。总投资</w:t>
      </w:r>
      <w:r>
        <w:rPr>
          <w:rFonts w:hint="eastAsia" w:ascii="仿宋_GB2312" w:hAnsi="宋体" w:eastAsia="仿宋_GB2312"/>
          <w:color w:val="000000"/>
          <w:sz w:val="28"/>
          <w:szCs w:val="28"/>
          <w:lang w:val="en-US" w:eastAsia="zh-CN" w:bidi="ar"/>
        </w:rPr>
        <w:t>223.02</w:t>
      </w:r>
      <w:r>
        <w:rPr>
          <w:rFonts w:hint="eastAsia" w:ascii="仿宋_GB2312" w:hAnsi="宋体" w:eastAsia="仿宋_GB2312"/>
          <w:color w:val="000000"/>
          <w:sz w:val="28"/>
          <w:szCs w:val="28"/>
        </w:rPr>
        <w:t>万元，其中中央财政投资 50 万元，地方配套自筹资金 1</w:t>
      </w:r>
      <w:r>
        <w:rPr>
          <w:rFonts w:hint="eastAsia" w:ascii="仿宋_GB2312" w:hAnsi="宋体" w:eastAsia="仿宋_GB2312"/>
          <w:color w:val="000000"/>
          <w:sz w:val="28"/>
          <w:szCs w:val="28"/>
          <w:lang w:val="en-US" w:eastAsia="zh-CN"/>
        </w:rPr>
        <w:t>73.02</w:t>
      </w:r>
      <w:r>
        <w:rPr>
          <w:rFonts w:hint="eastAsia" w:ascii="仿宋_GB2312" w:hAnsi="宋体" w:eastAsia="仿宋_GB2312"/>
          <w:color w:val="000000"/>
          <w:sz w:val="28"/>
          <w:szCs w:val="28"/>
        </w:rPr>
        <w:t>万元。</w:t>
      </w:r>
    </w:p>
    <w:p>
      <w:pPr>
        <w:tabs>
          <w:tab w:val="left" w:pos="4170"/>
        </w:tabs>
        <w:spacing w:line="360" w:lineRule="auto"/>
        <w:ind w:firstLine="600" w:firstLineChars="200"/>
        <w:jc w:val="left"/>
        <w:rPr>
          <w:rFonts w:hint="eastAsia" w:eastAsia="仿宋_GB2312"/>
          <w:sz w:val="30"/>
          <w:szCs w:val="30"/>
        </w:rPr>
      </w:pPr>
      <w:r>
        <w:rPr>
          <w:rFonts w:hint="eastAsia" w:eastAsia="仿宋_GB2312"/>
          <w:sz w:val="30"/>
          <w:szCs w:val="30"/>
        </w:rPr>
        <w:t>(二)项目绩效目标。</w:t>
      </w:r>
    </w:p>
    <w:p>
      <w:pPr>
        <w:spacing w:line="360" w:lineRule="auto"/>
        <w:ind w:firstLine="548" w:firstLineChars="196"/>
        <w:rPr>
          <w:rFonts w:hint="eastAsia" w:ascii="仿宋_GB2312" w:hAnsi="宋体" w:eastAsia="仿宋_GB2312"/>
          <w:color w:val="000000"/>
          <w:sz w:val="28"/>
          <w:szCs w:val="28"/>
          <w:lang w:eastAsia="zh-CN"/>
        </w:rPr>
      </w:pPr>
      <w:r>
        <w:rPr>
          <w:rFonts w:hint="eastAsia" w:ascii="仿宋_GB2312" w:hAnsi="宋体" w:eastAsia="仿宋_GB2312"/>
          <w:color w:val="000000"/>
          <w:sz w:val="28"/>
          <w:szCs w:val="28"/>
          <w:lang w:eastAsia="zh-CN"/>
        </w:rPr>
        <w:t>总体目标是在胜峰国有林场建设</w:t>
      </w:r>
      <w:r>
        <w:rPr>
          <w:rFonts w:hint="eastAsia" w:ascii="仿宋_GB2312" w:hAnsi="宋体" w:eastAsia="仿宋_GB2312"/>
          <w:color w:val="000000"/>
          <w:sz w:val="28"/>
          <w:szCs w:val="28"/>
          <w:lang w:val="en-US" w:eastAsia="zh-CN"/>
        </w:rPr>
        <w:t>3000亩的国家战略储备林场，</w:t>
      </w:r>
      <w:r>
        <w:rPr>
          <w:rFonts w:hint="eastAsia" w:ascii="仿宋_GB2312" w:hAnsi="宋体" w:eastAsia="仿宋_GB2312"/>
          <w:color w:val="000000"/>
          <w:sz w:val="28"/>
          <w:szCs w:val="28"/>
        </w:rPr>
        <w:t>通过采取择伐、间伐、补植、割灌、扩穴、施肥、修枝、应用优质苗木或容器苗局部整地栽植等技术措施，调整林分组成，提高林地土壤肥力，改善林地、林木生长条件，调整树种结构，提高林地、林分质</w:t>
      </w:r>
      <w:r>
        <w:rPr>
          <w:rFonts w:hint="eastAsia" w:ascii="仿宋_GB2312" w:hAnsi="宋体" w:eastAsia="仿宋_GB2312"/>
          <w:color w:val="000000"/>
          <w:sz w:val="28"/>
          <w:szCs w:val="28"/>
          <w:lang w:eastAsia="zh-CN"/>
        </w:rPr>
        <w:t>量和生长量，培育优质、高效的珍稀树种用材和大径材，实现国家储备林基地的立木培育目标和蓄积储备功能。</w:t>
      </w:r>
    </w:p>
    <w:p>
      <w:pPr>
        <w:spacing w:line="360" w:lineRule="auto"/>
        <w:ind w:firstLine="548" w:firstLineChars="196"/>
        <w:rPr>
          <w:rFonts w:hint="default" w:ascii="仿宋_GB2312" w:hAnsi="宋体" w:eastAsia="仿宋_GB2312"/>
          <w:color w:val="000000"/>
          <w:sz w:val="28"/>
          <w:szCs w:val="28"/>
          <w:lang w:val="en-US" w:eastAsia="zh-CN"/>
        </w:rPr>
      </w:pPr>
      <w:r>
        <w:rPr>
          <w:rFonts w:hint="eastAsia" w:ascii="仿宋_GB2312" w:hAnsi="宋体" w:eastAsia="仿宋_GB2312"/>
          <w:color w:val="000000"/>
          <w:sz w:val="28"/>
          <w:szCs w:val="28"/>
          <w:lang w:val="en-US" w:eastAsia="zh-CN"/>
        </w:rPr>
        <w:t>阶段性目标是2020年度建设1000亩国家战略储备林，形成酸枣（檫木）+红豆杉+楠木+栎树等异龄复层混交结构。</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二、绩效评价工作开展情况</w:t>
      </w:r>
    </w:p>
    <w:p>
      <w:pPr>
        <w:spacing w:line="360" w:lineRule="auto"/>
        <w:ind w:firstLine="560" w:firstLineChars="200"/>
        <w:rPr>
          <w:rFonts w:hint="eastAsia" w:ascii="仿宋_GB2312" w:hAnsi="宋体" w:eastAsia="仿宋_GB2312"/>
          <w:b w:val="0"/>
          <w:bCs w:val="0"/>
          <w:color w:val="000000"/>
          <w:sz w:val="28"/>
          <w:szCs w:val="28"/>
        </w:rPr>
      </w:pPr>
      <w:r>
        <w:rPr>
          <w:rFonts w:hint="eastAsia" w:ascii="仿宋_GB2312" w:hAnsi="宋体" w:eastAsia="仿宋_GB2312"/>
          <w:b w:val="0"/>
          <w:bCs w:val="0"/>
          <w:color w:val="000000"/>
          <w:sz w:val="28"/>
          <w:szCs w:val="28"/>
        </w:rPr>
        <w:t>(一)绩效评价目的、对象和范围。</w:t>
      </w:r>
    </w:p>
    <w:p>
      <w:pPr>
        <w:spacing w:line="360" w:lineRule="auto"/>
        <w:ind w:firstLine="560" w:firstLineChars="200"/>
        <w:rPr>
          <w:rFonts w:hint="default" w:ascii="仿宋_GB2312" w:hAnsi="宋体" w:eastAsia="仿宋_GB2312"/>
          <w:b w:val="0"/>
          <w:bCs w:val="0"/>
          <w:color w:val="000000"/>
          <w:sz w:val="28"/>
          <w:szCs w:val="28"/>
          <w:lang w:val="en-US" w:eastAsia="zh-CN"/>
        </w:rPr>
      </w:pPr>
      <w:r>
        <w:rPr>
          <w:rFonts w:hint="eastAsia" w:ascii="仿宋_GB2312" w:hAnsi="宋体" w:eastAsia="仿宋_GB2312"/>
          <w:b w:val="0"/>
          <w:bCs w:val="0"/>
          <w:color w:val="000000"/>
          <w:sz w:val="28"/>
          <w:szCs w:val="28"/>
          <w:lang w:eastAsia="zh-CN"/>
        </w:rPr>
        <w:t>绩效评价得目的是通过项目的实施评估，提高资金使用效率，达到预期的经济、生态、社会效益。对象是胜峰国有林场</w:t>
      </w:r>
      <w:r>
        <w:rPr>
          <w:rFonts w:hint="eastAsia" w:ascii="仿宋_GB2312" w:hAnsi="宋体" w:eastAsia="仿宋_GB2312"/>
          <w:b w:val="0"/>
          <w:bCs w:val="0"/>
          <w:color w:val="000000"/>
          <w:sz w:val="28"/>
          <w:szCs w:val="28"/>
          <w:lang w:val="en-US" w:eastAsia="zh-CN"/>
        </w:rPr>
        <w:t>2020年度国家储备林实施项目，对项目的决策、实施、管理、效益等方面进行评价</w:t>
      </w:r>
    </w:p>
    <w:p>
      <w:pPr>
        <w:numPr>
          <w:ilvl w:val="0"/>
          <w:numId w:val="5"/>
        </w:numPr>
        <w:spacing w:line="360" w:lineRule="auto"/>
        <w:ind w:firstLine="560" w:firstLineChars="200"/>
        <w:rPr>
          <w:rFonts w:hint="eastAsia" w:ascii="仿宋_GB2312" w:hAnsi="宋体" w:eastAsia="仿宋_GB2312"/>
          <w:b w:val="0"/>
          <w:bCs w:val="0"/>
          <w:color w:val="000000"/>
          <w:sz w:val="28"/>
          <w:szCs w:val="28"/>
        </w:rPr>
      </w:pPr>
      <w:r>
        <w:rPr>
          <w:rFonts w:hint="eastAsia" w:ascii="仿宋_GB2312" w:hAnsi="宋体" w:eastAsia="仿宋_GB2312"/>
          <w:b w:val="0"/>
          <w:bCs w:val="0"/>
          <w:color w:val="000000"/>
          <w:sz w:val="28"/>
          <w:szCs w:val="28"/>
        </w:rPr>
        <w:t>绩效评价原则、评价指标体系(附表说明)、评价方法、 评价标准等。</w:t>
      </w:r>
    </w:p>
    <w:p>
      <w:pPr>
        <w:numPr>
          <w:ilvl w:val="0"/>
          <w:numId w:val="0"/>
        </w:numPr>
        <w:spacing w:line="360" w:lineRule="auto"/>
        <w:ind w:firstLine="560" w:firstLineChars="200"/>
        <w:rPr>
          <w:rFonts w:hint="eastAsia" w:ascii="仿宋_GB2312" w:hAnsi="宋体" w:eastAsia="仿宋_GB2312"/>
          <w:b w:val="0"/>
          <w:bCs w:val="0"/>
          <w:color w:val="000000"/>
          <w:sz w:val="28"/>
          <w:szCs w:val="28"/>
        </w:rPr>
      </w:pPr>
      <w:r>
        <w:rPr>
          <w:rFonts w:hint="eastAsia" w:ascii="仿宋_GB2312" w:hAnsi="宋体" w:eastAsia="仿宋_GB2312"/>
          <w:b w:val="0"/>
          <w:bCs w:val="0"/>
          <w:color w:val="000000"/>
          <w:sz w:val="28"/>
          <w:szCs w:val="28"/>
        </w:rPr>
        <w:t>绩效评价主要遵循绩效目标与部门预算相统一、定量分析与定性分析综合运用和绩效评价与财政监督相结合的原则，对</w:t>
      </w:r>
      <w:r>
        <w:rPr>
          <w:rFonts w:hint="eastAsia" w:ascii="仿宋_GB2312" w:hAnsi="宋体" w:eastAsia="仿宋_GB2312"/>
          <w:b w:val="0"/>
          <w:bCs w:val="0"/>
          <w:color w:val="000000"/>
          <w:sz w:val="28"/>
          <w:szCs w:val="28"/>
          <w:lang w:eastAsia="zh-CN"/>
        </w:rPr>
        <w:t>胜峰国有林场</w:t>
      </w:r>
      <w:r>
        <w:rPr>
          <w:rFonts w:hint="eastAsia" w:ascii="仿宋_GB2312" w:hAnsi="宋体" w:eastAsia="仿宋_GB2312"/>
          <w:b w:val="0"/>
          <w:bCs w:val="0"/>
          <w:color w:val="000000"/>
          <w:sz w:val="28"/>
          <w:szCs w:val="28"/>
        </w:rPr>
        <w:t>国家储备林基地项目绩效情况进行客观分析和评价。</w:t>
      </w:r>
    </w:p>
    <w:p>
      <w:pPr>
        <w:spacing w:line="360" w:lineRule="auto"/>
        <w:ind w:firstLine="560" w:firstLineChars="200"/>
        <w:rPr>
          <w:rFonts w:hint="eastAsia" w:ascii="仿宋_GB2312" w:hAnsi="宋体" w:eastAsia="仿宋_GB2312"/>
          <w:b w:val="0"/>
          <w:bCs w:val="0"/>
          <w:color w:val="000000"/>
          <w:sz w:val="28"/>
          <w:szCs w:val="28"/>
        </w:rPr>
      </w:pPr>
      <w:r>
        <w:rPr>
          <w:rFonts w:hint="eastAsia" w:ascii="仿宋_GB2312" w:hAnsi="宋体" w:eastAsia="仿宋_GB2312"/>
          <w:b w:val="0"/>
          <w:bCs w:val="0"/>
          <w:color w:val="000000"/>
          <w:sz w:val="28"/>
          <w:szCs w:val="28"/>
          <w:lang w:eastAsia="zh-CN"/>
        </w:rPr>
        <w:t>产出指标、效益指标和满意度指标</w:t>
      </w:r>
      <w:r>
        <w:rPr>
          <w:rFonts w:hint="eastAsia" w:ascii="仿宋_GB2312" w:hAnsi="宋体" w:eastAsia="仿宋_GB2312"/>
          <w:b w:val="0"/>
          <w:bCs w:val="0"/>
          <w:color w:val="000000"/>
          <w:sz w:val="28"/>
          <w:szCs w:val="28"/>
        </w:rPr>
        <w:t>等</w:t>
      </w:r>
      <w:r>
        <w:rPr>
          <w:rFonts w:hint="eastAsia" w:ascii="仿宋_GB2312" w:hAnsi="宋体" w:eastAsia="仿宋_GB2312"/>
          <w:b w:val="0"/>
          <w:bCs w:val="0"/>
          <w:color w:val="000000"/>
          <w:sz w:val="28"/>
          <w:szCs w:val="28"/>
          <w:lang w:eastAsia="zh-CN"/>
        </w:rPr>
        <w:t>三</w:t>
      </w:r>
      <w:r>
        <w:rPr>
          <w:rFonts w:hint="eastAsia" w:ascii="仿宋_GB2312" w:hAnsi="宋体" w:eastAsia="仿宋_GB2312"/>
          <w:b w:val="0"/>
          <w:bCs w:val="0"/>
          <w:color w:val="000000"/>
          <w:sz w:val="28"/>
          <w:szCs w:val="28"/>
        </w:rPr>
        <w:t>个方面的评价指标体系。满分100分。</w:t>
      </w:r>
    </w:p>
    <w:p>
      <w:pPr>
        <w:numPr>
          <w:ilvl w:val="0"/>
          <w:numId w:val="5"/>
        </w:numPr>
        <w:spacing w:line="360" w:lineRule="auto"/>
        <w:ind w:left="0" w:leftChars="0" w:firstLine="560" w:firstLineChars="200"/>
        <w:rPr>
          <w:rFonts w:hint="eastAsia" w:ascii="仿宋_GB2312" w:hAnsi="宋体" w:eastAsia="仿宋_GB2312"/>
          <w:b w:val="0"/>
          <w:bCs w:val="0"/>
          <w:color w:val="000000"/>
          <w:sz w:val="28"/>
          <w:szCs w:val="28"/>
        </w:rPr>
      </w:pPr>
      <w:r>
        <w:rPr>
          <w:rFonts w:hint="eastAsia" w:ascii="仿宋_GB2312" w:hAnsi="宋体" w:eastAsia="仿宋_GB2312"/>
          <w:b w:val="0"/>
          <w:bCs w:val="0"/>
          <w:color w:val="000000"/>
          <w:sz w:val="28"/>
          <w:szCs w:val="28"/>
        </w:rPr>
        <w:t>绩效评价工作过程。</w:t>
      </w:r>
    </w:p>
    <w:p>
      <w:pPr>
        <w:numPr>
          <w:ilvl w:val="0"/>
          <w:numId w:val="0"/>
        </w:numPr>
        <w:spacing w:line="360" w:lineRule="auto"/>
        <w:ind w:leftChars="200"/>
        <w:rPr>
          <w:rFonts w:hint="eastAsia" w:ascii="仿宋_GB2312" w:hAnsi="宋体" w:eastAsia="仿宋_GB2312"/>
          <w:b w:val="0"/>
          <w:bCs w:val="0"/>
          <w:color w:val="000000"/>
          <w:sz w:val="28"/>
          <w:szCs w:val="28"/>
          <w:lang w:val="en-US" w:eastAsia="zh-CN"/>
        </w:rPr>
      </w:pPr>
      <w:r>
        <w:rPr>
          <w:rFonts w:hint="eastAsia" w:ascii="仿宋_GB2312" w:hAnsi="宋体" w:eastAsia="仿宋_GB2312"/>
          <w:b w:val="0"/>
          <w:bCs w:val="0"/>
          <w:color w:val="000000"/>
          <w:sz w:val="28"/>
          <w:szCs w:val="28"/>
          <w:lang w:val="en-US" w:eastAsia="zh-CN"/>
        </w:rPr>
        <w:t xml:space="preserve"> 1.前期准备工作，在开展现场评价工作前，安排确定现场工作时间，了解绩效目标设定、预算执行和自评情况，夯实各项基础工作。</w:t>
      </w:r>
    </w:p>
    <w:p>
      <w:pPr>
        <w:spacing w:line="360" w:lineRule="auto"/>
        <w:ind w:firstLine="560" w:firstLineChars="200"/>
        <w:rPr>
          <w:rFonts w:hint="eastAsia" w:ascii="仿宋_GB2312" w:hAnsi="宋体" w:eastAsia="仿宋_GB2312"/>
          <w:b w:val="0"/>
          <w:bCs w:val="0"/>
          <w:color w:val="000000"/>
          <w:sz w:val="28"/>
          <w:szCs w:val="28"/>
          <w:lang w:val="en-US" w:eastAsia="zh-CN"/>
        </w:rPr>
      </w:pPr>
      <w:r>
        <w:rPr>
          <w:rFonts w:hint="eastAsia" w:ascii="仿宋_GB2312" w:hAnsi="宋体" w:eastAsia="仿宋_GB2312"/>
          <w:b w:val="0"/>
          <w:bCs w:val="0"/>
          <w:color w:val="000000"/>
          <w:sz w:val="28"/>
          <w:szCs w:val="28"/>
          <w:lang w:val="en-US" w:eastAsia="zh-CN"/>
        </w:rPr>
        <w:t>2.收集基础资料，收集所需基础信息资料，包括项目基本概况、绩效评价自评表、专项资金文件和拨付指标文件、前期审批手续和项目方案等文件资料。</w:t>
      </w:r>
    </w:p>
    <w:p>
      <w:pPr>
        <w:spacing w:line="360" w:lineRule="auto"/>
        <w:ind w:firstLine="560" w:firstLineChars="200"/>
        <w:rPr>
          <w:rFonts w:hint="eastAsia" w:ascii="仿宋_GB2312" w:hAnsi="宋体" w:eastAsia="仿宋_GB2312"/>
          <w:b w:val="0"/>
          <w:bCs w:val="0"/>
          <w:color w:val="000000"/>
          <w:sz w:val="28"/>
          <w:szCs w:val="28"/>
          <w:lang w:val="en-US" w:eastAsia="zh-CN"/>
        </w:rPr>
      </w:pPr>
      <w:r>
        <w:rPr>
          <w:rFonts w:hint="eastAsia" w:ascii="仿宋_GB2312" w:hAnsi="宋体" w:eastAsia="仿宋_GB2312"/>
          <w:b w:val="0"/>
          <w:bCs w:val="0"/>
          <w:color w:val="000000"/>
          <w:sz w:val="28"/>
          <w:szCs w:val="28"/>
          <w:lang w:val="en-US" w:eastAsia="zh-CN"/>
        </w:rPr>
        <w:t>3.开展现场评价，通过检查提供的项资料和财务资料对绩效目标完成情况进行评价。对项目绩效管理有关情况和基础材料进行核实并形成评价结论。</w:t>
      </w:r>
    </w:p>
    <w:p>
      <w:pPr>
        <w:spacing w:line="360" w:lineRule="auto"/>
        <w:ind w:firstLine="560" w:firstLineChars="200"/>
        <w:rPr>
          <w:rFonts w:hint="default" w:ascii="仿宋_GB2312" w:hAnsi="宋体" w:eastAsia="仿宋_GB2312"/>
          <w:b w:val="0"/>
          <w:bCs w:val="0"/>
          <w:color w:val="000000"/>
          <w:sz w:val="28"/>
          <w:szCs w:val="28"/>
          <w:lang w:val="en-US" w:eastAsia="zh-CN"/>
        </w:rPr>
      </w:pPr>
      <w:r>
        <w:rPr>
          <w:rFonts w:hint="eastAsia" w:ascii="仿宋_GB2312" w:hAnsi="宋体" w:eastAsia="仿宋_GB2312"/>
          <w:b w:val="0"/>
          <w:bCs w:val="0"/>
          <w:color w:val="000000"/>
          <w:sz w:val="28"/>
          <w:szCs w:val="28"/>
          <w:lang w:val="en-US" w:eastAsia="zh-CN"/>
        </w:rPr>
        <w:t>4.撰写报告，按照规定的评价指标、评价标准和评价方法，对项目绩效情况进行定量、定性分析和综合评价，依据绩效目标完成情况，对项目进行评价打分，提出项目实施过程中存在的问题与建议，总结归纳形成初步评价结论并撰写报告。</w:t>
      </w:r>
    </w:p>
    <w:p>
      <w:pPr>
        <w:spacing w:line="360" w:lineRule="auto"/>
        <w:ind w:firstLine="560" w:firstLineChars="200"/>
        <w:rPr>
          <w:rFonts w:hint="eastAsia" w:ascii="仿宋_GB2312" w:hAnsi="宋体" w:eastAsia="仿宋_GB2312"/>
          <w:b w:val="0"/>
          <w:bCs w:val="0"/>
          <w:color w:val="000000"/>
          <w:sz w:val="28"/>
          <w:szCs w:val="28"/>
        </w:rPr>
      </w:pPr>
      <w:r>
        <w:rPr>
          <w:rFonts w:hint="eastAsia" w:ascii="仿宋_GB2312" w:hAnsi="宋体" w:eastAsia="仿宋_GB2312"/>
          <w:b w:val="0"/>
          <w:bCs w:val="0"/>
          <w:color w:val="000000"/>
          <w:sz w:val="28"/>
          <w:szCs w:val="28"/>
          <w:lang w:eastAsia="zh-CN"/>
        </w:rPr>
        <w:t>三、</w:t>
      </w:r>
      <w:r>
        <w:rPr>
          <w:rFonts w:hint="eastAsia" w:ascii="仿宋_GB2312" w:hAnsi="宋体" w:eastAsia="仿宋_GB2312"/>
          <w:b w:val="0"/>
          <w:bCs w:val="0"/>
          <w:color w:val="000000"/>
          <w:sz w:val="28"/>
          <w:szCs w:val="28"/>
        </w:rPr>
        <w:t>综合评价情况及评价结论</w:t>
      </w:r>
    </w:p>
    <w:p>
      <w:pPr>
        <w:spacing w:line="360" w:lineRule="auto"/>
        <w:ind w:firstLine="560" w:firstLineChars="200"/>
        <w:rPr>
          <w:rFonts w:hint="eastAsia" w:ascii="仿宋_GB2312" w:hAnsi="宋体" w:eastAsia="仿宋_GB2312"/>
          <w:b w:val="0"/>
          <w:bCs w:val="0"/>
          <w:color w:val="000000"/>
          <w:sz w:val="28"/>
          <w:szCs w:val="28"/>
          <w:lang w:val="en-US" w:eastAsia="zh-CN"/>
        </w:rPr>
      </w:pPr>
      <w:r>
        <w:rPr>
          <w:rFonts w:hint="eastAsia" w:ascii="仿宋_GB2312" w:hAnsi="宋体" w:eastAsia="仿宋_GB2312"/>
          <w:b w:val="0"/>
          <w:bCs w:val="0"/>
          <w:color w:val="000000"/>
          <w:sz w:val="28"/>
          <w:szCs w:val="28"/>
          <w:lang w:val="en-US" w:eastAsia="zh-CN"/>
        </w:rPr>
        <w:t xml:space="preserve">通过综合评价，华容县胜峰国有林场国家战略储备林建设项目的评价分值为 94 分。 </w:t>
      </w:r>
    </w:p>
    <w:p>
      <w:pPr>
        <w:spacing w:line="360" w:lineRule="auto"/>
        <w:ind w:firstLine="560" w:firstLineChars="200"/>
        <w:rPr>
          <w:rFonts w:hint="eastAsia" w:ascii="仿宋_GB2312" w:hAnsi="宋体" w:eastAsia="仿宋_GB2312"/>
          <w:b w:val="0"/>
          <w:bCs w:val="0"/>
          <w:color w:val="000000"/>
          <w:sz w:val="28"/>
          <w:szCs w:val="28"/>
        </w:rPr>
      </w:pPr>
      <w:r>
        <w:rPr>
          <w:rFonts w:hint="eastAsia" w:ascii="仿宋_GB2312" w:hAnsi="宋体" w:eastAsia="仿宋_GB2312"/>
          <w:b w:val="0"/>
          <w:bCs w:val="0"/>
          <w:color w:val="000000"/>
          <w:sz w:val="28"/>
          <w:szCs w:val="28"/>
        </w:rPr>
        <w:t>四、绩效评价指标分析</w:t>
      </w:r>
    </w:p>
    <w:p>
      <w:pPr>
        <w:spacing w:line="360" w:lineRule="auto"/>
        <w:ind w:firstLine="560" w:firstLineChars="200"/>
        <w:rPr>
          <w:rFonts w:hint="eastAsia" w:ascii="仿宋_GB2312" w:hAnsi="宋体" w:eastAsia="仿宋_GB2312"/>
          <w:color w:val="000000"/>
          <w:sz w:val="28"/>
          <w:szCs w:val="28"/>
        </w:rPr>
      </w:pPr>
      <w:r>
        <w:rPr>
          <w:rFonts w:hint="eastAsia" w:ascii="仿宋_GB2312" w:hAnsi="宋体" w:eastAsia="仿宋_GB2312"/>
          <w:b w:val="0"/>
          <w:bCs w:val="0"/>
          <w:color w:val="000000"/>
          <w:sz w:val="28"/>
          <w:szCs w:val="28"/>
        </w:rPr>
        <w:t>(一)项目决策情况。根据湖南省林业</w:t>
      </w:r>
      <w:r>
        <w:rPr>
          <w:rFonts w:hint="eastAsia" w:ascii="仿宋_GB2312" w:hAnsi="宋体" w:eastAsia="仿宋_GB2312"/>
          <w:b w:val="0"/>
          <w:bCs w:val="0"/>
          <w:color w:val="000000"/>
          <w:sz w:val="28"/>
          <w:szCs w:val="28"/>
          <w:lang w:eastAsia="zh-CN"/>
        </w:rPr>
        <w:t>局</w:t>
      </w:r>
      <w:r>
        <w:rPr>
          <w:rFonts w:hint="eastAsia" w:ascii="仿宋_GB2312" w:hAnsi="宋体" w:eastAsia="仿宋_GB2312"/>
          <w:b w:val="0"/>
          <w:bCs w:val="0"/>
          <w:color w:val="000000"/>
          <w:sz w:val="28"/>
          <w:szCs w:val="28"/>
        </w:rPr>
        <w:t>湘林</w:t>
      </w:r>
      <w:r>
        <w:rPr>
          <w:rFonts w:hint="eastAsia" w:ascii="仿宋_GB2312" w:hAnsi="宋体" w:eastAsia="仿宋_GB2312"/>
          <w:b w:val="0"/>
          <w:bCs w:val="0"/>
          <w:color w:val="000000"/>
          <w:sz w:val="28"/>
          <w:szCs w:val="28"/>
          <w:lang w:eastAsia="zh-CN"/>
        </w:rPr>
        <w:t>规</w:t>
      </w:r>
      <w:r>
        <w:rPr>
          <w:rFonts w:hint="eastAsia" w:ascii="仿宋_GB2312" w:hAnsi="宋体" w:eastAsia="仿宋_GB2312"/>
          <w:b w:val="0"/>
          <w:bCs w:val="0"/>
          <w:color w:val="000000"/>
          <w:sz w:val="28"/>
          <w:szCs w:val="28"/>
        </w:rPr>
        <w:t>［20</w:t>
      </w:r>
      <w:r>
        <w:rPr>
          <w:rFonts w:hint="eastAsia" w:ascii="仿宋_GB2312" w:hAnsi="宋体" w:eastAsia="仿宋_GB2312"/>
          <w:b w:val="0"/>
          <w:bCs w:val="0"/>
          <w:color w:val="000000"/>
          <w:sz w:val="28"/>
          <w:szCs w:val="28"/>
          <w:lang w:val="en-US" w:eastAsia="zh-CN"/>
        </w:rPr>
        <w:t>20</w:t>
      </w:r>
      <w:r>
        <w:rPr>
          <w:rFonts w:hint="eastAsia" w:ascii="仿宋_GB2312" w:hAnsi="宋体" w:eastAsia="仿宋_GB2312"/>
          <w:b w:val="0"/>
          <w:bCs w:val="0"/>
          <w:color w:val="000000"/>
          <w:sz w:val="28"/>
          <w:szCs w:val="28"/>
        </w:rPr>
        <w:t>］</w:t>
      </w:r>
      <w:r>
        <w:rPr>
          <w:rFonts w:hint="eastAsia" w:ascii="仿宋_GB2312" w:hAnsi="宋体" w:eastAsia="仿宋_GB2312"/>
          <w:b w:val="0"/>
          <w:bCs w:val="0"/>
          <w:color w:val="000000"/>
          <w:sz w:val="28"/>
          <w:szCs w:val="28"/>
          <w:lang w:val="en-US" w:eastAsia="zh-CN"/>
        </w:rPr>
        <w:t>34</w:t>
      </w:r>
      <w:r>
        <w:rPr>
          <w:rFonts w:hint="eastAsia" w:ascii="仿宋_GB2312" w:hAnsi="宋体" w:eastAsia="仿宋_GB2312"/>
          <w:b w:val="0"/>
          <w:bCs w:val="0"/>
          <w:color w:val="000000"/>
          <w:sz w:val="28"/>
          <w:szCs w:val="28"/>
        </w:rPr>
        <w:t>号文件精神，下达华容县胜峰国有林场国家木材战略储备基地项目1000亩，为确保项目顺利实施，根据《湖南省国家木储备</w:t>
      </w:r>
      <w:r>
        <w:rPr>
          <w:rFonts w:hint="eastAsia" w:ascii="仿宋_GB2312" w:hAnsi="宋体" w:eastAsia="仿宋_GB2312"/>
          <w:b w:val="0"/>
          <w:bCs w:val="0"/>
          <w:color w:val="000000"/>
          <w:sz w:val="28"/>
          <w:szCs w:val="28"/>
          <w:lang w:eastAsia="zh-CN"/>
        </w:rPr>
        <w:t>林建设规划</w:t>
      </w:r>
      <w:r>
        <w:rPr>
          <w:rFonts w:hint="eastAsia" w:ascii="仿宋_GB2312" w:hAnsi="宋体" w:eastAsia="仿宋_GB2312"/>
          <w:color w:val="000000"/>
          <w:sz w:val="28"/>
          <w:szCs w:val="28"/>
          <w:lang w:eastAsia="zh-CN"/>
        </w:rPr>
        <w:t>（</w:t>
      </w:r>
      <w:r>
        <w:rPr>
          <w:rFonts w:hint="eastAsia" w:ascii="仿宋_GB2312" w:hAnsi="宋体" w:eastAsia="仿宋_GB2312"/>
          <w:color w:val="000000"/>
          <w:sz w:val="28"/>
          <w:szCs w:val="28"/>
          <w:lang w:val="en-US" w:eastAsia="zh-CN"/>
        </w:rPr>
        <w:t>2018-2035</w:t>
      </w:r>
      <w:r>
        <w:rPr>
          <w:rFonts w:hint="eastAsia" w:ascii="仿宋_GB2312" w:hAnsi="宋体" w:eastAsia="仿宋_GB2312"/>
          <w:color w:val="000000"/>
          <w:sz w:val="28"/>
          <w:szCs w:val="28"/>
          <w:lang w:eastAsia="zh-CN"/>
        </w:rPr>
        <w:t>）</w:t>
      </w:r>
      <w:r>
        <w:rPr>
          <w:rFonts w:hint="eastAsia" w:ascii="仿宋_GB2312" w:hAnsi="宋体" w:eastAsia="仿宋_GB2312"/>
          <w:color w:val="000000"/>
          <w:sz w:val="28"/>
          <w:szCs w:val="28"/>
        </w:rPr>
        <w:t>》等文件要求，我场在省、市、县林业主管部门的指导下，结合本场实际，</w:t>
      </w:r>
      <w:r>
        <w:rPr>
          <w:rFonts w:hint="eastAsia" w:ascii="仿宋_GB2312" w:hAnsi="宋体" w:eastAsia="仿宋_GB2312"/>
          <w:color w:val="000000"/>
          <w:sz w:val="28"/>
          <w:szCs w:val="28"/>
          <w:lang w:eastAsia="zh-CN"/>
        </w:rPr>
        <w:t>计划开展项目实施</w:t>
      </w:r>
      <w:r>
        <w:rPr>
          <w:rFonts w:hint="eastAsia" w:ascii="仿宋_GB2312" w:hAnsi="宋体" w:eastAsia="仿宋_GB2312"/>
          <w:color w:val="000000"/>
          <w:sz w:val="28"/>
          <w:szCs w:val="28"/>
        </w:rPr>
        <w:t>。</w:t>
      </w:r>
    </w:p>
    <w:p>
      <w:pPr>
        <w:autoSpaceDE w:val="0"/>
        <w:autoSpaceDN w:val="0"/>
        <w:adjustRightInd w:val="0"/>
        <w:spacing w:line="360" w:lineRule="auto"/>
        <w:ind w:firstLine="600" w:firstLineChars="200"/>
        <w:rPr>
          <w:rFonts w:hint="eastAsia" w:eastAsia="仿宋_GB2312"/>
          <w:sz w:val="30"/>
          <w:szCs w:val="30"/>
        </w:rPr>
      </w:pPr>
      <w:r>
        <w:rPr>
          <w:rFonts w:hint="eastAsia" w:eastAsia="仿宋_GB2312"/>
          <w:sz w:val="30"/>
          <w:szCs w:val="30"/>
        </w:rPr>
        <w:t>(二)项目过程情况。</w:t>
      </w:r>
    </w:p>
    <w:p>
      <w:pPr>
        <w:autoSpaceDE w:val="0"/>
        <w:autoSpaceDN w:val="0"/>
        <w:adjustRightInd w:val="0"/>
        <w:spacing w:line="360" w:lineRule="auto"/>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1、割灌除草。除去影响林木生长的杂草，砍除杂灌和非目的树种，保障林木合理的光、水、肥、气、热供给。</w:t>
      </w:r>
    </w:p>
    <w:p>
      <w:pPr>
        <w:autoSpaceDE w:val="0"/>
        <w:autoSpaceDN w:val="0"/>
        <w:adjustRightInd w:val="0"/>
        <w:spacing w:line="360" w:lineRule="auto"/>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2、合理间伐。对现有林分进行间伐，每亩保留50株左右，再在林下均匀栽植珍稀树种70株左右，10年后分批合理间伐上层林木，最终</w:t>
      </w:r>
      <w:r>
        <w:rPr>
          <w:rFonts w:hint="eastAsia" w:ascii="仿宋_GB2312" w:eastAsia="仿宋_GB2312"/>
          <w:color w:val="000000"/>
          <w:sz w:val="28"/>
          <w:szCs w:val="28"/>
        </w:rPr>
        <w:t>每亩保留70株</w:t>
      </w:r>
      <w:r>
        <w:rPr>
          <w:rFonts w:hint="eastAsia" w:ascii="仿宋_GB2312" w:hAnsi="宋体" w:eastAsia="仿宋_GB2312"/>
          <w:color w:val="000000"/>
          <w:sz w:val="28"/>
          <w:szCs w:val="28"/>
        </w:rPr>
        <w:t>左右</w:t>
      </w:r>
      <w:r>
        <w:rPr>
          <w:rFonts w:hint="eastAsia" w:ascii="仿宋_GB2312" w:eastAsia="仿宋_GB2312"/>
          <w:color w:val="000000"/>
          <w:sz w:val="28"/>
          <w:szCs w:val="28"/>
        </w:rPr>
        <w:t>珍稀树种作为定向培育</w:t>
      </w:r>
      <w:r>
        <w:rPr>
          <w:rFonts w:hint="eastAsia" w:ascii="仿宋_GB2312" w:hAnsi="宋体" w:eastAsia="仿宋_GB2312"/>
          <w:color w:val="000000"/>
          <w:sz w:val="28"/>
          <w:szCs w:val="28"/>
        </w:rPr>
        <w:t>。</w:t>
      </w:r>
    </w:p>
    <w:p>
      <w:pPr>
        <w:autoSpaceDE w:val="0"/>
        <w:autoSpaceDN w:val="0"/>
        <w:adjustRightInd w:val="0"/>
        <w:spacing w:line="360" w:lineRule="auto"/>
        <w:ind w:firstLine="560" w:firstLineChars="200"/>
        <w:rPr>
          <w:rFonts w:hint="eastAsia" w:ascii="仿宋_GB2312" w:hAnsi="宋体" w:eastAsia="仿宋_GB2312"/>
          <w:color w:val="000000"/>
          <w:sz w:val="28"/>
          <w:szCs w:val="28"/>
          <w:lang w:eastAsia="zh-CN"/>
        </w:rPr>
      </w:pPr>
      <w:r>
        <w:rPr>
          <w:rFonts w:hint="eastAsia" w:ascii="仿宋_GB2312" w:hAnsi="宋体" w:eastAsia="仿宋_GB2312"/>
          <w:color w:val="000000"/>
          <w:sz w:val="28"/>
          <w:szCs w:val="28"/>
        </w:rPr>
        <w:t>3、修枝整形。结合割灌除草或抚育间伐，在林木休眠期进行修枝，修除树冠下的死枝和病枝</w:t>
      </w:r>
      <w:r>
        <w:rPr>
          <w:rFonts w:hint="eastAsia" w:ascii="仿宋_GB2312" w:hAnsi="宋体" w:eastAsia="仿宋_GB2312"/>
          <w:color w:val="000000"/>
          <w:sz w:val="28"/>
          <w:szCs w:val="28"/>
          <w:lang w:eastAsia="zh-CN"/>
        </w:rPr>
        <w:t>。</w:t>
      </w:r>
    </w:p>
    <w:p>
      <w:pPr>
        <w:autoSpaceDE w:val="0"/>
        <w:autoSpaceDN w:val="0"/>
        <w:adjustRightInd w:val="0"/>
        <w:spacing w:line="360" w:lineRule="auto"/>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lang w:val="en-US" w:eastAsia="zh-CN"/>
        </w:rPr>
        <w:t>4</w:t>
      </w:r>
      <w:r>
        <w:rPr>
          <w:rFonts w:hint="eastAsia" w:ascii="仿宋_GB2312" w:hAnsi="宋体" w:eastAsia="仿宋_GB2312"/>
          <w:color w:val="000000"/>
          <w:sz w:val="28"/>
          <w:szCs w:val="28"/>
        </w:rPr>
        <w:t>、人工补植。在林下改造林分中均匀挖穴，酸枣、樟树、檫木林分改培南方红豆杉+楠木+栎树，所有种苗全部采用优良种源容器苗和实生苗。</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(三)项目产出情况。</w:t>
      </w:r>
      <w:bookmarkStart w:id="0" w:name="_Toc5113"/>
      <w:bookmarkStart w:id="1" w:name="_Toc27073"/>
      <w:bookmarkStart w:id="2" w:name="_Toc16130"/>
      <w:bookmarkStart w:id="3" w:name="_Toc25533"/>
      <w:bookmarkStart w:id="4" w:name="_Toc16970"/>
    </w:p>
    <w:bookmarkEnd w:id="0"/>
    <w:bookmarkEnd w:id="1"/>
    <w:bookmarkEnd w:id="2"/>
    <w:bookmarkEnd w:id="3"/>
    <w:bookmarkEnd w:id="4"/>
    <w:p>
      <w:pPr>
        <w:tabs>
          <w:tab w:val="left" w:pos="4170"/>
        </w:tabs>
        <w:spacing w:line="360" w:lineRule="auto"/>
        <w:ind w:firstLine="560" w:firstLineChars="200"/>
        <w:jc w:val="left"/>
        <w:rPr>
          <w:rFonts w:hint="eastAsia" w:ascii="仿宋_GB2312" w:hAnsi="宋体" w:eastAsia="仿宋_GB2312"/>
          <w:color w:val="000000"/>
          <w:sz w:val="28"/>
          <w:szCs w:val="28"/>
          <w:lang w:eastAsia="zh-CN"/>
        </w:rPr>
      </w:pPr>
      <w:r>
        <w:rPr>
          <w:rFonts w:hint="eastAsia" w:ascii="仿宋_GB2312" w:hAnsi="宋体" w:eastAsia="仿宋_GB2312"/>
          <w:color w:val="000000"/>
          <w:sz w:val="28"/>
          <w:szCs w:val="28"/>
        </w:rPr>
        <w:t>该项目建成后，8年左右均匀移植胸径8cm的珍稀树种活立木20-30株。10年后，通过合理择伐上层大径材杉木每亩30株，总计能生产木材2 m3。一个轮伐期后能生产珍稀树种大径材2万m3</w:t>
      </w:r>
      <w:bookmarkStart w:id="5" w:name="_Toc28843"/>
      <w:bookmarkStart w:id="6" w:name="_Toc32214"/>
      <w:bookmarkStart w:id="7" w:name="_Toc18164"/>
      <w:bookmarkStart w:id="8" w:name="_Toc19737"/>
      <w:bookmarkStart w:id="9" w:name="_Toc29831"/>
      <w:r>
        <w:rPr>
          <w:rFonts w:hint="eastAsia" w:ascii="仿宋_GB2312" w:hAnsi="宋体" w:eastAsia="仿宋_GB2312"/>
          <w:color w:val="000000"/>
          <w:sz w:val="28"/>
          <w:szCs w:val="28"/>
          <w:lang w:eastAsia="zh-CN"/>
        </w:rPr>
        <w:t>。</w:t>
      </w:r>
    </w:p>
    <w:bookmarkEnd w:id="5"/>
    <w:bookmarkEnd w:id="6"/>
    <w:bookmarkEnd w:id="7"/>
    <w:bookmarkEnd w:id="8"/>
    <w:bookmarkEnd w:id="9"/>
    <w:p>
      <w:pPr>
        <w:numPr>
          <w:ilvl w:val="0"/>
          <w:numId w:val="3"/>
        </w:numPr>
        <w:tabs>
          <w:tab w:val="left" w:pos="4170"/>
        </w:tabs>
        <w:spacing w:line="360" w:lineRule="auto"/>
        <w:ind w:left="0" w:leftChars="0" w:firstLine="600" w:firstLineChars="200"/>
        <w:jc w:val="left"/>
        <w:rPr>
          <w:rFonts w:hint="eastAsia" w:ascii="黑体" w:hAnsi="黑体" w:eastAsia="黑体" w:cs="黑体"/>
          <w:sz w:val="30"/>
          <w:szCs w:val="30"/>
        </w:rPr>
      </w:pPr>
      <w:r>
        <w:rPr>
          <w:rFonts w:hint="eastAsia" w:ascii="黑体" w:hAnsi="黑体" w:eastAsia="黑体" w:cs="黑体"/>
          <w:sz w:val="30"/>
          <w:szCs w:val="30"/>
        </w:rPr>
        <w:t>主要经验及做法、存在的问题及原因分析</w:t>
      </w:r>
    </w:p>
    <w:p>
      <w:pPr>
        <w:ind w:firstLine="560" w:firstLineChars="200"/>
        <w:rPr>
          <w:rFonts w:hint="eastAsia" w:ascii="仿宋_GB2312" w:hAnsi="宋体" w:eastAsia="仿宋_GB2312"/>
          <w:color w:val="000000"/>
          <w:sz w:val="28"/>
          <w:szCs w:val="28"/>
          <w:lang w:eastAsia="zh-CN"/>
        </w:rPr>
      </w:pPr>
      <w:r>
        <w:rPr>
          <w:rFonts w:hint="eastAsia" w:ascii="仿宋_GB2312" w:hAnsi="宋体" w:eastAsia="仿宋_GB2312"/>
          <w:color w:val="000000"/>
          <w:sz w:val="28"/>
          <w:szCs w:val="28"/>
          <w:lang w:eastAsia="zh-CN"/>
        </w:rPr>
        <w:t>（一）主要的经验和做法：</w:t>
      </w:r>
    </w:p>
    <w:p>
      <w:pPr>
        <w:tabs>
          <w:tab w:val="left" w:pos="4170"/>
        </w:tabs>
        <w:spacing w:line="360" w:lineRule="auto"/>
        <w:ind w:firstLine="560" w:firstLineChars="200"/>
        <w:jc w:val="left"/>
        <w:rPr>
          <w:rFonts w:hint="eastAsia" w:ascii="仿宋_GB2312" w:hAnsi="宋体" w:eastAsia="仿宋_GB2312"/>
          <w:color w:val="000000"/>
          <w:sz w:val="28"/>
          <w:szCs w:val="28"/>
          <w:lang w:eastAsia="zh-CN"/>
        </w:rPr>
      </w:pPr>
      <w:r>
        <w:rPr>
          <w:rFonts w:hint="eastAsia" w:ascii="仿宋_GB2312" w:hAnsi="宋体" w:eastAsia="仿宋_GB2312"/>
          <w:color w:val="000000"/>
          <w:sz w:val="28"/>
          <w:szCs w:val="28"/>
          <w:lang w:val="en-US" w:eastAsia="zh-CN"/>
        </w:rPr>
        <w:t>1.</w:t>
      </w:r>
      <w:r>
        <w:rPr>
          <w:rFonts w:hint="eastAsia" w:ascii="仿宋_GB2312" w:hAnsi="宋体" w:eastAsia="仿宋_GB2312"/>
          <w:color w:val="000000"/>
          <w:sz w:val="28"/>
          <w:szCs w:val="28"/>
          <w:lang w:eastAsia="zh-CN"/>
        </w:rPr>
        <w:t>创新建设模式，转变项目管理方式，林场充分利用现有的森林资源核查手段，对基地进行跟踪监督，对项目分场列入重点管理，签订责任状，将业务人员的工资、奖金与造林成效直接挂钩，严格考核程序，确保项目工作成效显著。</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lang w:val="en-US" w:eastAsia="zh-CN"/>
        </w:rPr>
        <w:t>2.强化监督检查，切实提高培育质量，</w:t>
      </w:r>
      <w:r>
        <w:rPr>
          <w:rFonts w:hint="eastAsia" w:ascii="仿宋_GB2312" w:hAnsi="宋体" w:eastAsia="仿宋_GB2312"/>
          <w:color w:val="000000"/>
          <w:sz w:val="28"/>
          <w:szCs w:val="28"/>
        </w:rPr>
        <w:t>营林生产股具体负责基地建设的规划、质量检查督促、验收、实验数据的收集整理等。各相关工区负责项目施工。</w:t>
      </w:r>
    </w:p>
    <w:p>
      <w:pPr>
        <w:autoSpaceDE w:val="0"/>
        <w:autoSpaceDN w:val="0"/>
        <w:adjustRightInd w:val="0"/>
        <w:spacing w:line="360" w:lineRule="auto"/>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lang w:val="en-US" w:eastAsia="zh-CN"/>
        </w:rPr>
        <w:t>3.搞好科技推广，提高项目科技含量，</w:t>
      </w:r>
      <w:r>
        <w:rPr>
          <w:rFonts w:hint="eastAsia" w:ascii="仿宋_GB2312" w:hAnsi="宋体" w:eastAsia="仿宋_GB2312"/>
          <w:color w:val="000000"/>
          <w:sz w:val="28"/>
          <w:szCs w:val="28"/>
        </w:rPr>
        <w:t>我场有多年的杉木速生丰产林和杉木大径材培育经验，并拥有一大批各类技术干部7人，同时，与湖南省优质用材林工程研究中心有限公司合作，在遗传改良、测土配方、密度调节、修枝强度及时间、施肥种类及用量、间伐时间及强度等进一步探索。</w:t>
      </w:r>
    </w:p>
    <w:p>
      <w:pPr>
        <w:autoSpaceDE w:val="0"/>
        <w:autoSpaceDN w:val="0"/>
        <w:adjustRightInd w:val="0"/>
        <w:spacing w:line="360" w:lineRule="auto"/>
        <w:ind w:firstLine="560" w:firstLineChars="200"/>
        <w:rPr>
          <w:rFonts w:hint="eastAsia" w:ascii="仿宋_GB2312" w:hAnsi="宋体" w:eastAsia="仿宋_GB2312"/>
          <w:color w:val="000000"/>
          <w:sz w:val="28"/>
          <w:szCs w:val="28"/>
          <w:lang w:val="en-US" w:eastAsia="zh-CN"/>
        </w:rPr>
      </w:pPr>
      <w:r>
        <w:rPr>
          <w:rFonts w:hint="eastAsia" w:ascii="仿宋_GB2312" w:hAnsi="宋体" w:eastAsia="仿宋_GB2312"/>
          <w:color w:val="000000"/>
          <w:sz w:val="28"/>
          <w:szCs w:val="28"/>
          <w:lang w:val="en-US" w:eastAsia="zh-CN"/>
        </w:rPr>
        <w:t xml:space="preserve">  （二）存在的问题：</w:t>
      </w:r>
    </w:p>
    <w:p>
      <w:pPr>
        <w:autoSpaceDE w:val="0"/>
        <w:autoSpaceDN w:val="0"/>
        <w:adjustRightInd w:val="0"/>
        <w:spacing w:line="360" w:lineRule="auto"/>
        <w:ind w:firstLine="560" w:firstLineChars="200"/>
        <w:rPr>
          <w:rFonts w:hint="eastAsia" w:ascii="仿宋_GB2312" w:hAnsi="宋体" w:eastAsia="仿宋_GB2312"/>
          <w:color w:val="000000"/>
          <w:sz w:val="28"/>
          <w:szCs w:val="28"/>
          <w:lang w:val="en-US" w:eastAsia="zh-CN"/>
        </w:rPr>
      </w:pPr>
      <w:r>
        <w:rPr>
          <w:rFonts w:hint="eastAsia" w:ascii="仿宋_GB2312" w:hAnsi="宋体" w:eastAsia="仿宋_GB2312"/>
          <w:color w:val="000000"/>
          <w:sz w:val="28"/>
          <w:szCs w:val="28"/>
          <w:lang w:val="en-US" w:eastAsia="zh-CN"/>
        </w:rPr>
        <w:t>1.资金方面：项目在实施过程中省市县配套资金不足，使项目实施过程中受到制约。</w:t>
      </w:r>
    </w:p>
    <w:p>
      <w:pPr>
        <w:autoSpaceDE w:val="0"/>
        <w:autoSpaceDN w:val="0"/>
        <w:adjustRightInd w:val="0"/>
        <w:spacing w:line="360" w:lineRule="auto"/>
        <w:ind w:firstLine="560" w:firstLineChars="200"/>
        <w:rPr>
          <w:rFonts w:hint="default" w:ascii="仿宋_GB2312" w:hAnsi="宋体" w:eastAsia="仿宋_GB2312"/>
          <w:color w:val="000000"/>
          <w:sz w:val="28"/>
          <w:szCs w:val="28"/>
          <w:lang w:val="en-US" w:eastAsia="zh-CN"/>
        </w:rPr>
      </w:pPr>
      <w:r>
        <w:rPr>
          <w:rFonts w:hint="eastAsia" w:ascii="仿宋_GB2312" w:hAnsi="宋体" w:eastAsia="仿宋_GB2312"/>
          <w:color w:val="000000"/>
          <w:sz w:val="28"/>
          <w:szCs w:val="28"/>
          <w:lang w:val="en-US" w:eastAsia="zh-CN"/>
        </w:rPr>
        <w:t>2.技术方面：基层技术人员配备不够，技术人员的继续教育和培训项目不足，导致在技术上较为落后。</w:t>
      </w:r>
    </w:p>
    <w:p>
      <w:pPr>
        <w:autoSpaceDE w:val="0"/>
        <w:autoSpaceDN w:val="0"/>
        <w:adjustRightInd w:val="0"/>
        <w:spacing w:line="360" w:lineRule="auto"/>
        <w:ind w:firstLine="560" w:firstLineChars="200"/>
        <w:rPr>
          <w:rFonts w:hint="default" w:ascii="仿宋_GB2312" w:hAnsi="宋体" w:eastAsia="仿宋_GB2312"/>
          <w:color w:val="000000"/>
          <w:sz w:val="28"/>
          <w:szCs w:val="28"/>
          <w:lang w:val="en-US" w:eastAsia="zh-CN"/>
        </w:rPr>
      </w:pPr>
    </w:p>
    <w:p>
      <w:pPr>
        <w:autoSpaceDE w:val="0"/>
        <w:autoSpaceDN w:val="0"/>
        <w:adjustRightInd w:val="0"/>
        <w:spacing w:line="360" w:lineRule="auto"/>
        <w:ind w:firstLine="560" w:firstLineChars="200"/>
        <w:rPr>
          <w:rFonts w:hint="eastAsia" w:ascii="仿宋_GB2312" w:hAnsi="宋体" w:eastAsia="仿宋_GB2312"/>
          <w:color w:val="000000"/>
          <w:sz w:val="28"/>
          <w:szCs w:val="28"/>
        </w:rPr>
      </w:pPr>
    </w:p>
    <w:p>
      <w:pPr>
        <w:autoSpaceDE w:val="0"/>
        <w:autoSpaceDN w:val="0"/>
        <w:adjustRightInd w:val="0"/>
        <w:spacing w:line="360" w:lineRule="auto"/>
        <w:ind w:firstLine="560" w:firstLineChars="200"/>
        <w:rPr>
          <w:rFonts w:hint="eastAsia" w:ascii="仿宋_GB2312" w:hAnsi="宋体" w:eastAsia="仿宋_GB2312"/>
          <w:color w:val="000000"/>
          <w:sz w:val="28"/>
          <w:szCs w:val="28"/>
          <w:lang w:val="en-US" w:eastAsia="zh-CN"/>
        </w:rPr>
      </w:pPr>
    </w:p>
    <w:p>
      <w:pPr>
        <w:pStyle w:val="2"/>
        <w:rPr>
          <w:rFonts w:hint="eastAsia" w:ascii="仿宋_GB2312" w:hAnsi="宋体" w:eastAsia="仿宋_GB2312"/>
          <w:color w:val="000000"/>
          <w:sz w:val="28"/>
          <w:szCs w:val="28"/>
          <w:lang w:val="en-US" w:eastAsia="zh-CN"/>
        </w:rPr>
      </w:pPr>
    </w:p>
    <w:p>
      <w:pPr>
        <w:spacing w:line="240" w:lineRule="auto"/>
        <w:ind w:firstLine="0" w:firstLineChars="0"/>
        <w:jc w:val="left"/>
        <w:outlineLvl w:val="0"/>
        <w:rPr>
          <w:rFonts w:hint="eastAsia" w:ascii="Times New Roman" w:hAnsi="Times New Roman" w:eastAsia="黑体" w:cs="Times New Roman"/>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9"/>
        <w:tblW w:w="9851" w:type="dxa"/>
        <w:jc w:val="center"/>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其他林业和草原支出（</w:t>
            </w:r>
            <w:r>
              <w:rPr>
                <w:rFonts w:hint="eastAsia" w:eastAsia="仿宋_GB2312" w:cs="Times New Roman"/>
                <w:color w:val="000000"/>
                <w:sz w:val="20"/>
                <w:szCs w:val="20"/>
                <w:lang w:val="en-US" w:eastAsia="zh-CN"/>
              </w:rPr>
              <w:t>2021年度国家储备林项目</w:t>
            </w:r>
            <w:r>
              <w:rPr>
                <w:rFonts w:hint="eastAsia" w:eastAsia="仿宋_GB2312" w:cs="Times New Roman"/>
                <w:color w:val="000000"/>
                <w:sz w:val="20"/>
                <w:szCs w:val="20"/>
                <w:lang w:eastAsia="zh-CN"/>
              </w:rPr>
              <w:t>）</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华容县林业局</w:t>
            </w:r>
          </w:p>
        </w:tc>
        <w:tc>
          <w:tcPr>
            <w:tcW w:w="113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华容县胜峰国有林场</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项目资金</w:t>
            </w:r>
            <w:r>
              <w:rPr>
                <w:rFonts w:hint="default" w:ascii="Times New Roman" w:hAnsi="Times New Roman" w:eastAsia="仿宋_GB2312" w:cs="Times New Roman"/>
                <w:color w:val="000000"/>
                <w:sz w:val="20"/>
                <w:szCs w:val="20"/>
              </w:rPr>
              <w:br w:type="textWrapping"/>
            </w:r>
            <w:r>
              <w:rPr>
                <w:rFonts w:hint="default" w:ascii="Times New Roman" w:hAnsi="Times New Roman" w:eastAsia="仿宋_GB2312" w:cs="Times New Roman"/>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CellMar>
            <w:top w:w="0" w:type="dxa"/>
            <w:left w:w="108" w:type="dxa"/>
            <w:bottom w:w="0" w:type="dxa"/>
            <w:right w:w="108" w:type="dxa"/>
          </w:tblCellMar>
        </w:tblPrEx>
        <w:trPr>
          <w:trHeight w:val="245"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80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80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80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其中：当年财政拨款</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80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宋体"/>
                <w:sz w:val="15"/>
                <w:szCs w:val="15"/>
                <w:lang w:eastAsia="zh-CN"/>
              </w:rPr>
              <w:t>现有林改培面积（亩）</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224" w:type="dxa"/>
            <w:tcBorders>
              <w:top w:val="nil"/>
              <w:left w:val="nil"/>
              <w:bottom w:val="single" w:color="auto" w:sz="4" w:space="0"/>
              <w:right w:val="single" w:color="auto" w:sz="4" w:space="0"/>
            </w:tcBorders>
            <w:noWrap w:val="0"/>
            <w:vAlign w:val="top"/>
          </w:tcPr>
          <w:p>
            <w:pPr>
              <w:spacing w:line="205" w:lineRule="exact"/>
              <w:rPr>
                <w:rFonts w:hint="default" w:ascii="Arial" w:hAnsi="Times New Roman" w:eastAsia="宋体" w:cs="Times New Roman"/>
                <w:kern w:val="2"/>
                <w:sz w:val="15"/>
                <w:szCs w:val="15"/>
                <w:lang w:val="en-US" w:eastAsia="zh-CN" w:bidi="ar-SA"/>
              </w:rPr>
            </w:pPr>
            <w:r>
              <w:rPr>
                <w:rFonts w:hint="eastAsia" w:eastAsia="宋体"/>
                <w:sz w:val="15"/>
                <w:szCs w:val="15"/>
                <w:lang w:eastAsia="zh-CN"/>
              </w:rPr>
              <w:t>现有林改培面积完成率</w:t>
            </w:r>
          </w:p>
        </w:tc>
        <w:tc>
          <w:tcPr>
            <w:tcW w:w="1134" w:type="dxa"/>
            <w:tcBorders>
              <w:top w:val="nil"/>
              <w:left w:val="nil"/>
              <w:bottom w:val="single" w:color="auto" w:sz="4" w:space="0"/>
              <w:right w:val="single" w:color="auto" w:sz="4" w:space="0"/>
            </w:tcBorders>
            <w:noWrap w:val="0"/>
            <w:vAlign w:val="top"/>
          </w:tcPr>
          <w:p>
            <w:pPr>
              <w:spacing w:line="205" w:lineRule="exact"/>
              <w:rPr>
                <w:rFonts w:hint="default" w:ascii="Arial" w:hAnsi="Times New Roman" w:eastAsia="宋体" w:cs="Times New Roman"/>
                <w:kern w:val="2"/>
                <w:sz w:val="15"/>
                <w:szCs w:val="15"/>
                <w:lang w:val="en-US" w:eastAsia="zh-CN" w:bidi="ar-SA"/>
              </w:rPr>
            </w:pPr>
            <w:r>
              <w:rPr>
                <w:rFonts w:hint="default" w:ascii="Arial" w:hAnsi="Arial" w:cs="Arial"/>
                <w:sz w:val="16"/>
                <w:szCs w:val="16"/>
              </w:rPr>
              <w:t>≥</w:t>
            </w:r>
            <w:r>
              <w:rPr>
                <w:rFonts w:hint="eastAsia" w:ascii="Arial" w:hAnsi="Arial" w:eastAsia="宋体" w:cs="Arial"/>
                <w:sz w:val="16"/>
                <w:szCs w:val="16"/>
                <w:lang w:val="en-US" w:eastAsia="zh-CN"/>
              </w:rPr>
              <w:t>95</w:t>
            </w:r>
            <w:r>
              <w:rPr>
                <w:rFonts w:hint="eastAsia" w:eastAsia="宋体"/>
                <w:sz w:val="16"/>
                <w:szCs w:val="16"/>
                <w:lang w:val="en-US" w:eastAsia="zh-CN"/>
              </w:rPr>
              <w:t>%</w:t>
            </w:r>
          </w:p>
        </w:tc>
        <w:tc>
          <w:tcPr>
            <w:tcW w:w="1134" w:type="dxa"/>
            <w:tcBorders>
              <w:top w:val="nil"/>
              <w:left w:val="nil"/>
              <w:bottom w:val="single" w:color="auto" w:sz="4" w:space="0"/>
              <w:right w:val="single" w:color="auto" w:sz="4" w:space="0"/>
            </w:tcBorders>
            <w:noWrap w:val="0"/>
            <w:vAlign w:val="top"/>
          </w:tcPr>
          <w:p>
            <w:pPr>
              <w:spacing w:line="205" w:lineRule="exact"/>
              <w:rPr>
                <w:rFonts w:hint="default" w:ascii="Arial" w:hAnsi="Times New Roman" w:eastAsia="宋体" w:cs="Times New Roman"/>
                <w:kern w:val="2"/>
                <w:sz w:val="15"/>
                <w:szCs w:val="15"/>
                <w:lang w:val="en-US" w:eastAsia="zh-CN" w:bidi="ar-SA"/>
              </w:rPr>
            </w:pPr>
            <w:r>
              <w:rPr>
                <w:rFonts w:hint="eastAsia" w:eastAsia="宋体"/>
                <w:sz w:val="15"/>
                <w:szCs w:val="15"/>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top"/>
          </w:tcPr>
          <w:p>
            <w:pPr>
              <w:spacing w:line="195" w:lineRule="exact"/>
              <w:rPr>
                <w:rFonts w:hint="default" w:ascii="Arial" w:hAnsi="Times New Roman" w:eastAsia="宋体" w:cs="Times New Roman"/>
                <w:kern w:val="2"/>
                <w:sz w:val="15"/>
                <w:szCs w:val="15"/>
                <w:lang w:val="en-US" w:eastAsia="zh-CN" w:bidi="ar-SA"/>
              </w:rPr>
            </w:pPr>
            <w:r>
              <w:rPr>
                <w:rFonts w:hint="eastAsia" w:eastAsia="宋体"/>
                <w:sz w:val="15"/>
                <w:szCs w:val="15"/>
                <w:lang w:eastAsia="zh-CN"/>
              </w:rPr>
              <w:t>现有林改培质量合格率</w:t>
            </w:r>
          </w:p>
        </w:tc>
        <w:tc>
          <w:tcPr>
            <w:tcW w:w="1134" w:type="dxa"/>
            <w:tcBorders>
              <w:top w:val="nil"/>
              <w:left w:val="nil"/>
              <w:bottom w:val="single" w:color="auto" w:sz="4" w:space="0"/>
              <w:right w:val="single" w:color="auto" w:sz="4" w:space="0"/>
            </w:tcBorders>
            <w:noWrap w:val="0"/>
            <w:vAlign w:val="top"/>
          </w:tcPr>
          <w:p>
            <w:pPr>
              <w:spacing w:line="195" w:lineRule="exact"/>
              <w:rPr>
                <w:rFonts w:hint="default" w:ascii="Arial" w:hAnsi="Times New Roman" w:eastAsia="宋体" w:cs="Times New Roman"/>
                <w:kern w:val="2"/>
                <w:sz w:val="15"/>
                <w:szCs w:val="15"/>
                <w:lang w:val="en-US" w:eastAsia="zh-CN" w:bidi="ar-SA"/>
              </w:rPr>
            </w:pPr>
            <w:r>
              <w:rPr>
                <w:rFonts w:hint="default" w:ascii="Arial" w:hAnsi="Arial" w:cs="Arial"/>
                <w:sz w:val="16"/>
                <w:szCs w:val="16"/>
              </w:rPr>
              <w:t>≥</w:t>
            </w:r>
            <w:r>
              <w:rPr>
                <w:rFonts w:hint="eastAsia" w:ascii="Arial" w:hAnsi="Arial" w:eastAsia="宋体" w:cs="Arial"/>
                <w:sz w:val="16"/>
                <w:szCs w:val="16"/>
                <w:lang w:val="en-US" w:eastAsia="zh-CN"/>
              </w:rPr>
              <w:t>9</w:t>
            </w:r>
            <w:r>
              <w:rPr>
                <w:rFonts w:hint="eastAsia" w:eastAsia="宋体" w:cs="Arial"/>
                <w:sz w:val="16"/>
                <w:szCs w:val="16"/>
                <w:lang w:val="en-US" w:eastAsia="zh-CN"/>
              </w:rPr>
              <w:t>0</w:t>
            </w:r>
            <w:r>
              <w:rPr>
                <w:rFonts w:hint="eastAsia" w:eastAsia="宋体"/>
                <w:sz w:val="16"/>
                <w:szCs w:val="16"/>
                <w:lang w:val="en-US" w:eastAsia="zh-CN"/>
              </w:rPr>
              <w:t>%</w:t>
            </w:r>
          </w:p>
        </w:tc>
        <w:tc>
          <w:tcPr>
            <w:tcW w:w="1134" w:type="dxa"/>
            <w:tcBorders>
              <w:top w:val="nil"/>
              <w:left w:val="nil"/>
              <w:bottom w:val="single" w:color="auto" w:sz="4" w:space="0"/>
              <w:right w:val="single" w:color="auto" w:sz="4" w:space="0"/>
            </w:tcBorders>
            <w:noWrap w:val="0"/>
            <w:vAlign w:val="top"/>
          </w:tcPr>
          <w:p>
            <w:pPr>
              <w:spacing w:line="195" w:lineRule="exact"/>
              <w:rPr>
                <w:rFonts w:hint="default" w:ascii="Arial" w:hAnsi="Times New Roman" w:eastAsia="宋体" w:cs="Times New Roman"/>
                <w:kern w:val="2"/>
                <w:sz w:val="15"/>
                <w:szCs w:val="15"/>
                <w:lang w:val="en-US" w:eastAsia="zh-CN" w:bidi="ar-SA"/>
              </w:rPr>
            </w:pPr>
            <w:r>
              <w:rPr>
                <w:rFonts w:hint="eastAsia" w:ascii="Arial" w:hAnsi="Arial" w:eastAsia="宋体" w:cs="Arial"/>
                <w:sz w:val="16"/>
                <w:szCs w:val="16"/>
                <w:lang w:val="en-US" w:eastAsia="zh-CN"/>
              </w:rPr>
              <w:t>95</w:t>
            </w:r>
            <w:r>
              <w:rPr>
                <w:rFonts w:hint="eastAsia" w:eastAsia="宋体"/>
                <w:sz w:val="16"/>
                <w:szCs w:val="16"/>
                <w:lang w:val="en-US" w:eastAsia="zh-CN"/>
              </w:rPr>
              <w:t>%</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224" w:type="dxa"/>
            <w:tcBorders>
              <w:top w:val="nil"/>
              <w:left w:val="nil"/>
              <w:bottom w:val="single" w:color="auto" w:sz="4" w:space="0"/>
              <w:right w:val="single" w:color="auto" w:sz="4" w:space="0"/>
            </w:tcBorders>
            <w:noWrap w:val="0"/>
            <w:vAlign w:val="top"/>
          </w:tcPr>
          <w:p>
            <w:pPr>
              <w:spacing w:line="205" w:lineRule="exact"/>
              <w:rPr>
                <w:rFonts w:hint="default" w:ascii="Arial" w:hAnsi="Times New Roman" w:eastAsia="宋体" w:cs="Times New Roman"/>
                <w:kern w:val="2"/>
                <w:sz w:val="15"/>
                <w:szCs w:val="15"/>
                <w:lang w:val="en-US" w:eastAsia="zh-CN" w:bidi="ar-SA"/>
              </w:rPr>
            </w:pPr>
            <w:r>
              <w:rPr>
                <w:rFonts w:hint="eastAsia" w:eastAsia="宋体"/>
                <w:sz w:val="16"/>
                <w:szCs w:val="16"/>
                <w:lang w:val="en-US" w:eastAsia="zh-CN"/>
              </w:rPr>
              <w:t>现有林改培当期任务完成率</w:t>
            </w:r>
          </w:p>
        </w:tc>
        <w:tc>
          <w:tcPr>
            <w:tcW w:w="1134" w:type="dxa"/>
            <w:tcBorders>
              <w:top w:val="nil"/>
              <w:left w:val="nil"/>
              <w:bottom w:val="single" w:color="auto" w:sz="4" w:space="0"/>
              <w:right w:val="single" w:color="auto" w:sz="4" w:space="0"/>
            </w:tcBorders>
            <w:noWrap w:val="0"/>
            <w:vAlign w:val="top"/>
          </w:tcPr>
          <w:p>
            <w:pPr>
              <w:spacing w:line="205" w:lineRule="exact"/>
              <w:rPr>
                <w:rFonts w:hint="default" w:ascii="Arial" w:hAnsi="Arial" w:eastAsia="宋体" w:cs="Arial"/>
                <w:snapToGrid w:val="0"/>
                <w:color w:val="000000"/>
                <w:kern w:val="0"/>
                <w:sz w:val="16"/>
                <w:szCs w:val="16"/>
                <w:lang w:val="en-US" w:eastAsia="zh-CN" w:bidi="ar-SA"/>
              </w:rPr>
            </w:pPr>
            <w:r>
              <w:rPr>
                <w:rFonts w:hint="default" w:ascii="Arial" w:hAnsi="Arial" w:cs="Arial"/>
                <w:sz w:val="16"/>
                <w:szCs w:val="16"/>
              </w:rPr>
              <w:t>≥</w:t>
            </w:r>
            <w:r>
              <w:rPr>
                <w:rFonts w:hint="eastAsia" w:ascii="Arial" w:hAnsi="Arial" w:eastAsia="宋体" w:cs="Arial"/>
                <w:sz w:val="16"/>
                <w:szCs w:val="16"/>
                <w:lang w:val="en-US" w:eastAsia="zh-CN"/>
              </w:rPr>
              <w:t>95</w:t>
            </w:r>
            <w:r>
              <w:rPr>
                <w:rFonts w:hint="eastAsia" w:eastAsia="宋体"/>
                <w:sz w:val="16"/>
                <w:szCs w:val="16"/>
                <w:lang w:val="en-US" w:eastAsia="zh-CN"/>
              </w:rPr>
              <w:t>%</w:t>
            </w:r>
          </w:p>
        </w:tc>
        <w:tc>
          <w:tcPr>
            <w:tcW w:w="1134" w:type="dxa"/>
            <w:tcBorders>
              <w:top w:val="nil"/>
              <w:left w:val="nil"/>
              <w:bottom w:val="single" w:color="auto" w:sz="4" w:space="0"/>
              <w:right w:val="single" w:color="auto" w:sz="4" w:space="0"/>
            </w:tcBorders>
            <w:noWrap w:val="0"/>
            <w:vAlign w:val="top"/>
          </w:tcPr>
          <w:p>
            <w:pPr>
              <w:spacing w:line="205" w:lineRule="exact"/>
              <w:rPr>
                <w:rFonts w:hint="default" w:ascii="Arial" w:hAnsi="Arial" w:eastAsia="宋体" w:cs="Arial"/>
                <w:snapToGrid w:val="0"/>
                <w:color w:val="000000"/>
                <w:kern w:val="0"/>
                <w:sz w:val="16"/>
                <w:szCs w:val="16"/>
                <w:lang w:val="en-US" w:eastAsia="zh-CN" w:bidi="ar-SA"/>
              </w:rPr>
            </w:pPr>
            <w:r>
              <w:rPr>
                <w:rFonts w:hint="eastAsia" w:eastAsia="宋体"/>
                <w:sz w:val="16"/>
                <w:szCs w:val="16"/>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224" w:type="dxa"/>
            <w:tcBorders>
              <w:top w:val="nil"/>
              <w:left w:val="nil"/>
              <w:bottom w:val="single" w:color="auto" w:sz="4" w:space="0"/>
              <w:right w:val="single" w:color="auto" w:sz="4" w:space="0"/>
            </w:tcBorders>
            <w:noWrap w:val="0"/>
            <w:vAlign w:val="top"/>
          </w:tcPr>
          <w:p>
            <w:pPr>
              <w:spacing w:line="195" w:lineRule="exact"/>
              <w:rPr>
                <w:rFonts w:hint="default" w:ascii="Arial" w:hAnsi="Times New Roman" w:eastAsia="宋体" w:cs="Times New Roman"/>
                <w:kern w:val="2"/>
                <w:sz w:val="15"/>
                <w:szCs w:val="15"/>
                <w:lang w:val="en-US" w:eastAsia="zh-CN" w:bidi="ar-SA"/>
              </w:rPr>
            </w:pPr>
            <w:r>
              <w:rPr>
                <w:rFonts w:hint="eastAsia" w:eastAsia="宋体"/>
                <w:sz w:val="15"/>
                <w:szCs w:val="15"/>
                <w:lang w:eastAsia="zh-CN"/>
              </w:rPr>
              <w:t>木材战略储备林中央财政补助标准（元</w:t>
            </w:r>
            <w:r>
              <w:rPr>
                <w:rFonts w:hint="eastAsia" w:eastAsia="宋体"/>
                <w:sz w:val="15"/>
                <w:szCs w:val="15"/>
                <w:lang w:val="en-US" w:eastAsia="zh-CN"/>
              </w:rPr>
              <w:t>/亩）</w:t>
            </w:r>
          </w:p>
        </w:tc>
        <w:tc>
          <w:tcPr>
            <w:tcW w:w="1134" w:type="dxa"/>
            <w:tcBorders>
              <w:top w:val="nil"/>
              <w:left w:val="nil"/>
              <w:bottom w:val="single" w:color="auto" w:sz="4" w:space="0"/>
              <w:right w:val="single" w:color="auto" w:sz="4" w:space="0"/>
            </w:tcBorders>
            <w:noWrap w:val="0"/>
            <w:vAlign w:val="top"/>
          </w:tcPr>
          <w:p>
            <w:pPr>
              <w:spacing w:line="195" w:lineRule="exact"/>
              <w:rPr>
                <w:rFonts w:hint="default" w:ascii="Arial" w:hAnsi="Times New Roman" w:eastAsia="宋体" w:cs="Times New Roman"/>
                <w:kern w:val="2"/>
                <w:sz w:val="15"/>
                <w:szCs w:val="15"/>
                <w:lang w:val="en-US" w:eastAsia="zh-CN" w:bidi="ar-SA"/>
              </w:rPr>
            </w:pPr>
            <w:r>
              <w:rPr>
                <w:rFonts w:hint="eastAsia" w:eastAsia="宋体"/>
                <w:sz w:val="15"/>
                <w:szCs w:val="15"/>
                <w:lang w:val="en-US" w:eastAsia="zh-CN"/>
              </w:rPr>
              <w:t>800</w:t>
            </w:r>
          </w:p>
        </w:tc>
        <w:tc>
          <w:tcPr>
            <w:tcW w:w="1134" w:type="dxa"/>
            <w:tcBorders>
              <w:top w:val="nil"/>
              <w:left w:val="nil"/>
              <w:bottom w:val="single" w:color="auto" w:sz="4" w:space="0"/>
              <w:right w:val="single" w:color="auto" w:sz="4" w:space="0"/>
            </w:tcBorders>
            <w:noWrap w:val="0"/>
            <w:vAlign w:val="top"/>
          </w:tcPr>
          <w:p>
            <w:pPr>
              <w:spacing w:line="195" w:lineRule="exact"/>
              <w:rPr>
                <w:rFonts w:hint="default" w:ascii="Arial" w:hAnsi="Times New Roman" w:eastAsia="宋体" w:cs="Times New Roman"/>
                <w:kern w:val="2"/>
                <w:sz w:val="15"/>
                <w:szCs w:val="15"/>
                <w:lang w:val="en-US" w:eastAsia="zh-CN" w:bidi="ar-SA"/>
              </w:rPr>
            </w:pPr>
            <w:r>
              <w:rPr>
                <w:rFonts w:hint="eastAsia" w:eastAsia="宋体"/>
                <w:sz w:val="15"/>
                <w:szCs w:val="15"/>
                <w:lang w:val="en-US" w:eastAsia="zh-CN"/>
              </w:rPr>
              <w:t>800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宋体"/>
                <w:sz w:val="15"/>
                <w:szCs w:val="15"/>
                <w:lang w:eastAsia="zh-CN"/>
              </w:rPr>
              <w:t>间伐木材收入（元</w:t>
            </w:r>
            <w:r>
              <w:rPr>
                <w:rFonts w:hint="eastAsia" w:eastAsia="宋体"/>
                <w:sz w:val="15"/>
                <w:szCs w:val="15"/>
                <w:lang w:val="en-US" w:eastAsia="zh-CN"/>
              </w:rPr>
              <w:t>/亩）</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宋体"/>
                <w:sz w:val="15"/>
                <w:szCs w:val="15"/>
                <w:lang w:eastAsia="zh-CN"/>
              </w:rPr>
              <w:t>现有林改培带动就业人数（人）</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70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70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bookmarkStart w:id="13" w:name="_GoBack"/>
            <w:bookmarkEnd w:id="13"/>
            <w:r>
              <w:rPr>
                <w:rFonts w:hint="eastAsia" w:eastAsia="仿宋_GB2312" w:cs="Times New Roman"/>
                <w:color w:val="000000"/>
                <w:sz w:val="20"/>
                <w:szCs w:val="20"/>
                <w:lang w:val="en-US" w:eastAsia="zh-CN"/>
              </w:rPr>
              <w:t>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宋体"/>
                <w:sz w:val="15"/>
                <w:szCs w:val="15"/>
                <w:lang w:eastAsia="zh-CN"/>
              </w:rPr>
              <w:t>森林资源培育对生态环境改善情况（是否明显）</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宋体"/>
                <w:sz w:val="15"/>
                <w:szCs w:val="15"/>
                <w:lang w:eastAsia="zh-CN"/>
              </w:rPr>
              <w:t>明显</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宋体"/>
                <w:sz w:val="15"/>
                <w:szCs w:val="15"/>
                <w:lang w:eastAsia="zh-CN"/>
              </w:rPr>
              <w:t>明显</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4</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影响指标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宋体"/>
                <w:sz w:val="15"/>
                <w:szCs w:val="15"/>
                <w:lang w:eastAsia="zh-CN"/>
              </w:rPr>
              <w:t>森林资源培育是否维护林区稳定</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line="205" w:lineRule="exact"/>
              <w:rPr>
                <w:rFonts w:hint="default" w:ascii="Arial" w:hAnsi="Times New Roman" w:eastAsia="宋体" w:cs="Times New Roman"/>
                <w:kern w:val="2"/>
                <w:sz w:val="15"/>
                <w:szCs w:val="15"/>
                <w:lang w:val="en-US" w:eastAsia="zh-CN" w:bidi="ar-SA"/>
              </w:rPr>
            </w:pPr>
            <w:r>
              <w:rPr>
                <w:rFonts w:hint="eastAsia" w:eastAsia="宋体"/>
                <w:sz w:val="15"/>
                <w:szCs w:val="15"/>
                <w:lang w:eastAsia="zh-CN"/>
              </w:rPr>
              <w:t>是</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line="205" w:lineRule="exact"/>
              <w:rPr>
                <w:rFonts w:hint="default" w:ascii="Arial" w:hAnsi="Times New Roman" w:eastAsia="宋体" w:cs="Times New Roman"/>
                <w:kern w:val="2"/>
                <w:sz w:val="15"/>
                <w:szCs w:val="15"/>
                <w:lang w:val="en-US" w:eastAsia="zh-CN" w:bidi="ar-SA"/>
              </w:rPr>
            </w:pPr>
            <w:r>
              <w:rPr>
                <w:rFonts w:hint="eastAsia" w:eastAsia="宋体"/>
                <w:sz w:val="15"/>
                <w:szCs w:val="15"/>
                <w:lang w:eastAsia="zh-CN"/>
              </w:rPr>
              <w:t>是</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4</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宋体"/>
                <w:sz w:val="15"/>
                <w:szCs w:val="15"/>
                <w:lang w:eastAsia="zh-CN"/>
              </w:rPr>
              <w:t>改培推进林业可持续发展（是否明显）</w:t>
            </w:r>
          </w:p>
        </w:tc>
        <w:tc>
          <w:tcPr>
            <w:tcW w:w="1134" w:type="dxa"/>
            <w:tcBorders>
              <w:top w:val="single" w:color="auto" w:sz="4" w:space="0"/>
              <w:left w:val="nil"/>
              <w:bottom w:val="single" w:color="auto" w:sz="4" w:space="0"/>
              <w:right w:val="single" w:color="auto" w:sz="4" w:space="0"/>
            </w:tcBorders>
            <w:noWrap w:val="0"/>
            <w:vAlign w:val="top"/>
          </w:tcPr>
          <w:p>
            <w:pPr>
              <w:spacing w:line="205" w:lineRule="exact"/>
              <w:rPr>
                <w:rFonts w:hint="default" w:ascii="Arial" w:hAnsi="Arial" w:eastAsia="宋体" w:cs="Arial"/>
                <w:snapToGrid w:val="0"/>
                <w:color w:val="000000"/>
                <w:kern w:val="0"/>
                <w:sz w:val="15"/>
                <w:szCs w:val="15"/>
                <w:lang w:val="en-US" w:eastAsia="zh-CN" w:bidi="ar-SA"/>
              </w:rPr>
            </w:pPr>
            <w:r>
              <w:rPr>
                <w:rFonts w:hint="eastAsia" w:eastAsia="宋体"/>
                <w:sz w:val="15"/>
                <w:szCs w:val="15"/>
                <w:lang w:eastAsia="zh-CN"/>
              </w:rPr>
              <w:t>明显</w:t>
            </w:r>
          </w:p>
        </w:tc>
        <w:tc>
          <w:tcPr>
            <w:tcW w:w="1134" w:type="dxa"/>
            <w:tcBorders>
              <w:top w:val="single" w:color="auto" w:sz="4" w:space="0"/>
              <w:left w:val="nil"/>
              <w:bottom w:val="single" w:color="auto" w:sz="4" w:space="0"/>
              <w:right w:val="single" w:color="auto" w:sz="4" w:space="0"/>
            </w:tcBorders>
            <w:noWrap w:val="0"/>
            <w:vAlign w:val="top"/>
          </w:tcPr>
          <w:p>
            <w:pPr>
              <w:spacing w:line="205" w:lineRule="exact"/>
              <w:rPr>
                <w:rFonts w:hint="default" w:ascii="Arial" w:hAnsi="Arial" w:eastAsia="宋体" w:cs="Arial"/>
                <w:snapToGrid w:val="0"/>
                <w:color w:val="000000"/>
                <w:kern w:val="0"/>
                <w:sz w:val="15"/>
                <w:szCs w:val="15"/>
                <w:lang w:val="en-US" w:eastAsia="zh-CN" w:bidi="ar-SA"/>
              </w:rPr>
            </w:pPr>
            <w:r>
              <w:rPr>
                <w:rFonts w:hint="eastAsia" w:eastAsia="宋体"/>
                <w:sz w:val="15"/>
                <w:szCs w:val="15"/>
                <w:lang w:eastAsia="zh-CN"/>
              </w:rPr>
              <w:t>明显</w:t>
            </w:r>
          </w:p>
        </w:tc>
        <w:tc>
          <w:tcPr>
            <w:tcW w:w="82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4</w:t>
            </w:r>
          </w:p>
        </w:tc>
        <w:tc>
          <w:tcPr>
            <w:tcW w:w="14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宋体"/>
                <w:sz w:val="15"/>
                <w:szCs w:val="15"/>
                <w:lang w:eastAsia="zh-CN"/>
              </w:rPr>
              <w:t>改培构建稳定森林生态系统（是否明显）</w:t>
            </w:r>
          </w:p>
        </w:tc>
        <w:tc>
          <w:tcPr>
            <w:tcW w:w="1134" w:type="dxa"/>
            <w:tcBorders>
              <w:top w:val="nil"/>
              <w:left w:val="nil"/>
              <w:bottom w:val="single" w:color="auto" w:sz="4" w:space="0"/>
              <w:right w:val="single" w:color="auto" w:sz="4" w:space="0"/>
            </w:tcBorders>
            <w:noWrap w:val="0"/>
            <w:vAlign w:val="top"/>
          </w:tcPr>
          <w:p>
            <w:pPr>
              <w:spacing w:line="205" w:lineRule="exact"/>
              <w:rPr>
                <w:rFonts w:hint="default" w:ascii="Arial" w:hAnsi="Arial" w:eastAsia="宋体" w:cs="Arial"/>
                <w:snapToGrid w:val="0"/>
                <w:color w:val="000000"/>
                <w:kern w:val="0"/>
                <w:sz w:val="15"/>
                <w:szCs w:val="15"/>
                <w:lang w:val="en-US" w:eastAsia="zh-CN" w:bidi="ar-SA"/>
              </w:rPr>
            </w:pPr>
            <w:r>
              <w:rPr>
                <w:rFonts w:hint="eastAsia" w:eastAsia="宋体"/>
                <w:sz w:val="15"/>
                <w:szCs w:val="15"/>
                <w:lang w:eastAsia="zh-CN"/>
              </w:rPr>
              <w:t>明显</w:t>
            </w:r>
          </w:p>
        </w:tc>
        <w:tc>
          <w:tcPr>
            <w:tcW w:w="1134" w:type="dxa"/>
            <w:tcBorders>
              <w:top w:val="nil"/>
              <w:left w:val="nil"/>
              <w:bottom w:val="single" w:color="auto" w:sz="4" w:space="0"/>
              <w:right w:val="single" w:color="auto" w:sz="4" w:space="0"/>
            </w:tcBorders>
            <w:noWrap w:val="0"/>
            <w:vAlign w:val="top"/>
          </w:tcPr>
          <w:p>
            <w:pPr>
              <w:spacing w:line="205" w:lineRule="exact"/>
              <w:rPr>
                <w:rFonts w:hint="default" w:ascii="Arial" w:hAnsi="Arial" w:eastAsia="宋体" w:cs="Arial"/>
                <w:snapToGrid w:val="0"/>
                <w:color w:val="000000"/>
                <w:kern w:val="0"/>
                <w:sz w:val="15"/>
                <w:szCs w:val="15"/>
                <w:lang w:val="en-US" w:eastAsia="zh-CN" w:bidi="ar-SA"/>
              </w:rPr>
            </w:pPr>
            <w:r>
              <w:rPr>
                <w:rFonts w:hint="eastAsia" w:eastAsia="宋体"/>
                <w:sz w:val="15"/>
                <w:szCs w:val="15"/>
                <w:lang w:eastAsia="zh-CN"/>
              </w:rPr>
              <w:t>明显</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4</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宋体"/>
                <w:sz w:val="16"/>
                <w:szCs w:val="16"/>
                <w:lang w:eastAsia="zh-CN"/>
              </w:rPr>
              <w:t>受益群众满意度</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default" w:ascii="Arial" w:hAnsi="Arial" w:cs="Arial"/>
                <w:sz w:val="16"/>
                <w:szCs w:val="16"/>
              </w:rPr>
              <w:t>≥</w:t>
            </w:r>
            <w:r>
              <w:rPr>
                <w:rFonts w:hint="eastAsia" w:eastAsia="宋体"/>
                <w:sz w:val="16"/>
                <w:szCs w:val="16"/>
                <w:lang w:val="en-US" w:eastAsia="zh-CN"/>
              </w:rPr>
              <w:t>80%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宋体"/>
                <w:sz w:val="16"/>
                <w:szCs w:val="16"/>
                <w:lang w:val="en-US" w:eastAsia="zh-CN"/>
              </w:rPr>
              <w:t>95%</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8</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94</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rPr>
          <w:rFonts w:hint="eastAsia" w:ascii="新宋体" w:hAnsi="新宋体" w:eastAsia="新宋体" w:cs="新宋体"/>
          <w:sz w:val="21"/>
          <w:szCs w:val="21"/>
          <w:lang w:eastAsia="zh-CN"/>
        </w:rPr>
      </w:pPr>
      <w:r>
        <w:rPr>
          <w:rFonts w:hint="eastAsia" w:ascii="新宋体" w:hAnsi="新宋体" w:eastAsia="新宋体" w:cs="新宋体"/>
          <w:sz w:val="21"/>
          <w:szCs w:val="21"/>
        </w:rPr>
        <w:t>备注：一个一级项目支出一张表。</w:t>
      </w:r>
      <w:r>
        <w:rPr>
          <w:rFonts w:hint="eastAsia" w:ascii="新宋体" w:hAnsi="新宋体" w:eastAsia="新宋体" w:cs="新宋体"/>
          <w:sz w:val="21"/>
          <w:szCs w:val="21"/>
          <w:lang w:eastAsia="zh-CN"/>
        </w:rPr>
        <w:t>如，</w:t>
      </w:r>
      <w:r>
        <w:rPr>
          <w:rFonts w:hint="eastAsia" w:ascii="新宋体" w:hAnsi="新宋体" w:eastAsia="新宋体" w:cs="新宋体"/>
          <w:sz w:val="21"/>
          <w:szCs w:val="21"/>
        </w:rPr>
        <w:t>业务工作经费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运行维护经费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lang w:val="en-US" w:eastAsia="zh-CN"/>
        </w:rPr>
        <w:t>XX项目</w:t>
      </w:r>
      <w:r>
        <w:rPr>
          <w:rFonts w:hint="eastAsia" w:ascii="新宋体" w:hAnsi="新宋体" w:eastAsia="新宋体" w:cs="新宋体"/>
          <w:sz w:val="21"/>
          <w:szCs w:val="21"/>
          <w:lang w:eastAsia="zh-CN"/>
        </w:rPr>
        <w:t>资金…各一张表。</w:t>
      </w:r>
    </w:p>
    <w:p>
      <w:pPr>
        <w:pStyle w:val="2"/>
        <w:rPr>
          <w:rFonts w:hint="eastAsia"/>
        </w:rPr>
      </w:pPr>
    </w:p>
    <w:p>
      <w:pPr>
        <w:rPr>
          <w:rFonts w:hint="eastAsia"/>
        </w:rPr>
      </w:pPr>
    </w:p>
    <w:p>
      <w:pPr>
        <w:jc w:val="left"/>
        <w:rPr>
          <w:rFonts w:hint="eastAsia" w:ascii="新宋体" w:hAnsi="新宋体" w:eastAsia="新宋体" w:cs="新宋体"/>
          <w:sz w:val="21"/>
          <w:szCs w:val="21"/>
        </w:rPr>
      </w:pPr>
      <w:r>
        <w:rPr>
          <w:rFonts w:hint="eastAsia" w:ascii="新宋体" w:hAnsi="新宋体" w:eastAsia="新宋体" w:cs="新宋体"/>
          <w:sz w:val="21"/>
          <w:szCs w:val="21"/>
        </w:rPr>
        <w:t xml:space="preserve">填表人： </w:t>
      </w:r>
      <w:r>
        <w:rPr>
          <w:rFonts w:hint="eastAsia" w:ascii="新宋体" w:hAnsi="新宋体" w:eastAsia="新宋体" w:cs="新宋体"/>
          <w:sz w:val="21"/>
          <w:szCs w:val="21"/>
          <w:lang w:val="en-US" w:eastAsia="zh-CN"/>
        </w:rPr>
        <w:t>李红</w:t>
      </w:r>
      <w:r>
        <w:rPr>
          <w:rFonts w:hint="eastAsia" w:ascii="新宋体" w:hAnsi="新宋体" w:eastAsia="新宋体" w:cs="新宋体"/>
          <w:sz w:val="21"/>
          <w:szCs w:val="21"/>
        </w:rPr>
        <w:t xml:space="preserve">  填报日期： </w:t>
      </w:r>
      <w:r>
        <w:rPr>
          <w:rFonts w:hint="eastAsia" w:ascii="新宋体" w:hAnsi="新宋体" w:eastAsia="新宋体" w:cs="新宋体"/>
          <w:sz w:val="21"/>
          <w:szCs w:val="21"/>
          <w:lang w:val="en-US" w:eastAsia="zh-CN"/>
        </w:rPr>
        <w:t>2023.7.13</w:t>
      </w:r>
      <w:r>
        <w:rPr>
          <w:rFonts w:hint="eastAsia" w:ascii="新宋体" w:hAnsi="新宋体" w:eastAsia="新宋体" w:cs="新宋体"/>
          <w:sz w:val="21"/>
          <w:szCs w:val="21"/>
        </w:rPr>
        <w:t xml:space="preserve">   联系电话：</w:t>
      </w:r>
      <w:r>
        <w:rPr>
          <w:rFonts w:hint="eastAsia" w:ascii="新宋体" w:hAnsi="新宋体" w:eastAsia="新宋体" w:cs="新宋体"/>
          <w:sz w:val="21"/>
          <w:szCs w:val="21"/>
          <w:lang w:val="en-US" w:eastAsia="zh-CN"/>
        </w:rPr>
        <w:t>18873000175</w:t>
      </w:r>
      <w:r>
        <w:rPr>
          <w:rFonts w:hint="eastAsia" w:ascii="新宋体" w:hAnsi="新宋体" w:eastAsia="新宋体" w:cs="新宋体"/>
          <w:sz w:val="21"/>
          <w:szCs w:val="21"/>
        </w:rPr>
        <w:t xml:space="preserve">   单位负责人签字：</w:t>
      </w:r>
    </w:p>
    <w:p>
      <w:pPr>
        <w:jc w:val="left"/>
        <w:rPr>
          <w:rFonts w:hint="eastAsia" w:ascii="新宋体" w:hAnsi="新宋体" w:eastAsia="新宋体" w:cs="新宋体"/>
          <w:sz w:val="21"/>
          <w:szCs w:val="21"/>
        </w:rPr>
      </w:pPr>
    </w:p>
    <w:p>
      <w:pPr>
        <w:spacing w:line="240" w:lineRule="auto"/>
        <w:ind w:firstLine="0" w:firstLineChars="0"/>
        <w:jc w:val="left"/>
        <w:outlineLvl w:val="0"/>
        <w:rPr>
          <w:rFonts w:hint="eastAsia" w:ascii="新宋体" w:hAnsi="新宋体" w:eastAsia="新宋体" w:cs="新宋体"/>
          <w:sz w:val="21"/>
          <w:szCs w:val="21"/>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6</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华容县胜峰国有</w:t>
      </w:r>
      <w:r>
        <w:rPr>
          <w:rFonts w:hint="eastAsia" w:ascii="方正小标宋简体" w:hAnsi="方正小标宋简体" w:eastAsia="方正小标宋简体" w:cs="方正小标宋简体"/>
          <w:sz w:val="44"/>
          <w:szCs w:val="44"/>
          <w:lang w:val="en-US" w:eastAsia="zh-CN"/>
        </w:rPr>
        <w:t>2021年度国家储备林</w:t>
      </w: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rPr>
        <w:t>支出绩效自评报告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eastAsia" w:ascii="Times New Roman" w:hAnsi="Times New Roman" w:eastAsia="仿宋_GB2312" w:cs="Times New Roman"/>
          <w:sz w:val="32"/>
          <w:szCs w:val="32"/>
          <w:u w:val="single"/>
          <w:lang w:eastAsia="zh-CN"/>
        </w:rPr>
      </w:pPr>
      <w:r>
        <w:rPr>
          <w:rFonts w:hint="eastAsia" w:eastAsia="仿宋_GB2312" w:cs="Times New Roman"/>
          <w:sz w:val="32"/>
          <w:szCs w:val="32"/>
          <w:lang w:eastAsia="zh-CN"/>
        </w:rPr>
        <w:t>单位</w:t>
      </w:r>
      <w:r>
        <w:rPr>
          <w:rFonts w:hint="default" w:ascii="Times New Roman" w:hAnsi="Times New Roman" w:eastAsia="仿宋_GB2312" w:cs="Times New Roman"/>
          <w:sz w:val="32"/>
          <w:szCs w:val="32"/>
        </w:rPr>
        <w:t>名称：</w:t>
      </w:r>
      <w:r>
        <w:rPr>
          <w:rFonts w:hint="eastAsia" w:eastAsia="仿宋_GB2312" w:cs="Times New Roman"/>
          <w:sz w:val="32"/>
          <w:szCs w:val="32"/>
          <w:u w:val="single"/>
          <w:lang w:eastAsia="zh-CN"/>
        </w:rPr>
        <w:t>湖南省华容县胜峰国有林场</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年</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月</w:t>
      </w:r>
      <w:r>
        <w:rPr>
          <w:rFonts w:hint="eastAsia" w:eastAsia="楷体_GB2312" w:cs="Times New Roman"/>
          <w:sz w:val="32"/>
          <w:szCs w:val="32"/>
          <w:lang w:val="en-US" w:eastAsia="zh-CN"/>
        </w:rPr>
        <w:t>13</w:t>
      </w:r>
      <w:r>
        <w:rPr>
          <w:rFonts w:hint="default" w:ascii="Times New Roman" w:hAnsi="Times New Roman" w:eastAsia="楷体_GB2312" w:cs="Times New Roman"/>
          <w:sz w:val="32"/>
          <w:szCs w:val="32"/>
        </w:rPr>
        <w:t>日</w:t>
      </w:r>
    </w:p>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华容县胜峰国有林场</w:t>
      </w:r>
      <w:r>
        <w:rPr>
          <w:rFonts w:hint="eastAsia" w:ascii="方正小标宋简体" w:hAnsi="方正小标宋简体" w:eastAsia="方正小标宋简体" w:cs="方正小标宋简体"/>
          <w:sz w:val="44"/>
          <w:szCs w:val="44"/>
          <w:lang w:val="en-US" w:eastAsia="zh-CN"/>
        </w:rPr>
        <w:t>2021年度国家储备林</w:t>
      </w: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rPr>
        <w:t>支出绩效自评报告</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一、基本情况</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(一)项目概况。完成现有林改培1000亩，其中</w:t>
      </w:r>
      <w:r>
        <w:rPr>
          <w:rFonts w:hint="eastAsia" w:ascii="仿宋_GB2312" w:hAnsi="宋体" w:eastAsia="仿宋_GB2312"/>
          <w:color w:val="000000"/>
          <w:sz w:val="28"/>
          <w:szCs w:val="28"/>
          <w:lang w:eastAsia="zh-CN"/>
        </w:rPr>
        <w:t>杉木、</w:t>
      </w:r>
      <w:r>
        <w:rPr>
          <w:rFonts w:hint="eastAsia" w:ascii="仿宋_GB2312" w:hAnsi="宋体" w:eastAsia="仿宋_GB2312"/>
          <w:color w:val="000000"/>
          <w:sz w:val="28"/>
          <w:szCs w:val="28"/>
        </w:rPr>
        <w:t>酸枣、</w:t>
      </w:r>
      <w:r>
        <w:rPr>
          <w:rFonts w:hint="eastAsia" w:ascii="仿宋_GB2312" w:hAnsi="宋体" w:eastAsia="仿宋_GB2312"/>
          <w:color w:val="000000"/>
          <w:sz w:val="28"/>
          <w:szCs w:val="28"/>
          <w:lang w:eastAsia="zh-CN"/>
        </w:rPr>
        <w:t>樟树</w:t>
      </w:r>
      <w:r>
        <w:rPr>
          <w:rFonts w:hint="eastAsia" w:ascii="仿宋_GB2312" w:hAnsi="宋体" w:eastAsia="仿宋_GB2312"/>
          <w:color w:val="000000"/>
          <w:sz w:val="28"/>
          <w:szCs w:val="28"/>
        </w:rPr>
        <w:t>改培成珍稀树种大径材培育基地1000亩。形成树种结构合理、生态系统稳定、森林健康多样的规模化珍稀树种资源，逐步掌握林场珍稀树种生长发育规律，摸索出配套的培育技术和管理模式，为进一步推进国家储备林项目建设奠定基础。</w:t>
      </w:r>
    </w:p>
    <w:p>
      <w:pPr>
        <w:tabs>
          <w:tab w:val="left" w:pos="4170"/>
        </w:tabs>
        <w:spacing w:line="360" w:lineRule="auto"/>
        <w:ind w:firstLine="560" w:firstLineChars="200"/>
        <w:jc w:val="left"/>
        <w:rPr>
          <w:rFonts w:hint="eastAsia" w:ascii="仿宋_GB2312" w:hAnsi="宋体" w:eastAsia="仿宋_GB2312"/>
          <w:color w:val="000000"/>
          <w:sz w:val="28"/>
          <w:szCs w:val="28"/>
          <w:lang w:eastAsia="zh-CN"/>
        </w:rPr>
      </w:pPr>
      <w:r>
        <w:rPr>
          <w:rFonts w:hint="eastAsia" w:ascii="仿宋_GB2312" w:hAnsi="宋体" w:eastAsia="仿宋_GB2312"/>
          <w:color w:val="000000"/>
          <w:sz w:val="28"/>
          <w:szCs w:val="28"/>
        </w:rPr>
        <w:t>我场1000亩储备林分布于2个工区</w:t>
      </w:r>
      <w:r>
        <w:rPr>
          <w:rFonts w:hint="eastAsia" w:ascii="仿宋_GB2312" w:hAnsi="宋体" w:eastAsia="仿宋_GB2312"/>
          <w:color w:val="000000"/>
          <w:sz w:val="28"/>
          <w:szCs w:val="28"/>
          <w:lang w:val="en-US" w:eastAsia="zh-CN"/>
        </w:rPr>
        <w:t>7</w:t>
      </w:r>
      <w:r>
        <w:rPr>
          <w:rFonts w:hint="eastAsia" w:ascii="仿宋_GB2312" w:hAnsi="宋体" w:eastAsia="仿宋_GB2312"/>
          <w:color w:val="000000"/>
          <w:sz w:val="28"/>
          <w:szCs w:val="28"/>
        </w:rPr>
        <w:t>个小班。具体在：鼎山庙工区现有林改培</w:t>
      </w:r>
      <w:r>
        <w:rPr>
          <w:rFonts w:hint="eastAsia" w:ascii="仿宋_GB2312" w:hAnsi="宋体" w:eastAsia="仿宋_GB2312"/>
          <w:color w:val="000000"/>
          <w:sz w:val="28"/>
          <w:szCs w:val="28"/>
          <w:lang w:val="en-US" w:eastAsia="zh-CN"/>
        </w:rPr>
        <w:t>133</w:t>
      </w:r>
      <w:r>
        <w:rPr>
          <w:rFonts w:hint="eastAsia" w:ascii="仿宋_GB2312" w:hAnsi="宋体" w:eastAsia="仿宋_GB2312"/>
          <w:color w:val="000000"/>
          <w:sz w:val="28"/>
          <w:szCs w:val="28"/>
        </w:rPr>
        <w:t>亩，</w:t>
      </w:r>
      <w:r>
        <w:rPr>
          <w:rFonts w:hint="eastAsia" w:ascii="仿宋_GB2312" w:hAnsi="宋体" w:eastAsia="仿宋_GB2312"/>
          <w:color w:val="000000"/>
          <w:sz w:val="28"/>
          <w:szCs w:val="28"/>
          <w:lang w:val="en-US" w:eastAsia="zh-CN"/>
        </w:rPr>
        <w:t>3</w:t>
      </w:r>
      <w:r>
        <w:rPr>
          <w:rFonts w:hint="eastAsia" w:ascii="仿宋_GB2312" w:hAnsi="宋体" w:eastAsia="仿宋_GB2312"/>
          <w:color w:val="000000"/>
          <w:sz w:val="28"/>
          <w:szCs w:val="28"/>
        </w:rPr>
        <w:t>个小班；七女峰工区现有林改培</w:t>
      </w:r>
      <w:r>
        <w:rPr>
          <w:rFonts w:hint="eastAsia" w:ascii="仿宋_GB2312" w:hAnsi="宋体" w:eastAsia="仿宋_GB2312"/>
          <w:color w:val="000000"/>
          <w:sz w:val="28"/>
          <w:szCs w:val="28"/>
          <w:lang w:val="en-US" w:eastAsia="zh-CN"/>
        </w:rPr>
        <w:t>867</w:t>
      </w:r>
      <w:r>
        <w:rPr>
          <w:rFonts w:hint="eastAsia" w:ascii="仿宋_GB2312" w:hAnsi="宋体" w:eastAsia="仿宋_GB2312"/>
          <w:color w:val="000000"/>
          <w:sz w:val="28"/>
          <w:szCs w:val="28"/>
        </w:rPr>
        <w:t>亩，</w:t>
      </w:r>
      <w:r>
        <w:rPr>
          <w:rFonts w:hint="eastAsia" w:ascii="仿宋_GB2312" w:hAnsi="宋体" w:eastAsia="仿宋_GB2312"/>
          <w:color w:val="000000"/>
          <w:sz w:val="28"/>
          <w:szCs w:val="28"/>
          <w:lang w:val="en-US" w:eastAsia="zh-CN"/>
        </w:rPr>
        <w:t>4</w:t>
      </w:r>
      <w:r>
        <w:rPr>
          <w:rFonts w:hint="eastAsia" w:ascii="仿宋_GB2312" w:hAnsi="宋体" w:eastAsia="仿宋_GB2312"/>
          <w:color w:val="000000"/>
          <w:sz w:val="28"/>
          <w:szCs w:val="28"/>
        </w:rPr>
        <w:t>个小班。总投资223.02</w:t>
      </w:r>
      <w:r>
        <w:rPr>
          <w:rFonts w:hint="eastAsia" w:ascii="仿宋_GB2312" w:hAnsi="宋体" w:eastAsia="仿宋_GB2312"/>
          <w:color w:val="000000"/>
          <w:sz w:val="28"/>
          <w:szCs w:val="28"/>
        </w:rPr>
        <w:t xml:space="preserve">万元，其中中央财政投资 </w:t>
      </w:r>
      <w:r>
        <w:rPr>
          <w:rFonts w:hint="eastAsia" w:ascii="仿宋_GB2312" w:hAnsi="宋体" w:eastAsia="仿宋_GB2312"/>
          <w:color w:val="000000"/>
          <w:sz w:val="28"/>
          <w:szCs w:val="28"/>
          <w:lang w:val="en-US" w:eastAsia="zh-CN"/>
        </w:rPr>
        <w:t>8</w:t>
      </w:r>
      <w:r>
        <w:rPr>
          <w:rFonts w:hint="eastAsia" w:ascii="仿宋_GB2312" w:hAnsi="宋体" w:eastAsia="仿宋_GB2312"/>
          <w:color w:val="000000"/>
          <w:sz w:val="28"/>
          <w:szCs w:val="28"/>
        </w:rPr>
        <w:t>0 万元，地方配套自筹资金 1</w:t>
      </w:r>
      <w:r>
        <w:rPr>
          <w:rFonts w:hint="eastAsia" w:ascii="仿宋_GB2312" w:hAnsi="宋体" w:eastAsia="仿宋_GB2312"/>
          <w:color w:val="000000"/>
          <w:sz w:val="28"/>
          <w:szCs w:val="28"/>
          <w:lang w:val="en-US" w:eastAsia="zh-CN"/>
        </w:rPr>
        <w:t>4</w:t>
      </w:r>
      <w:r>
        <w:rPr>
          <w:rFonts w:hint="eastAsia" w:ascii="仿宋_GB2312" w:hAnsi="宋体" w:eastAsia="仿宋_GB2312"/>
          <w:color w:val="000000"/>
          <w:sz w:val="28"/>
          <w:szCs w:val="28"/>
        </w:rPr>
        <w:t>3.02万元。</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(二)项目绩效目标。</w:t>
      </w:r>
    </w:p>
    <w:p>
      <w:pPr>
        <w:tabs>
          <w:tab w:val="left" w:pos="4170"/>
        </w:tabs>
        <w:spacing w:line="360" w:lineRule="auto"/>
        <w:ind w:firstLine="560" w:firstLineChars="200"/>
        <w:jc w:val="left"/>
        <w:rPr>
          <w:rFonts w:hint="eastAsia" w:ascii="仿宋_GB2312" w:hAnsi="宋体" w:eastAsia="仿宋_GB2312"/>
          <w:color w:val="000000"/>
          <w:sz w:val="28"/>
          <w:szCs w:val="28"/>
          <w:lang w:eastAsia="zh-CN"/>
        </w:rPr>
      </w:pPr>
      <w:r>
        <w:rPr>
          <w:rFonts w:hint="eastAsia" w:ascii="仿宋_GB2312" w:hAnsi="宋体" w:eastAsia="仿宋_GB2312"/>
          <w:color w:val="000000"/>
          <w:sz w:val="28"/>
          <w:szCs w:val="28"/>
          <w:lang w:eastAsia="zh-CN"/>
        </w:rPr>
        <w:t>总体目标是在胜峰国有林场建设</w:t>
      </w:r>
      <w:r>
        <w:rPr>
          <w:rFonts w:hint="eastAsia" w:ascii="仿宋_GB2312" w:hAnsi="宋体" w:eastAsia="仿宋_GB2312"/>
          <w:color w:val="000000"/>
          <w:sz w:val="28"/>
          <w:szCs w:val="28"/>
          <w:lang w:val="en-US" w:eastAsia="zh-CN"/>
        </w:rPr>
        <w:t>3000亩的国家战略储备林场，</w:t>
      </w:r>
      <w:r>
        <w:rPr>
          <w:rFonts w:hint="eastAsia" w:ascii="仿宋_GB2312" w:hAnsi="宋体" w:eastAsia="仿宋_GB2312"/>
          <w:color w:val="000000"/>
          <w:sz w:val="28"/>
          <w:szCs w:val="28"/>
        </w:rPr>
        <w:t>通过采取择伐、间伐、补植、割灌、扩穴、施肥、修枝、应用优质苗木或容器苗局部整地栽植等技术措施，调整林分组成，提高林地土壤肥力，改善林地、林木生长条件，调整树种结构，提高林地、林分质</w:t>
      </w:r>
      <w:r>
        <w:rPr>
          <w:rFonts w:hint="eastAsia" w:ascii="仿宋_GB2312" w:hAnsi="宋体" w:eastAsia="仿宋_GB2312"/>
          <w:color w:val="000000"/>
          <w:sz w:val="28"/>
          <w:szCs w:val="28"/>
          <w:lang w:eastAsia="zh-CN"/>
        </w:rPr>
        <w:t>量和生长量，培育优质、高效的珍稀树种用材和大径材，实现国家储备林基地的立木培育目标和蓄积储备功能。</w:t>
      </w:r>
    </w:p>
    <w:p>
      <w:pPr>
        <w:tabs>
          <w:tab w:val="left" w:pos="4170"/>
        </w:tabs>
        <w:spacing w:line="360" w:lineRule="auto"/>
        <w:ind w:firstLine="560" w:firstLineChars="200"/>
        <w:jc w:val="left"/>
        <w:rPr>
          <w:rFonts w:hint="default" w:ascii="仿宋_GB2312" w:hAnsi="宋体" w:eastAsia="仿宋_GB2312"/>
          <w:color w:val="000000"/>
          <w:sz w:val="28"/>
          <w:szCs w:val="28"/>
          <w:lang w:val="en-US" w:eastAsia="zh-CN"/>
        </w:rPr>
      </w:pPr>
      <w:r>
        <w:rPr>
          <w:rFonts w:hint="eastAsia" w:ascii="仿宋_GB2312" w:hAnsi="宋体" w:eastAsia="仿宋_GB2312"/>
          <w:color w:val="000000"/>
          <w:sz w:val="28"/>
          <w:szCs w:val="28"/>
          <w:lang w:val="en-US" w:eastAsia="zh-CN"/>
        </w:rPr>
        <w:t>阶段性目标是2021年度建设1000亩国家战略储备林，</w:t>
      </w:r>
      <w:r>
        <w:rPr>
          <w:rFonts w:hint="eastAsia" w:ascii="仿宋_GB2312" w:hAnsi="宋体" w:eastAsia="仿宋_GB2312"/>
          <w:color w:val="000000"/>
          <w:sz w:val="28"/>
          <w:szCs w:val="28"/>
        </w:rPr>
        <w:t>形成</w:t>
      </w:r>
      <w:r>
        <w:rPr>
          <w:rFonts w:hint="eastAsia" w:ascii="仿宋_GB2312" w:hAnsi="宋体" w:eastAsia="仿宋_GB2312"/>
          <w:color w:val="000000"/>
          <w:sz w:val="28"/>
          <w:szCs w:val="28"/>
          <w:lang w:eastAsia="zh-CN"/>
        </w:rPr>
        <w:t>杉木</w:t>
      </w:r>
      <w:r>
        <w:rPr>
          <w:rFonts w:hint="eastAsia" w:ascii="仿宋_GB2312" w:hAnsi="宋体" w:eastAsia="仿宋_GB2312"/>
          <w:color w:val="000000"/>
          <w:sz w:val="28"/>
          <w:szCs w:val="28"/>
        </w:rPr>
        <w:t>+红豆杉+楠木+栎树</w:t>
      </w:r>
      <w:r>
        <w:rPr>
          <w:rFonts w:hint="eastAsia" w:ascii="仿宋_GB2312" w:hAnsi="宋体" w:eastAsia="仿宋_GB2312"/>
          <w:color w:val="000000"/>
          <w:sz w:val="28"/>
          <w:szCs w:val="28"/>
          <w:lang w:eastAsia="zh-CN"/>
        </w:rPr>
        <w:t>、</w:t>
      </w:r>
      <w:r>
        <w:rPr>
          <w:rFonts w:hint="eastAsia" w:ascii="仿宋_GB2312" w:hAnsi="宋体" w:eastAsia="仿宋_GB2312"/>
          <w:color w:val="000000"/>
          <w:sz w:val="28"/>
          <w:szCs w:val="28"/>
        </w:rPr>
        <w:t>酸枣（</w:t>
      </w:r>
      <w:r>
        <w:rPr>
          <w:rFonts w:hint="eastAsia" w:ascii="仿宋_GB2312" w:hAnsi="宋体" w:eastAsia="仿宋_GB2312"/>
          <w:color w:val="000000"/>
          <w:sz w:val="28"/>
          <w:szCs w:val="28"/>
          <w:lang w:eastAsia="zh-CN"/>
        </w:rPr>
        <w:t>樟树</w:t>
      </w:r>
      <w:r>
        <w:rPr>
          <w:rFonts w:hint="eastAsia" w:ascii="仿宋_GB2312" w:hAnsi="宋体" w:eastAsia="仿宋_GB2312"/>
          <w:color w:val="000000"/>
          <w:sz w:val="28"/>
          <w:szCs w:val="28"/>
        </w:rPr>
        <w:t>）+红豆杉+楠木+栎树等异龄复层混交结构。对改培项目林分采取割灌除草、修枝、抚育间伐和施肥等综合技术措施，促进林木及早成林、成材。</w:t>
      </w:r>
    </w:p>
    <w:p>
      <w:pPr>
        <w:tabs>
          <w:tab w:val="left" w:pos="4170"/>
        </w:tabs>
        <w:spacing w:line="360" w:lineRule="auto"/>
        <w:ind w:firstLine="560" w:firstLineChars="200"/>
        <w:jc w:val="left"/>
        <w:rPr>
          <w:rFonts w:hint="eastAsia" w:ascii="仿宋_GB2312" w:hAnsi="宋体" w:eastAsia="仿宋_GB2312"/>
          <w:color w:val="000000"/>
          <w:sz w:val="28"/>
          <w:szCs w:val="28"/>
          <w:lang w:val="en-US" w:eastAsia="zh-CN"/>
        </w:rPr>
      </w:pPr>
      <w:r>
        <w:rPr>
          <w:rFonts w:hint="eastAsia" w:ascii="仿宋_GB2312" w:hAnsi="宋体" w:eastAsia="仿宋_GB2312"/>
          <w:color w:val="000000"/>
          <w:sz w:val="28"/>
          <w:szCs w:val="28"/>
          <w:lang w:val="en-US" w:eastAsia="zh-CN"/>
        </w:rPr>
        <w:t>二、绩效评价工作开展情况</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(一)绩效评价目的、对象和范围。</w:t>
      </w:r>
    </w:p>
    <w:p>
      <w:pPr>
        <w:tabs>
          <w:tab w:val="left" w:pos="4170"/>
        </w:tabs>
        <w:spacing w:line="360" w:lineRule="auto"/>
        <w:ind w:firstLine="560" w:firstLineChars="200"/>
        <w:jc w:val="left"/>
        <w:rPr>
          <w:rFonts w:hint="default" w:ascii="仿宋_GB2312" w:hAnsi="宋体" w:eastAsia="仿宋_GB2312"/>
          <w:color w:val="000000"/>
          <w:sz w:val="28"/>
          <w:szCs w:val="28"/>
          <w:lang w:val="en-US" w:eastAsia="zh-CN"/>
        </w:rPr>
      </w:pPr>
      <w:r>
        <w:rPr>
          <w:rFonts w:hint="eastAsia" w:ascii="仿宋_GB2312" w:hAnsi="宋体" w:eastAsia="仿宋_GB2312"/>
          <w:color w:val="000000"/>
          <w:sz w:val="28"/>
          <w:szCs w:val="28"/>
          <w:lang w:eastAsia="zh-CN"/>
        </w:rPr>
        <w:t>绩效评价得目的是通过项目的实施评估，提高资金使用效率，达到预期的经济、生态、社会效益。对象是胜峰国有林场</w:t>
      </w:r>
      <w:r>
        <w:rPr>
          <w:rFonts w:hint="eastAsia" w:ascii="仿宋_GB2312" w:hAnsi="宋体" w:eastAsia="仿宋_GB2312"/>
          <w:color w:val="000000"/>
          <w:sz w:val="28"/>
          <w:szCs w:val="28"/>
          <w:lang w:val="en-US" w:eastAsia="zh-CN"/>
        </w:rPr>
        <w:t>2021年度国家储备林实施项目，对项目的决策、实施、管理、效益等方面进行评价.</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绩效评价原则、评价指标体系(附表说明)、评价方法、 评价标准等。</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绩效评价主要遵循绩效目标与部门预算相统一、定量分析与定性分析综合运用和绩效评价与财政监督相结合的原则，对</w:t>
      </w:r>
      <w:r>
        <w:rPr>
          <w:rFonts w:hint="eastAsia" w:ascii="仿宋_GB2312" w:hAnsi="宋体" w:eastAsia="仿宋_GB2312"/>
          <w:color w:val="000000"/>
          <w:sz w:val="28"/>
          <w:szCs w:val="28"/>
          <w:lang w:eastAsia="zh-CN"/>
        </w:rPr>
        <w:t>胜峰国有林场</w:t>
      </w:r>
      <w:r>
        <w:rPr>
          <w:rFonts w:hint="eastAsia" w:ascii="仿宋_GB2312" w:hAnsi="宋体" w:eastAsia="仿宋_GB2312"/>
          <w:color w:val="000000"/>
          <w:sz w:val="28"/>
          <w:szCs w:val="28"/>
        </w:rPr>
        <w:t>国家储备林基地项目绩效情况进行客观分析和评价。</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lang w:eastAsia="zh-CN"/>
        </w:rPr>
        <w:t>产出指标、效益指标和满意度指标</w:t>
      </w:r>
      <w:r>
        <w:rPr>
          <w:rFonts w:hint="eastAsia" w:ascii="仿宋_GB2312" w:hAnsi="宋体" w:eastAsia="仿宋_GB2312"/>
          <w:color w:val="000000"/>
          <w:sz w:val="28"/>
          <w:szCs w:val="28"/>
        </w:rPr>
        <w:t>等</w:t>
      </w:r>
      <w:r>
        <w:rPr>
          <w:rFonts w:hint="eastAsia" w:ascii="仿宋_GB2312" w:hAnsi="宋体" w:eastAsia="仿宋_GB2312"/>
          <w:color w:val="000000"/>
          <w:sz w:val="28"/>
          <w:szCs w:val="28"/>
          <w:lang w:eastAsia="zh-CN"/>
        </w:rPr>
        <w:t>三</w:t>
      </w:r>
      <w:r>
        <w:rPr>
          <w:rFonts w:hint="eastAsia" w:ascii="仿宋_GB2312" w:hAnsi="宋体" w:eastAsia="仿宋_GB2312"/>
          <w:color w:val="000000"/>
          <w:sz w:val="28"/>
          <w:szCs w:val="28"/>
        </w:rPr>
        <w:t>个方面的评价指标体系。满分100分。</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绩效评价工作过程。</w:t>
      </w:r>
    </w:p>
    <w:p>
      <w:pPr>
        <w:tabs>
          <w:tab w:val="left" w:pos="4170"/>
        </w:tabs>
        <w:spacing w:line="360" w:lineRule="auto"/>
        <w:ind w:firstLine="560" w:firstLineChars="200"/>
        <w:jc w:val="left"/>
        <w:rPr>
          <w:rFonts w:hint="eastAsia" w:ascii="仿宋_GB2312" w:hAnsi="宋体" w:eastAsia="仿宋_GB2312"/>
          <w:color w:val="000000"/>
          <w:sz w:val="28"/>
          <w:szCs w:val="28"/>
          <w:lang w:val="en-US" w:eastAsia="zh-CN"/>
        </w:rPr>
      </w:pPr>
      <w:r>
        <w:rPr>
          <w:rFonts w:hint="eastAsia" w:ascii="仿宋_GB2312" w:hAnsi="宋体" w:eastAsia="仿宋_GB2312"/>
          <w:color w:val="000000"/>
          <w:sz w:val="28"/>
          <w:szCs w:val="28"/>
          <w:lang w:val="en-US" w:eastAsia="zh-CN"/>
        </w:rPr>
        <w:t xml:space="preserve"> 1.前期准备工作，在开展现场评价工作前，安排确定现场工作时间，了解绩效目标设定、预算执行和自评情况，夯实各项基础工作。</w:t>
      </w:r>
    </w:p>
    <w:p>
      <w:pPr>
        <w:tabs>
          <w:tab w:val="left" w:pos="4170"/>
        </w:tabs>
        <w:spacing w:line="360" w:lineRule="auto"/>
        <w:ind w:firstLine="560" w:firstLineChars="200"/>
        <w:jc w:val="left"/>
        <w:rPr>
          <w:rFonts w:hint="eastAsia" w:ascii="仿宋_GB2312" w:hAnsi="宋体" w:eastAsia="仿宋_GB2312"/>
          <w:color w:val="000000"/>
          <w:sz w:val="28"/>
          <w:szCs w:val="28"/>
          <w:lang w:val="en-US" w:eastAsia="zh-CN"/>
        </w:rPr>
      </w:pPr>
      <w:r>
        <w:rPr>
          <w:rFonts w:hint="eastAsia" w:ascii="仿宋_GB2312" w:hAnsi="宋体" w:eastAsia="仿宋_GB2312"/>
          <w:color w:val="000000"/>
          <w:sz w:val="28"/>
          <w:szCs w:val="28"/>
          <w:lang w:val="en-US" w:eastAsia="zh-CN"/>
        </w:rPr>
        <w:t>2.收集基础资料，收集所需基础信息资料，包括项目基本概况、绩效评价自评表、专项资金文件和拨付指标文件、前期审批手续和项目方案等文件资料。</w:t>
      </w:r>
    </w:p>
    <w:p>
      <w:pPr>
        <w:tabs>
          <w:tab w:val="left" w:pos="4170"/>
        </w:tabs>
        <w:spacing w:line="360" w:lineRule="auto"/>
        <w:ind w:firstLine="560" w:firstLineChars="200"/>
        <w:jc w:val="left"/>
        <w:rPr>
          <w:rFonts w:hint="eastAsia" w:ascii="仿宋_GB2312" w:hAnsi="宋体" w:eastAsia="仿宋_GB2312"/>
          <w:color w:val="000000"/>
          <w:sz w:val="28"/>
          <w:szCs w:val="28"/>
          <w:lang w:val="en-US" w:eastAsia="zh-CN"/>
        </w:rPr>
      </w:pPr>
      <w:r>
        <w:rPr>
          <w:rFonts w:hint="eastAsia" w:ascii="仿宋_GB2312" w:hAnsi="宋体" w:eastAsia="仿宋_GB2312"/>
          <w:color w:val="000000"/>
          <w:sz w:val="28"/>
          <w:szCs w:val="28"/>
          <w:lang w:val="en-US" w:eastAsia="zh-CN"/>
        </w:rPr>
        <w:t>3.开展现场评价，通过检查提供的项资料和财务资料对绩效目标完成情况进行评价。对项目绩效管理有关情况和基础材料进行核实并形成评价结论。</w:t>
      </w:r>
    </w:p>
    <w:p>
      <w:pPr>
        <w:tabs>
          <w:tab w:val="left" w:pos="4170"/>
        </w:tabs>
        <w:spacing w:line="360" w:lineRule="auto"/>
        <w:ind w:firstLine="560" w:firstLineChars="200"/>
        <w:jc w:val="left"/>
        <w:rPr>
          <w:rFonts w:hint="default" w:ascii="仿宋_GB2312" w:hAnsi="宋体" w:eastAsia="仿宋_GB2312"/>
          <w:color w:val="000000"/>
          <w:sz w:val="28"/>
          <w:szCs w:val="28"/>
          <w:lang w:val="en-US" w:eastAsia="zh-CN"/>
        </w:rPr>
      </w:pPr>
      <w:r>
        <w:rPr>
          <w:rFonts w:hint="eastAsia" w:ascii="仿宋_GB2312" w:hAnsi="宋体" w:eastAsia="仿宋_GB2312"/>
          <w:color w:val="000000"/>
          <w:sz w:val="28"/>
          <w:szCs w:val="28"/>
          <w:lang w:val="en-US" w:eastAsia="zh-CN"/>
        </w:rPr>
        <w:t>4.撰写报告，按照规定的评价指标、评价标准和评价方法，对项目绩效情况进行定量、定性分析和综合评价，依据绩效目标完成情况，对项目进行评价打分，提出项目实施过程中存在的问题与建议，总结归纳形成初步评价结论并撰写报告。</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lang w:eastAsia="zh-CN"/>
        </w:rPr>
        <w:t>三、</w:t>
      </w:r>
      <w:r>
        <w:rPr>
          <w:rFonts w:hint="eastAsia" w:ascii="仿宋_GB2312" w:hAnsi="宋体" w:eastAsia="仿宋_GB2312"/>
          <w:color w:val="000000"/>
          <w:sz w:val="28"/>
          <w:szCs w:val="28"/>
        </w:rPr>
        <w:t>综合评价情况及评价结论</w:t>
      </w:r>
    </w:p>
    <w:p>
      <w:pPr>
        <w:tabs>
          <w:tab w:val="left" w:pos="4170"/>
        </w:tabs>
        <w:spacing w:line="360" w:lineRule="auto"/>
        <w:ind w:firstLine="560" w:firstLineChars="200"/>
        <w:jc w:val="left"/>
        <w:rPr>
          <w:rFonts w:hint="eastAsia" w:ascii="仿宋_GB2312" w:hAnsi="宋体" w:eastAsia="仿宋_GB2312"/>
          <w:color w:val="000000"/>
          <w:sz w:val="28"/>
          <w:szCs w:val="28"/>
          <w:lang w:val="en-US" w:eastAsia="zh-CN"/>
        </w:rPr>
      </w:pPr>
      <w:r>
        <w:rPr>
          <w:rFonts w:hint="eastAsia" w:ascii="仿宋_GB2312" w:hAnsi="宋体" w:eastAsia="仿宋_GB2312"/>
          <w:color w:val="000000"/>
          <w:sz w:val="28"/>
          <w:szCs w:val="28"/>
          <w:lang w:val="en-US" w:eastAsia="zh-CN"/>
        </w:rPr>
        <w:t xml:space="preserve">通过综合评价，华容县胜峰国有林场国家战略储备林建设项目的评价分值为 94 分。 </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四、绩效评价指标分析</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(一)项目决策情况。根据《湖南省国家木储备林建设规划（2018-2035）》等文件要求，我场在省、市、县林业主管部门的指导下，结合本场实际</w:t>
      </w:r>
      <w:r>
        <w:rPr>
          <w:rFonts w:hint="eastAsia" w:ascii="仿宋_GB2312" w:hAnsi="宋体" w:eastAsia="仿宋_GB2312"/>
          <w:color w:val="000000"/>
          <w:sz w:val="28"/>
          <w:szCs w:val="28"/>
          <w:lang w:eastAsia="zh-CN"/>
        </w:rPr>
        <w:t>计划开展项目实施</w:t>
      </w:r>
      <w:r>
        <w:rPr>
          <w:rFonts w:hint="eastAsia" w:ascii="仿宋_GB2312" w:hAnsi="宋体" w:eastAsia="仿宋_GB2312"/>
          <w:color w:val="000000"/>
          <w:sz w:val="28"/>
          <w:szCs w:val="28"/>
        </w:rPr>
        <w:t>。</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(二)项目过程情况。</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1、割灌除草。除去影响林木生长的杂草，砍除杂灌和非目的树种，保障林木合理的光、水、肥、气、热供给。</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2、合理间伐。对现有林分进行间伐，每亩保留50株左右，再在林下均匀栽植珍稀树种70株左右，10年后分批合理间伐上层林木，最终每亩保留70株</w:t>
      </w:r>
      <w:r>
        <w:rPr>
          <w:rFonts w:hint="eastAsia" w:ascii="仿宋_GB2312" w:hAnsi="宋体" w:eastAsia="仿宋_GB2312"/>
          <w:color w:val="000000"/>
          <w:sz w:val="28"/>
          <w:szCs w:val="28"/>
        </w:rPr>
        <w:t>左右珍稀树种作为定向培育</w:t>
      </w:r>
      <w:r>
        <w:rPr>
          <w:rFonts w:hint="eastAsia" w:ascii="仿宋_GB2312" w:hAnsi="宋体" w:eastAsia="仿宋_GB2312"/>
          <w:color w:val="000000"/>
          <w:sz w:val="28"/>
          <w:szCs w:val="28"/>
        </w:rPr>
        <w:t>。</w:t>
      </w:r>
    </w:p>
    <w:p>
      <w:pPr>
        <w:tabs>
          <w:tab w:val="left" w:pos="4170"/>
        </w:tabs>
        <w:spacing w:line="360" w:lineRule="auto"/>
        <w:ind w:firstLine="560" w:firstLineChars="200"/>
        <w:jc w:val="left"/>
        <w:rPr>
          <w:rFonts w:hint="eastAsia" w:ascii="仿宋_GB2312" w:hAnsi="宋体" w:eastAsia="仿宋_GB2312"/>
          <w:color w:val="000000"/>
          <w:sz w:val="28"/>
          <w:szCs w:val="28"/>
          <w:lang w:eastAsia="zh-CN"/>
        </w:rPr>
      </w:pPr>
      <w:r>
        <w:rPr>
          <w:rFonts w:hint="eastAsia" w:ascii="仿宋_GB2312" w:hAnsi="宋体" w:eastAsia="仿宋_GB2312"/>
          <w:color w:val="000000"/>
          <w:sz w:val="28"/>
          <w:szCs w:val="28"/>
        </w:rPr>
        <w:t>3、修枝整形。结合割灌除草或抚育间伐，在林木休眠期进行修枝，修除树冠下的死枝和病枝</w:t>
      </w:r>
      <w:r>
        <w:rPr>
          <w:rFonts w:hint="eastAsia" w:ascii="仿宋_GB2312" w:hAnsi="宋体" w:eastAsia="仿宋_GB2312"/>
          <w:color w:val="000000"/>
          <w:sz w:val="28"/>
          <w:szCs w:val="28"/>
          <w:lang w:eastAsia="zh-CN"/>
        </w:rPr>
        <w:t>。</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lang w:val="en-US" w:eastAsia="zh-CN"/>
        </w:rPr>
        <w:t>4</w:t>
      </w:r>
      <w:r>
        <w:rPr>
          <w:rFonts w:hint="eastAsia" w:ascii="仿宋_GB2312" w:hAnsi="宋体" w:eastAsia="仿宋_GB2312"/>
          <w:color w:val="000000"/>
          <w:sz w:val="28"/>
          <w:szCs w:val="28"/>
        </w:rPr>
        <w:t>、人工补植。在林下改造林分中均匀挖穴，酸枣、樟树、檫木林分改培南方红豆杉+楠木+栎树，所有种苗全部采用优良种源容器苗和实生苗。</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(三)项目产出情况。</w:t>
      </w:r>
    </w:p>
    <w:p>
      <w:pPr>
        <w:tabs>
          <w:tab w:val="left" w:pos="4170"/>
        </w:tabs>
        <w:spacing w:line="360" w:lineRule="auto"/>
        <w:ind w:firstLine="560" w:firstLineChars="200"/>
        <w:jc w:val="left"/>
        <w:rPr>
          <w:rFonts w:hint="eastAsia" w:ascii="仿宋_GB2312" w:hAnsi="宋体" w:eastAsia="仿宋_GB2312"/>
          <w:color w:val="000000"/>
          <w:sz w:val="28"/>
          <w:szCs w:val="28"/>
          <w:lang w:eastAsia="zh-CN"/>
        </w:rPr>
      </w:pPr>
      <w:r>
        <w:rPr>
          <w:rFonts w:hint="eastAsia" w:ascii="仿宋_GB2312" w:hAnsi="宋体" w:eastAsia="仿宋_GB2312"/>
          <w:color w:val="000000"/>
          <w:sz w:val="28"/>
          <w:szCs w:val="28"/>
        </w:rPr>
        <w:t>该项目建成后，8年左右均匀移植胸径8cm的珍稀树种活立木20-30株。10年后，通过合理择伐上层大径材杉木每亩30株，总计能生产木材2 m3</w:t>
      </w:r>
      <w:r>
        <w:rPr>
          <w:rFonts w:hint="eastAsia" w:ascii="仿宋_GB2312" w:hAnsi="宋体" w:eastAsia="仿宋_GB2312"/>
          <w:color w:val="000000"/>
          <w:sz w:val="28"/>
          <w:szCs w:val="28"/>
        </w:rPr>
        <w:t>，一个轮伐期后能生产珍稀树种大径材2万m3</w:t>
      </w:r>
      <w:r>
        <w:rPr>
          <w:rFonts w:hint="eastAsia" w:ascii="仿宋_GB2312" w:hAnsi="宋体" w:eastAsia="仿宋_GB2312"/>
          <w:color w:val="000000"/>
          <w:sz w:val="28"/>
          <w:szCs w:val="28"/>
        </w:rPr>
        <w:t>, 能有效缓解木材供需的结构性矛盾.</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主要经验及做法、存在的问题及原因分析</w:t>
      </w:r>
    </w:p>
    <w:p>
      <w:pPr>
        <w:tabs>
          <w:tab w:val="left" w:pos="4170"/>
        </w:tabs>
        <w:spacing w:line="360" w:lineRule="auto"/>
        <w:ind w:firstLine="560" w:firstLineChars="200"/>
        <w:jc w:val="left"/>
        <w:rPr>
          <w:rFonts w:hint="eastAsia" w:ascii="仿宋_GB2312" w:hAnsi="宋体" w:eastAsia="仿宋_GB2312"/>
          <w:color w:val="000000"/>
          <w:sz w:val="28"/>
          <w:szCs w:val="28"/>
          <w:lang w:eastAsia="zh-CN"/>
        </w:rPr>
      </w:pPr>
      <w:r>
        <w:rPr>
          <w:rFonts w:hint="eastAsia" w:ascii="仿宋_GB2312" w:hAnsi="宋体" w:eastAsia="仿宋_GB2312"/>
          <w:color w:val="000000"/>
          <w:sz w:val="28"/>
          <w:szCs w:val="28"/>
          <w:lang w:eastAsia="zh-CN"/>
        </w:rPr>
        <w:t>（一）主要的经验和做法：</w:t>
      </w:r>
    </w:p>
    <w:p>
      <w:pPr>
        <w:tabs>
          <w:tab w:val="left" w:pos="4170"/>
        </w:tabs>
        <w:spacing w:line="360" w:lineRule="auto"/>
        <w:ind w:firstLine="560" w:firstLineChars="200"/>
        <w:jc w:val="left"/>
        <w:rPr>
          <w:rFonts w:hint="eastAsia" w:ascii="仿宋_GB2312" w:hAnsi="宋体" w:eastAsia="仿宋_GB2312"/>
          <w:color w:val="000000"/>
          <w:sz w:val="28"/>
          <w:szCs w:val="28"/>
          <w:lang w:eastAsia="zh-CN"/>
        </w:rPr>
      </w:pPr>
      <w:r>
        <w:rPr>
          <w:rFonts w:hint="eastAsia" w:ascii="仿宋_GB2312" w:hAnsi="宋体" w:eastAsia="仿宋_GB2312"/>
          <w:color w:val="000000"/>
          <w:sz w:val="28"/>
          <w:szCs w:val="28"/>
          <w:lang w:val="en-US" w:eastAsia="zh-CN"/>
        </w:rPr>
        <w:t>1.</w:t>
      </w:r>
      <w:r>
        <w:rPr>
          <w:rFonts w:hint="eastAsia" w:ascii="仿宋_GB2312" w:hAnsi="宋体" w:eastAsia="仿宋_GB2312"/>
          <w:color w:val="000000"/>
          <w:sz w:val="28"/>
          <w:szCs w:val="28"/>
          <w:lang w:eastAsia="zh-CN"/>
        </w:rPr>
        <w:t>创新建设模式，转变项目管理方式，林场充分利用现有的森林资源核查手段，对基地进行跟踪监督，对项目分场列入重点管理，签订责任状，将业务人员的工资、奖金与造林成效直接挂钩，严格考核程序，确保项目工作成效显著。</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lang w:val="en-US" w:eastAsia="zh-CN"/>
        </w:rPr>
        <w:t>2.强化监督检查，切实提高培育质量，</w:t>
      </w:r>
      <w:r>
        <w:rPr>
          <w:rFonts w:hint="eastAsia" w:ascii="仿宋_GB2312" w:hAnsi="宋体" w:eastAsia="仿宋_GB2312"/>
          <w:color w:val="000000"/>
          <w:sz w:val="28"/>
          <w:szCs w:val="28"/>
        </w:rPr>
        <w:t>营林生产股具体负责基地建设的规划、质量检查督促、验收、实验数据的收集整理等。各相关工区负责项目施工。</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lang w:val="en-US" w:eastAsia="zh-CN"/>
        </w:rPr>
        <w:t>3.搞好科技推广，提高项目科技含量，</w:t>
      </w:r>
      <w:r>
        <w:rPr>
          <w:rFonts w:hint="eastAsia" w:ascii="仿宋_GB2312" w:hAnsi="宋体" w:eastAsia="仿宋_GB2312"/>
          <w:color w:val="000000"/>
          <w:sz w:val="28"/>
          <w:szCs w:val="28"/>
        </w:rPr>
        <w:t>我场有多年的杉木速生丰产林和杉木大径材培育经验，并拥有一大批各类技术干部7人，同时，与湖南省优质用材林工程研究中心有限公司合作，在遗传改良、测土配方、密度调节、修枝强度及时间、施肥种类及用量、间伐时间及强度等进一步探索。</w:t>
      </w:r>
    </w:p>
    <w:p>
      <w:pPr>
        <w:tabs>
          <w:tab w:val="left" w:pos="4170"/>
        </w:tabs>
        <w:spacing w:line="360" w:lineRule="auto"/>
        <w:ind w:firstLine="560" w:firstLineChars="200"/>
        <w:jc w:val="left"/>
        <w:rPr>
          <w:rFonts w:hint="eastAsia" w:ascii="仿宋_GB2312" w:hAnsi="宋体" w:eastAsia="仿宋_GB2312"/>
          <w:color w:val="000000"/>
          <w:sz w:val="28"/>
          <w:szCs w:val="28"/>
          <w:lang w:val="en-US" w:eastAsia="zh-CN"/>
        </w:rPr>
      </w:pPr>
      <w:r>
        <w:rPr>
          <w:rFonts w:hint="eastAsia" w:ascii="仿宋_GB2312" w:hAnsi="宋体" w:eastAsia="仿宋_GB2312"/>
          <w:color w:val="000000"/>
          <w:sz w:val="28"/>
          <w:szCs w:val="28"/>
          <w:lang w:val="en-US" w:eastAsia="zh-CN"/>
        </w:rPr>
        <w:t xml:space="preserve"> （二）存在的问题：</w:t>
      </w:r>
    </w:p>
    <w:p>
      <w:pPr>
        <w:tabs>
          <w:tab w:val="left" w:pos="4170"/>
        </w:tabs>
        <w:spacing w:line="360" w:lineRule="auto"/>
        <w:ind w:firstLine="560" w:firstLineChars="200"/>
        <w:jc w:val="left"/>
        <w:rPr>
          <w:rFonts w:hint="eastAsia" w:ascii="仿宋_GB2312" w:hAnsi="宋体" w:eastAsia="仿宋_GB2312"/>
          <w:color w:val="000000"/>
          <w:sz w:val="28"/>
          <w:szCs w:val="28"/>
          <w:lang w:val="en-US" w:eastAsia="zh-CN"/>
        </w:rPr>
      </w:pPr>
      <w:r>
        <w:rPr>
          <w:rFonts w:hint="eastAsia" w:ascii="仿宋_GB2312" w:hAnsi="宋体" w:eastAsia="仿宋_GB2312"/>
          <w:color w:val="000000"/>
          <w:sz w:val="28"/>
          <w:szCs w:val="28"/>
          <w:lang w:val="en-US" w:eastAsia="zh-CN"/>
        </w:rPr>
        <w:t>1.资金方面：项目在实施过程中省市县配套资金不足，使项目实施过程中受到制约。</w:t>
      </w:r>
    </w:p>
    <w:p>
      <w:pPr>
        <w:tabs>
          <w:tab w:val="left" w:pos="4170"/>
        </w:tabs>
        <w:spacing w:line="360" w:lineRule="auto"/>
        <w:ind w:firstLine="560" w:firstLineChars="200"/>
        <w:jc w:val="left"/>
        <w:rPr>
          <w:rFonts w:hint="eastAsia" w:ascii="仿宋_GB2312" w:hAnsi="宋体" w:eastAsia="仿宋_GB2312"/>
          <w:color w:val="000000"/>
          <w:sz w:val="28"/>
          <w:szCs w:val="28"/>
          <w:lang w:val="en-US" w:eastAsia="zh-CN"/>
        </w:rPr>
      </w:pPr>
      <w:r>
        <w:rPr>
          <w:rFonts w:hint="eastAsia" w:ascii="仿宋_GB2312" w:hAnsi="宋体" w:eastAsia="仿宋_GB2312"/>
          <w:color w:val="000000"/>
          <w:sz w:val="28"/>
          <w:szCs w:val="28"/>
          <w:lang w:val="en-US" w:eastAsia="zh-CN"/>
        </w:rPr>
        <w:t>2.技术方面：基层技术人员配备不够，技术人员的继续教育和培训项目不足，导致在技术上较为落后。</w:t>
      </w:r>
    </w:p>
    <w:p>
      <w:pPr>
        <w:autoSpaceDE w:val="0"/>
        <w:autoSpaceDN w:val="0"/>
        <w:adjustRightInd w:val="0"/>
        <w:spacing w:line="360" w:lineRule="auto"/>
        <w:ind w:firstLine="640" w:firstLineChars="200"/>
        <w:rPr>
          <w:rFonts w:hint="eastAsia" w:ascii="Times New Roman" w:hAnsi="Times New Roman" w:eastAsia="黑体" w:cs="Times New Roman"/>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9"/>
        <w:tblW w:w="9851" w:type="dxa"/>
        <w:jc w:val="center"/>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2020年</w:t>
            </w:r>
            <w:r>
              <w:rPr>
                <w:rFonts w:hint="eastAsia" w:eastAsia="仿宋_GB2312" w:cs="Times New Roman"/>
                <w:color w:val="000000"/>
                <w:sz w:val="20"/>
                <w:szCs w:val="20"/>
                <w:lang w:eastAsia="zh-CN"/>
              </w:rPr>
              <w:t>森林质量精准提</w:t>
            </w:r>
            <w:r>
              <w:rPr>
                <w:rFonts w:hint="eastAsia" w:eastAsia="仿宋_GB2312" w:cs="Times New Roman"/>
                <w:color w:val="000000"/>
                <w:sz w:val="20"/>
                <w:szCs w:val="20"/>
                <w:lang w:val="en-US" w:eastAsia="zh-CN"/>
              </w:rPr>
              <w:t>升项目</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华容县林业局</w:t>
            </w:r>
          </w:p>
        </w:tc>
        <w:tc>
          <w:tcPr>
            <w:tcW w:w="113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华容县胜峰国有林场</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项目资金</w:t>
            </w:r>
            <w:r>
              <w:rPr>
                <w:rFonts w:hint="default" w:ascii="Times New Roman" w:hAnsi="Times New Roman" w:eastAsia="仿宋_GB2312" w:cs="Times New Roman"/>
                <w:color w:val="000000"/>
                <w:sz w:val="20"/>
                <w:szCs w:val="20"/>
              </w:rPr>
              <w:br w:type="textWrapping"/>
            </w:r>
            <w:r>
              <w:rPr>
                <w:rFonts w:hint="default" w:ascii="Times New Roman" w:hAnsi="Times New Roman" w:eastAsia="仿宋_GB2312" w:cs="Times New Roman"/>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CellMar>
            <w:top w:w="0" w:type="dxa"/>
            <w:left w:w="108" w:type="dxa"/>
            <w:bottom w:w="0" w:type="dxa"/>
            <w:right w:w="108" w:type="dxa"/>
          </w:tblCellMar>
        </w:tblPrEx>
        <w:trPr>
          <w:trHeight w:val="245"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60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60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60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其中：当年财政拨款</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60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宋体"/>
                <w:sz w:val="15"/>
                <w:szCs w:val="15"/>
                <w:lang w:eastAsia="zh-CN"/>
              </w:rPr>
              <w:t>现有林改培面积（亩）</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2000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2000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224" w:type="dxa"/>
            <w:tcBorders>
              <w:top w:val="nil"/>
              <w:left w:val="nil"/>
              <w:bottom w:val="single" w:color="auto" w:sz="4" w:space="0"/>
              <w:right w:val="single" w:color="auto" w:sz="4" w:space="0"/>
            </w:tcBorders>
            <w:noWrap w:val="0"/>
            <w:vAlign w:val="top"/>
          </w:tcPr>
          <w:p>
            <w:pPr>
              <w:spacing w:line="205" w:lineRule="exact"/>
              <w:rPr>
                <w:rFonts w:hint="default" w:ascii="Arial" w:hAnsi="Times New Roman" w:eastAsia="宋体" w:cs="Times New Roman"/>
                <w:kern w:val="2"/>
                <w:sz w:val="15"/>
                <w:szCs w:val="15"/>
                <w:lang w:val="en-US" w:eastAsia="zh-CN" w:bidi="ar-SA"/>
              </w:rPr>
            </w:pPr>
            <w:r>
              <w:rPr>
                <w:rFonts w:hint="eastAsia" w:eastAsia="宋体"/>
                <w:sz w:val="15"/>
                <w:szCs w:val="15"/>
                <w:lang w:eastAsia="zh-CN"/>
              </w:rPr>
              <w:t>现有林改培面积完成率</w:t>
            </w:r>
          </w:p>
        </w:tc>
        <w:tc>
          <w:tcPr>
            <w:tcW w:w="1134" w:type="dxa"/>
            <w:tcBorders>
              <w:top w:val="nil"/>
              <w:left w:val="nil"/>
              <w:bottom w:val="single" w:color="auto" w:sz="4" w:space="0"/>
              <w:right w:val="single" w:color="auto" w:sz="4" w:space="0"/>
            </w:tcBorders>
            <w:noWrap w:val="0"/>
            <w:vAlign w:val="top"/>
          </w:tcPr>
          <w:p>
            <w:pPr>
              <w:spacing w:line="205" w:lineRule="exact"/>
              <w:rPr>
                <w:rFonts w:hint="default" w:ascii="Arial" w:hAnsi="Times New Roman" w:eastAsia="宋体" w:cs="Times New Roman"/>
                <w:kern w:val="2"/>
                <w:sz w:val="15"/>
                <w:szCs w:val="15"/>
                <w:lang w:val="en-US" w:eastAsia="zh-CN" w:bidi="ar-SA"/>
              </w:rPr>
            </w:pPr>
            <w:r>
              <w:rPr>
                <w:rFonts w:hint="default" w:ascii="Arial" w:hAnsi="Arial" w:cs="Arial"/>
                <w:sz w:val="16"/>
                <w:szCs w:val="16"/>
              </w:rPr>
              <w:t>≥</w:t>
            </w:r>
            <w:r>
              <w:rPr>
                <w:rFonts w:hint="eastAsia" w:ascii="Arial" w:hAnsi="Arial" w:eastAsia="宋体" w:cs="Arial"/>
                <w:sz w:val="16"/>
                <w:szCs w:val="16"/>
                <w:lang w:val="en-US" w:eastAsia="zh-CN"/>
              </w:rPr>
              <w:t>95</w:t>
            </w:r>
            <w:r>
              <w:rPr>
                <w:rFonts w:hint="eastAsia" w:eastAsia="宋体"/>
                <w:sz w:val="16"/>
                <w:szCs w:val="16"/>
                <w:lang w:val="en-US" w:eastAsia="zh-CN"/>
              </w:rPr>
              <w:t>%</w:t>
            </w:r>
          </w:p>
        </w:tc>
        <w:tc>
          <w:tcPr>
            <w:tcW w:w="1134" w:type="dxa"/>
            <w:tcBorders>
              <w:top w:val="nil"/>
              <w:left w:val="nil"/>
              <w:bottom w:val="single" w:color="auto" w:sz="4" w:space="0"/>
              <w:right w:val="single" w:color="auto" w:sz="4" w:space="0"/>
            </w:tcBorders>
            <w:noWrap w:val="0"/>
            <w:vAlign w:val="top"/>
          </w:tcPr>
          <w:p>
            <w:pPr>
              <w:spacing w:line="205" w:lineRule="exact"/>
              <w:rPr>
                <w:rFonts w:hint="default" w:ascii="Arial" w:hAnsi="Times New Roman" w:eastAsia="宋体" w:cs="Times New Roman"/>
                <w:kern w:val="2"/>
                <w:sz w:val="15"/>
                <w:szCs w:val="15"/>
                <w:lang w:val="en-US" w:eastAsia="zh-CN" w:bidi="ar-SA"/>
              </w:rPr>
            </w:pPr>
            <w:r>
              <w:rPr>
                <w:rFonts w:hint="eastAsia"/>
                <w:sz w:val="15"/>
                <w:szCs w:val="15"/>
                <w:lang w:val="en-US" w:eastAsia="zh-CN"/>
              </w:rPr>
              <w:t>100</w:t>
            </w:r>
            <w:r>
              <w:rPr>
                <w:rFonts w:hint="eastAsia" w:eastAsia="宋体"/>
                <w:sz w:val="15"/>
                <w:szCs w:val="15"/>
                <w:lang w:val="en-US" w:eastAsia="zh-CN"/>
              </w:rPr>
              <w:t>%</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top"/>
          </w:tcPr>
          <w:p>
            <w:pPr>
              <w:spacing w:line="195" w:lineRule="exact"/>
              <w:rPr>
                <w:rFonts w:hint="default" w:ascii="Arial" w:hAnsi="Times New Roman" w:eastAsia="宋体" w:cs="Times New Roman"/>
                <w:kern w:val="2"/>
                <w:sz w:val="15"/>
                <w:szCs w:val="15"/>
                <w:lang w:val="en-US" w:eastAsia="zh-CN" w:bidi="ar-SA"/>
              </w:rPr>
            </w:pPr>
            <w:r>
              <w:rPr>
                <w:rFonts w:hint="eastAsia" w:eastAsia="宋体"/>
                <w:sz w:val="15"/>
                <w:szCs w:val="15"/>
                <w:lang w:eastAsia="zh-CN"/>
              </w:rPr>
              <w:t>现有林改培质量合格率</w:t>
            </w:r>
          </w:p>
        </w:tc>
        <w:tc>
          <w:tcPr>
            <w:tcW w:w="1134" w:type="dxa"/>
            <w:tcBorders>
              <w:top w:val="nil"/>
              <w:left w:val="nil"/>
              <w:bottom w:val="single" w:color="auto" w:sz="4" w:space="0"/>
              <w:right w:val="single" w:color="auto" w:sz="4" w:space="0"/>
            </w:tcBorders>
            <w:noWrap w:val="0"/>
            <w:vAlign w:val="top"/>
          </w:tcPr>
          <w:p>
            <w:pPr>
              <w:spacing w:line="195" w:lineRule="exact"/>
              <w:rPr>
                <w:rFonts w:hint="default" w:ascii="Arial" w:hAnsi="Times New Roman" w:eastAsia="宋体" w:cs="Times New Roman"/>
                <w:kern w:val="2"/>
                <w:sz w:val="15"/>
                <w:szCs w:val="15"/>
                <w:lang w:val="en-US" w:eastAsia="zh-CN" w:bidi="ar-SA"/>
              </w:rPr>
            </w:pPr>
            <w:r>
              <w:rPr>
                <w:rFonts w:hint="default" w:ascii="Arial" w:hAnsi="Arial" w:cs="Arial"/>
                <w:sz w:val="16"/>
                <w:szCs w:val="16"/>
              </w:rPr>
              <w:t>≥</w:t>
            </w:r>
            <w:r>
              <w:rPr>
                <w:rFonts w:hint="eastAsia" w:ascii="Arial" w:hAnsi="Arial" w:eastAsia="宋体" w:cs="Arial"/>
                <w:sz w:val="16"/>
                <w:szCs w:val="16"/>
                <w:lang w:val="en-US" w:eastAsia="zh-CN"/>
              </w:rPr>
              <w:t>9</w:t>
            </w:r>
            <w:r>
              <w:rPr>
                <w:rFonts w:hint="eastAsia" w:eastAsia="宋体" w:cs="Arial"/>
                <w:sz w:val="16"/>
                <w:szCs w:val="16"/>
                <w:lang w:val="en-US" w:eastAsia="zh-CN"/>
              </w:rPr>
              <w:t>0</w:t>
            </w:r>
            <w:r>
              <w:rPr>
                <w:rFonts w:hint="eastAsia" w:eastAsia="宋体"/>
                <w:sz w:val="16"/>
                <w:szCs w:val="16"/>
                <w:lang w:val="en-US" w:eastAsia="zh-CN"/>
              </w:rPr>
              <w:t>%</w:t>
            </w:r>
          </w:p>
        </w:tc>
        <w:tc>
          <w:tcPr>
            <w:tcW w:w="1134" w:type="dxa"/>
            <w:tcBorders>
              <w:top w:val="nil"/>
              <w:left w:val="nil"/>
              <w:bottom w:val="single" w:color="auto" w:sz="4" w:space="0"/>
              <w:right w:val="single" w:color="auto" w:sz="4" w:space="0"/>
            </w:tcBorders>
            <w:noWrap w:val="0"/>
            <w:vAlign w:val="top"/>
          </w:tcPr>
          <w:p>
            <w:pPr>
              <w:spacing w:line="195" w:lineRule="exact"/>
              <w:rPr>
                <w:rFonts w:hint="default" w:ascii="Arial" w:hAnsi="Times New Roman" w:eastAsia="宋体" w:cs="Times New Roman"/>
                <w:kern w:val="2"/>
                <w:sz w:val="15"/>
                <w:szCs w:val="15"/>
                <w:lang w:val="en-US" w:eastAsia="zh-CN" w:bidi="ar-SA"/>
              </w:rPr>
            </w:pPr>
            <w:r>
              <w:rPr>
                <w:rFonts w:hint="eastAsia" w:ascii="Arial" w:hAnsi="Arial" w:eastAsia="宋体" w:cs="Arial"/>
                <w:sz w:val="16"/>
                <w:szCs w:val="16"/>
                <w:lang w:val="en-US" w:eastAsia="zh-CN"/>
              </w:rPr>
              <w:t>95</w:t>
            </w:r>
            <w:r>
              <w:rPr>
                <w:rFonts w:hint="eastAsia" w:eastAsia="宋体"/>
                <w:sz w:val="16"/>
                <w:szCs w:val="16"/>
                <w:lang w:val="en-US" w:eastAsia="zh-CN"/>
              </w:rPr>
              <w:t>%</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224" w:type="dxa"/>
            <w:tcBorders>
              <w:top w:val="nil"/>
              <w:left w:val="nil"/>
              <w:bottom w:val="single" w:color="auto" w:sz="4" w:space="0"/>
              <w:right w:val="single" w:color="auto" w:sz="4" w:space="0"/>
            </w:tcBorders>
            <w:noWrap w:val="0"/>
            <w:vAlign w:val="top"/>
          </w:tcPr>
          <w:p>
            <w:pPr>
              <w:spacing w:line="205" w:lineRule="exact"/>
              <w:rPr>
                <w:rFonts w:hint="default" w:ascii="Arial" w:hAnsi="Times New Roman" w:eastAsia="宋体" w:cs="Times New Roman"/>
                <w:kern w:val="2"/>
                <w:sz w:val="15"/>
                <w:szCs w:val="15"/>
                <w:lang w:val="en-US" w:eastAsia="zh-CN" w:bidi="ar-SA"/>
              </w:rPr>
            </w:pPr>
            <w:r>
              <w:rPr>
                <w:rFonts w:hint="eastAsia" w:eastAsia="宋体"/>
                <w:sz w:val="16"/>
                <w:szCs w:val="16"/>
                <w:lang w:val="en-US" w:eastAsia="zh-CN"/>
              </w:rPr>
              <w:t>现有林改培当期任务完成率</w:t>
            </w:r>
          </w:p>
        </w:tc>
        <w:tc>
          <w:tcPr>
            <w:tcW w:w="1134" w:type="dxa"/>
            <w:tcBorders>
              <w:top w:val="nil"/>
              <w:left w:val="nil"/>
              <w:bottom w:val="single" w:color="auto" w:sz="4" w:space="0"/>
              <w:right w:val="single" w:color="auto" w:sz="4" w:space="0"/>
            </w:tcBorders>
            <w:noWrap w:val="0"/>
            <w:vAlign w:val="top"/>
          </w:tcPr>
          <w:p>
            <w:pPr>
              <w:spacing w:line="205" w:lineRule="exact"/>
              <w:rPr>
                <w:rFonts w:hint="default" w:ascii="Arial" w:hAnsi="Arial" w:eastAsia="宋体" w:cs="Arial"/>
                <w:snapToGrid w:val="0"/>
                <w:color w:val="000000"/>
                <w:kern w:val="0"/>
                <w:sz w:val="16"/>
                <w:szCs w:val="16"/>
                <w:lang w:val="en-US" w:eastAsia="zh-CN" w:bidi="ar-SA"/>
              </w:rPr>
            </w:pPr>
            <w:r>
              <w:rPr>
                <w:rFonts w:hint="default" w:ascii="Arial" w:hAnsi="Arial" w:cs="Arial"/>
                <w:sz w:val="16"/>
                <w:szCs w:val="16"/>
              </w:rPr>
              <w:t>≥</w:t>
            </w:r>
            <w:r>
              <w:rPr>
                <w:rFonts w:hint="eastAsia" w:ascii="Arial" w:hAnsi="Arial" w:eastAsia="宋体" w:cs="Arial"/>
                <w:sz w:val="16"/>
                <w:szCs w:val="16"/>
                <w:lang w:val="en-US" w:eastAsia="zh-CN"/>
              </w:rPr>
              <w:t>95</w:t>
            </w:r>
            <w:r>
              <w:rPr>
                <w:rFonts w:hint="eastAsia" w:eastAsia="宋体"/>
                <w:sz w:val="16"/>
                <w:szCs w:val="16"/>
                <w:lang w:val="en-US" w:eastAsia="zh-CN"/>
              </w:rPr>
              <w:t>%</w:t>
            </w:r>
          </w:p>
        </w:tc>
        <w:tc>
          <w:tcPr>
            <w:tcW w:w="1134" w:type="dxa"/>
            <w:tcBorders>
              <w:top w:val="nil"/>
              <w:left w:val="nil"/>
              <w:bottom w:val="single" w:color="auto" w:sz="4" w:space="0"/>
              <w:right w:val="single" w:color="auto" w:sz="4" w:space="0"/>
            </w:tcBorders>
            <w:noWrap w:val="0"/>
            <w:vAlign w:val="top"/>
          </w:tcPr>
          <w:p>
            <w:pPr>
              <w:spacing w:line="205" w:lineRule="exact"/>
              <w:rPr>
                <w:rFonts w:hint="default" w:ascii="Arial" w:hAnsi="Arial" w:eastAsia="宋体" w:cs="Arial"/>
                <w:snapToGrid w:val="0"/>
                <w:color w:val="000000"/>
                <w:kern w:val="0"/>
                <w:sz w:val="16"/>
                <w:szCs w:val="16"/>
                <w:lang w:val="en-US" w:eastAsia="zh-CN" w:bidi="ar-SA"/>
              </w:rPr>
            </w:pPr>
            <w:r>
              <w:rPr>
                <w:rFonts w:hint="eastAsia" w:eastAsia="宋体"/>
                <w:sz w:val="16"/>
                <w:szCs w:val="16"/>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224" w:type="dxa"/>
            <w:tcBorders>
              <w:top w:val="nil"/>
              <w:left w:val="nil"/>
              <w:bottom w:val="single" w:color="auto" w:sz="4" w:space="0"/>
              <w:right w:val="single" w:color="auto" w:sz="4" w:space="0"/>
            </w:tcBorders>
            <w:noWrap w:val="0"/>
            <w:vAlign w:val="top"/>
          </w:tcPr>
          <w:p>
            <w:pPr>
              <w:spacing w:line="195" w:lineRule="exact"/>
              <w:rPr>
                <w:rFonts w:hint="default" w:ascii="Arial" w:hAnsi="Times New Roman" w:eastAsia="宋体" w:cs="Times New Roman"/>
                <w:kern w:val="2"/>
                <w:sz w:val="15"/>
                <w:szCs w:val="15"/>
                <w:lang w:val="en-US" w:eastAsia="zh-CN" w:bidi="ar-SA"/>
              </w:rPr>
            </w:pPr>
            <w:r>
              <w:rPr>
                <w:rFonts w:hint="eastAsia" w:eastAsia="宋体"/>
                <w:sz w:val="15"/>
                <w:szCs w:val="15"/>
                <w:lang w:eastAsia="zh-CN"/>
              </w:rPr>
              <w:t>木材战略储备林中央财政补助标准（元</w:t>
            </w:r>
            <w:r>
              <w:rPr>
                <w:rFonts w:hint="eastAsia" w:eastAsia="宋体"/>
                <w:sz w:val="15"/>
                <w:szCs w:val="15"/>
                <w:lang w:val="en-US" w:eastAsia="zh-CN"/>
              </w:rPr>
              <w:t>/亩）</w:t>
            </w:r>
          </w:p>
        </w:tc>
        <w:tc>
          <w:tcPr>
            <w:tcW w:w="1134" w:type="dxa"/>
            <w:tcBorders>
              <w:top w:val="nil"/>
              <w:left w:val="nil"/>
              <w:bottom w:val="single" w:color="auto" w:sz="4" w:space="0"/>
              <w:right w:val="single" w:color="auto" w:sz="4" w:space="0"/>
            </w:tcBorders>
            <w:noWrap w:val="0"/>
            <w:vAlign w:val="top"/>
          </w:tcPr>
          <w:p>
            <w:pPr>
              <w:spacing w:line="195" w:lineRule="exact"/>
              <w:rPr>
                <w:rFonts w:hint="default" w:ascii="Arial" w:hAnsi="Times New Roman" w:eastAsia="宋体" w:cs="Times New Roman"/>
                <w:kern w:val="2"/>
                <w:sz w:val="15"/>
                <w:szCs w:val="15"/>
                <w:lang w:val="en-US" w:eastAsia="zh-CN" w:bidi="ar-SA"/>
              </w:rPr>
            </w:pPr>
            <w:r>
              <w:rPr>
                <w:rFonts w:hint="eastAsia"/>
                <w:sz w:val="15"/>
                <w:szCs w:val="15"/>
                <w:lang w:val="en-US" w:eastAsia="zh-CN"/>
              </w:rPr>
              <w:t>5</w:t>
            </w:r>
            <w:r>
              <w:rPr>
                <w:rFonts w:hint="eastAsia" w:eastAsia="宋体"/>
                <w:sz w:val="15"/>
                <w:szCs w:val="15"/>
                <w:lang w:val="en-US" w:eastAsia="zh-CN"/>
              </w:rPr>
              <w:t>00</w:t>
            </w:r>
          </w:p>
        </w:tc>
        <w:tc>
          <w:tcPr>
            <w:tcW w:w="1134" w:type="dxa"/>
            <w:tcBorders>
              <w:top w:val="nil"/>
              <w:left w:val="nil"/>
              <w:bottom w:val="single" w:color="auto" w:sz="4" w:space="0"/>
              <w:right w:val="single" w:color="auto" w:sz="4" w:space="0"/>
            </w:tcBorders>
            <w:noWrap w:val="0"/>
            <w:vAlign w:val="top"/>
          </w:tcPr>
          <w:p>
            <w:pPr>
              <w:spacing w:line="195" w:lineRule="exact"/>
              <w:rPr>
                <w:rFonts w:hint="default" w:ascii="Arial" w:hAnsi="Times New Roman" w:eastAsia="宋体" w:cs="Times New Roman"/>
                <w:kern w:val="2"/>
                <w:sz w:val="15"/>
                <w:szCs w:val="15"/>
                <w:lang w:val="en-US" w:eastAsia="zh-CN" w:bidi="ar-SA"/>
              </w:rPr>
            </w:pPr>
            <w:r>
              <w:rPr>
                <w:rFonts w:hint="eastAsia"/>
                <w:sz w:val="15"/>
                <w:szCs w:val="15"/>
                <w:lang w:val="en-US" w:eastAsia="zh-CN"/>
              </w:rPr>
              <w:t>5</w:t>
            </w:r>
            <w:r>
              <w:rPr>
                <w:rFonts w:hint="eastAsia" w:eastAsia="宋体"/>
                <w:sz w:val="15"/>
                <w:szCs w:val="15"/>
                <w:lang w:val="en-US" w:eastAsia="zh-CN"/>
              </w:rPr>
              <w:t>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宋体"/>
                <w:sz w:val="15"/>
                <w:szCs w:val="15"/>
                <w:lang w:eastAsia="zh-CN"/>
              </w:rPr>
              <w:t>间伐木材收入（元</w:t>
            </w:r>
            <w:r>
              <w:rPr>
                <w:rFonts w:hint="eastAsia" w:eastAsia="宋体"/>
                <w:sz w:val="15"/>
                <w:szCs w:val="15"/>
                <w:lang w:val="en-US" w:eastAsia="zh-CN"/>
              </w:rPr>
              <w:t>/亩）</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宋体"/>
                <w:sz w:val="15"/>
                <w:szCs w:val="15"/>
                <w:lang w:eastAsia="zh-CN"/>
              </w:rPr>
              <w:t>现有林改培带动就业人数（人）</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60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60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宋体"/>
                <w:sz w:val="15"/>
                <w:szCs w:val="15"/>
                <w:lang w:eastAsia="zh-CN"/>
              </w:rPr>
              <w:t>森林资源培育对生态环境改善情况（是否明显）</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宋体"/>
                <w:sz w:val="15"/>
                <w:szCs w:val="15"/>
                <w:lang w:eastAsia="zh-CN"/>
              </w:rPr>
              <w:t>明显</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宋体"/>
                <w:sz w:val="15"/>
                <w:szCs w:val="15"/>
                <w:lang w:eastAsia="zh-CN"/>
              </w:rPr>
              <w:t>明显</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4</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影响指标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宋体"/>
                <w:sz w:val="15"/>
                <w:szCs w:val="15"/>
                <w:lang w:eastAsia="zh-CN"/>
              </w:rPr>
              <w:t>森林资源培育是否维护林区稳定</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line="205" w:lineRule="exact"/>
              <w:rPr>
                <w:rFonts w:hint="default" w:ascii="Arial" w:hAnsi="Times New Roman" w:eastAsia="宋体" w:cs="Times New Roman"/>
                <w:kern w:val="2"/>
                <w:sz w:val="15"/>
                <w:szCs w:val="15"/>
                <w:lang w:val="en-US" w:eastAsia="zh-CN" w:bidi="ar-SA"/>
              </w:rPr>
            </w:pPr>
            <w:r>
              <w:rPr>
                <w:rFonts w:hint="eastAsia" w:eastAsia="宋体"/>
                <w:sz w:val="15"/>
                <w:szCs w:val="15"/>
                <w:lang w:eastAsia="zh-CN"/>
              </w:rPr>
              <w:t>是</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line="205" w:lineRule="exact"/>
              <w:rPr>
                <w:rFonts w:hint="default" w:ascii="Arial" w:hAnsi="Times New Roman" w:eastAsia="宋体" w:cs="Times New Roman"/>
                <w:kern w:val="2"/>
                <w:sz w:val="15"/>
                <w:szCs w:val="15"/>
                <w:lang w:val="en-US" w:eastAsia="zh-CN" w:bidi="ar-SA"/>
              </w:rPr>
            </w:pPr>
            <w:r>
              <w:rPr>
                <w:rFonts w:hint="eastAsia" w:eastAsia="宋体"/>
                <w:sz w:val="15"/>
                <w:szCs w:val="15"/>
                <w:lang w:eastAsia="zh-CN"/>
              </w:rPr>
              <w:t>是</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4</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宋体"/>
                <w:sz w:val="15"/>
                <w:szCs w:val="15"/>
                <w:lang w:eastAsia="zh-CN"/>
              </w:rPr>
              <w:t>改培推进林业可持续发展（是否明显）</w:t>
            </w:r>
          </w:p>
        </w:tc>
        <w:tc>
          <w:tcPr>
            <w:tcW w:w="1134" w:type="dxa"/>
            <w:tcBorders>
              <w:top w:val="single" w:color="auto" w:sz="4" w:space="0"/>
              <w:left w:val="nil"/>
              <w:bottom w:val="single" w:color="auto" w:sz="4" w:space="0"/>
              <w:right w:val="single" w:color="auto" w:sz="4" w:space="0"/>
            </w:tcBorders>
            <w:noWrap w:val="0"/>
            <w:vAlign w:val="top"/>
          </w:tcPr>
          <w:p>
            <w:pPr>
              <w:spacing w:line="205" w:lineRule="exact"/>
              <w:rPr>
                <w:rFonts w:hint="default" w:ascii="Arial" w:hAnsi="Arial" w:eastAsia="宋体" w:cs="Arial"/>
                <w:snapToGrid w:val="0"/>
                <w:color w:val="000000"/>
                <w:kern w:val="0"/>
                <w:sz w:val="15"/>
                <w:szCs w:val="15"/>
                <w:lang w:val="en-US" w:eastAsia="zh-CN" w:bidi="ar-SA"/>
              </w:rPr>
            </w:pPr>
            <w:r>
              <w:rPr>
                <w:rFonts w:hint="eastAsia" w:eastAsia="宋体"/>
                <w:sz w:val="15"/>
                <w:szCs w:val="15"/>
                <w:lang w:eastAsia="zh-CN"/>
              </w:rPr>
              <w:t>明显</w:t>
            </w:r>
          </w:p>
        </w:tc>
        <w:tc>
          <w:tcPr>
            <w:tcW w:w="1134" w:type="dxa"/>
            <w:tcBorders>
              <w:top w:val="single" w:color="auto" w:sz="4" w:space="0"/>
              <w:left w:val="nil"/>
              <w:bottom w:val="single" w:color="auto" w:sz="4" w:space="0"/>
              <w:right w:val="single" w:color="auto" w:sz="4" w:space="0"/>
            </w:tcBorders>
            <w:noWrap w:val="0"/>
            <w:vAlign w:val="top"/>
          </w:tcPr>
          <w:p>
            <w:pPr>
              <w:spacing w:line="205" w:lineRule="exact"/>
              <w:rPr>
                <w:rFonts w:hint="default" w:ascii="Arial" w:hAnsi="Arial" w:eastAsia="宋体" w:cs="Arial"/>
                <w:snapToGrid w:val="0"/>
                <w:color w:val="000000"/>
                <w:kern w:val="0"/>
                <w:sz w:val="15"/>
                <w:szCs w:val="15"/>
                <w:lang w:val="en-US" w:eastAsia="zh-CN" w:bidi="ar-SA"/>
              </w:rPr>
            </w:pPr>
            <w:r>
              <w:rPr>
                <w:rFonts w:hint="eastAsia" w:eastAsia="宋体"/>
                <w:sz w:val="15"/>
                <w:szCs w:val="15"/>
                <w:lang w:eastAsia="zh-CN"/>
              </w:rPr>
              <w:t>明显</w:t>
            </w:r>
          </w:p>
        </w:tc>
        <w:tc>
          <w:tcPr>
            <w:tcW w:w="82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4</w:t>
            </w:r>
          </w:p>
        </w:tc>
        <w:tc>
          <w:tcPr>
            <w:tcW w:w="14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宋体"/>
                <w:sz w:val="15"/>
                <w:szCs w:val="15"/>
                <w:lang w:eastAsia="zh-CN"/>
              </w:rPr>
              <w:t>改培构建稳定森林生态系统（是否明显）</w:t>
            </w:r>
          </w:p>
        </w:tc>
        <w:tc>
          <w:tcPr>
            <w:tcW w:w="1134" w:type="dxa"/>
            <w:tcBorders>
              <w:top w:val="nil"/>
              <w:left w:val="nil"/>
              <w:bottom w:val="single" w:color="auto" w:sz="4" w:space="0"/>
              <w:right w:val="single" w:color="auto" w:sz="4" w:space="0"/>
            </w:tcBorders>
            <w:noWrap w:val="0"/>
            <w:vAlign w:val="top"/>
          </w:tcPr>
          <w:p>
            <w:pPr>
              <w:spacing w:line="205" w:lineRule="exact"/>
              <w:rPr>
                <w:rFonts w:hint="default" w:ascii="Arial" w:hAnsi="Arial" w:eastAsia="宋体" w:cs="Arial"/>
                <w:snapToGrid w:val="0"/>
                <w:color w:val="000000"/>
                <w:kern w:val="0"/>
                <w:sz w:val="15"/>
                <w:szCs w:val="15"/>
                <w:lang w:val="en-US" w:eastAsia="zh-CN" w:bidi="ar-SA"/>
              </w:rPr>
            </w:pPr>
            <w:r>
              <w:rPr>
                <w:rFonts w:hint="eastAsia" w:eastAsia="宋体"/>
                <w:sz w:val="15"/>
                <w:szCs w:val="15"/>
                <w:lang w:eastAsia="zh-CN"/>
              </w:rPr>
              <w:t>明显</w:t>
            </w:r>
          </w:p>
        </w:tc>
        <w:tc>
          <w:tcPr>
            <w:tcW w:w="1134" w:type="dxa"/>
            <w:tcBorders>
              <w:top w:val="nil"/>
              <w:left w:val="nil"/>
              <w:bottom w:val="single" w:color="auto" w:sz="4" w:space="0"/>
              <w:right w:val="single" w:color="auto" w:sz="4" w:space="0"/>
            </w:tcBorders>
            <w:noWrap w:val="0"/>
            <w:vAlign w:val="top"/>
          </w:tcPr>
          <w:p>
            <w:pPr>
              <w:spacing w:line="205" w:lineRule="exact"/>
              <w:rPr>
                <w:rFonts w:hint="default" w:ascii="Arial" w:hAnsi="Arial" w:eastAsia="宋体" w:cs="Arial"/>
                <w:snapToGrid w:val="0"/>
                <w:color w:val="000000"/>
                <w:kern w:val="0"/>
                <w:sz w:val="15"/>
                <w:szCs w:val="15"/>
                <w:lang w:val="en-US" w:eastAsia="zh-CN" w:bidi="ar-SA"/>
              </w:rPr>
            </w:pPr>
            <w:r>
              <w:rPr>
                <w:rFonts w:hint="eastAsia" w:eastAsia="宋体"/>
                <w:sz w:val="15"/>
                <w:szCs w:val="15"/>
                <w:lang w:eastAsia="zh-CN"/>
              </w:rPr>
              <w:t>明显</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4</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宋体"/>
                <w:sz w:val="16"/>
                <w:szCs w:val="16"/>
                <w:lang w:eastAsia="zh-CN"/>
              </w:rPr>
              <w:t>受益群众满意度</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default" w:ascii="Arial" w:hAnsi="Arial" w:cs="Arial"/>
                <w:sz w:val="16"/>
                <w:szCs w:val="16"/>
              </w:rPr>
              <w:t>≥</w:t>
            </w:r>
            <w:r>
              <w:rPr>
                <w:rFonts w:hint="eastAsia" w:eastAsia="宋体"/>
                <w:sz w:val="16"/>
                <w:szCs w:val="16"/>
                <w:lang w:val="en-US" w:eastAsia="zh-CN"/>
              </w:rPr>
              <w:t>80%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宋体"/>
                <w:sz w:val="16"/>
                <w:szCs w:val="16"/>
                <w:lang w:val="en-US" w:eastAsia="zh-CN"/>
              </w:rPr>
              <w:t>95%</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8</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94</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rPr>
          <w:rFonts w:hint="eastAsia" w:ascii="新宋体" w:hAnsi="新宋体" w:eastAsia="新宋体" w:cs="新宋体"/>
          <w:sz w:val="21"/>
          <w:szCs w:val="21"/>
          <w:lang w:eastAsia="zh-CN"/>
        </w:rPr>
      </w:pPr>
      <w:r>
        <w:rPr>
          <w:rFonts w:hint="eastAsia" w:ascii="新宋体" w:hAnsi="新宋体" w:eastAsia="新宋体" w:cs="新宋体"/>
          <w:sz w:val="21"/>
          <w:szCs w:val="21"/>
        </w:rPr>
        <w:t>备注：一个一级项目支出一张表。</w:t>
      </w:r>
      <w:r>
        <w:rPr>
          <w:rFonts w:hint="eastAsia" w:ascii="新宋体" w:hAnsi="新宋体" w:eastAsia="新宋体" w:cs="新宋体"/>
          <w:sz w:val="21"/>
          <w:szCs w:val="21"/>
          <w:lang w:eastAsia="zh-CN"/>
        </w:rPr>
        <w:t>如，</w:t>
      </w:r>
      <w:r>
        <w:rPr>
          <w:rFonts w:hint="eastAsia" w:ascii="新宋体" w:hAnsi="新宋体" w:eastAsia="新宋体" w:cs="新宋体"/>
          <w:sz w:val="21"/>
          <w:szCs w:val="21"/>
        </w:rPr>
        <w:t>业务工作经费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运行维护经费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lang w:val="en-US" w:eastAsia="zh-CN"/>
        </w:rPr>
        <w:t>XX项目</w:t>
      </w:r>
      <w:r>
        <w:rPr>
          <w:rFonts w:hint="eastAsia" w:ascii="新宋体" w:hAnsi="新宋体" w:eastAsia="新宋体" w:cs="新宋体"/>
          <w:sz w:val="21"/>
          <w:szCs w:val="21"/>
          <w:lang w:eastAsia="zh-CN"/>
        </w:rPr>
        <w:t>资金…各一张表。</w:t>
      </w:r>
    </w:p>
    <w:p>
      <w:pPr>
        <w:pStyle w:val="2"/>
        <w:rPr>
          <w:rFonts w:hint="eastAsia"/>
        </w:rPr>
      </w:pPr>
    </w:p>
    <w:p>
      <w:pPr>
        <w:rPr>
          <w:rFonts w:hint="eastAsia"/>
        </w:rPr>
      </w:pPr>
    </w:p>
    <w:p>
      <w:pPr>
        <w:spacing w:line="240" w:lineRule="auto"/>
        <w:ind w:firstLine="0" w:firstLineChars="0"/>
        <w:jc w:val="left"/>
        <w:outlineLvl w:val="0"/>
        <w:rPr>
          <w:rFonts w:hint="eastAsia" w:ascii="新宋体" w:hAnsi="新宋体" w:eastAsia="新宋体" w:cs="新宋体"/>
          <w:sz w:val="21"/>
          <w:szCs w:val="21"/>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新宋体" w:hAnsi="新宋体" w:eastAsia="新宋体" w:cs="新宋体"/>
          <w:sz w:val="21"/>
          <w:szCs w:val="21"/>
        </w:rPr>
        <w:t xml:space="preserve">填表人： </w:t>
      </w:r>
      <w:r>
        <w:rPr>
          <w:rFonts w:hint="eastAsia" w:ascii="新宋体" w:hAnsi="新宋体" w:eastAsia="新宋体" w:cs="新宋体"/>
          <w:sz w:val="21"/>
          <w:szCs w:val="21"/>
          <w:lang w:val="en-US" w:eastAsia="zh-CN"/>
        </w:rPr>
        <w:t>李红</w:t>
      </w:r>
      <w:r>
        <w:rPr>
          <w:rFonts w:hint="eastAsia" w:ascii="新宋体" w:hAnsi="新宋体" w:eastAsia="新宋体" w:cs="新宋体"/>
          <w:sz w:val="21"/>
          <w:szCs w:val="21"/>
        </w:rPr>
        <w:t xml:space="preserve">  填报日期： </w:t>
      </w:r>
      <w:r>
        <w:rPr>
          <w:rFonts w:hint="eastAsia" w:ascii="新宋体" w:hAnsi="新宋体" w:eastAsia="新宋体" w:cs="新宋体"/>
          <w:sz w:val="21"/>
          <w:szCs w:val="21"/>
          <w:lang w:val="en-US" w:eastAsia="zh-CN"/>
        </w:rPr>
        <w:t>2023.7.13</w:t>
      </w:r>
      <w:r>
        <w:rPr>
          <w:rFonts w:hint="eastAsia" w:ascii="新宋体" w:hAnsi="新宋体" w:eastAsia="新宋体" w:cs="新宋体"/>
          <w:sz w:val="21"/>
          <w:szCs w:val="21"/>
        </w:rPr>
        <w:t xml:space="preserve">   联系电话：</w:t>
      </w:r>
      <w:r>
        <w:rPr>
          <w:rFonts w:hint="eastAsia" w:ascii="新宋体" w:hAnsi="新宋体" w:eastAsia="新宋体" w:cs="新宋体"/>
          <w:sz w:val="21"/>
          <w:szCs w:val="21"/>
          <w:lang w:val="en-US" w:eastAsia="zh-CN"/>
        </w:rPr>
        <w:t>18873000175</w:t>
      </w:r>
      <w:r>
        <w:rPr>
          <w:rFonts w:hint="eastAsia" w:ascii="新宋体" w:hAnsi="新宋体" w:eastAsia="新宋体" w:cs="新宋体"/>
          <w:sz w:val="21"/>
          <w:szCs w:val="21"/>
        </w:rPr>
        <w:t xml:space="preserve">   单位负责人签字：</w:t>
      </w: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6</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华容县胜峰国有</w:t>
      </w:r>
      <w:r>
        <w:rPr>
          <w:rFonts w:hint="eastAsia" w:ascii="方正小标宋简体" w:hAnsi="方正小标宋简体" w:eastAsia="方正小标宋简体" w:cs="方正小标宋简体"/>
          <w:sz w:val="44"/>
          <w:szCs w:val="44"/>
          <w:lang w:val="en-US" w:eastAsia="zh-CN"/>
        </w:rPr>
        <w:t>森林质量精准提升</w:t>
      </w: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rPr>
        <w:t>支出绩效自评报告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eastAsia" w:ascii="Times New Roman" w:hAnsi="Times New Roman" w:eastAsia="仿宋_GB2312" w:cs="Times New Roman"/>
          <w:sz w:val="32"/>
          <w:szCs w:val="32"/>
          <w:u w:val="single"/>
          <w:lang w:eastAsia="zh-CN"/>
        </w:rPr>
      </w:pPr>
      <w:r>
        <w:rPr>
          <w:rFonts w:hint="eastAsia" w:eastAsia="仿宋_GB2312" w:cs="Times New Roman"/>
          <w:sz w:val="32"/>
          <w:szCs w:val="32"/>
          <w:lang w:eastAsia="zh-CN"/>
        </w:rPr>
        <w:t>单位</w:t>
      </w:r>
      <w:r>
        <w:rPr>
          <w:rFonts w:hint="default" w:ascii="Times New Roman" w:hAnsi="Times New Roman" w:eastAsia="仿宋_GB2312" w:cs="Times New Roman"/>
          <w:sz w:val="32"/>
          <w:szCs w:val="32"/>
        </w:rPr>
        <w:t>名称：</w:t>
      </w:r>
      <w:r>
        <w:rPr>
          <w:rFonts w:hint="eastAsia" w:eastAsia="仿宋_GB2312" w:cs="Times New Roman"/>
          <w:sz w:val="32"/>
          <w:szCs w:val="32"/>
          <w:u w:val="single"/>
          <w:lang w:eastAsia="zh-CN"/>
        </w:rPr>
        <w:t>湖南省华容县胜峰国有林场</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年</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月</w:t>
      </w:r>
      <w:r>
        <w:rPr>
          <w:rFonts w:hint="eastAsia" w:eastAsia="楷体_GB2312" w:cs="Times New Roman"/>
          <w:sz w:val="32"/>
          <w:szCs w:val="32"/>
          <w:lang w:val="en-US" w:eastAsia="zh-CN"/>
        </w:rPr>
        <w:t>13</w:t>
      </w:r>
      <w:r>
        <w:rPr>
          <w:rFonts w:hint="default" w:ascii="Times New Roman" w:hAnsi="Times New Roman" w:eastAsia="楷体_GB2312" w:cs="Times New Roman"/>
          <w:sz w:val="32"/>
          <w:szCs w:val="32"/>
        </w:rPr>
        <w:t>日</w:t>
      </w:r>
    </w:p>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华容县胜峰国有林场</w:t>
      </w:r>
      <w:r>
        <w:rPr>
          <w:rFonts w:hint="eastAsia" w:ascii="方正小标宋简体" w:hAnsi="方正小标宋简体" w:eastAsia="方正小标宋简体" w:cs="方正小标宋简体"/>
          <w:sz w:val="44"/>
          <w:szCs w:val="44"/>
          <w:lang w:val="en-US" w:eastAsia="zh-CN"/>
        </w:rPr>
        <w:t>森林质量精准提升</w:t>
      </w: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rPr>
        <w:t>支出绩效自评报告</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一、基本情况</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(一)项目概况。项目建设总规模20</w:t>
      </w:r>
      <w:r>
        <w:rPr>
          <w:rFonts w:hint="eastAsia" w:ascii="仿宋_GB2312" w:hAnsi="宋体" w:eastAsia="仿宋_GB2312"/>
          <w:color w:val="000000"/>
          <w:sz w:val="28"/>
          <w:szCs w:val="28"/>
          <w:lang w:val="en-US" w:eastAsia="zh-CN"/>
        </w:rPr>
        <w:t>00</w:t>
      </w:r>
      <w:r>
        <w:rPr>
          <w:rFonts w:hint="eastAsia" w:ascii="仿宋_GB2312" w:hAnsi="宋体" w:eastAsia="仿宋_GB2312"/>
          <w:color w:val="000000"/>
          <w:sz w:val="28"/>
          <w:szCs w:val="28"/>
        </w:rPr>
        <w:t>亩，建设地点位于华容县胜峰国有林场，共17个小班，总面积20</w:t>
      </w:r>
      <w:r>
        <w:rPr>
          <w:rFonts w:hint="eastAsia" w:ascii="仿宋_GB2312" w:hAnsi="宋体" w:eastAsia="仿宋_GB2312"/>
          <w:color w:val="000000"/>
          <w:sz w:val="28"/>
          <w:szCs w:val="28"/>
          <w:lang w:val="en-US" w:eastAsia="zh-CN"/>
        </w:rPr>
        <w:t>00</w:t>
      </w:r>
      <w:r>
        <w:rPr>
          <w:rFonts w:hint="eastAsia" w:ascii="仿宋_GB2312" w:hAnsi="宋体" w:eastAsia="仿宋_GB2312"/>
          <w:color w:val="000000"/>
          <w:sz w:val="28"/>
          <w:szCs w:val="28"/>
        </w:rPr>
        <w:t>亩。</w:t>
      </w:r>
    </w:p>
    <w:p>
      <w:pPr>
        <w:tabs>
          <w:tab w:val="left" w:pos="4170"/>
        </w:tabs>
        <w:spacing w:line="360" w:lineRule="auto"/>
        <w:ind w:firstLine="560" w:firstLineChars="200"/>
        <w:jc w:val="left"/>
        <w:rPr>
          <w:rFonts w:hint="eastAsia" w:ascii="仿宋_GB2312" w:hAnsi="宋体" w:eastAsia="仿宋_GB2312"/>
          <w:color w:val="000000"/>
          <w:sz w:val="28"/>
          <w:szCs w:val="28"/>
          <w:lang w:eastAsia="zh-CN"/>
        </w:rPr>
      </w:pPr>
      <w:r>
        <w:rPr>
          <w:rFonts w:hint="eastAsia" w:ascii="仿宋_GB2312" w:hAnsi="宋体" w:eastAsia="仿宋_GB2312"/>
          <w:color w:val="000000"/>
          <w:sz w:val="28"/>
          <w:szCs w:val="28"/>
        </w:rPr>
        <w:t>项目总投资124.5万元。</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(二)项目绩效目标。</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lang w:eastAsia="zh-CN"/>
        </w:rPr>
        <w:t>总体目标是对胜峰国有林场</w:t>
      </w:r>
      <w:r>
        <w:rPr>
          <w:rFonts w:hint="eastAsia" w:ascii="仿宋_GB2312" w:hAnsi="宋体" w:eastAsia="仿宋_GB2312"/>
          <w:color w:val="000000"/>
          <w:sz w:val="28"/>
          <w:szCs w:val="28"/>
          <w:lang w:val="en-US" w:eastAsia="zh-CN"/>
        </w:rPr>
        <w:t>5000</w:t>
      </w:r>
      <w:r>
        <w:rPr>
          <w:rFonts w:hint="eastAsia" w:ascii="仿宋_GB2312" w:hAnsi="宋体" w:eastAsia="仿宋_GB2312"/>
          <w:color w:val="000000"/>
          <w:sz w:val="28"/>
          <w:szCs w:val="28"/>
        </w:rPr>
        <w:t>亩人工阔叶纯林进行森林质量精准提升改造，对生长不良、质量低劣、风折雪压严重、无培育前途或抑制目标树生长的林木进行伐除，提高林分质量。</w:t>
      </w:r>
    </w:p>
    <w:p>
      <w:pPr>
        <w:tabs>
          <w:tab w:val="left" w:pos="4170"/>
        </w:tabs>
        <w:spacing w:line="360" w:lineRule="auto"/>
        <w:ind w:firstLine="560" w:firstLineChars="200"/>
        <w:jc w:val="left"/>
        <w:rPr>
          <w:rFonts w:hint="default" w:ascii="仿宋_GB2312" w:hAnsi="宋体" w:eastAsia="仿宋_GB2312"/>
          <w:color w:val="000000"/>
          <w:sz w:val="28"/>
          <w:szCs w:val="28"/>
          <w:lang w:val="en-US" w:eastAsia="zh-CN"/>
        </w:rPr>
      </w:pPr>
      <w:r>
        <w:rPr>
          <w:rFonts w:hint="eastAsia" w:ascii="仿宋_GB2312" w:hAnsi="宋体" w:eastAsia="仿宋_GB2312"/>
          <w:color w:val="000000"/>
          <w:sz w:val="28"/>
          <w:szCs w:val="28"/>
          <w:lang w:val="en-US" w:eastAsia="zh-CN"/>
        </w:rPr>
        <w:t>阶段性目标是2020年度对2000亩</w:t>
      </w:r>
      <w:r>
        <w:rPr>
          <w:rFonts w:hint="eastAsia" w:ascii="仿宋_GB2312" w:hAnsi="宋体" w:eastAsia="仿宋_GB2312"/>
          <w:color w:val="000000"/>
          <w:sz w:val="28"/>
          <w:szCs w:val="28"/>
        </w:rPr>
        <w:t>人工阔叶纯林进行森林质量精准提升改造。</w:t>
      </w:r>
    </w:p>
    <w:p>
      <w:pPr>
        <w:tabs>
          <w:tab w:val="left" w:pos="4170"/>
        </w:tabs>
        <w:spacing w:line="360" w:lineRule="auto"/>
        <w:ind w:firstLine="560" w:firstLineChars="200"/>
        <w:jc w:val="left"/>
        <w:rPr>
          <w:rFonts w:hint="eastAsia" w:ascii="仿宋_GB2312" w:hAnsi="宋体" w:eastAsia="仿宋_GB2312"/>
          <w:color w:val="000000"/>
          <w:sz w:val="28"/>
          <w:szCs w:val="28"/>
          <w:lang w:val="en-US" w:eastAsia="zh-CN"/>
        </w:rPr>
      </w:pPr>
      <w:r>
        <w:rPr>
          <w:rFonts w:hint="eastAsia" w:ascii="仿宋_GB2312" w:hAnsi="宋体" w:eastAsia="仿宋_GB2312"/>
          <w:color w:val="000000"/>
          <w:sz w:val="28"/>
          <w:szCs w:val="28"/>
          <w:lang w:val="en-US" w:eastAsia="zh-CN"/>
        </w:rPr>
        <w:t>二、绩效评价工作开展情况</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(一)绩效评价目的、对象和范围。</w:t>
      </w:r>
    </w:p>
    <w:p>
      <w:pPr>
        <w:tabs>
          <w:tab w:val="left" w:pos="4170"/>
        </w:tabs>
        <w:spacing w:line="360" w:lineRule="auto"/>
        <w:ind w:firstLine="560" w:firstLineChars="200"/>
        <w:jc w:val="left"/>
        <w:rPr>
          <w:rFonts w:hint="default" w:ascii="仿宋_GB2312" w:hAnsi="宋体" w:eastAsia="仿宋_GB2312"/>
          <w:color w:val="000000"/>
          <w:sz w:val="28"/>
          <w:szCs w:val="28"/>
          <w:lang w:val="en-US" w:eastAsia="zh-CN"/>
        </w:rPr>
      </w:pPr>
      <w:r>
        <w:rPr>
          <w:rFonts w:hint="eastAsia" w:ascii="仿宋_GB2312" w:hAnsi="宋体" w:eastAsia="仿宋_GB2312"/>
          <w:color w:val="000000"/>
          <w:sz w:val="28"/>
          <w:szCs w:val="28"/>
          <w:lang w:eastAsia="zh-CN"/>
        </w:rPr>
        <w:t>绩效评价得目的是通过项目的实施评估，提高资金使用效率，达到预期的经济、生态、社会效益。对象是胜峰国有林场</w:t>
      </w:r>
      <w:r>
        <w:rPr>
          <w:rFonts w:hint="eastAsia" w:ascii="仿宋_GB2312" w:hAnsi="宋体" w:eastAsia="仿宋_GB2312"/>
          <w:color w:val="000000"/>
          <w:sz w:val="28"/>
          <w:szCs w:val="28"/>
          <w:lang w:val="en-US" w:eastAsia="zh-CN"/>
        </w:rPr>
        <w:t>2020年度国家储备林实施项目，对项目的决策、实施、管理、效益等方面进行评价.</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绩效评价原则、评价指标体系(附表说明)、评价方法、 评价标准等。</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绩效评价主要遵循绩效目标与部门预算相统一、定量分析与定性分析综合运用和绩效评价与财政监督相结合的原则，对</w:t>
      </w:r>
      <w:r>
        <w:rPr>
          <w:rFonts w:hint="eastAsia" w:ascii="仿宋_GB2312" w:hAnsi="宋体" w:eastAsia="仿宋_GB2312"/>
          <w:color w:val="000000"/>
          <w:sz w:val="28"/>
          <w:szCs w:val="28"/>
          <w:lang w:eastAsia="zh-CN"/>
        </w:rPr>
        <w:t>胜峰国有林场</w:t>
      </w:r>
      <w:r>
        <w:rPr>
          <w:rFonts w:hint="eastAsia" w:ascii="仿宋_GB2312" w:hAnsi="宋体" w:eastAsia="仿宋_GB2312"/>
          <w:color w:val="000000"/>
          <w:sz w:val="28"/>
          <w:szCs w:val="28"/>
        </w:rPr>
        <w:t>国家储备林基地项目绩效情况进行客观分析和评价。</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lang w:eastAsia="zh-CN"/>
        </w:rPr>
        <w:t>产出指标、效益指标和满意度指标</w:t>
      </w:r>
      <w:r>
        <w:rPr>
          <w:rFonts w:hint="eastAsia" w:ascii="仿宋_GB2312" w:hAnsi="宋体" w:eastAsia="仿宋_GB2312"/>
          <w:color w:val="000000"/>
          <w:sz w:val="28"/>
          <w:szCs w:val="28"/>
        </w:rPr>
        <w:t>等</w:t>
      </w:r>
      <w:r>
        <w:rPr>
          <w:rFonts w:hint="eastAsia" w:ascii="仿宋_GB2312" w:hAnsi="宋体" w:eastAsia="仿宋_GB2312"/>
          <w:color w:val="000000"/>
          <w:sz w:val="28"/>
          <w:szCs w:val="28"/>
          <w:lang w:eastAsia="zh-CN"/>
        </w:rPr>
        <w:t>三</w:t>
      </w:r>
      <w:r>
        <w:rPr>
          <w:rFonts w:hint="eastAsia" w:ascii="仿宋_GB2312" w:hAnsi="宋体" w:eastAsia="仿宋_GB2312"/>
          <w:color w:val="000000"/>
          <w:sz w:val="28"/>
          <w:szCs w:val="28"/>
        </w:rPr>
        <w:t>个方面的评价指标体系。满分100分。</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绩效评价工作过程。</w:t>
      </w:r>
    </w:p>
    <w:p>
      <w:pPr>
        <w:tabs>
          <w:tab w:val="left" w:pos="4170"/>
        </w:tabs>
        <w:spacing w:line="360" w:lineRule="auto"/>
        <w:ind w:firstLine="560" w:firstLineChars="200"/>
        <w:jc w:val="left"/>
        <w:rPr>
          <w:rFonts w:hint="eastAsia" w:ascii="仿宋_GB2312" w:hAnsi="宋体" w:eastAsia="仿宋_GB2312"/>
          <w:color w:val="000000"/>
          <w:sz w:val="28"/>
          <w:szCs w:val="28"/>
          <w:lang w:val="en-US" w:eastAsia="zh-CN"/>
        </w:rPr>
      </w:pPr>
      <w:r>
        <w:rPr>
          <w:rFonts w:hint="eastAsia" w:ascii="仿宋_GB2312" w:hAnsi="宋体" w:eastAsia="仿宋_GB2312"/>
          <w:color w:val="000000"/>
          <w:sz w:val="28"/>
          <w:szCs w:val="28"/>
          <w:lang w:val="en-US" w:eastAsia="zh-CN"/>
        </w:rPr>
        <w:t xml:space="preserve"> 1.前期准备工作，在开展现场评价工作前，安排确定现场工作时间，了解绩效目标设定、预算执行和自评情况，夯实各项基础工作。</w:t>
      </w:r>
    </w:p>
    <w:p>
      <w:pPr>
        <w:tabs>
          <w:tab w:val="left" w:pos="4170"/>
        </w:tabs>
        <w:spacing w:line="360" w:lineRule="auto"/>
        <w:ind w:firstLine="560" w:firstLineChars="200"/>
        <w:jc w:val="left"/>
        <w:rPr>
          <w:rFonts w:hint="eastAsia" w:ascii="仿宋_GB2312" w:hAnsi="宋体" w:eastAsia="仿宋_GB2312"/>
          <w:color w:val="000000"/>
          <w:sz w:val="28"/>
          <w:szCs w:val="28"/>
          <w:lang w:val="en-US" w:eastAsia="zh-CN"/>
        </w:rPr>
      </w:pPr>
      <w:r>
        <w:rPr>
          <w:rFonts w:hint="eastAsia" w:ascii="仿宋_GB2312" w:hAnsi="宋体" w:eastAsia="仿宋_GB2312"/>
          <w:color w:val="000000"/>
          <w:sz w:val="28"/>
          <w:szCs w:val="28"/>
          <w:lang w:val="en-US" w:eastAsia="zh-CN"/>
        </w:rPr>
        <w:t>2.收集基础资料，收集所需基础信息资料，包括项目基本概况、绩效评价自评表、专项资金文件和拨付指标文件、前期审批手续和项目方案等文件资料。</w:t>
      </w:r>
    </w:p>
    <w:p>
      <w:pPr>
        <w:tabs>
          <w:tab w:val="left" w:pos="4170"/>
        </w:tabs>
        <w:spacing w:line="360" w:lineRule="auto"/>
        <w:ind w:firstLine="560" w:firstLineChars="200"/>
        <w:jc w:val="left"/>
        <w:rPr>
          <w:rFonts w:hint="eastAsia" w:ascii="仿宋_GB2312" w:hAnsi="宋体" w:eastAsia="仿宋_GB2312"/>
          <w:color w:val="000000"/>
          <w:sz w:val="28"/>
          <w:szCs w:val="28"/>
          <w:lang w:val="en-US" w:eastAsia="zh-CN"/>
        </w:rPr>
      </w:pPr>
      <w:r>
        <w:rPr>
          <w:rFonts w:hint="eastAsia" w:ascii="仿宋_GB2312" w:hAnsi="宋体" w:eastAsia="仿宋_GB2312"/>
          <w:color w:val="000000"/>
          <w:sz w:val="28"/>
          <w:szCs w:val="28"/>
          <w:lang w:val="en-US" w:eastAsia="zh-CN"/>
        </w:rPr>
        <w:t>3.开展现场评价，通过检查提供的项资料和财务资料对绩效目标完成情况进行评价。对项目绩效管理有关情况和基础材料进行核实并形成评价结论。</w:t>
      </w:r>
    </w:p>
    <w:p>
      <w:pPr>
        <w:tabs>
          <w:tab w:val="left" w:pos="4170"/>
        </w:tabs>
        <w:spacing w:line="360" w:lineRule="auto"/>
        <w:ind w:firstLine="560" w:firstLineChars="200"/>
        <w:jc w:val="left"/>
        <w:rPr>
          <w:rFonts w:hint="default" w:ascii="仿宋_GB2312" w:hAnsi="宋体" w:eastAsia="仿宋_GB2312"/>
          <w:color w:val="000000"/>
          <w:sz w:val="28"/>
          <w:szCs w:val="28"/>
          <w:lang w:val="en-US" w:eastAsia="zh-CN"/>
        </w:rPr>
      </w:pPr>
      <w:r>
        <w:rPr>
          <w:rFonts w:hint="eastAsia" w:ascii="仿宋_GB2312" w:hAnsi="宋体" w:eastAsia="仿宋_GB2312"/>
          <w:color w:val="000000"/>
          <w:sz w:val="28"/>
          <w:szCs w:val="28"/>
          <w:lang w:val="en-US" w:eastAsia="zh-CN"/>
        </w:rPr>
        <w:t>4.撰写报告，按照规定的评价指标、评价标准和评价方法，对项目绩效情况进行定量、定性分析和综合评价，依据绩效目标完成情况，对项目进行评价打分，提出项目实施过程中存在的问题与建议，总结归纳形成初步评价结论并撰写报告。</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lang w:eastAsia="zh-CN"/>
        </w:rPr>
        <w:t>三、</w:t>
      </w:r>
      <w:r>
        <w:rPr>
          <w:rFonts w:hint="eastAsia" w:ascii="仿宋_GB2312" w:hAnsi="宋体" w:eastAsia="仿宋_GB2312"/>
          <w:color w:val="000000"/>
          <w:sz w:val="28"/>
          <w:szCs w:val="28"/>
        </w:rPr>
        <w:t>综合评价情况及评价结论</w:t>
      </w:r>
    </w:p>
    <w:p>
      <w:pPr>
        <w:tabs>
          <w:tab w:val="left" w:pos="4170"/>
        </w:tabs>
        <w:spacing w:line="360" w:lineRule="auto"/>
        <w:ind w:firstLine="560" w:firstLineChars="200"/>
        <w:jc w:val="left"/>
        <w:rPr>
          <w:rFonts w:hint="eastAsia" w:ascii="仿宋_GB2312" w:hAnsi="宋体" w:eastAsia="仿宋_GB2312"/>
          <w:color w:val="000000"/>
          <w:sz w:val="28"/>
          <w:szCs w:val="28"/>
          <w:lang w:val="en-US" w:eastAsia="zh-CN"/>
        </w:rPr>
      </w:pPr>
      <w:r>
        <w:rPr>
          <w:rFonts w:hint="eastAsia" w:ascii="仿宋_GB2312" w:hAnsi="宋体" w:eastAsia="仿宋_GB2312"/>
          <w:color w:val="000000"/>
          <w:sz w:val="28"/>
          <w:szCs w:val="28"/>
          <w:lang w:val="en-US" w:eastAsia="zh-CN"/>
        </w:rPr>
        <w:t xml:space="preserve">通过综合评价，华容县胜峰国有林场森林质量精准提升及森林抚育项目的评价分值为 94  分。 </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四、绩效评价指标分析</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(一)项目决策情况。根据《全国森林经营规划（2016-2050年）》（林规发〔2016〕88号）</w:t>
      </w:r>
      <w:r>
        <w:rPr>
          <w:rFonts w:hint="eastAsia" w:ascii="仿宋_GB2312" w:hAnsi="宋体" w:eastAsia="仿宋_GB2312"/>
          <w:color w:val="000000"/>
          <w:sz w:val="28"/>
          <w:szCs w:val="28"/>
          <w:lang w:eastAsia="zh-CN"/>
        </w:rPr>
        <w:t>、</w:t>
      </w:r>
      <w:r>
        <w:rPr>
          <w:rFonts w:hint="eastAsia" w:ascii="仿宋_GB2312" w:hAnsi="宋体" w:eastAsia="仿宋_GB2312"/>
          <w:color w:val="000000"/>
          <w:sz w:val="28"/>
          <w:szCs w:val="28"/>
        </w:rPr>
        <w:t>《“十三五”森林质量精准提升工程规划》（林规发〔2017〕91号）</w:t>
      </w:r>
      <w:r>
        <w:rPr>
          <w:rFonts w:hint="eastAsia" w:ascii="仿宋_GB2312" w:hAnsi="宋体" w:eastAsia="仿宋_GB2312"/>
          <w:color w:val="000000"/>
          <w:sz w:val="28"/>
          <w:szCs w:val="28"/>
          <w:lang w:eastAsia="zh-CN"/>
        </w:rPr>
        <w:t>、</w:t>
      </w:r>
      <w:r>
        <w:rPr>
          <w:rFonts w:hint="eastAsia" w:ascii="仿宋_GB2312" w:hAnsi="宋体" w:eastAsia="仿宋_GB2312"/>
          <w:color w:val="000000"/>
          <w:sz w:val="28"/>
          <w:szCs w:val="28"/>
        </w:rPr>
        <w:t>湖南省发展和改革委员会、湖南省林业局《关于抓紧申报重点防护林工程2020年中央预算内投资计划申报工作的通知》湘发改农[2019]791号。等文件要求，我场在省、市、县林业主管部门的指导下，结合本场实际</w:t>
      </w:r>
      <w:r>
        <w:rPr>
          <w:rFonts w:hint="eastAsia" w:ascii="仿宋_GB2312" w:hAnsi="宋体" w:eastAsia="仿宋_GB2312"/>
          <w:color w:val="000000"/>
          <w:sz w:val="28"/>
          <w:szCs w:val="28"/>
          <w:lang w:eastAsia="zh-CN"/>
        </w:rPr>
        <w:t>计划开展项目实施</w:t>
      </w:r>
      <w:r>
        <w:rPr>
          <w:rFonts w:hint="eastAsia" w:ascii="仿宋_GB2312" w:hAnsi="宋体" w:eastAsia="仿宋_GB2312"/>
          <w:color w:val="000000"/>
          <w:sz w:val="28"/>
          <w:szCs w:val="28"/>
        </w:rPr>
        <w:t>。</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(二)项目过程情况。</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lang w:val="en-US" w:eastAsia="zh-CN"/>
        </w:rPr>
        <w:t>1.</w:t>
      </w:r>
      <w:r>
        <w:rPr>
          <w:rFonts w:hint="eastAsia" w:ascii="仿宋_GB2312" w:hAnsi="宋体" w:eastAsia="仿宋_GB2312"/>
          <w:color w:val="000000"/>
          <w:sz w:val="28"/>
          <w:szCs w:val="28"/>
        </w:rPr>
        <w:t>林地清理</w:t>
      </w:r>
      <w:r>
        <w:rPr>
          <w:rFonts w:hint="eastAsia" w:ascii="仿宋_GB2312" w:hAnsi="宋体" w:eastAsia="仿宋_GB2312"/>
          <w:color w:val="000000"/>
          <w:sz w:val="28"/>
          <w:szCs w:val="28"/>
          <w:lang w:eastAsia="zh-CN"/>
        </w:rPr>
        <w:t>，</w:t>
      </w:r>
      <w:r>
        <w:rPr>
          <w:rFonts w:hint="eastAsia" w:ascii="仿宋_GB2312" w:hAnsi="宋体" w:eastAsia="仿宋_GB2312"/>
          <w:color w:val="000000"/>
          <w:sz w:val="28"/>
          <w:szCs w:val="28"/>
        </w:rPr>
        <w:t>清除病死木、断梢木、植树穴中的穴中多余木或萌芽株，胸径 5 厘米以下的被压木、藤蔓、有害生物，保留黄檀、香樟、青冈、栎类等高价值的珍贵阔叶树，离保留木2米以内的高价值珍贵阔叶树也要清理掉。</w:t>
      </w:r>
      <w:bookmarkStart w:id="10" w:name="_Toc20823"/>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lang w:val="en-US" w:eastAsia="zh-CN"/>
        </w:rPr>
        <w:t>2.</w:t>
      </w:r>
      <w:r>
        <w:rPr>
          <w:rFonts w:hint="eastAsia" w:ascii="仿宋_GB2312" w:hAnsi="宋体" w:eastAsia="仿宋_GB2312"/>
          <w:color w:val="000000"/>
          <w:sz w:val="28"/>
          <w:szCs w:val="28"/>
        </w:rPr>
        <w:t>间伐抚育</w:t>
      </w:r>
      <w:bookmarkEnd w:id="10"/>
      <w:r>
        <w:rPr>
          <w:rFonts w:hint="eastAsia" w:ascii="仿宋_GB2312" w:hAnsi="宋体" w:eastAsia="仿宋_GB2312"/>
          <w:color w:val="000000"/>
          <w:sz w:val="28"/>
          <w:szCs w:val="28"/>
          <w:lang w:eastAsia="zh-CN"/>
        </w:rPr>
        <w:t>，</w:t>
      </w:r>
      <w:r>
        <w:rPr>
          <w:rFonts w:hint="eastAsia" w:ascii="仿宋_GB2312" w:hAnsi="宋体" w:eastAsia="仿宋_GB2312"/>
          <w:color w:val="000000"/>
          <w:sz w:val="28"/>
          <w:szCs w:val="28"/>
        </w:rPr>
        <w:t>按照《森林抚育规程》（ GB/T15781-2015 ）的要求， 开展间伐抚育，将过密的人工纯林郁闭度应调整到不低于0.6 。间伐抚育后，林木平均胸径，平均树高均应大于间伐抚育前。</w:t>
      </w:r>
      <w:bookmarkStart w:id="11" w:name="_Toc16420"/>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lang w:val="en-US" w:eastAsia="zh-CN"/>
        </w:rPr>
        <w:t>3.</w:t>
      </w:r>
      <w:r>
        <w:rPr>
          <w:rFonts w:hint="eastAsia" w:ascii="仿宋_GB2312" w:hAnsi="宋体" w:eastAsia="仿宋_GB2312"/>
          <w:color w:val="000000"/>
          <w:sz w:val="28"/>
          <w:szCs w:val="28"/>
        </w:rPr>
        <w:t>补植</w:t>
      </w:r>
      <w:bookmarkEnd w:id="11"/>
      <w:r>
        <w:rPr>
          <w:rFonts w:hint="eastAsia" w:ascii="仿宋_GB2312" w:hAnsi="宋体" w:eastAsia="仿宋_GB2312"/>
          <w:color w:val="000000"/>
          <w:sz w:val="28"/>
          <w:szCs w:val="28"/>
          <w:lang w:eastAsia="zh-CN"/>
        </w:rPr>
        <w:t>，</w:t>
      </w:r>
      <w:r>
        <w:rPr>
          <w:rFonts w:hint="eastAsia" w:ascii="仿宋_GB2312" w:hAnsi="宋体" w:eastAsia="仿宋_GB2312"/>
          <w:color w:val="000000"/>
          <w:sz w:val="28"/>
          <w:szCs w:val="28"/>
        </w:rPr>
        <w:t>本项目地块补植楠木、木荷、红豆杉等阔叶树种。大块空地补植补造时，需要进行整地，整地时间为秋初冬末，采用穴垦方式，禁止全垦。</w:t>
      </w:r>
    </w:p>
    <w:p>
      <w:pPr>
        <w:tabs>
          <w:tab w:val="left" w:pos="4170"/>
        </w:tabs>
        <w:spacing w:line="360" w:lineRule="auto"/>
        <w:ind w:firstLine="560" w:firstLineChars="200"/>
        <w:jc w:val="left"/>
        <w:rPr>
          <w:rFonts w:hint="eastAsia" w:ascii="仿宋_GB2312" w:hAnsi="宋体" w:eastAsia="仿宋_GB2312"/>
          <w:color w:val="000000"/>
          <w:sz w:val="28"/>
          <w:szCs w:val="28"/>
        </w:rPr>
      </w:pPr>
      <w:bookmarkStart w:id="12" w:name="_Toc29715"/>
      <w:r>
        <w:rPr>
          <w:rFonts w:hint="eastAsia" w:ascii="仿宋_GB2312" w:hAnsi="宋体" w:eastAsia="仿宋_GB2312"/>
          <w:color w:val="000000"/>
          <w:sz w:val="28"/>
          <w:szCs w:val="28"/>
          <w:lang w:val="en-US" w:eastAsia="zh-CN"/>
        </w:rPr>
        <w:t>4.</w:t>
      </w:r>
      <w:r>
        <w:rPr>
          <w:rFonts w:hint="eastAsia" w:ascii="仿宋_GB2312" w:hAnsi="宋体" w:eastAsia="仿宋_GB2312"/>
          <w:color w:val="000000"/>
          <w:sz w:val="28"/>
          <w:szCs w:val="28"/>
        </w:rPr>
        <w:t>培蔸抚育</w:t>
      </w:r>
      <w:bookmarkEnd w:id="12"/>
      <w:r>
        <w:rPr>
          <w:rFonts w:hint="eastAsia" w:ascii="仿宋_GB2312" w:hAnsi="宋体" w:eastAsia="仿宋_GB2312"/>
          <w:color w:val="000000"/>
          <w:sz w:val="28"/>
          <w:szCs w:val="28"/>
          <w:lang w:eastAsia="zh-CN"/>
        </w:rPr>
        <w:t>，</w:t>
      </w:r>
      <w:r>
        <w:rPr>
          <w:rFonts w:hint="eastAsia" w:ascii="仿宋_GB2312" w:hAnsi="宋体" w:eastAsia="仿宋_GB2312"/>
          <w:color w:val="000000"/>
          <w:sz w:val="28"/>
          <w:szCs w:val="28"/>
        </w:rPr>
        <w:t>开展项目的林分内补植和保留的幼树需连续进行三年抚育。以植株为中心，清除 1 米直径范围内的杂草杂灌，培蔸除萌，覆盖保墒。</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(三)项目产出情况。</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项目建成后，实施小班每亩每年森林蓄积增加1立方米，单株胸径增加1厘米，单株树高增加1米，产值增加1000元。不断提升区域内生态旅游在华容县社会经济发展中的地位，提高国民环境意识，提高地方政府对国有林区的关注度和支持度，把以往的被动环境保护方式转变为主动环境保护方式，从而为林业和林场可持续发展和永续利用赢得更好的法制和政策支持。逐步提高森林经营水平和管护意识，优化管理模式，为该场经营起到以点带面作用。</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主要经验及做法、存在的问题及原因分析</w:t>
      </w:r>
    </w:p>
    <w:p>
      <w:pPr>
        <w:tabs>
          <w:tab w:val="left" w:pos="4170"/>
        </w:tabs>
        <w:spacing w:line="360" w:lineRule="auto"/>
        <w:ind w:firstLine="560" w:firstLineChars="200"/>
        <w:jc w:val="left"/>
        <w:rPr>
          <w:rFonts w:hint="eastAsia" w:ascii="仿宋_GB2312" w:hAnsi="宋体" w:eastAsia="仿宋_GB2312"/>
          <w:color w:val="000000"/>
          <w:sz w:val="28"/>
          <w:szCs w:val="28"/>
          <w:lang w:eastAsia="zh-CN"/>
        </w:rPr>
      </w:pPr>
      <w:r>
        <w:rPr>
          <w:rFonts w:hint="eastAsia" w:ascii="仿宋_GB2312" w:hAnsi="宋体" w:eastAsia="仿宋_GB2312"/>
          <w:color w:val="000000"/>
          <w:sz w:val="28"/>
          <w:szCs w:val="28"/>
          <w:lang w:eastAsia="zh-CN"/>
        </w:rPr>
        <w:t>（一）主要的经验和做法：</w:t>
      </w:r>
    </w:p>
    <w:p>
      <w:pPr>
        <w:tabs>
          <w:tab w:val="left" w:pos="4170"/>
        </w:tabs>
        <w:spacing w:line="360" w:lineRule="auto"/>
        <w:ind w:firstLine="560" w:firstLineChars="200"/>
        <w:jc w:val="left"/>
        <w:rPr>
          <w:rFonts w:hint="eastAsia" w:ascii="仿宋_GB2312" w:hAnsi="宋体" w:eastAsia="仿宋_GB2312"/>
          <w:color w:val="000000"/>
          <w:sz w:val="28"/>
          <w:szCs w:val="28"/>
          <w:lang w:eastAsia="zh-CN"/>
        </w:rPr>
      </w:pPr>
      <w:r>
        <w:rPr>
          <w:rFonts w:hint="eastAsia" w:ascii="仿宋_GB2312" w:hAnsi="宋体" w:eastAsia="仿宋_GB2312"/>
          <w:color w:val="000000"/>
          <w:sz w:val="28"/>
          <w:szCs w:val="28"/>
          <w:lang w:val="en-US" w:eastAsia="zh-CN"/>
        </w:rPr>
        <w:t>1.</w:t>
      </w:r>
      <w:r>
        <w:rPr>
          <w:rFonts w:hint="eastAsia" w:ascii="仿宋_GB2312" w:hAnsi="宋体" w:eastAsia="仿宋_GB2312"/>
          <w:color w:val="000000"/>
          <w:sz w:val="28"/>
          <w:szCs w:val="28"/>
          <w:lang w:eastAsia="zh-CN"/>
        </w:rPr>
        <w:t>创新建设模式，转变项目管理方式，林场充分利用现有的森林资源核查手段，对基地进行跟踪监督，对项目分场列入重点管理，签订责任状，将业务人员的工资、奖金与造林成效直接挂钩，严格考核程序，确保项目工作成效显著。</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lang w:val="en-US" w:eastAsia="zh-CN"/>
        </w:rPr>
        <w:t>2.强化监督检查，切实提高培育质量，</w:t>
      </w:r>
      <w:r>
        <w:rPr>
          <w:rFonts w:hint="eastAsia" w:ascii="仿宋_GB2312" w:hAnsi="宋体" w:eastAsia="仿宋_GB2312"/>
          <w:color w:val="000000"/>
          <w:sz w:val="28"/>
          <w:szCs w:val="28"/>
        </w:rPr>
        <w:t>营林生产股具体负责基地建设的规划、质量检查督促、验收、实验数据的收集整理等。各相关工区负责项目施工。</w:t>
      </w:r>
    </w:p>
    <w:p>
      <w:pPr>
        <w:tabs>
          <w:tab w:val="left" w:pos="4170"/>
        </w:tabs>
        <w:spacing w:line="36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lang w:val="en-US" w:eastAsia="zh-CN"/>
        </w:rPr>
        <w:t>3.搞好科技推广，提高项目科技含量，</w:t>
      </w:r>
      <w:r>
        <w:rPr>
          <w:rFonts w:hint="eastAsia" w:ascii="仿宋_GB2312" w:hAnsi="宋体" w:eastAsia="仿宋_GB2312"/>
          <w:color w:val="000000"/>
          <w:sz w:val="28"/>
          <w:szCs w:val="28"/>
        </w:rPr>
        <w:t>我场有多年的杉木速生丰产林和杉木大径材培育经验，并拥有一大批各类技术干部7人</w:t>
      </w:r>
      <w:r>
        <w:rPr>
          <w:rFonts w:hint="eastAsia" w:ascii="仿宋_GB2312" w:hAnsi="宋体" w:eastAsia="仿宋_GB2312"/>
          <w:color w:val="000000"/>
          <w:sz w:val="28"/>
          <w:szCs w:val="28"/>
          <w:lang w:eastAsia="zh-CN"/>
        </w:rPr>
        <w:t>，</w:t>
      </w:r>
      <w:r>
        <w:rPr>
          <w:rFonts w:hint="eastAsia" w:ascii="仿宋_GB2312" w:hAnsi="宋体" w:eastAsia="仿宋_GB2312"/>
          <w:color w:val="000000"/>
          <w:sz w:val="28"/>
          <w:szCs w:val="28"/>
        </w:rPr>
        <w:t>在遗传改良、测土配方、密度调节、修枝强度及时间、施肥种类及用量、间伐时间及强度等进一步探索。</w:t>
      </w:r>
    </w:p>
    <w:p>
      <w:pPr>
        <w:tabs>
          <w:tab w:val="left" w:pos="4170"/>
        </w:tabs>
        <w:spacing w:line="360" w:lineRule="auto"/>
        <w:ind w:firstLine="560" w:firstLineChars="200"/>
        <w:jc w:val="left"/>
        <w:rPr>
          <w:rFonts w:hint="eastAsia" w:ascii="仿宋_GB2312" w:hAnsi="宋体" w:eastAsia="仿宋_GB2312"/>
          <w:color w:val="000000"/>
          <w:sz w:val="28"/>
          <w:szCs w:val="28"/>
          <w:lang w:val="en-US" w:eastAsia="zh-CN"/>
        </w:rPr>
      </w:pPr>
      <w:r>
        <w:rPr>
          <w:rFonts w:hint="eastAsia" w:ascii="仿宋_GB2312" w:hAnsi="宋体" w:eastAsia="仿宋_GB2312"/>
          <w:color w:val="000000"/>
          <w:sz w:val="28"/>
          <w:szCs w:val="28"/>
          <w:lang w:val="en-US" w:eastAsia="zh-CN"/>
        </w:rPr>
        <w:t xml:space="preserve">  （二）存在的问题：</w:t>
      </w:r>
    </w:p>
    <w:p>
      <w:pPr>
        <w:tabs>
          <w:tab w:val="left" w:pos="4170"/>
        </w:tabs>
        <w:spacing w:line="360" w:lineRule="auto"/>
        <w:ind w:firstLine="560" w:firstLineChars="200"/>
        <w:jc w:val="left"/>
        <w:rPr>
          <w:rFonts w:hint="eastAsia" w:ascii="仿宋_GB2312" w:hAnsi="宋体" w:eastAsia="仿宋_GB2312"/>
          <w:color w:val="000000"/>
          <w:sz w:val="28"/>
          <w:szCs w:val="28"/>
          <w:lang w:val="en-US" w:eastAsia="zh-CN"/>
        </w:rPr>
      </w:pPr>
      <w:r>
        <w:rPr>
          <w:rFonts w:hint="eastAsia" w:ascii="仿宋_GB2312" w:hAnsi="宋体" w:eastAsia="仿宋_GB2312"/>
          <w:color w:val="000000"/>
          <w:sz w:val="28"/>
          <w:szCs w:val="28"/>
          <w:lang w:val="en-US" w:eastAsia="zh-CN"/>
        </w:rPr>
        <w:t>1.资金方面：项目在实施过程中省市县配套资金不足，使项目实施过程中受到制约。</w:t>
      </w:r>
    </w:p>
    <w:p>
      <w:pPr>
        <w:tabs>
          <w:tab w:val="left" w:pos="4170"/>
        </w:tabs>
        <w:spacing w:line="360" w:lineRule="auto"/>
        <w:ind w:firstLine="560" w:firstLineChars="200"/>
        <w:jc w:val="left"/>
        <w:rPr>
          <w:rFonts w:hint="default" w:ascii="仿宋_GB2312" w:hAnsi="宋体" w:eastAsia="仿宋_GB2312"/>
          <w:color w:val="000000"/>
          <w:sz w:val="28"/>
          <w:szCs w:val="28"/>
          <w:lang w:val="en-US" w:eastAsia="zh-CN"/>
        </w:rPr>
      </w:pPr>
      <w:r>
        <w:rPr>
          <w:rFonts w:hint="eastAsia" w:ascii="仿宋_GB2312" w:hAnsi="宋体" w:eastAsia="仿宋_GB2312"/>
          <w:color w:val="000000"/>
          <w:sz w:val="28"/>
          <w:szCs w:val="28"/>
          <w:lang w:val="en-US" w:eastAsia="zh-CN"/>
        </w:rPr>
        <w:t>2.技术方面：基层技术人员配备不够，技术人员的继续教育和培训项目不足，导致在技术上较为落后。</w:t>
      </w:r>
    </w:p>
    <w:p>
      <w:pPr>
        <w:autoSpaceDE w:val="0"/>
        <w:autoSpaceDN w:val="0"/>
        <w:adjustRightInd w:val="0"/>
        <w:spacing w:line="360" w:lineRule="auto"/>
        <w:ind w:firstLine="560" w:firstLineChars="200"/>
        <w:rPr>
          <w:rFonts w:hint="default" w:ascii="仿宋_GB2312" w:hAnsi="宋体" w:eastAsia="仿宋_GB2312"/>
          <w:color w:val="000000"/>
          <w:sz w:val="28"/>
          <w:szCs w:val="28"/>
          <w:lang w:val="en-US" w:eastAsia="zh-CN"/>
        </w:rPr>
      </w:pPr>
    </w:p>
    <w:p>
      <w:pPr>
        <w:autoSpaceDE w:val="0"/>
        <w:autoSpaceDN w:val="0"/>
        <w:adjustRightInd w:val="0"/>
        <w:spacing w:line="360" w:lineRule="auto"/>
        <w:ind w:firstLine="560" w:firstLineChars="200"/>
        <w:rPr>
          <w:rFonts w:hint="eastAsia" w:ascii="仿宋_GB2312" w:hAnsi="宋体" w:eastAsia="仿宋_GB2312"/>
          <w:color w:val="000000"/>
          <w:sz w:val="28"/>
          <w:szCs w:val="28"/>
        </w:rPr>
      </w:pPr>
    </w:p>
    <w:p>
      <w:pPr>
        <w:autoSpaceDE w:val="0"/>
        <w:autoSpaceDN w:val="0"/>
        <w:adjustRightInd w:val="0"/>
        <w:spacing w:line="360" w:lineRule="auto"/>
        <w:ind w:firstLine="560" w:firstLineChars="200"/>
        <w:rPr>
          <w:rFonts w:hint="eastAsia" w:ascii="仿宋_GB2312" w:hAnsi="宋体" w:eastAsia="仿宋_GB2312"/>
          <w:color w:val="000000"/>
          <w:sz w:val="28"/>
          <w:szCs w:val="28"/>
          <w:lang w:val="en-US" w:eastAsia="zh-CN"/>
        </w:rPr>
      </w:pPr>
    </w:p>
    <w:p>
      <w:pPr>
        <w:rPr>
          <w:rFonts w:hint="eastAsia"/>
          <w:lang w:val="en-US" w:eastAsia="zh-CN"/>
        </w:rPr>
      </w:pPr>
    </w:p>
    <w:p>
      <w:pPr>
        <w:rPr>
          <w:rFonts w:hint="eastAsia"/>
          <w:lang w:val="en-US" w:eastAsia="zh-CN"/>
        </w:rPr>
      </w:pPr>
    </w:p>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3D08D9D-5DF9-48E3-AAE0-664595B459FE}"/>
  </w:font>
  <w:font w:name="Arial">
    <w:panose1 w:val="020B0604020202020204"/>
    <w:charset w:val="01"/>
    <w:family w:val="swiss"/>
    <w:pitch w:val="default"/>
    <w:sig w:usb0="E0002EFF" w:usb1="C000785B" w:usb2="00000009" w:usb3="00000000" w:csb0="400001FF" w:csb1="FFFF0000"/>
    <w:embedRegular r:id="rId2" w:fontKey="{EE5EF29D-699B-4D40-9786-B0CA809F82F2}"/>
  </w:font>
  <w:font w:name="黑体">
    <w:panose1 w:val="02010609060101010101"/>
    <w:charset w:val="86"/>
    <w:family w:val="auto"/>
    <w:pitch w:val="default"/>
    <w:sig w:usb0="800002BF" w:usb1="38CF7CFA" w:usb2="00000016" w:usb3="00000000" w:csb0="00040001" w:csb1="00000000"/>
    <w:embedRegular r:id="rId3" w:fontKey="{3C1CEA20-EA7B-4882-A575-7AB976F019EE}"/>
  </w:font>
  <w:font w:name="Courier New">
    <w:panose1 w:val="02070309020205020404"/>
    <w:charset w:val="01"/>
    <w:family w:val="modern"/>
    <w:pitch w:val="default"/>
    <w:sig w:usb0="E0002EFF" w:usb1="C0007843" w:usb2="00000009" w:usb3="00000000" w:csb0="400001FF" w:csb1="FFFF0000"/>
    <w:embedRegular r:id="rId4" w:fontKey="{330CC3B4-789B-443A-BE5B-4899A54CF557}"/>
  </w:font>
  <w:font w:name="Symbol">
    <w:panose1 w:val="05050102010706020507"/>
    <w:charset w:val="02"/>
    <w:family w:val="roman"/>
    <w:pitch w:val="default"/>
    <w:sig w:usb0="00000000" w:usb1="00000000" w:usb2="00000000" w:usb3="00000000" w:csb0="80000000" w:csb1="00000000"/>
    <w:embedRegular r:id="rId5" w:fontKey="{EEE26883-2957-4D06-980F-E8B24C83CDC6}"/>
  </w:font>
  <w:font w:name="Calibri">
    <w:panose1 w:val="020F0502020204030204"/>
    <w:charset w:val="00"/>
    <w:family w:val="swiss"/>
    <w:pitch w:val="default"/>
    <w:sig w:usb0="E4002EFF" w:usb1="C000247B" w:usb2="00000009" w:usb3="00000000" w:csb0="200001FF" w:csb1="00000000"/>
    <w:embedRegular r:id="rId6" w:fontKey="{B1B52943-8AC4-4290-B484-5DF3FEE74BF6}"/>
  </w:font>
  <w:font w:name="仿宋_GB2312">
    <w:panose1 w:val="02010609030101010101"/>
    <w:charset w:val="86"/>
    <w:family w:val="auto"/>
    <w:pitch w:val="default"/>
    <w:sig w:usb0="00000001" w:usb1="080E0000" w:usb2="00000000" w:usb3="00000000" w:csb0="00040000" w:csb1="00000000"/>
    <w:embedRegular r:id="rId7" w:fontKey="{DFA96088-BAB0-404F-A167-CBD464AE2A86}"/>
  </w:font>
  <w:font w:name="方正小标宋简体">
    <w:altName w:val="仿宋_GB2312"/>
    <w:panose1 w:val="02010601030101010101"/>
    <w:charset w:val="86"/>
    <w:family w:val="auto"/>
    <w:pitch w:val="default"/>
    <w:sig w:usb0="00000000" w:usb1="00000000" w:usb2="00000000" w:usb3="00000000" w:csb0="00040000" w:csb1="00000000"/>
    <w:embedRegular r:id="rId8" w:fontKey="{F0535A6F-2FF1-47CF-B869-9BC9643B72A2}"/>
  </w:font>
  <w:font w:name="新宋体">
    <w:panose1 w:val="02010609030101010101"/>
    <w:charset w:val="86"/>
    <w:family w:val="auto"/>
    <w:pitch w:val="default"/>
    <w:sig w:usb0="00000203" w:usb1="288F0000" w:usb2="00000006" w:usb3="00000000" w:csb0="00040001" w:csb1="00000000"/>
    <w:embedRegular r:id="rId9" w:fontKey="{5BC8C745-793C-46EB-AD89-F31121F48E1B}"/>
  </w:font>
  <w:font w:name="方正小标宋_GBK">
    <w:panose1 w:val="03000509000000000000"/>
    <w:charset w:val="86"/>
    <w:family w:val="script"/>
    <w:pitch w:val="default"/>
    <w:sig w:usb0="00000001" w:usb1="080E0000" w:usb2="00000000" w:usb3="00000000" w:csb0="00040000" w:csb1="00000000"/>
    <w:embedRegular r:id="rId10" w:fontKey="{001D4D3E-9378-45E1-A79B-D6AF2E21578F}"/>
  </w:font>
  <w:font w:name="楷体_GB2312">
    <w:panose1 w:val="02010609030101010101"/>
    <w:charset w:val="86"/>
    <w:family w:val="auto"/>
    <w:pitch w:val="default"/>
    <w:sig w:usb0="00000001" w:usb1="080E0000" w:usb2="00000000" w:usb3="00000000" w:csb0="00040000" w:csb1="00000000"/>
    <w:embedRegular r:id="rId11" w:fontKey="{85352DB0-D41B-4861-B968-EE4A2094C288}"/>
  </w:font>
  <w:font w:name="Arial">
    <w:panose1 w:val="020B0604020202020204"/>
    <w:charset w:val="00"/>
    <w:family w:val="auto"/>
    <w:pitch w:val="default"/>
    <w:sig w:usb0="E0002EFF" w:usb1="C000785B" w:usb2="00000009" w:usb3="00000000" w:csb0="400001FF" w:csb1="FFFF0000"/>
    <w:embedRegular r:id="rId12" w:fontKey="{B56EAEFE-7490-4FA9-AEBB-63FDD132A7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6"/>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BA0A9"/>
    <w:multiLevelType w:val="singleLevel"/>
    <w:tmpl w:val="81CBA0A9"/>
    <w:lvl w:ilvl="0" w:tentative="0">
      <w:start w:val="2"/>
      <w:numFmt w:val="decimal"/>
      <w:suff w:val="nothing"/>
      <w:lvlText w:val="%1、"/>
      <w:lvlJc w:val="left"/>
      <w:pPr>
        <w:ind w:left="-140"/>
      </w:pPr>
    </w:lvl>
  </w:abstractNum>
  <w:abstractNum w:abstractNumId="1">
    <w:nsid w:val="AE941EA0"/>
    <w:multiLevelType w:val="singleLevel"/>
    <w:tmpl w:val="AE941EA0"/>
    <w:lvl w:ilvl="0" w:tentative="0">
      <w:start w:val="1"/>
      <w:numFmt w:val="chineseCounting"/>
      <w:suff w:val="nothing"/>
      <w:lvlText w:val="%1、"/>
      <w:lvlJc w:val="left"/>
      <w:rPr>
        <w:rFonts w:hint="eastAsia"/>
      </w:rPr>
    </w:lvl>
  </w:abstractNum>
  <w:abstractNum w:abstractNumId="2">
    <w:nsid w:val="4BD43863"/>
    <w:multiLevelType w:val="singleLevel"/>
    <w:tmpl w:val="4BD43863"/>
    <w:lvl w:ilvl="0" w:tentative="0">
      <w:start w:val="2"/>
      <w:numFmt w:val="chineseCounting"/>
      <w:lvlText w:val="(%1)"/>
      <w:lvlJc w:val="left"/>
      <w:pPr>
        <w:tabs>
          <w:tab w:val="left" w:pos="312"/>
        </w:tabs>
      </w:pPr>
      <w:rPr>
        <w:rFonts w:hint="eastAsia"/>
      </w:rPr>
    </w:lvl>
  </w:abstractNum>
  <w:abstractNum w:abstractNumId="3">
    <w:nsid w:val="630A8B1F"/>
    <w:multiLevelType w:val="singleLevel"/>
    <w:tmpl w:val="630A8B1F"/>
    <w:lvl w:ilvl="0" w:tentative="0">
      <w:start w:val="1"/>
      <w:numFmt w:val="chineseCounting"/>
      <w:suff w:val="nothing"/>
      <w:lvlText w:val="（%1）"/>
      <w:lvlJc w:val="left"/>
      <w:rPr>
        <w:rFonts w:hint="eastAsia"/>
      </w:rPr>
    </w:lvl>
  </w:abstractNum>
  <w:abstractNum w:abstractNumId="4">
    <w:nsid w:val="7D945C1A"/>
    <w:multiLevelType w:val="singleLevel"/>
    <w:tmpl w:val="7D945C1A"/>
    <w:lvl w:ilvl="0" w:tentative="0">
      <w:start w:val="1"/>
      <w:numFmt w:val="decimal"/>
      <w:suff w:val="nothing"/>
      <w:lvlText w:val="%1、"/>
      <w:lvlJc w:val="left"/>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4ZDQxZDQ2MmRiMjY0YWQ0Mzk0NjEwMWQxODgxNWMifQ=="/>
  </w:docVars>
  <w:rsids>
    <w:rsidRoot w:val="0CCB7736"/>
    <w:rsid w:val="00047FEF"/>
    <w:rsid w:val="000A3906"/>
    <w:rsid w:val="001776F1"/>
    <w:rsid w:val="006F0A16"/>
    <w:rsid w:val="00773328"/>
    <w:rsid w:val="00821883"/>
    <w:rsid w:val="00917857"/>
    <w:rsid w:val="00A755C2"/>
    <w:rsid w:val="016A347B"/>
    <w:rsid w:val="02B50488"/>
    <w:rsid w:val="0338470A"/>
    <w:rsid w:val="034822A9"/>
    <w:rsid w:val="03D86621"/>
    <w:rsid w:val="04EE6171"/>
    <w:rsid w:val="05395EA9"/>
    <w:rsid w:val="07733EA2"/>
    <w:rsid w:val="0ABD557B"/>
    <w:rsid w:val="0BBB5A8D"/>
    <w:rsid w:val="0C104906"/>
    <w:rsid w:val="0CCB7736"/>
    <w:rsid w:val="0D9E0E8D"/>
    <w:rsid w:val="0EAB7397"/>
    <w:rsid w:val="0EF755B3"/>
    <w:rsid w:val="0F081618"/>
    <w:rsid w:val="0F17035E"/>
    <w:rsid w:val="0F4E168D"/>
    <w:rsid w:val="11404466"/>
    <w:rsid w:val="11963ADD"/>
    <w:rsid w:val="11EB0F5C"/>
    <w:rsid w:val="11F20483"/>
    <w:rsid w:val="136F31F8"/>
    <w:rsid w:val="138750E0"/>
    <w:rsid w:val="144E4536"/>
    <w:rsid w:val="15A620D3"/>
    <w:rsid w:val="16A3369E"/>
    <w:rsid w:val="178536BD"/>
    <w:rsid w:val="19516372"/>
    <w:rsid w:val="19575CC2"/>
    <w:rsid w:val="19A80228"/>
    <w:rsid w:val="1A101464"/>
    <w:rsid w:val="1AB74849"/>
    <w:rsid w:val="1AC52FF2"/>
    <w:rsid w:val="1AE6175D"/>
    <w:rsid w:val="1B742AA7"/>
    <w:rsid w:val="1CA34935"/>
    <w:rsid w:val="1D5A640E"/>
    <w:rsid w:val="1F7640EC"/>
    <w:rsid w:val="1FB931AC"/>
    <w:rsid w:val="20D76C5F"/>
    <w:rsid w:val="21057490"/>
    <w:rsid w:val="214A230E"/>
    <w:rsid w:val="21B052C4"/>
    <w:rsid w:val="22FF5445"/>
    <w:rsid w:val="238D0E57"/>
    <w:rsid w:val="24256710"/>
    <w:rsid w:val="251E7983"/>
    <w:rsid w:val="260D5D83"/>
    <w:rsid w:val="284A2254"/>
    <w:rsid w:val="292F1467"/>
    <w:rsid w:val="29786927"/>
    <w:rsid w:val="297B51B4"/>
    <w:rsid w:val="29E40467"/>
    <w:rsid w:val="29F527E2"/>
    <w:rsid w:val="2BF35971"/>
    <w:rsid w:val="2C487650"/>
    <w:rsid w:val="2DE23F73"/>
    <w:rsid w:val="2E4F43C0"/>
    <w:rsid w:val="2EC7368E"/>
    <w:rsid w:val="30FB4B41"/>
    <w:rsid w:val="31621165"/>
    <w:rsid w:val="323C5548"/>
    <w:rsid w:val="37450F88"/>
    <w:rsid w:val="37D6106F"/>
    <w:rsid w:val="38F862EB"/>
    <w:rsid w:val="39343807"/>
    <w:rsid w:val="397877DC"/>
    <w:rsid w:val="39887BBC"/>
    <w:rsid w:val="3A53023B"/>
    <w:rsid w:val="3AF42D2D"/>
    <w:rsid w:val="3B3A041F"/>
    <w:rsid w:val="3B80172C"/>
    <w:rsid w:val="3BAE6BF9"/>
    <w:rsid w:val="3CCA47F2"/>
    <w:rsid w:val="3CDE0708"/>
    <w:rsid w:val="3D5877DF"/>
    <w:rsid w:val="3DC55CAA"/>
    <w:rsid w:val="3DD556CA"/>
    <w:rsid w:val="3F450429"/>
    <w:rsid w:val="40226C80"/>
    <w:rsid w:val="40C451A5"/>
    <w:rsid w:val="4156470B"/>
    <w:rsid w:val="41943ACE"/>
    <w:rsid w:val="425D4066"/>
    <w:rsid w:val="43173FD4"/>
    <w:rsid w:val="44143822"/>
    <w:rsid w:val="44654A12"/>
    <w:rsid w:val="457C5F26"/>
    <w:rsid w:val="49CF255F"/>
    <w:rsid w:val="4B2C5DCD"/>
    <w:rsid w:val="4B7D1173"/>
    <w:rsid w:val="4C150E22"/>
    <w:rsid w:val="4C6A38FC"/>
    <w:rsid w:val="4CE74BC3"/>
    <w:rsid w:val="4CF5000E"/>
    <w:rsid w:val="4DB17672"/>
    <w:rsid w:val="50AC44C4"/>
    <w:rsid w:val="50EA6DB9"/>
    <w:rsid w:val="51CA7471"/>
    <w:rsid w:val="521C2FA3"/>
    <w:rsid w:val="522529B2"/>
    <w:rsid w:val="53910AF4"/>
    <w:rsid w:val="550D12C8"/>
    <w:rsid w:val="55264138"/>
    <w:rsid w:val="555952B3"/>
    <w:rsid w:val="556B5A36"/>
    <w:rsid w:val="55AF40BB"/>
    <w:rsid w:val="56F72F7C"/>
    <w:rsid w:val="586243BF"/>
    <w:rsid w:val="58FD3402"/>
    <w:rsid w:val="59361E6C"/>
    <w:rsid w:val="5AAF7799"/>
    <w:rsid w:val="5B5C1753"/>
    <w:rsid w:val="5BE53F27"/>
    <w:rsid w:val="5C5477DD"/>
    <w:rsid w:val="5D944035"/>
    <w:rsid w:val="5E134100"/>
    <w:rsid w:val="5F7A1C50"/>
    <w:rsid w:val="601C4AB5"/>
    <w:rsid w:val="60BE691E"/>
    <w:rsid w:val="61444403"/>
    <w:rsid w:val="62265BDF"/>
    <w:rsid w:val="62E1699A"/>
    <w:rsid w:val="64147F0D"/>
    <w:rsid w:val="64D66362"/>
    <w:rsid w:val="65860217"/>
    <w:rsid w:val="667E0AA1"/>
    <w:rsid w:val="67A0028F"/>
    <w:rsid w:val="68FB17C3"/>
    <w:rsid w:val="695F12F9"/>
    <w:rsid w:val="69636C3A"/>
    <w:rsid w:val="69CF7B2C"/>
    <w:rsid w:val="6A0B0004"/>
    <w:rsid w:val="6BA1010E"/>
    <w:rsid w:val="6CE47E41"/>
    <w:rsid w:val="6CED5810"/>
    <w:rsid w:val="6CF92413"/>
    <w:rsid w:val="6DFE5E04"/>
    <w:rsid w:val="6E87203D"/>
    <w:rsid w:val="6F9278BB"/>
    <w:rsid w:val="71572F19"/>
    <w:rsid w:val="719B7427"/>
    <w:rsid w:val="724A6793"/>
    <w:rsid w:val="741F26FA"/>
    <w:rsid w:val="74470DF8"/>
    <w:rsid w:val="75FD1676"/>
    <w:rsid w:val="78DE0702"/>
    <w:rsid w:val="799536BA"/>
    <w:rsid w:val="7B170752"/>
    <w:rsid w:val="7B8F681B"/>
    <w:rsid w:val="7DD96C0E"/>
    <w:rsid w:val="7E474F7B"/>
    <w:rsid w:val="7E8F7AC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0"/>
    <w:pPr>
      <w:keepNext/>
      <w:keepLines/>
      <w:outlineLvl w:val="0"/>
    </w:pPr>
    <w:rPr>
      <w:rFonts w:eastAsia="黑体"/>
      <w:bCs/>
      <w:kern w:val="44"/>
      <w:szCs w:val="44"/>
    </w:rPr>
  </w:style>
  <w:style w:type="paragraph" w:styleId="4">
    <w:name w:val="heading 2"/>
    <w:basedOn w:val="1"/>
    <w:next w:val="1"/>
    <w:qFormat/>
    <w:locked/>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locked/>
    <w:uiPriority w:val="0"/>
    <w:pPr>
      <w:keepNext/>
      <w:keepLines/>
      <w:spacing w:before="260" w:after="260" w:line="416" w:lineRule="auto"/>
      <w:outlineLvl w:val="2"/>
    </w:pPr>
    <w:rPr>
      <w:b/>
      <w:bCs/>
      <w:sz w:val="32"/>
      <w:szCs w:val="32"/>
    </w:rPr>
  </w:style>
  <w:style w:type="character" w:default="1" w:styleId="11">
    <w:name w:val="Default Paragraph Font"/>
    <w:semiHidden/>
    <w:qFormat/>
    <w:uiPriority w:val="99"/>
  </w:style>
  <w:style w:type="table" w:default="1" w:styleId="9">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footnote text"/>
    <w:basedOn w:val="1"/>
    <w:next w:val="1"/>
    <w:qFormat/>
    <w:uiPriority w:val="0"/>
    <w:pPr>
      <w:snapToGrid w:val="0"/>
      <w:jc w:val="left"/>
    </w:pPr>
    <w:rPr>
      <w:sz w:val="18"/>
      <w:szCs w:val="18"/>
    </w:rPr>
  </w:style>
  <w:style w:type="paragraph" w:styleId="6">
    <w:name w:val="footer"/>
    <w:basedOn w:val="1"/>
    <w:link w:val="13"/>
    <w:qFormat/>
    <w:uiPriority w:val="99"/>
    <w:pPr>
      <w:tabs>
        <w:tab w:val="center" w:pos="4153"/>
        <w:tab w:val="right" w:pos="8306"/>
      </w:tabs>
      <w:snapToGrid w:val="0"/>
      <w:jc w:val="left"/>
    </w:pPr>
    <w:rPr>
      <w:sz w:val="18"/>
      <w:szCs w:val="18"/>
    </w:rPr>
  </w:style>
  <w:style w:type="paragraph" w:styleId="7">
    <w:name w:val="header"/>
    <w:basedOn w:val="1"/>
    <w:link w:val="14"/>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table" w:styleId="10">
    <w:name w:val="Table Grid"/>
    <w:basedOn w:val="9"/>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page number"/>
    <w:basedOn w:val="11"/>
    <w:qFormat/>
    <w:uiPriority w:val="99"/>
    <w:rPr>
      <w:rFonts w:cs="Times New Roman"/>
    </w:rPr>
  </w:style>
  <w:style w:type="character" w:customStyle="1" w:styleId="13">
    <w:name w:val="Footer Char"/>
    <w:basedOn w:val="11"/>
    <w:link w:val="6"/>
    <w:semiHidden/>
    <w:qFormat/>
    <w:uiPriority w:val="99"/>
    <w:rPr>
      <w:sz w:val="18"/>
      <w:szCs w:val="18"/>
    </w:rPr>
  </w:style>
  <w:style w:type="character" w:customStyle="1" w:styleId="14">
    <w:name w:val="Header Char"/>
    <w:basedOn w:val="11"/>
    <w:link w:val="7"/>
    <w:semiHidden/>
    <w:qFormat/>
    <w:uiPriority w:val="99"/>
    <w:rPr>
      <w:sz w:val="18"/>
      <w:szCs w:val="18"/>
    </w:rPr>
  </w:style>
  <w:style w:type="paragraph" w:styleId="15">
    <w:name w:val="List Paragraph"/>
    <w:basedOn w:val="1"/>
    <w:qFormat/>
    <w:uiPriority w:val="99"/>
    <w:pPr>
      <w:ind w:firstLine="420" w:firstLineChars="200"/>
    </w:pPr>
    <w:rPr>
      <w:rFonts w:ascii="Calibri" w:hAnsi="Calibri"/>
      <w:szCs w:val="22"/>
    </w:rPr>
  </w:style>
  <w:style w:type="table" w:customStyle="1" w:styleId="1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33</Pages>
  <Words>11821</Words>
  <Characters>12803</Characters>
  <Lines>0</Lines>
  <Paragraphs>0</Paragraphs>
  <TotalTime>5</TotalTime>
  <ScaleCrop>false</ScaleCrop>
  <LinksUpToDate>false</LinksUpToDate>
  <CharactersWithSpaces>13387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豆豆</cp:lastModifiedBy>
  <cp:lastPrinted>2023-06-29T01:04:00Z</cp:lastPrinted>
  <dcterms:modified xsi:type="dcterms:W3CDTF">2023-07-13T10:28:02Z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FFA00C06D1484DC48996BA74A3DAB4E0_13</vt:lpwstr>
  </property>
</Properties>
</file>