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afterLines="50" w:line="600" w:lineRule="exact"/>
        <w:jc w:val="both"/>
        <w:rPr>
          <w:rFonts w:hint="eastAsia"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1</w:t>
      </w:r>
    </w:p>
    <w:p>
      <w:pPr>
        <w:keepNext w:val="0"/>
        <w:keepLines w:val="0"/>
        <w:pageBreakBefore w:val="0"/>
        <w:widowControl w:val="0"/>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年度部门整体支出绩效评价基础数据表</w:t>
      </w:r>
    </w:p>
    <w:tbl>
      <w:tblPr>
        <w:tblStyle w:val="10"/>
        <w:tblW w:w="9281" w:type="dxa"/>
        <w:jc w:val="center"/>
        <w:tblLayout w:type="fixed"/>
        <w:tblCellMar>
          <w:top w:w="0" w:type="dxa"/>
          <w:left w:w="108" w:type="dxa"/>
          <w:bottom w:w="0" w:type="dxa"/>
          <w:right w:w="108" w:type="dxa"/>
        </w:tblCellMar>
      </w:tblPr>
      <w:tblGrid>
        <w:gridCol w:w="3217"/>
        <w:gridCol w:w="1955"/>
        <w:gridCol w:w="2436"/>
        <w:gridCol w:w="1673"/>
      </w:tblGrid>
      <w:tr>
        <w:tblPrEx>
          <w:tblCellMar>
            <w:top w:w="0" w:type="dxa"/>
            <w:left w:w="108" w:type="dxa"/>
            <w:bottom w:w="0" w:type="dxa"/>
            <w:right w:w="108" w:type="dxa"/>
          </w:tblCellMar>
        </w:tblPrEx>
        <w:trPr>
          <w:trHeight w:val="539" w:hRule="atLeast"/>
          <w:jc w:val="center"/>
        </w:trPr>
        <w:tc>
          <w:tcPr>
            <w:tcW w:w="3217"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rPr>
              <w:t>财政供养人员情况（人）</w:t>
            </w:r>
          </w:p>
        </w:tc>
        <w:tc>
          <w:tcPr>
            <w:tcW w:w="1955"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编制数</w:t>
            </w:r>
          </w:p>
        </w:tc>
        <w:tc>
          <w:tcPr>
            <w:tcW w:w="2436"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年实际在职人数</w:t>
            </w:r>
          </w:p>
        </w:tc>
        <w:tc>
          <w:tcPr>
            <w:tcW w:w="1673"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控制率</w:t>
            </w:r>
          </w:p>
        </w:tc>
      </w:tr>
      <w:tr>
        <w:tblPrEx>
          <w:tblCellMar>
            <w:top w:w="0" w:type="dxa"/>
            <w:left w:w="108" w:type="dxa"/>
            <w:bottom w:w="0" w:type="dxa"/>
            <w:right w:w="108" w:type="dxa"/>
          </w:tblCellMar>
        </w:tblPrEx>
        <w:trPr>
          <w:trHeight w:val="539" w:hRule="atLeast"/>
          <w:jc w:val="center"/>
        </w:trPr>
        <w:tc>
          <w:tcPr>
            <w:tcW w:w="321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955"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1267</w:t>
            </w:r>
          </w:p>
        </w:tc>
        <w:tc>
          <w:tcPr>
            <w:tcW w:w="2436"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1267</w:t>
            </w:r>
          </w:p>
        </w:tc>
        <w:tc>
          <w:tcPr>
            <w:tcW w:w="1673"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100%</w:t>
            </w:r>
          </w:p>
        </w:tc>
      </w:tr>
      <w:tr>
        <w:tblPrEx>
          <w:tblCellMar>
            <w:top w:w="0" w:type="dxa"/>
            <w:left w:w="108" w:type="dxa"/>
            <w:bottom w:w="0" w:type="dxa"/>
            <w:right w:w="108" w:type="dxa"/>
          </w:tblCellMar>
        </w:tblPrEx>
        <w:trPr>
          <w:trHeight w:val="539" w:hRule="atLeast"/>
          <w:jc w:val="center"/>
        </w:trPr>
        <w:tc>
          <w:tcPr>
            <w:tcW w:w="3217"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rPr>
              <w:t>经费控制情况（万元）</w:t>
            </w:r>
          </w:p>
        </w:tc>
        <w:tc>
          <w:tcPr>
            <w:tcW w:w="1955"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lang w:val="en-US" w:eastAsia="zh-CN"/>
              </w:rPr>
            </w:pPr>
            <w:r>
              <w:rPr>
                <w:rFonts w:hint="eastAsia" w:ascii="新宋体" w:hAnsi="新宋体" w:eastAsia="新宋体" w:cs="新宋体"/>
                <w:b/>
                <w:bCs/>
                <w:sz w:val="21"/>
                <w:szCs w:val="21"/>
                <w:lang w:val="en-US" w:eastAsia="zh-CN"/>
              </w:rPr>
              <w:t>2021年决算数</w:t>
            </w:r>
          </w:p>
        </w:tc>
        <w:tc>
          <w:tcPr>
            <w:tcW w:w="2436"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年预算数</w:t>
            </w:r>
          </w:p>
        </w:tc>
        <w:tc>
          <w:tcPr>
            <w:tcW w:w="1673"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年决算数</w:t>
            </w:r>
          </w:p>
        </w:tc>
      </w:tr>
      <w:tr>
        <w:tblPrEx>
          <w:tblCellMar>
            <w:top w:w="0" w:type="dxa"/>
            <w:left w:w="108" w:type="dxa"/>
            <w:bottom w:w="0" w:type="dxa"/>
            <w:right w:w="108" w:type="dxa"/>
          </w:tblCellMar>
        </w:tblPrEx>
        <w:trPr>
          <w:trHeight w:val="539" w:hRule="atLeast"/>
          <w:jc w:val="center"/>
        </w:trPr>
        <w:tc>
          <w:tcPr>
            <w:tcW w:w="3217"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一、基本支出：</w:t>
            </w:r>
          </w:p>
        </w:tc>
        <w:tc>
          <w:tcPr>
            <w:tcW w:w="1955"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67602.03</w:t>
            </w:r>
          </w:p>
        </w:tc>
        <w:tc>
          <w:tcPr>
            <w:tcW w:w="2436"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69925.61</w:t>
            </w:r>
          </w:p>
        </w:tc>
        <w:tc>
          <w:tcPr>
            <w:tcW w:w="1673"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69925.61</w:t>
            </w:r>
          </w:p>
        </w:tc>
      </w:tr>
      <w:tr>
        <w:tblPrEx>
          <w:tblCellMar>
            <w:top w:w="0" w:type="dxa"/>
            <w:left w:w="108" w:type="dxa"/>
            <w:bottom w:w="0" w:type="dxa"/>
            <w:right w:w="108" w:type="dxa"/>
          </w:tblCellMar>
        </w:tblPrEx>
        <w:trPr>
          <w:trHeight w:val="539" w:hRule="atLeast"/>
          <w:jc w:val="center"/>
        </w:trPr>
        <w:tc>
          <w:tcPr>
            <w:tcW w:w="3217"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其中：</w:t>
            </w:r>
            <w:r>
              <w:rPr>
                <w:rFonts w:hint="eastAsia" w:ascii="新宋体" w:hAnsi="新宋体" w:eastAsia="新宋体" w:cs="新宋体"/>
                <w:sz w:val="21"/>
                <w:szCs w:val="21"/>
              </w:rPr>
              <w:t>三公经费</w:t>
            </w:r>
          </w:p>
        </w:tc>
        <w:tc>
          <w:tcPr>
            <w:tcW w:w="1955"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65.13</w:t>
            </w:r>
          </w:p>
        </w:tc>
        <w:tc>
          <w:tcPr>
            <w:tcW w:w="2436"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50.05</w:t>
            </w:r>
          </w:p>
        </w:tc>
        <w:tc>
          <w:tcPr>
            <w:tcW w:w="1673"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kern w:val="2"/>
                <w:sz w:val="21"/>
                <w:szCs w:val="21"/>
                <w:lang w:val="en-US" w:eastAsia="zh-CN" w:bidi="ar-SA"/>
              </w:rPr>
            </w:pPr>
            <w:r>
              <w:rPr>
                <w:rFonts w:hint="eastAsia" w:ascii="新宋体" w:hAnsi="新宋体" w:eastAsia="新宋体" w:cs="新宋体"/>
                <w:sz w:val="21"/>
                <w:szCs w:val="21"/>
                <w:lang w:val="en-US" w:eastAsia="zh-CN"/>
              </w:rPr>
              <w:t>50.05</w:t>
            </w:r>
          </w:p>
        </w:tc>
      </w:tr>
      <w:tr>
        <w:tblPrEx>
          <w:tblCellMar>
            <w:top w:w="0" w:type="dxa"/>
            <w:left w:w="108" w:type="dxa"/>
            <w:bottom w:w="0" w:type="dxa"/>
            <w:right w:w="108" w:type="dxa"/>
          </w:tblCellMar>
        </w:tblPrEx>
        <w:trPr>
          <w:trHeight w:val="539" w:hRule="atLeast"/>
          <w:jc w:val="center"/>
        </w:trPr>
        <w:tc>
          <w:tcPr>
            <w:tcW w:w="3217"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1</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公务用车购置和维护经费</w:t>
            </w:r>
          </w:p>
        </w:tc>
        <w:tc>
          <w:tcPr>
            <w:tcW w:w="1955"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21.52</w:t>
            </w:r>
          </w:p>
        </w:tc>
        <w:tc>
          <w:tcPr>
            <w:tcW w:w="2436"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10.62</w:t>
            </w:r>
          </w:p>
        </w:tc>
        <w:tc>
          <w:tcPr>
            <w:tcW w:w="1673"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kern w:val="2"/>
                <w:sz w:val="21"/>
                <w:szCs w:val="21"/>
                <w:lang w:val="en-US" w:eastAsia="zh-CN" w:bidi="ar-SA"/>
              </w:rPr>
            </w:pPr>
            <w:r>
              <w:rPr>
                <w:rFonts w:hint="eastAsia" w:ascii="新宋体" w:hAnsi="新宋体" w:eastAsia="新宋体" w:cs="新宋体"/>
                <w:sz w:val="21"/>
                <w:szCs w:val="21"/>
                <w:lang w:val="en-US" w:eastAsia="zh-CN"/>
              </w:rPr>
              <w:t>10.62</w:t>
            </w:r>
          </w:p>
        </w:tc>
      </w:tr>
      <w:tr>
        <w:tblPrEx>
          <w:tblCellMar>
            <w:top w:w="0" w:type="dxa"/>
            <w:left w:w="108" w:type="dxa"/>
            <w:bottom w:w="0" w:type="dxa"/>
            <w:right w:w="108" w:type="dxa"/>
          </w:tblCellMar>
        </w:tblPrEx>
        <w:trPr>
          <w:trHeight w:val="539" w:hRule="atLeast"/>
          <w:jc w:val="center"/>
        </w:trPr>
        <w:tc>
          <w:tcPr>
            <w:tcW w:w="3217"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其中：公车购置</w:t>
            </w:r>
          </w:p>
        </w:tc>
        <w:tc>
          <w:tcPr>
            <w:tcW w:w="1955"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2436"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673"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kern w:val="2"/>
                <w:sz w:val="21"/>
                <w:szCs w:val="21"/>
                <w:lang w:val="en-US" w:eastAsia="zh-CN" w:bidi="ar-SA"/>
              </w:rPr>
            </w:pPr>
          </w:p>
        </w:tc>
      </w:tr>
      <w:tr>
        <w:tblPrEx>
          <w:tblCellMar>
            <w:top w:w="0" w:type="dxa"/>
            <w:left w:w="108" w:type="dxa"/>
            <w:bottom w:w="0" w:type="dxa"/>
            <w:right w:w="108" w:type="dxa"/>
          </w:tblCellMar>
        </w:tblPrEx>
        <w:trPr>
          <w:trHeight w:val="539" w:hRule="atLeast"/>
          <w:jc w:val="center"/>
        </w:trPr>
        <w:tc>
          <w:tcPr>
            <w:tcW w:w="3217"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公车运行维护</w:t>
            </w:r>
          </w:p>
        </w:tc>
        <w:tc>
          <w:tcPr>
            <w:tcW w:w="1955"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21.52</w:t>
            </w:r>
          </w:p>
        </w:tc>
        <w:tc>
          <w:tcPr>
            <w:tcW w:w="2436"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10.62</w:t>
            </w:r>
          </w:p>
        </w:tc>
        <w:tc>
          <w:tcPr>
            <w:tcW w:w="1673"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kern w:val="2"/>
                <w:sz w:val="21"/>
                <w:szCs w:val="21"/>
                <w:lang w:val="en-US" w:eastAsia="zh-CN" w:bidi="ar-SA"/>
              </w:rPr>
            </w:pPr>
            <w:r>
              <w:rPr>
                <w:rFonts w:hint="eastAsia" w:ascii="新宋体" w:hAnsi="新宋体" w:eastAsia="新宋体" w:cs="新宋体"/>
                <w:sz w:val="21"/>
                <w:szCs w:val="21"/>
                <w:lang w:val="en-US" w:eastAsia="zh-CN"/>
              </w:rPr>
              <w:t>10.62</w:t>
            </w:r>
          </w:p>
        </w:tc>
      </w:tr>
      <w:tr>
        <w:tblPrEx>
          <w:tblCellMar>
            <w:top w:w="0" w:type="dxa"/>
            <w:left w:w="108" w:type="dxa"/>
            <w:bottom w:w="0" w:type="dxa"/>
            <w:right w:w="108" w:type="dxa"/>
          </w:tblCellMar>
        </w:tblPrEx>
        <w:trPr>
          <w:trHeight w:val="539" w:hRule="atLeast"/>
          <w:jc w:val="center"/>
        </w:trPr>
        <w:tc>
          <w:tcPr>
            <w:tcW w:w="3217"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2</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出国经费</w:t>
            </w:r>
          </w:p>
        </w:tc>
        <w:tc>
          <w:tcPr>
            <w:tcW w:w="1955"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2436"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673"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kern w:val="2"/>
                <w:sz w:val="21"/>
                <w:szCs w:val="21"/>
                <w:lang w:val="en-US" w:eastAsia="zh-CN" w:bidi="ar-SA"/>
              </w:rPr>
            </w:pPr>
          </w:p>
        </w:tc>
      </w:tr>
      <w:tr>
        <w:tblPrEx>
          <w:tblCellMar>
            <w:top w:w="0" w:type="dxa"/>
            <w:left w:w="108" w:type="dxa"/>
            <w:bottom w:w="0" w:type="dxa"/>
            <w:right w:w="108" w:type="dxa"/>
          </w:tblCellMar>
        </w:tblPrEx>
        <w:trPr>
          <w:trHeight w:val="539" w:hRule="atLeast"/>
          <w:jc w:val="center"/>
        </w:trPr>
        <w:tc>
          <w:tcPr>
            <w:tcW w:w="3217"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3</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公务接待</w:t>
            </w:r>
          </w:p>
        </w:tc>
        <w:tc>
          <w:tcPr>
            <w:tcW w:w="1955"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43.61</w:t>
            </w:r>
          </w:p>
        </w:tc>
        <w:tc>
          <w:tcPr>
            <w:tcW w:w="2436"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kern w:val="2"/>
                <w:sz w:val="21"/>
                <w:szCs w:val="21"/>
                <w:lang w:val="en-US" w:eastAsia="zh-CN" w:bidi="ar-SA"/>
              </w:rPr>
            </w:pPr>
            <w:r>
              <w:rPr>
                <w:rFonts w:hint="eastAsia" w:ascii="新宋体" w:hAnsi="新宋体" w:eastAsia="新宋体" w:cs="新宋体"/>
                <w:kern w:val="2"/>
                <w:sz w:val="21"/>
                <w:szCs w:val="21"/>
                <w:lang w:val="en-US" w:eastAsia="zh-CN" w:bidi="ar-SA"/>
              </w:rPr>
              <w:t>39.43</w:t>
            </w:r>
          </w:p>
        </w:tc>
        <w:tc>
          <w:tcPr>
            <w:tcW w:w="1673"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kern w:val="2"/>
                <w:sz w:val="21"/>
                <w:szCs w:val="21"/>
                <w:lang w:val="en-US" w:eastAsia="zh-CN" w:bidi="ar-SA"/>
              </w:rPr>
            </w:pPr>
            <w:r>
              <w:rPr>
                <w:rFonts w:hint="eastAsia" w:ascii="新宋体" w:hAnsi="新宋体" w:eastAsia="新宋体" w:cs="新宋体"/>
                <w:kern w:val="2"/>
                <w:sz w:val="21"/>
                <w:szCs w:val="21"/>
                <w:lang w:val="en-US" w:eastAsia="zh-CN" w:bidi="ar-SA"/>
              </w:rPr>
              <w:t>39.43</w:t>
            </w:r>
          </w:p>
        </w:tc>
      </w:tr>
      <w:tr>
        <w:tblPrEx>
          <w:tblCellMar>
            <w:top w:w="0" w:type="dxa"/>
            <w:left w:w="108" w:type="dxa"/>
            <w:bottom w:w="0" w:type="dxa"/>
            <w:right w:w="108" w:type="dxa"/>
          </w:tblCellMar>
        </w:tblPrEx>
        <w:trPr>
          <w:trHeight w:val="539" w:hRule="atLeast"/>
          <w:jc w:val="center"/>
        </w:trPr>
        <w:tc>
          <w:tcPr>
            <w:tcW w:w="3217"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二、</w:t>
            </w:r>
            <w:r>
              <w:rPr>
                <w:rFonts w:hint="eastAsia" w:ascii="新宋体" w:hAnsi="新宋体" w:eastAsia="新宋体" w:cs="新宋体"/>
                <w:sz w:val="21"/>
                <w:szCs w:val="21"/>
              </w:rPr>
              <w:t>项目支出：</w:t>
            </w:r>
          </w:p>
        </w:tc>
        <w:tc>
          <w:tcPr>
            <w:tcW w:w="1955"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2630.35</w:t>
            </w:r>
          </w:p>
        </w:tc>
        <w:tc>
          <w:tcPr>
            <w:tcW w:w="2436"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kern w:val="2"/>
                <w:sz w:val="21"/>
                <w:szCs w:val="21"/>
                <w:lang w:val="en-US" w:eastAsia="zh-CN" w:bidi="ar-SA"/>
              </w:rPr>
            </w:pPr>
            <w:r>
              <w:rPr>
                <w:rFonts w:hint="eastAsia" w:ascii="新宋体" w:hAnsi="新宋体" w:eastAsia="新宋体" w:cs="新宋体"/>
                <w:sz w:val="21"/>
                <w:szCs w:val="21"/>
                <w:lang w:val="en-US" w:eastAsia="zh-CN"/>
              </w:rPr>
              <w:t>14592.58</w:t>
            </w:r>
          </w:p>
        </w:tc>
        <w:tc>
          <w:tcPr>
            <w:tcW w:w="1673"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14292.58</w:t>
            </w:r>
          </w:p>
        </w:tc>
      </w:tr>
      <w:tr>
        <w:tblPrEx>
          <w:tblCellMar>
            <w:top w:w="0" w:type="dxa"/>
            <w:left w:w="108" w:type="dxa"/>
            <w:bottom w:w="0" w:type="dxa"/>
            <w:right w:w="108" w:type="dxa"/>
          </w:tblCellMar>
        </w:tblPrEx>
        <w:trPr>
          <w:trHeight w:val="539" w:hRule="atLeast"/>
          <w:jc w:val="center"/>
        </w:trPr>
        <w:tc>
          <w:tcPr>
            <w:tcW w:w="3217"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1</w:t>
            </w:r>
            <w:r>
              <w:rPr>
                <w:rFonts w:hint="eastAsia" w:ascii="新宋体" w:hAnsi="新宋体" w:eastAsia="新宋体" w:cs="新宋体"/>
                <w:sz w:val="21"/>
                <w:szCs w:val="21"/>
                <w:lang w:val="en-US" w:eastAsia="zh-CN"/>
              </w:rPr>
              <w:t>.基本公共卫生服务</w:t>
            </w:r>
          </w:p>
        </w:tc>
        <w:tc>
          <w:tcPr>
            <w:tcW w:w="1955"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258.71</w:t>
            </w:r>
          </w:p>
        </w:tc>
        <w:tc>
          <w:tcPr>
            <w:tcW w:w="2436"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kern w:val="2"/>
                <w:sz w:val="21"/>
                <w:szCs w:val="21"/>
                <w:lang w:val="en-US" w:eastAsia="zh-CN" w:bidi="ar-SA"/>
              </w:rPr>
            </w:pPr>
            <w:r>
              <w:rPr>
                <w:rFonts w:hint="eastAsia" w:ascii="新宋体" w:hAnsi="新宋体" w:eastAsia="新宋体" w:cs="新宋体"/>
                <w:kern w:val="2"/>
                <w:sz w:val="21"/>
                <w:szCs w:val="21"/>
                <w:lang w:val="en-US" w:eastAsia="zh-CN" w:bidi="ar-SA"/>
              </w:rPr>
              <w:t>567.26</w:t>
            </w:r>
          </w:p>
        </w:tc>
        <w:tc>
          <w:tcPr>
            <w:tcW w:w="1673"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kern w:val="2"/>
                <w:sz w:val="21"/>
                <w:szCs w:val="21"/>
                <w:lang w:val="en-US" w:eastAsia="zh-CN" w:bidi="ar-SA"/>
              </w:rPr>
            </w:pPr>
            <w:r>
              <w:rPr>
                <w:rFonts w:hint="eastAsia" w:ascii="新宋体" w:hAnsi="新宋体" w:eastAsia="新宋体" w:cs="新宋体"/>
                <w:kern w:val="2"/>
                <w:sz w:val="21"/>
                <w:szCs w:val="21"/>
                <w:lang w:val="en-US" w:eastAsia="zh-CN" w:bidi="ar-SA"/>
              </w:rPr>
              <w:t>567.26</w:t>
            </w:r>
          </w:p>
        </w:tc>
      </w:tr>
      <w:tr>
        <w:tblPrEx>
          <w:tblCellMar>
            <w:top w:w="0" w:type="dxa"/>
            <w:left w:w="108" w:type="dxa"/>
            <w:bottom w:w="0" w:type="dxa"/>
            <w:right w:w="108" w:type="dxa"/>
          </w:tblCellMar>
        </w:tblPrEx>
        <w:trPr>
          <w:trHeight w:val="539" w:hRule="atLeast"/>
          <w:jc w:val="center"/>
        </w:trPr>
        <w:tc>
          <w:tcPr>
            <w:tcW w:w="3217"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2.重大公共卫生服务</w:t>
            </w:r>
          </w:p>
        </w:tc>
        <w:tc>
          <w:tcPr>
            <w:tcW w:w="1955"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575.92</w:t>
            </w:r>
          </w:p>
        </w:tc>
        <w:tc>
          <w:tcPr>
            <w:tcW w:w="2436"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kern w:val="2"/>
                <w:sz w:val="21"/>
                <w:szCs w:val="21"/>
                <w:lang w:val="en-US" w:eastAsia="zh-CN" w:bidi="ar-SA"/>
              </w:rPr>
            </w:pPr>
            <w:r>
              <w:rPr>
                <w:rFonts w:hint="eastAsia" w:ascii="新宋体" w:hAnsi="新宋体" w:eastAsia="新宋体" w:cs="新宋体"/>
                <w:kern w:val="2"/>
                <w:sz w:val="21"/>
                <w:szCs w:val="21"/>
                <w:lang w:val="en-US" w:eastAsia="zh-CN" w:bidi="ar-SA"/>
              </w:rPr>
              <w:t>868.03</w:t>
            </w:r>
          </w:p>
        </w:tc>
        <w:tc>
          <w:tcPr>
            <w:tcW w:w="1673"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kern w:val="2"/>
                <w:sz w:val="21"/>
                <w:szCs w:val="21"/>
                <w:lang w:val="en-US" w:eastAsia="zh-CN" w:bidi="ar-SA"/>
              </w:rPr>
            </w:pPr>
            <w:r>
              <w:rPr>
                <w:rFonts w:hint="eastAsia" w:ascii="新宋体" w:hAnsi="新宋体" w:eastAsia="新宋体" w:cs="新宋体"/>
                <w:kern w:val="2"/>
                <w:sz w:val="21"/>
                <w:szCs w:val="21"/>
                <w:lang w:val="en-US" w:eastAsia="zh-CN" w:bidi="ar-SA"/>
              </w:rPr>
              <w:t>868.03</w:t>
            </w:r>
          </w:p>
        </w:tc>
      </w:tr>
      <w:tr>
        <w:tblPrEx>
          <w:tblCellMar>
            <w:top w:w="0" w:type="dxa"/>
            <w:left w:w="108" w:type="dxa"/>
            <w:bottom w:w="0" w:type="dxa"/>
            <w:right w:w="108" w:type="dxa"/>
          </w:tblCellMar>
        </w:tblPrEx>
        <w:trPr>
          <w:trHeight w:val="539" w:hRule="atLeast"/>
          <w:jc w:val="center"/>
        </w:trPr>
        <w:tc>
          <w:tcPr>
            <w:tcW w:w="3217"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3.其他计划生育事务支出</w:t>
            </w:r>
          </w:p>
        </w:tc>
        <w:tc>
          <w:tcPr>
            <w:tcW w:w="1955"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295.56</w:t>
            </w:r>
          </w:p>
        </w:tc>
        <w:tc>
          <w:tcPr>
            <w:tcW w:w="2436"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kern w:val="2"/>
                <w:sz w:val="21"/>
                <w:szCs w:val="21"/>
                <w:lang w:val="en-US" w:eastAsia="zh-CN" w:bidi="ar-SA"/>
              </w:rPr>
            </w:pPr>
            <w:r>
              <w:rPr>
                <w:rFonts w:hint="eastAsia" w:ascii="新宋体" w:hAnsi="新宋体" w:eastAsia="新宋体" w:cs="新宋体"/>
                <w:kern w:val="2"/>
                <w:sz w:val="21"/>
                <w:szCs w:val="21"/>
                <w:lang w:val="en-US" w:eastAsia="zh-CN" w:bidi="ar-SA"/>
              </w:rPr>
              <w:t>330.4</w:t>
            </w:r>
          </w:p>
        </w:tc>
        <w:tc>
          <w:tcPr>
            <w:tcW w:w="1673"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kern w:val="2"/>
                <w:sz w:val="21"/>
                <w:szCs w:val="21"/>
                <w:lang w:val="en-US" w:eastAsia="zh-CN" w:bidi="ar-SA"/>
              </w:rPr>
            </w:pPr>
            <w:r>
              <w:rPr>
                <w:rFonts w:hint="eastAsia" w:ascii="新宋体" w:hAnsi="新宋体" w:eastAsia="新宋体" w:cs="新宋体"/>
                <w:kern w:val="2"/>
                <w:sz w:val="21"/>
                <w:szCs w:val="21"/>
                <w:lang w:val="en-US" w:eastAsia="zh-CN" w:bidi="ar-SA"/>
              </w:rPr>
              <w:t>330.4</w:t>
            </w:r>
          </w:p>
        </w:tc>
      </w:tr>
      <w:tr>
        <w:tblPrEx>
          <w:tblCellMar>
            <w:top w:w="0" w:type="dxa"/>
            <w:left w:w="108" w:type="dxa"/>
            <w:bottom w:w="0" w:type="dxa"/>
            <w:right w:w="108" w:type="dxa"/>
          </w:tblCellMar>
        </w:tblPrEx>
        <w:trPr>
          <w:trHeight w:val="539" w:hRule="atLeast"/>
          <w:jc w:val="center"/>
        </w:trPr>
        <w:tc>
          <w:tcPr>
            <w:tcW w:w="3217"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4.巩固脱贫衔接乡村振兴支出</w:t>
            </w:r>
          </w:p>
        </w:tc>
        <w:tc>
          <w:tcPr>
            <w:tcW w:w="1955"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1500.16</w:t>
            </w:r>
          </w:p>
        </w:tc>
        <w:tc>
          <w:tcPr>
            <w:tcW w:w="2436"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kern w:val="2"/>
                <w:sz w:val="21"/>
                <w:szCs w:val="21"/>
                <w:lang w:val="en-US" w:eastAsia="zh-CN" w:bidi="ar-SA"/>
              </w:rPr>
            </w:pPr>
            <w:r>
              <w:rPr>
                <w:rFonts w:hint="eastAsia" w:ascii="新宋体" w:hAnsi="新宋体" w:eastAsia="新宋体" w:cs="新宋体"/>
                <w:kern w:val="2"/>
                <w:sz w:val="21"/>
                <w:szCs w:val="21"/>
                <w:lang w:val="en-US" w:eastAsia="zh-CN" w:bidi="ar-SA"/>
              </w:rPr>
              <w:t>826.89</w:t>
            </w:r>
          </w:p>
        </w:tc>
        <w:tc>
          <w:tcPr>
            <w:tcW w:w="1673"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kern w:val="2"/>
                <w:sz w:val="21"/>
                <w:szCs w:val="21"/>
                <w:lang w:val="en-US" w:eastAsia="zh-CN" w:bidi="ar-SA"/>
              </w:rPr>
            </w:pPr>
            <w:r>
              <w:rPr>
                <w:rFonts w:hint="eastAsia" w:ascii="新宋体" w:hAnsi="新宋体" w:eastAsia="新宋体" w:cs="新宋体"/>
                <w:kern w:val="2"/>
                <w:sz w:val="21"/>
                <w:szCs w:val="21"/>
                <w:lang w:val="en-US" w:eastAsia="zh-CN" w:bidi="ar-SA"/>
              </w:rPr>
              <w:t>826.89</w:t>
            </w:r>
          </w:p>
        </w:tc>
      </w:tr>
      <w:tr>
        <w:tblPrEx>
          <w:tblCellMar>
            <w:top w:w="0" w:type="dxa"/>
            <w:left w:w="108" w:type="dxa"/>
            <w:bottom w:w="0" w:type="dxa"/>
            <w:right w:w="108" w:type="dxa"/>
          </w:tblCellMar>
        </w:tblPrEx>
        <w:trPr>
          <w:trHeight w:val="539" w:hRule="atLeast"/>
          <w:jc w:val="center"/>
        </w:trPr>
        <w:tc>
          <w:tcPr>
            <w:tcW w:w="3217"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5.其他地方自行试点项目收入专项债券收入安排的支出</w:t>
            </w:r>
          </w:p>
        </w:tc>
        <w:tc>
          <w:tcPr>
            <w:tcW w:w="1955"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2436"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12000</w:t>
            </w:r>
          </w:p>
        </w:tc>
        <w:tc>
          <w:tcPr>
            <w:tcW w:w="1673"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kern w:val="2"/>
                <w:sz w:val="21"/>
                <w:szCs w:val="21"/>
                <w:lang w:val="en-US" w:eastAsia="zh-CN" w:bidi="ar-SA"/>
              </w:rPr>
            </w:pPr>
            <w:r>
              <w:rPr>
                <w:rFonts w:hint="eastAsia" w:ascii="新宋体" w:hAnsi="新宋体" w:eastAsia="新宋体" w:cs="新宋体"/>
                <w:sz w:val="21"/>
                <w:szCs w:val="21"/>
                <w:lang w:val="en-US" w:eastAsia="zh-CN"/>
              </w:rPr>
              <w:t>12000</w:t>
            </w:r>
          </w:p>
        </w:tc>
      </w:tr>
      <w:tr>
        <w:tblPrEx>
          <w:tblCellMar>
            <w:top w:w="0" w:type="dxa"/>
            <w:left w:w="108" w:type="dxa"/>
            <w:bottom w:w="0" w:type="dxa"/>
            <w:right w:w="108" w:type="dxa"/>
          </w:tblCellMar>
        </w:tblPrEx>
        <w:trPr>
          <w:trHeight w:val="539" w:hRule="atLeast"/>
          <w:jc w:val="center"/>
        </w:trPr>
        <w:tc>
          <w:tcPr>
            <w:tcW w:w="3217"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厉行节约保障措施</w:t>
            </w:r>
          </w:p>
        </w:tc>
        <w:tc>
          <w:tcPr>
            <w:tcW w:w="6064" w:type="dxa"/>
            <w:gridSpan w:val="3"/>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bl>
    <w:p>
      <w:pPr>
        <w:widowControl/>
        <w:spacing w:afterLines="0" w:line="400" w:lineRule="exact"/>
        <w:jc w:val="left"/>
        <w:rPr>
          <w:rFonts w:hint="eastAsia" w:ascii="新宋体" w:hAnsi="新宋体" w:eastAsia="新宋体" w:cs="新宋体"/>
          <w:sz w:val="21"/>
          <w:szCs w:val="21"/>
          <w:lang w:eastAsia="zh-CN"/>
        </w:rPr>
      </w:pPr>
      <w:r>
        <w:rPr>
          <w:rFonts w:hint="eastAsia" w:ascii="新宋体" w:hAnsi="新宋体" w:eastAsia="新宋体" w:cs="新宋体"/>
          <w:sz w:val="21"/>
          <w:szCs w:val="21"/>
        </w:rPr>
        <w:t>说明：</w:t>
      </w:r>
      <w:r>
        <w:rPr>
          <w:rFonts w:hint="eastAsia" w:ascii="新宋体" w:hAnsi="新宋体" w:eastAsia="新宋体" w:cs="新宋体"/>
          <w:sz w:val="21"/>
          <w:szCs w:val="21"/>
          <w:lang w:eastAsia="zh-CN"/>
        </w:rPr>
        <w:t>以上数据均来源于</w:t>
      </w:r>
      <w:r>
        <w:rPr>
          <w:rFonts w:hint="eastAsia" w:ascii="新宋体" w:hAnsi="新宋体" w:eastAsia="新宋体" w:cs="新宋体"/>
          <w:sz w:val="21"/>
          <w:szCs w:val="21"/>
          <w:lang w:val="en-US" w:eastAsia="zh-CN"/>
        </w:rPr>
        <w:t>部门决算报表，其中</w:t>
      </w:r>
      <w:r>
        <w:rPr>
          <w:rFonts w:hint="eastAsia" w:ascii="新宋体" w:hAnsi="新宋体" w:eastAsia="新宋体" w:cs="新宋体"/>
          <w:sz w:val="21"/>
          <w:szCs w:val="21"/>
        </w:rPr>
        <w:t>“</w:t>
      </w:r>
      <w:r>
        <w:rPr>
          <w:rFonts w:hint="eastAsia" w:ascii="新宋体" w:hAnsi="新宋体" w:eastAsia="新宋体" w:cs="新宋体"/>
          <w:sz w:val="21"/>
          <w:szCs w:val="21"/>
          <w:lang w:eastAsia="zh-CN"/>
        </w:rPr>
        <w:t>基本支出</w:t>
      </w:r>
      <w:r>
        <w:rPr>
          <w:rFonts w:hint="eastAsia" w:ascii="新宋体" w:hAnsi="新宋体" w:eastAsia="新宋体" w:cs="新宋体"/>
          <w:sz w:val="21"/>
          <w:szCs w:val="21"/>
        </w:rPr>
        <w:t>”</w:t>
      </w:r>
      <w:r>
        <w:rPr>
          <w:rFonts w:hint="eastAsia" w:ascii="新宋体" w:hAnsi="新宋体" w:eastAsia="新宋体" w:cs="新宋体"/>
          <w:sz w:val="21"/>
          <w:szCs w:val="21"/>
          <w:lang w:eastAsia="zh-CN"/>
        </w:rPr>
        <w:t>数据参照基本支出决算明细表（财决</w:t>
      </w:r>
      <w:r>
        <w:rPr>
          <w:rFonts w:hint="eastAsia" w:ascii="新宋体" w:hAnsi="新宋体" w:eastAsia="新宋体" w:cs="新宋体"/>
          <w:sz w:val="21"/>
          <w:szCs w:val="21"/>
          <w:lang w:val="en-US" w:eastAsia="zh-CN"/>
        </w:rPr>
        <w:t>05-1表</w:t>
      </w:r>
      <w:r>
        <w:rPr>
          <w:rFonts w:hint="eastAsia" w:ascii="新宋体" w:hAnsi="新宋体" w:eastAsia="新宋体" w:cs="新宋体"/>
          <w:sz w:val="21"/>
          <w:szCs w:val="21"/>
          <w:lang w:eastAsia="zh-CN"/>
        </w:rPr>
        <w:t>）；“三公经费”数据参照机构运行信息表（财决附</w:t>
      </w:r>
      <w:r>
        <w:rPr>
          <w:rFonts w:hint="eastAsia" w:ascii="新宋体" w:hAnsi="新宋体" w:eastAsia="新宋体" w:cs="新宋体"/>
          <w:sz w:val="21"/>
          <w:szCs w:val="21"/>
          <w:lang w:val="en-US" w:eastAsia="zh-CN"/>
        </w:rPr>
        <w:t>03表</w:t>
      </w:r>
      <w:r>
        <w:rPr>
          <w:rFonts w:hint="eastAsia" w:ascii="新宋体" w:hAnsi="新宋体" w:eastAsia="新宋体" w:cs="新宋体"/>
          <w:sz w:val="21"/>
          <w:szCs w:val="21"/>
          <w:lang w:eastAsia="zh-CN"/>
        </w:rPr>
        <w:t>）；</w:t>
      </w:r>
      <w:r>
        <w:rPr>
          <w:rFonts w:hint="eastAsia" w:ascii="新宋体" w:hAnsi="新宋体" w:eastAsia="新宋体" w:cs="新宋体"/>
          <w:sz w:val="21"/>
          <w:szCs w:val="21"/>
        </w:rPr>
        <w:t>“项目支出”</w:t>
      </w:r>
      <w:r>
        <w:rPr>
          <w:rFonts w:hint="eastAsia" w:ascii="新宋体" w:hAnsi="新宋体" w:eastAsia="新宋体" w:cs="新宋体"/>
          <w:sz w:val="21"/>
          <w:szCs w:val="21"/>
          <w:lang w:eastAsia="zh-CN"/>
        </w:rPr>
        <w:t>数据参照项目支出决算明细表（财决</w:t>
      </w:r>
      <w:r>
        <w:rPr>
          <w:rFonts w:hint="eastAsia" w:ascii="新宋体" w:hAnsi="新宋体" w:eastAsia="新宋体" w:cs="新宋体"/>
          <w:sz w:val="21"/>
          <w:szCs w:val="21"/>
          <w:lang w:val="en-US" w:eastAsia="zh-CN"/>
        </w:rPr>
        <w:t>05-2表</w:t>
      </w:r>
      <w:r>
        <w:rPr>
          <w:rFonts w:hint="eastAsia" w:ascii="新宋体" w:hAnsi="新宋体" w:eastAsia="新宋体" w:cs="新宋体"/>
          <w:sz w:val="21"/>
          <w:szCs w:val="21"/>
          <w:lang w:eastAsia="zh-CN"/>
        </w:rPr>
        <w:t>）。</w:t>
      </w:r>
    </w:p>
    <w:p>
      <w:pPr>
        <w:widowControl/>
        <w:spacing w:after="0" w:afterLines="0" w:line="400" w:lineRule="exact"/>
        <w:jc w:val="left"/>
        <w:rPr>
          <w:rFonts w:hint="default" w:ascii="Times New Roman" w:hAnsi="Times New Roman" w:eastAsia="仿宋_GB2312" w:cs="Times New Roman"/>
          <w:sz w:val="22"/>
        </w:rPr>
      </w:pPr>
    </w:p>
    <w:p>
      <w:pPr>
        <w:widowControl/>
        <w:spacing w:after="0" w:afterLines="0" w:line="400" w:lineRule="exact"/>
        <w:jc w:val="left"/>
        <w:rPr>
          <w:rFonts w:hint="eastAsia" w:ascii="Times New Roman" w:hAnsi="Times New Roman" w:eastAsia="黑体" w:cs="Times New Roman"/>
          <w:sz w:val="32"/>
          <w:szCs w:val="32"/>
          <w:lang w:eastAsia="zh-CN"/>
        </w:rPr>
      </w:pPr>
      <w:r>
        <w:rPr>
          <w:rFonts w:hint="eastAsia" w:ascii="仿宋" w:hAnsi="仿宋" w:eastAsia="仿宋" w:cs="仿宋"/>
          <w:sz w:val="22"/>
        </w:rPr>
        <w:t>填表人：</w:t>
      </w:r>
      <w:r>
        <w:rPr>
          <w:rFonts w:hint="eastAsia" w:ascii="仿宋" w:hAnsi="仿宋" w:eastAsia="仿宋" w:cs="仿宋"/>
          <w:sz w:val="22"/>
          <w:lang w:eastAsia="zh-CN"/>
        </w:rPr>
        <w:t>綦群艳</w:t>
      </w:r>
      <w:r>
        <w:rPr>
          <w:rFonts w:hint="eastAsia" w:ascii="仿宋" w:hAnsi="仿宋" w:eastAsia="仿宋" w:cs="仿宋"/>
          <w:sz w:val="22"/>
        </w:rPr>
        <w:t xml:space="preserve">    填报日期：</w:t>
      </w:r>
      <w:r>
        <w:rPr>
          <w:rFonts w:hint="eastAsia" w:ascii="仿宋" w:hAnsi="仿宋" w:eastAsia="仿宋" w:cs="仿宋"/>
          <w:sz w:val="22"/>
          <w:lang w:val="en-US" w:eastAsia="zh-CN"/>
        </w:rPr>
        <w:t>2022.7.12</w:t>
      </w:r>
      <w:r>
        <w:rPr>
          <w:rFonts w:hint="eastAsia" w:ascii="仿宋" w:hAnsi="仿宋" w:eastAsia="仿宋" w:cs="仿宋"/>
          <w:sz w:val="22"/>
        </w:rPr>
        <w:t xml:space="preserve">    联系电话：</w:t>
      </w:r>
      <w:r>
        <w:rPr>
          <w:rFonts w:hint="eastAsia" w:ascii="仿宋" w:hAnsi="仿宋" w:eastAsia="仿宋" w:cs="仿宋"/>
          <w:sz w:val="22"/>
          <w:lang w:val="en-US" w:eastAsia="zh-CN"/>
        </w:rPr>
        <w:t>4132645</w:t>
      </w:r>
      <w:r>
        <w:rPr>
          <w:rFonts w:hint="eastAsia" w:ascii="仿宋" w:hAnsi="仿宋" w:eastAsia="仿宋" w:cs="仿宋"/>
          <w:sz w:val="22"/>
        </w:rPr>
        <w:t xml:space="preserve">   单位负责人签字：</w:t>
      </w:r>
      <w:r>
        <w:rPr>
          <w:rFonts w:hint="eastAsia" w:ascii="仿宋" w:hAnsi="仿宋" w:eastAsia="仿宋" w:cs="仿宋"/>
          <w:sz w:val="22"/>
        </w:rPr>
        <w:br w:type="page"/>
      </w:r>
      <w:r>
        <w:rPr>
          <w:rFonts w:hint="default" w:ascii="黑体" w:hAnsi="黑体" w:eastAsia="黑体" w:cs="黑体"/>
          <w:sz w:val="32"/>
          <w:szCs w:val="32"/>
          <w:lang w:eastAsia="zh-CN"/>
        </w:rPr>
        <w:t>附件</w:t>
      </w:r>
      <w:r>
        <w:rPr>
          <w:rFonts w:hint="eastAsia" w:ascii="黑体" w:hAnsi="黑体" w:eastAsia="黑体" w:cs="黑体"/>
          <w:sz w:val="32"/>
          <w:szCs w:val="32"/>
          <w:lang w:val="en-US" w:eastAsia="zh-CN"/>
        </w:rPr>
        <w:t>2</w:t>
      </w:r>
    </w:p>
    <w:p>
      <w:pPr>
        <w:keepNext w:val="0"/>
        <w:keepLines w:val="0"/>
        <w:pageBreakBefore w:val="0"/>
        <w:widowControl w:val="0"/>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年度部门整体支出绩效自评表</w:t>
      </w:r>
    </w:p>
    <w:tbl>
      <w:tblPr>
        <w:tblStyle w:val="10"/>
        <w:tblW w:w="9281" w:type="dxa"/>
        <w:jc w:val="center"/>
        <w:tblLayout w:type="fixed"/>
        <w:tblCellMar>
          <w:top w:w="0" w:type="dxa"/>
          <w:left w:w="108" w:type="dxa"/>
          <w:bottom w:w="0" w:type="dxa"/>
          <w:right w:w="108" w:type="dxa"/>
        </w:tblCellMar>
      </w:tblPr>
      <w:tblGrid>
        <w:gridCol w:w="1072"/>
        <w:gridCol w:w="857"/>
        <w:gridCol w:w="873"/>
        <w:gridCol w:w="1051"/>
        <w:gridCol w:w="1116"/>
        <w:gridCol w:w="1146"/>
        <w:gridCol w:w="587"/>
        <w:gridCol w:w="1012"/>
        <w:gridCol w:w="1567"/>
      </w:tblGrid>
      <w:tr>
        <w:tblPrEx>
          <w:tblCellMar>
            <w:top w:w="0" w:type="dxa"/>
            <w:left w:w="108" w:type="dxa"/>
            <w:bottom w:w="0" w:type="dxa"/>
            <w:right w:w="108" w:type="dxa"/>
          </w:tblCellMar>
        </w:tblPrEx>
        <w:trPr>
          <w:trHeight w:val="1003" w:hRule="atLeast"/>
          <w:jc w:val="center"/>
        </w:trPr>
        <w:tc>
          <w:tcPr>
            <w:tcW w:w="10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eastAsia="zh-CN"/>
              </w:rPr>
              <w:t>县</w:t>
            </w:r>
            <w:r>
              <w:rPr>
                <w:rFonts w:hint="eastAsia" w:ascii="新宋体" w:hAnsi="新宋体" w:eastAsia="新宋体" w:cs="新宋体"/>
                <w:color w:val="000000"/>
                <w:sz w:val="21"/>
                <w:szCs w:val="21"/>
              </w:rPr>
              <w:t>级预算部门名称</w:t>
            </w:r>
          </w:p>
        </w:tc>
        <w:tc>
          <w:tcPr>
            <w:tcW w:w="8209" w:type="dxa"/>
            <w:gridSpan w:val="8"/>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华容县卫生健康局乡镇汇总</w:t>
            </w:r>
          </w:p>
        </w:tc>
      </w:tr>
      <w:tr>
        <w:tblPrEx>
          <w:tblCellMar>
            <w:top w:w="0" w:type="dxa"/>
            <w:left w:w="108" w:type="dxa"/>
            <w:bottom w:w="0" w:type="dxa"/>
            <w:right w:w="108" w:type="dxa"/>
          </w:tblCellMar>
        </w:tblPrEx>
        <w:trPr>
          <w:trHeight w:val="863" w:hRule="atLeast"/>
          <w:jc w:val="center"/>
        </w:trPr>
        <w:tc>
          <w:tcPr>
            <w:tcW w:w="1072" w:type="dxa"/>
            <w:vMerge w:val="restart"/>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预算</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lang w:eastAsia="zh-CN"/>
              </w:rPr>
            </w:pPr>
            <w:r>
              <w:rPr>
                <w:rFonts w:hint="eastAsia" w:ascii="新宋体" w:hAnsi="新宋体" w:eastAsia="新宋体" w:cs="新宋体"/>
                <w:i w:val="0"/>
                <w:iCs w:val="0"/>
                <w:color w:val="000000"/>
                <w:sz w:val="21"/>
                <w:szCs w:val="21"/>
              </w:rPr>
              <w:t>申请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（万元）</w:t>
            </w:r>
          </w:p>
        </w:tc>
        <w:tc>
          <w:tcPr>
            <w:tcW w:w="1730" w:type="dxa"/>
            <w:gridSpan w:val="2"/>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p>
        </w:tc>
        <w:tc>
          <w:tcPr>
            <w:tcW w:w="1051"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年初</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预算数</w:t>
            </w:r>
          </w:p>
        </w:tc>
        <w:tc>
          <w:tcPr>
            <w:tcW w:w="1116"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预算数</w:t>
            </w:r>
          </w:p>
        </w:tc>
        <w:tc>
          <w:tcPr>
            <w:tcW w:w="1146"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执行数</w:t>
            </w:r>
          </w:p>
        </w:tc>
        <w:tc>
          <w:tcPr>
            <w:tcW w:w="587"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分值</w:t>
            </w:r>
          </w:p>
        </w:tc>
        <w:tc>
          <w:tcPr>
            <w:tcW w:w="1012"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执行率</w:t>
            </w:r>
          </w:p>
        </w:tc>
        <w:tc>
          <w:tcPr>
            <w:tcW w:w="1567"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得分</w:t>
            </w:r>
          </w:p>
        </w:tc>
      </w:tr>
      <w:tr>
        <w:tblPrEx>
          <w:tblCellMar>
            <w:top w:w="0" w:type="dxa"/>
            <w:left w:w="108" w:type="dxa"/>
            <w:bottom w:w="0" w:type="dxa"/>
            <w:right w:w="108" w:type="dxa"/>
          </w:tblCellMar>
        </w:tblPrEx>
        <w:trPr>
          <w:trHeight w:val="462" w:hRule="atLeast"/>
          <w:jc w:val="center"/>
        </w:trPr>
        <w:tc>
          <w:tcPr>
            <w:tcW w:w="1072" w:type="dxa"/>
            <w:vMerge w:val="continue"/>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1730" w:type="dxa"/>
            <w:gridSpan w:val="2"/>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color w:val="000000"/>
                <w:sz w:val="21"/>
                <w:szCs w:val="21"/>
              </w:rPr>
              <w:t>年度资金总额</w:t>
            </w:r>
          </w:p>
        </w:tc>
        <w:tc>
          <w:tcPr>
            <w:tcW w:w="1051"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62478.7</w:t>
            </w:r>
          </w:p>
        </w:tc>
        <w:tc>
          <w:tcPr>
            <w:tcW w:w="1116"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84518.19</w:t>
            </w:r>
          </w:p>
        </w:tc>
        <w:tc>
          <w:tcPr>
            <w:tcW w:w="1146"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84518.19</w:t>
            </w:r>
          </w:p>
        </w:tc>
        <w:tc>
          <w:tcPr>
            <w:tcW w:w="587"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10</w:t>
            </w:r>
          </w:p>
        </w:tc>
        <w:tc>
          <w:tcPr>
            <w:tcW w:w="1012"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100%</w:t>
            </w:r>
          </w:p>
        </w:tc>
        <w:tc>
          <w:tcPr>
            <w:tcW w:w="1567"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w:t>
            </w:r>
          </w:p>
        </w:tc>
      </w:tr>
      <w:tr>
        <w:tblPrEx>
          <w:tblCellMar>
            <w:top w:w="0" w:type="dxa"/>
            <w:left w:w="108" w:type="dxa"/>
            <w:bottom w:w="0" w:type="dxa"/>
            <w:right w:w="108" w:type="dxa"/>
          </w:tblCellMar>
        </w:tblPrEx>
        <w:trPr>
          <w:trHeight w:val="462" w:hRule="atLeast"/>
          <w:jc w:val="center"/>
        </w:trPr>
        <w:tc>
          <w:tcPr>
            <w:tcW w:w="1072"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3897" w:type="dxa"/>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按收入性质分：</w:t>
            </w:r>
            <w:r>
              <w:rPr>
                <w:rFonts w:hint="eastAsia" w:ascii="新宋体" w:hAnsi="新宋体" w:eastAsia="新宋体" w:cs="新宋体"/>
                <w:i w:val="0"/>
                <w:iCs w:val="0"/>
                <w:color w:val="000000"/>
                <w:sz w:val="21"/>
                <w:szCs w:val="21"/>
                <w:lang w:val="en-US" w:eastAsia="zh-CN"/>
              </w:rPr>
              <w:t>84518.19</w:t>
            </w:r>
          </w:p>
        </w:tc>
        <w:tc>
          <w:tcPr>
            <w:tcW w:w="4312" w:type="dxa"/>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按支出性质分：</w:t>
            </w:r>
            <w:r>
              <w:rPr>
                <w:rFonts w:hint="eastAsia" w:ascii="新宋体" w:hAnsi="新宋体" w:eastAsia="新宋体" w:cs="新宋体"/>
                <w:color w:val="000000"/>
                <w:sz w:val="21"/>
                <w:szCs w:val="21"/>
                <w:lang w:val="en-US" w:eastAsia="zh-CN"/>
              </w:rPr>
              <w:t>84518.19</w:t>
            </w:r>
          </w:p>
        </w:tc>
      </w:tr>
      <w:tr>
        <w:tblPrEx>
          <w:tblCellMar>
            <w:top w:w="0" w:type="dxa"/>
            <w:left w:w="108" w:type="dxa"/>
            <w:bottom w:w="0" w:type="dxa"/>
            <w:right w:w="108" w:type="dxa"/>
          </w:tblCellMar>
        </w:tblPrEx>
        <w:trPr>
          <w:trHeight w:val="462" w:hRule="atLeast"/>
          <w:jc w:val="center"/>
        </w:trPr>
        <w:tc>
          <w:tcPr>
            <w:tcW w:w="1072"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3897" w:type="dxa"/>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其中：</w:t>
            </w:r>
            <w:r>
              <w:rPr>
                <w:rFonts w:hint="eastAsia" w:ascii="新宋体" w:hAnsi="新宋体" w:eastAsia="新宋体" w:cs="新宋体"/>
                <w:i w:val="0"/>
                <w:iCs w:val="0"/>
                <w:color w:val="000000"/>
                <w:sz w:val="21"/>
                <w:szCs w:val="21"/>
                <w:lang w:val="en-US" w:eastAsia="zh-CN"/>
              </w:rPr>
              <w:t xml:space="preserve">  </w:t>
            </w:r>
            <w:r>
              <w:rPr>
                <w:rFonts w:hint="eastAsia" w:ascii="新宋体" w:hAnsi="新宋体" w:eastAsia="新宋体" w:cs="新宋体"/>
                <w:i w:val="0"/>
                <w:iCs w:val="0"/>
                <w:color w:val="000000"/>
                <w:sz w:val="21"/>
                <w:szCs w:val="21"/>
              </w:rPr>
              <w:t>一般公共预算：</w:t>
            </w:r>
            <w:r>
              <w:rPr>
                <w:rFonts w:hint="eastAsia" w:ascii="新宋体" w:hAnsi="新宋体" w:eastAsia="新宋体" w:cs="新宋体"/>
                <w:i w:val="0"/>
                <w:iCs w:val="0"/>
                <w:color w:val="000000"/>
                <w:sz w:val="21"/>
                <w:szCs w:val="21"/>
                <w:lang w:val="en-US" w:eastAsia="zh-CN"/>
              </w:rPr>
              <w:t>14130.84</w:t>
            </w:r>
          </w:p>
        </w:tc>
        <w:tc>
          <w:tcPr>
            <w:tcW w:w="4312" w:type="dxa"/>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其中：基本支出：</w:t>
            </w:r>
            <w:r>
              <w:rPr>
                <w:rFonts w:hint="eastAsia" w:ascii="新宋体" w:hAnsi="新宋体" w:eastAsia="新宋体" w:cs="新宋体"/>
                <w:color w:val="000000"/>
                <w:sz w:val="21"/>
                <w:szCs w:val="21"/>
                <w:lang w:val="en-US" w:eastAsia="zh-CN"/>
              </w:rPr>
              <w:t>69925.61</w:t>
            </w:r>
          </w:p>
        </w:tc>
      </w:tr>
      <w:tr>
        <w:tblPrEx>
          <w:tblCellMar>
            <w:top w:w="0" w:type="dxa"/>
            <w:left w:w="108" w:type="dxa"/>
            <w:bottom w:w="0" w:type="dxa"/>
            <w:right w:w="108" w:type="dxa"/>
          </w:tblCellMar>
        </w:tblPrEx>
        <w:trPr>
          <w:trHeight w:val="462" w:hRule="atLeast"/>
          <w:jc w:val="center"/>
        </w:trPr>
        <w:tc>
          <w:tcPr>
            <w:tcW w:w="1072"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3897" w:type="dxa"/>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630" w:firstLineChars="300"/>
              <w:jc w:val="left"/>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政府性基金拨款：</w:t>
            </w:r>
            <w:r>
              <w:rPr>
                <w:rFonts w:hint="eastAsia" w:ascii="新宋体" w:hAnsi="新宋体" w:eastAsia="新宋体" w:cs="新宋体"/>
                <w:i w:val="0"/>
                <w:iCs w:val="0"/>
                <w:color w:val="000000"/>
                <w:sz w:val="21"/>
                <w:szCs w:val="21"/>
                <w:lang w:val="en-US" w:eastAsia="zh-CN"/>
              </w:rPr>
              <w:t>12000.00</w:t>
            </w:r>
          </w:p>
        </w:tc>
        <w:tc>
          <w:tcPr>
            <w:tcW w:w="4312" w:type="dxa"/>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630" w:firstLineChars="30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项目支出：</w:t>
            </w:r>
            <w:r>
              <w:rPr>
                <w:rFonts w:hint="eastAsia" w:ascii="新宋体" w:hAnsi="新宋体" w:eastAsia="新宋体" w:cs="新宋体"/>
                <w:color w:val="000000"/>
                <w:sz w:val="21"/>
                <w:szCs w:val="21"/>
                <w:lang w:val="en-US" w:eastAsia="zh-CN"/>
              </w:rPr>
              <w:t>14592.58</w:t>
            </w:r>
          </w:p>
        </w:tc>
      </w:tr>
      <w:tr>
        <w:tblPrEx>
          <w:tblCellMar>
            <w:top w:w="0" w:type="dxa"/>
            <w:left w:w="108" w:type="dxa"/>
            <w:bottom w:w="0" w:type="dxa"/>
            <w:right w:w="108" w:type="dxa"/>
          </w:tblCellMar>
        </w:tblPrEx>
        <w:trPr>
          <w:trHeight w:val="462" w:hRule="atLeast"/>
          <w:jc w:val="center"/>
        </w:trPr>
        <w:tc>
          <w:tcPr>
            <w:tcW w:w="1072"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3897" w:type="dxa"/>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纳入专户管理的非税收入拨款：</w:t>
            </w:r>
          </w:p>
        </w:tc>
        <w:tc>
          <w:tcPr>
            <w:tcW w:w="4312" w:type="dxa"/>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1072" w:type="dxa"/>
            <w:vMerge w:val="continue"/>
            <w:tcBorders>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3897" w:type="dxa"/>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1260" w:firstLineChars="600"/>
              <w:jc w:val="left"/>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其他资金：</w:t>
            </w:r>
            <w:r>
              <w:rPr>
                <w:rFonts w:hint="eastAsia" w:ascii="新宋体" w:hAnsi="新宋体" w:eastAsia="新宋体" w:cs="新宋体"/>
                <w:i w:val="0"/>
                <w:iCs w:val="0"/>
                <w:color w:val="000000"/>
                <w:sz w:val="21"/>
                <w:szCs w:val="21"/>
                <w:lang w:val="en-US" w:eastAsia="zh-CN"/>
              </w:rPr>
              <w:t>58387.35</w:t>
            </w:r>
          </w:p>
        </w:tc>
        <w:tc>
          <w:tcPr>
            <w:tcW w:w="4312" w:type="dxa"/>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1072"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总体目标</w:t>
            </w:r>
          </w:p>
        </w:tc>
        <w:tc>
          <w:tcPr>
            <w:tcW w:w="3897" w:type="dxa"/>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预期目标</w:t>
            </w:r>
          </w:p>
        </w:tc>
        <w:tc>
          <w:tcPr>
            <w:tcW w:w="4312"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实际完成情况　</w:t>
            </w:r>
          </w:p>
        </w:tc>
      </w:tr>
      <w:tr>
        <w:tblPrEx>
          <w:tblCellMar>
            <w:top w:w="0" w:type="dxa"/>
            <w:left w:w="108" w:type="dxa"/>
            <w:bottom w:w="0" w:type="dxa"/>
            <w:right w:w="108" w:type="dxa"/>
          </w:tblCellMar>
        </w:tblPrEx>
        <w:trPr>
          <w:trHeight w:val="462" w:hRule="atLeast"/>
          <w:jc w:val="center"/>
        </w:trPr>
        <w:tc>
          <w:tcPr>
            <w:tcW w:w="1072"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3897" w:type="dxa"/>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0"/>
                <w:szCs w:val="20"/>
                <w:lang w:val="en-US" w:eastAsia="zh-CN"/>
              </w:rPr>
              <w:t>1.全力做好新冠疫情防控工作；2.推动团洲、治河、鲇市、东山应急接诊点及疾控中心改扩建项目5个项目完工；3.推进人医二期、中医二期、二医院、新河综合大楼、精专扩建项目5个在建项目进度达标（；4.做好孕产妇免费产前筛查、新生儿先天性心脏病免费筛查、适龄妇女“两癌”免费检查、新生儿出生缺陷（耳聋基因）免费筛查、卫生院数字化门诊建设、公立医院互联互通等市级民生实事项目；5.14大类基本公共卫生服务项目完成省市下达的任务；6.继续有效</w:t>
            </w:r>
            <w:r>
              <w:rPr>
                <w:rFonts w:hint="eastAsia" w:asciiTheme="minorEastAsia" w:hAnsiTheme="minorEastAsia" w:eastAsiaTheme="minorEastAsia" w:cstheme="minorEastAsia"/>
                <w:b w:val="0"/>
                <w:bCs w:val="0"/>
                <w:color w:val="000000"/>
                <w:sz w:val="20"/>
                <w:szCs w:val="20"/>
                <w:lang w:val="en-US" w:eastAsia="zh-CN"/>
              </w:rPr>
              <w:t>深化医改举措；7.加强医疗机构设备、队伍、激励机制建设。</w:t>
            </w:r>
            <w:r>
              <w:rPr>
                <w:rFonts w:hint="eastAsia" w:asciiTheme="minorEastAsia" w:hAnsiTheme="minorEastAsia" w:eastAsiaTheme="minorEastAsia" w:cstheme="minorEastAsia"/>
                <w:color w:val="000000"/>
                <w:sz w:val="20"/>
                <w:szCs w:val="20"/>
              </w:rPr>
              <w:t>　　</w:t>
            </w:r>
          </w:p>
        </w:tc>
        <w:tc>
          <w:tcPr>
            <w:tcW w:w="4312"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0"/>
                <w:szCs w:val="20"/>
                <w:lang w:val="en-US" w:eastAsia="zh-CN"/>
              </w:rPr>
              <w:t>1.新冠疫情防控处置有力，实现了“零死亡、零院感、零外溢”目标；2团洲、治河、鲇市、东山应急接诊点及疾控中心改扩建项目5个项目完工；3.人医二期、中医二期、二医院、新河综合大楼、精专扩建项目5个在建项目进度达标（；4.完成了孕产妇免费产前筛查、新生儿先天性心脏病免费筛查、适龄妇女“两癌”免费检查、新生儿出生缺陷（耳聋基因）免费筛查、卫生院数字化门诊建设、公立医院互联互通等市级民生实事项目；5.14大类基本公共卫生服务项目完成省市下达的任务，其中超额完成的有9项；6.有效</w:t>
            </w:r>
            <w:r>
              <w:rPr>
                <w:rFonts w:hint="eastAsia" w:asciiTheme="minorEastAsia" w:hAnsiTheme="minorEastAsia" w:eastAsiaTheme="minorEastAsia" w:cstheme="minorEastAsia"/>
                <w:b w:val="0"/>
                <w:bCs w:val="0"/>
                <w:color w:val="000000"/>
                <w:sz w:val="20"/>
                <w:szCs w:val="20"/>
                <w:lang w:val="en-US" w:eastAsia="zh-CN"/>
              </w:rPr>
              <w:t>深化医改举措；7.完成了医疗机构设备、队伍、激励机制建设。</w:t>
            </w:r>
          </w:p>
        </w:tc>
      </w:tr>
      <w:tr>
        <w:tblPrEx>
          <w:tblCellMar>
            <w:top w:w="0" w:type="dxa"/>
            <w:left w:w="108" w:type="dxa"/>
            <w:bottom w:w="0" w:type="dxa"/>
            <w:right w:w="108" w:type="dxa"/>
          </w:tblCellMar>
        </w:tblPrEx>
        <w:trPr>
          <w:trHeight w:val="850" w:hRule="atLeast"/>
          <w:jc w:val="center"/>
        </w:trPr>
        <w:tc>
          <w:tcPr>
            <w:tcW w:w="1072"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标</w:t>
            </w:r>
          </w:p>
        </w:tc>
        <w:tc>
          <w:tcPr>
            <w:tcW w:w="8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一级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二级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10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三级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11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指标值</w:t>
            </w:r>
          </w:p>
        </w:tc>
        <w:tc>
          <w:tcPr>
            <w:tcW w:w="11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完成值</w:t>
            </w:r>
          </w:p>
        </w:tc>
        <w:tc>
          <w:tcPr>
            <w:tcW w:w="5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分值</w:t>
            </w:r>
          </w:p>
        </w:tc>
        <w:tc>
          <w:tcPr>
            <w:tcW w:w="10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得分</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偏差原因分析及改进措施</w:t>
            </w:r>
          </w:p>
        </w:tc>
      </w:tr>
      <w:tr>
        <w:tblPrEx>
          <w:tblCellMar>
            <w:top w:w="0" w:type="dxa"/>
            <w:left w:w="108" w:type="dxa"/>
            <w:bottom w:w="0" w:type="dxa"/>
            <w:right w:w="108" w:type="dxa"/>
          </w:tblCellMar>
        </w:tblPrEx>
        <w:trPr>
          <w:trHeight w:val="462" w:hRule="atLeast"/>
          <w:jc w:val="center"/>
        </w:trPr>
        <w:tc>
          <w:tcPr>
            <w:tcW w:w="107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57"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产出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(50分)</w:t>
            </w:r>
          </w:p>
        </w:tc>
        <w:tc>
          <w:tcPr>
            <w:tcW w:w="873"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数量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10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ascii="Arial" w:hAnsi="Times New Roman" w:eastAsia="宋体" w:cs="Times New Roman"/>
                <w:spacing w:val="-6"/>
                <w:kern w:val="2"/>
                <w:sz w:val="18"/>
                <w:szCs w:val="18"/>
                <w:lang w:val="en-US" w:eastAsia="zh-CN" w:bidi="ar-SA"/>
              </w:rPr>
            </w:pPr>
            <w:r>
              <w:rPr>
                <w:rFonts w:hint="eastAsia" w:eastAsia="宋体"/>
                <w:sz w:val="15"/>
                <w:szCs w:val="15"/>
                <w:lang w:val="en-US" w:eastAsia="zh-CN"/>
              </w:rPr>
              <w:t>适龄儿童</w:t>
            </w:r>
            <w:r>
              <w:rPr>
                <w:rFonts w:hint="eastAsia"/>
                <w:sz w:val="15"/>
                <w:szCs w:val="15"/>
                <w:lang w:val="en-US" w:eastAsia="zh-CN"/>
              </w:rPr>
              <w:t>国</w:t>
            </w:r>
            <w:r>
              <w:rPr>
                <w:rFonts w:hint="eastAsia" w:eastAsia="宋体"/>
                <w:sz w:val="15"/>
                <w:szCs w:val="15"/>
                <w:lang w:val="en-US" w:eastAsia="zh-CN"/>
              </w:rPr>
              <w:t>家免疫规划疫苗接种率</w:t>
            </w:r>
          </w:p>
        </w:tc>
        <w:tc>
          <w:tcPr>
            <w:tcW w:w="11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Arial" w:hAnsi="Times New Roman" w:eastAsia="宋体" w:cs="Times New Roman"/>
                <w:spacing w:val="-6"/>
                <w:kern w:val="2"/>
                <w:sz w:val="18"/>
                <w:szCs w:val="18"/>
                <w:lang w:val="en-US" w:eastAsia="zh-CN" w:bidi="ar-SA"/>
              </w:rPr>
            </w:pPr>
            <w:r>
              <w:rPr>
                <w:rFonts w:hint="eastAsia" w:ascii="宋体" w:hAnsi="宋体" w:eastAsia="宋体" w:cs="宋体"/>
                <w:sz w:val="18"/>
                <w:szCs w:val="18"/>
              </w:rPr>
              <w:t>≧</w:t>
            </w:r>
            <w:r>
              <w:rPr>
                <w:rFonts w:hint="eastAsia" w:eastAsia="宋体"/>
                <w:sz w:val="18"/>
                <w:szCs w:val="18"/>
                <w:lang w:val="en-US" w:eastAsia="zh-CN"/>
              </w:rPr>
              <w:t>90%</w:t>
            </w:r>
          </w:p>
        </w:tc>
        <w:tc>
          <w:tcPr>
            <w:tcW w:w="11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27" w:beforeAutospacing="0" w:after="0" w:afterAutospacing="0" w:line="219" w:lineRule="auto"/>
              <w:ind w:left="0" w:leftChars="0" w:right="0" w:firstLine="0" w:firstLineChars="0"/>
              <w:jc w:val="center"/>
              <w:rPr>
                <w:rFonts w:hint="eastAsia" w:ascii="宋体" w:hAnsi="宋体" w:eastAsia="宋体" w:cs="宋体"/>
                <w:spacing w:val="-2"/>
                <w:kern w:val="2"/>
                <w:sz w:val="18"/>
                <w:szCs w:val="18"/>
                <w:lang w:val="en-US" w:eastAsia="zh-CN" w:bidi="ar-SA"/>
              </w:rPr>
            </w:pPr>
            <w:r>
              <w:rPr>
                <w:rFonts w:hint="eastAsia" w:eastAsia="宋体"/>
                <w:sz w:val="18"/>
                <w:szCs w:val="18"/>
                <w:lang w:val="en-US" w:eastAsia="zh-CN"/>
              </w:rPr>
              <w:t>97%</w:t>
            </w:r>
          </w:p>
        </w:tc>
        <w:tc>
          <w:tcPr>
            <w:tcW w:w="5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3</w:t>
            </w:r>
          </w:p>
        </w:tc>
        <w:tc>
          <w:tcPr>
            <w:tcW w:w="10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3</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107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5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7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7岁以下儿童健康管理</w:t>
            </w:r>
          </w:p>
        </w:tc>
        <w:tc>
          <w:tcPr>
            <w:tcW w:w="11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05" w:lineRule="exact"/>
              <w:ind w:left="0" w:right="0"/>
              <w:jc w:val="center"/>
              <w:rPr>
                <w:rFonts w:hint="eastAsia" w:ascii="Arial" w:hAnsi="Times New Roman" w:eastAsia="宋体" w:cs="Times New Roman"/>
                <w:spacing w:val="-6"/>
                <w:kern w:val="2"/>
                <w:sz w:val="18"/>
                <w:szCs w:val="18"/>
                <w:lang w:val="en-US" w:eastAsia="zh-CN" w:bidi="ar-SA"/>
              </w:rPr>
            </w:pPr>
            <w:r>
              <w:rPr>
                <w:rFonts w:hint="eastAsia" w:ascii="宋体" w:hAnsi="宋体" w:eastAsia="宋体" w:cs="宋体"/>
                <w:sz w:val="18"/>
                <w:szCs w:val="18"/>
              </w:rPr>
              <w:t>≧</w:t>
            </w:r>
            <w:r>
              <w:rPr>
                <w:rFonts w:hint="eastAsia" w:ascii="宋体" w:hAnsi="宋体" w:eastAsia="宋体" w:cs="宋体"/>
                <w:sz w:val="18"/>
                <w:szCs w:val="18"/>
                <w:lang w:val="en-US" w:eastAsia="zh-CN"/>
              </w:rPr>
              <w:t>90</w:t>
            </w:r>
            <w:r>
              <w:rPr>
                <w:rFonts w:hint="eastAsia" w:eastAsia="宋体"/>
                <w:sz w:val="18"/>
                <w:szCs w:val="18"/>
                <w:lang w:val="en-US" w:eastAsia="zh-CN"/>
              </w:rPr>
              <w:t>%</w:t>
            </w:r>
          </w:p>
        </w:tc>
        <w:tc>
          <w:tcPr>
            <w:tcW w:w="11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27" w:beforeAutospacing="0" w:after="0" w:afterAutospacing="0" w:line="219" w:lineRule="auto"/>
              <w:ind w:left="0" w:leftChars="0" w:right="0" w:firstLine="180" w:firstLineChars="100"/>
              <w:jc w:val="both"/>
              <w:rPr>
                <w:rFonts w:hint="eastAsia" w:ascii="宋体" w:hAnsi="宋体" w:eastAsia="宋体" w:cs="宋体"/>
                <w:spacing w:val="-2"/>
                <w:kern w:val="2"/>
                <w:sz w:val="18"/>
                <w:szCs w:val="18"/>
                <w:lang w:val="en-US" w:eastAsia="zh-CN" w:bidi="ar-SA"/>
              </w:rPr>
            </w:pPr>
            <w:r>
              <w:rPr>
                <w:rFonts w:hint="eastAsia" w:eastAsia="宋体"/>
                <w:sz w:val="18"/>
                <w:szCs w:val="18"/>
                <w:lang w:val="en-US" w:eastAsia="zh-CN"/>
              </w:rPr>
              <w:t>98.05%</w:t>
            </w:r>
          </w:p>
        </w:tc>
        <w:tc>
          <w:tcPr>
            <w:tcW w:w="5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3</w:t>
            </w:r>
          </w:p>
        </w:tc>
        <w:tc>
          <w:tcPr>
            <w:tcW w:w="10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3</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rPr>
            </w:pPr>
          </w:p>
        </w:tc>
      </w:tr>
      <w:tr>
        <w:tblPrEx>
          <w:tblCellMar>
            <w:top w:w="0" w:type="dxa"/>
            <w:left w:w="108" w:type="dxa"/>
            <w:bottom w:w="0" w:type="dxa"/>
            <w:right w:w="108" w:type="dxa"/>
          </w:tblCellMar>
        </w:tblPrEx>
        <w:trPr>
          <w:trHeight w:val="462" w:hRule="atLeast"/>
          <w:jc w:val="center"/>
        </w:trPr>
        <w:tc>
          <w:tcPr>
            <w:tcW w:w="107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5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7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孕产妇系统健康管理</w:t>
            </w:r>
          </w:p>
        </w:tc>
        <w:tc>
          <w:tcPr>
            <w:tcW w:w="11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05" w:lineRule="exact"/>
              <w:ind w:left="0" w:right="0"/>
              <w:jc w:val="center"/>
              <w:rPr>
                <w:rFonts w:hint="eastAsia" w:ascii="Arial" w:hAnsi="Times New Roman" w:eastAsia="仿宋_GB2312" w:cs="Times New Roman"/>
                <w:spacing w:val="-6"/>
                <w:kern w:val="2"/>
                <w:sz w:val="18"/>
                <w:szCs w:val="18"/>
                <w:lang w:val="en-US" w:eastAsia="zh-CN" w:bidi="ar-SA"/>
              </w:rPr>
            </w:pPr>
            <w:r>
              <w:rPr>
                <w:rFonts w:hint="eastAsia" w:ascii="宋体" w:hAnsi="宋体" w:eastAsia="宋体" w:cs="宋体"/>
                <w:sz w:val="18"/>
                <w:szCs w:val="18"/>
              </w:rPr>
              <w:t>≧</w:t>
            </w:r>
            <w:r>
              <w:rPr>
                <w:rFonts w:hint="eastAsia" w:eastAsia="宋体"/>
                <w:sz w:val="18"/>
                <w:szCs w:val="18"/>
                <w:lang w:val="en-US" w:eastAsia="zh-CN"/>
              </w:rPr>
              <w:t>90%</w:t>
            </w:r>
          </w:p>
        </w:tc>
        <w:tc>
          <w:tcPr>
            <w:tcW w:w="11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27" w:beforeAutospacing="0" w:after="0" w:afterAutospacing="0" w:line="219" w:lineRule="auto"/>
              <w:ind w:left="0" w:leftChars="0" w:right="0" w:firstLine="0" w:firstLineChars="0"/>
              <w:jc w:val="center"/>
              <w:rPr>
                <w:rFonts w:hint="eastAsia" w:ascii="宋体" w:hAnsi="宋体" w:eastAsia="宋体" w:cs="宋体"/>
                <w:spacing w:val="-2"/>
                <w:kern w:val="2"/>
                <w:sz w:val="18"/>
                <w:szCs w:val="18"/>
                <w:lang w:val="en-US" w:eastAsia="zh-CN" w:bidi="ar-SA"/>
              </w:rPr>
            </w:pPr>
            <w:r>
              <w:rPr>
                <w:rFonts w:hint="eastAsia" w:eastAsia="宋体"/>
                <w:sz w:val="18"/>
                <w:szCs w:val="18"/>
                <w:lang w:val="en-US" w:eastAsia="zh-CN"/>
              </w:rPr>
              <w:t>98.23%</w:t>
            </w:r>
          </w:p>
        </w:tc>
        <w:tc>
          <w:tcPr>
            <w:tcW w:w="5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3</w:t>
            </w:r>
          </w:p>
        </w:tc>
        <w:tc>
          <w:tcPr>
            <w:tcW w:w="10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3</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107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5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7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高血压患者健康管理人数</w:t>
            </w:r>
          </w:p>
        </w:tc>
        <w:tc>
          <w:tcPr>
            <w:tcW w:w="11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05" w:lineRule="exact"/>
              <w:ind w:left="0" w:right="0"/>
              <w:jc w:val="center"/>
              <w:rPr>
                <w:rFonts w:hint="eastAsia" w:ascii="Arial" w:hAnsi="Times New Roman" w:eastAsia="宋体" w:cs="Times New Roman"/>
                <w:spacing w:val="-6"/>
                <w:kern w:val="2"/>
                <w:sz w:val="18"/>
                <w:szCs w:val="18"/>
                <w:lang w:val="en-US" w:eastAsia="zh-CN" w:bidi="ar-SA"/>
              </w:rPr>
            </w:pPr>
            <w:r>
              <w:rPr>
                <w:rFonts w:hint="eastAsia" w:eastAsia="宋体"/>
                <w:sz w:val="18"/>
                <w:szCs w:val="18"/>
                <w:lang w:val="en-US" w:eastAsia="zh-CN"/>
              </w:rPr>
              <w:t>4.04万人</w:t>
            </w:r>
          </w:p>
        </w:tc>
        <w:tc>
          <w:tcPr>
            <w:tcW w:w="11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27" w:beforeAutospacing="0" w:after="0" w:afterAutospacing="0" w:line="219" w:lineRule="auto"/>
              <w:ind w:left="0" w:leftChars="0" w:right="0" w:firstLine="0" w:firstLineChars="0"/>
              <w:jc w:val="center"/>
              <w:rPr>
                <w:rFonts w:hint="eastAsia" w:ascii="宋体" w:hAnsi="宋体" w:eastAsia="宋体" w:cs="宋体"/>
                <w:spacing w:val="-2"/>
                <w:kern w:val="2"/>
                <w:sz w:val="18"/>
                <w:szCs w:val="18"/>
                <w:lang w:val="en-US" w:eastAsia="zh-CN" w:bidi="ar-SA"/>
              </w:rPr>
            </w:pPr>
            <w:r>
              <w:rPr>
                <w:rFonts w:hint="eastAsia" w:ascii="宋体" w:hAnsi="宋体" w:eastAsia="宋体" w:cs="宋体"/>
                <w:spacing w:val="-2"/>
                <w:sz w:val="18"/>
                <w:szCs w:val="18"/>
                <w:lang w:val="en-US" w:eastAsia="zh-CN"/>
              </w:rPr>
              <w:t>5.23万人</w:t>
            </w:r>
          </w:p>
        </w:tc>
        <w:tc>
          <w:tcPr>
            <w:tcW w:w="5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3</w:t>
            </w:r>
          </w:p>
        </w:tc>
        <w:tc>
          <w:tcPr>
            <w:tcW w:w="10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3</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107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5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7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糖尿病患者健康管理人数</w:t>
            </w:r>
          </w:p>
        </w:tc>
        <w:tc>
          <w:tcPr>
            <w:tcW w:w="11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1.44万人</w:t>
            </w:r>
          </w:p>
        </w:tc>
        <w:tc>
          <w:tcPr>
            <w:tcW w:w="11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1.70万人</w:t>
            </w:r>
          </w:p>
        </w:tc>
        <w:tc>
          <w:tcPr>
            <w:tcW w:w="5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3</w:t>
            </w:r>
          </w:p>
        </w:tc>
        <w:tc>
          <w:tcPr>
            <w:tcW w:w="10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3</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107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5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7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中医药管理健康管理率（老年人、儿童）</w:t>
            </w:r>
          </w:p>
        </w:tc>
        <w:tc>
          <w:tcPr>
            <w:tcW w:w="11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≧70%、77%</w:t>
            </w:r>
          </w:p>
        </w:tc>
        <w:tc>
          <w:tcPr>
            <w:tcW w:w="11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77%</w:t>
            </w:r>
          </w:p>
        </w:tc>
        <w:tc>
          <w:tcPr>
            <w:tcW w:w="5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3</w:t>
            </w:r>
          </w:p>
        </w:tc>
        <w:tc>
          <w:tcPr>
            <w:tcW w:w="10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3</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107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5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7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卫生监督协管每年巡查2次完成率</w:t>
            </w:r>
          </w:p>
        </w:tc>
        <w:tc>
          <w:tcPr>
            <w:tcW w:w="11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≧90%</w:t>
            </w:r>
          </w:p>
        </w:tc>
        <w:tc>
          <w:tcPr>
            <w:tcW w:w="11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100%</w:t>
            </w:r>
          </w:p>
        </w:tc>
        <w:tc>
          <w:tcPr>
            <w:tcW w:w="5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3</w:t>
            </w:r>
          </w:p>
        </w:tc>
        <w:tc>
          <w:tcPr>
            <w:tcW w:w="10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3</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107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5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73"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质量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10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居民规范化电子档案覆盖率</w:t>
            </w:r>
          </w:p>
        </w:tc>
        <w:tc>
          <w:tcPr>
            <w:tcW w:w="11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≧90%</w:t>
            </w:r>
          </w:p>
        </w:tc>
        <w:tc>
          <w:tcPr>
            <w:tcW w:w="11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103%</w:t>
            </w:r>
          </w:p>
        </w:tc>
        <w:tc>
          <w:tcPr>
            <w:tcW w:w="5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3</w:t>
            </w:r>
          </w:p>
        </w:tc>
        <w:tc>
          <w:tcPr>
            <w:tcW w:w="10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3</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107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5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7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高血压患者规范管理率</w:t>
            </w:r>
          </w:p>
        </w:tc>
        <w:tc>
          <w:tcPr>
            <w:tcW w:w="11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≧61%</w:t>
            </w:r>
          </w:p>
        </w:tc>
        <w:tc>
          <w:tcPr>
            <w:tcW w:w="11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73.22%</w:t>
            </w:r>
          </w:p>
        </w:tc>
        <w:tc>
          <w:tcPr>
            <w:tcW w:w="5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3</w:t>
            </w:r>
          </w:p>
        </w:tc>
        <w:tc>
          <w:tcPr>
            <w:tcW w:w="10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3</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107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5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7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2型糖尿病患者规范管理率</w:t>
            </w:r>
          </w:p>
        </w:tc>
        <w:tc>
          <w:tcPr>
            <w:tcW w:w="11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≧61%</w:t>
            </w:r>
          </w:p>
        </w:tc>
        <w:tc>
          <w:tcPr>
            <w:tcW w:w="11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74.12%</w:t>
            </w:r>
          </w:p>
        </w:tc>
        <w:tc>
          <w:tcPr>
            <w:tcW w:w="5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3</w:t>
            </w:r>
          </w:p>
        </w:tc>
        <w:tc>
          <w:tcPr>
            <w:tcW w:w="10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3</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107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5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7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65岁以上老年人健康管理率</w:t>
            </w:r>
          </w:p>
        </w:tc>
        <w:tc>
          <w:tcPr>
            <w:tcW w:w="11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≧61%</w:t>
            </w:r>
          </w:p>
        </w:tc>
        <w:tc>
          <w:tcPr>
            <w:tcW w:w="11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71.36%</w:t>
            </w:r>
          </w:p>
        </w:tc>
        <w:tc>
          <w:tcPr>
            <w:tcW w:w="5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3</w:t>
            </w:r>
          </w:p>
        </w:tc>
        <w:tc>
          <w:tcPr>
            <w:tcW w:w="10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3</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107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5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7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严重精神障碍患者健康管理率</w:t>
            </w:r>
          </w:p>
        </w:tc>
        <w:tc>
          <w:tcPr>
            <w:tcW w:w="11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≧80%</w:t>
            </w:r>
          </w:p>
        </w:tc>
        <w:tc>
          <w:tcPr>
            <w:tcW w:w="11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100%</w:t>
            </w:r>
          </w:p>
        </w:tc>
        <w:tc>
          <w:tcPr>
            <w:tcW w:w="5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3</w:t>
            </w:r>
          </w:p>
        </w:tc>
        <w:tc>
          <w:tcPr>
            <w:tcW w:w="10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3</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90" w:hRule="atLeast"/>
          <w:jc w:val="center"/>
        </w:trPr>
        <w:tc>
          <w:tcPr>
            <w:tcW w:w="107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5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7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传染病和突发公共卫生事件报告率</w:t>
            </w:r>
          </w:p>
        </w:tc>
        <w:tc>
          <w:tcPr>
            <w:tcW w:w="11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rightChars="0"/>
              <w:jc w:val="center"/>
              <w:rPr>
                <w:rFonts w:hint="eastAsia" w:ascii="Times New Roman" w:hAnsi="Times New Roman" w:eastAsia="仿宋_GB2312" w:cs="Times New Roman"/>
                <w:color w:val="000000"/>
                <w:kern w:val="2"/>
                <w:sz w:val="20"/>
                <w:szCs w:val="20"/>
                <w:lang w:val="en-US" w:eastAsia="zh-CN" w:bidi="ar-SA"/>
              </w:rPr>
            </w:pPr>
            <w:r>
              <w:rPr>
                <w:rFonts w:hint="eastAsia" w:ascii="宋体" w:hAnsi="宋体" w:eastAsia="宋体" w:cs="宋体"/>
                <w:sz w:val="18"/>
                <w:szCs w:val="18"/>
              </w:rPr>
              <w:t>≧</w:t>
            </w:r>
            <w:r>
              <w:rPr>
                <w:rFonts w:hint="eastAsia" w:eastAsia="宋体"/>
                <w:sz w:val="18"/>
                <w:szCs w:val="18"/>
                <w:lang w:val="en-US" w:eastAsia="zh-CN"/>
              </w:rPr>
              <w:t>95%</w:t>
            </w:r>
          </w:p>
        </w:tc>
        <w:tc>
          <w:tcPr>
            <w:tcW w:w="11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rightChars="0"/>
              <w:jc w:val="center"/>
              <w:rPr>
                <w:rFonts w:hint="eastAsia" w:ascii="Times New Roman" w:hAnsi="Times New Roman" w:eastAsia="仿宋_GB2312" w:cs="Times New Roman"/>
                <w:color w:val="000000"/>
                <w:kern w:val="2"/>
                <w:sz w:val="20"/>
                <w:szCs w:val="20"/>
                <w:lang w:val="en-US" w:eastAsia="zh-CN" w:bidi="ar-SA"/>
              </w:rPr>
            </w:pPr>
            <w:r>
              <w:rPr>
                <w:rFonts w:hint="eastAsia" w:ascii="宋体" w:hAnsi="宋体" w:eastAsia="宋体" w:cs="宋体"/>
                <w:sz w:val="18"/>
                <w:szCs w:val="18"/>
                <w:lang w:val="en-US" w:eastAsia="zh-CN"/>
              </w:rPr>
              <w:t>100</w:t>
            </w:r>
            <w:r>
              <w:rPr>
                <w:rFonts w:hint="eastAsia" w:eastAsia="宋体"/>
                <w:sz w:val="18"/>
                <w:szCs w:val="18"/>
                <w:lang w:val="en-US" w:eastAsia="zh-CN"/>
              </w:rPr>
              <w:t>%</w:t>
            </w:r>
          </w:p>
        </w:tc>
        <w:tc>
          <w:tcPr>
            <w:tcW w:w="5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cs="宋体"/>
                <w:sz w:val="18"/>
                <w:szCs w:val="18"/>
                <w:lang w:val="en-US" w:eastAsia="zh-CN"/>
              </w:rPr>
            </w:pPr>
            <w:r>
              <w:rPr>
                <w:rFonts w:hint="eastAsia" w:ascii="宋体" w:hAnsi="宋体" w:cs="宋体"/>
                <w:sz w:val="18"/>
                <w:szCs w:val="18"/>
                <w:lang w:val="en-US" w:eastAsia="zh-CN"/>
              </w:rPr>
              <w:t>3</w:t>
            </w:r>
          </w:p>
        </w:tc>
        <w:tc>
          <w:tcPr>
            <w:tcW w:w="10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cs="宋体"/>
                <w:sz w:val="18"/>
                <w:szCs w:val="18"/>
                <w:lang w:val="en-US" w:eastAsia="zh-CN"/>
              </w:rPr>
            </w:pPr>
            <w:r>
              <w:rPr>
                <w:rFonts w:hint="eastAsia" w:ascii="宋体" w:hAnsi="宋体" w:cs="宋体"/>
                <w:sz w:val="18"/>
                <w:szCs w:val="18"/>
                <w:lang w:val="en-US" w:eastAsia="zh-CN"/>
              </w:rPr>
              <w:t>3</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eastAsia"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462" w:hRule="atLeast"/>
          <w:jc w:val="center"/>
        </w:trPr>
        <w:tc>
          <w:tcPr>
            <w:tcW w:w="107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5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7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肺结核患者健康管理率</w:t>
            </w:r>
          </w:p>
        </w:tc>
        <w:tc>
          <w:tcPr>
            <w:tcW w:w="11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≧90%</w:t>
            </w:r>
          </w:p>
        </w:tc>
        <w:tc>
          <w:tcPr>
            <w:tcW w:w="11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100%</w:t>
            </w:r>
          </w:p>
        </w:tc>
        <w:tc>
          <w:tcPr>
            <w:tcW w:w="5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3</w:t>
            </w:r>
          </w:p>
        </w:tc>
        <w:tc>
          <w:tcPr>
            <w:tcW w:w="10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3</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107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5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时效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10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05" w:lineRule="exact"/>
              <w:ind w:left="0" w:leftChars="0" w:right="0" w:hanging="20" w:firstLineChars="0"/>
              <w:jc w:val="center"/>
              <w:rPr>
                <w:rFonts w:hint="eastAsia" w:ascii="Arial" w:hAnsi="Times New Roman" w:eastAsia="宋体" w:cs="Times New Roman"/>
                <w:spacing w:val="-6"/>
                <w:kern w:val="2"/>
                <w:sz w:val="18"/>
                <w:szCs w:val="18"/>
                <w:lang w:val="en-US" w:eastAsia="zh-CN" w:bidi="ar-SA"/>
              </w:rPr>
            </w:pPr>
            <w:r>
              <w:rPr>
                <w:rFonts w:hint="eastAsia" w:eastAsia="宋体"/>
                <w:sz w:val="18"/>
                <w:szCs w:val="18"/>
                <w:lang w:val="en-US" w:eastAsia="zh-CN"/>
              </w:rPr>
              <w:t>2022年底完成</w:t>
            </w:r>
          </w:p>
        </w:tc>
        <w:tc>
          <w:tcPr>
            <w:tcW w:w="11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2022年底完成</w:t>
            </w:r>
          </w:p>
        </w:tc>
        <w:tc>
          <w:tcPr>
            <w:tcW w:w="11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100%</w:t>
            </w:r>
          </w:p>
        </w:tc>
        <w:tc>
          <w:tcPr>
            <w:tcW w:w="5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4</w:t>
            </w:r>
          </w:p>
        </w:tc>
        <w:tc>
          <w:tcPr>
            <w:tcW w:w="10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4</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107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5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成本</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10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eastAsia="仿宋_GB2312"/>
                <w:sz w:val="18"/>
                <w:szCs w:val="18"/>
                <w:lang w:val="en-US" w:eastAsia="zh-CN"/>
              </w:rPr>
              <w:t>21802.21万元</w:t>
            </w:r>
          </w:p>
        </w:tc>
        <w:tc>
          <w:tcPr>
            <w:tcW w:w="11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eastAsia="仿宋_GB2312"/>
                <w:sz w:val="18"/>
                <w:szCs w:val="18"/>
                <w:lang w:val="en-US" w:eastAsia="zh-CN"/>
              </w:rPr>
              <w:t>21802.21万元</w:t>
            </w:r>
          </w:p>
        </w:tc>
        <w:tc>
          <w:tcPr>
            <w:tcW w:w="11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rightChars="0"/>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100%</w:t>
            </w:r>
          </w:p>
        </w:tc>
        <w:tc>
          <w:tcPr>
            <w:tcW w:w="5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rightChars="0"/>
              <w:jc w:val="center"/>
              <w:rPr>
                <w:rFonts w:hint="eastAsia" w:ascii="宋体" w:hAnsi="宋体" w:eastAsia="宋体" w:cs="宋体"/>
                <w:kern w:val="2"/>
                <w:sz w:val="18"/>
                <w:szCs w:val="18"/>
                <w:lang w:val="en-US" w:eastAsia="zh-CN" w:bidi="ar-SA"/>
              </w:rPr>
            </w:pPr>
            <w:r>
              <w:rPr>
                <w:rFonts w:hint="eastAsia" w:ascii="宋体" w:hAnsi="宋体" w:cs="宋体"/>
                <w:sz w:val="18"/>
                <w:szCs w:val="18"/>
                <w:lang w:val="en-US" w:eastAsia="zh-CN"/>
              </w:rPr>
              <w:t>4</w:t>
            </w:r>
          </w:p>
        </w:tc>
        <w:tc>
          <w:tcPr>
            <w:tcW w:w="10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rightChars="0"/>
              <w:jc w:val="center"/>
              <w:rPr>
                <w:rFonts w:hint="eastAsia" w:ascii="宋体" w:hAnsi="宋体" w:eastAsia="宋体" w:cs="宋体"/>
                <w:kern w:val="2"/>
                <w:sz w:val="18"/>
                <w:szCs w:val="18"/>
                <w:lang w:val="en-US" w:eastAsia="zh-CN" w:bidi="ar-SA"/>
              </w:rPr>
            </w:pPr>
            <w:r>
              <w:rPr>
                <w:rFonts w:hint="eastAsia" w:ascii="宋体" w:hAnsi="宋体" w:cs="宋体"/>
                <w:sz w:val="18"/>
                <w:szCs w:val="18"/>
                <w:lang w:val="en-US" w:eastAsia="zh-CN"/>
              </w:rPr>
              <w:t>4</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850" w:hRule="atLeast"/>
          <w:jc w:val="center"/>
        </w:trPr>
        <w:tc>
          <w:tcPr>
            <w:tcW w:w="1072"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标</w:t>
            </w:r>
          </w:p>
        </w:tc>
        <w:tc>
          <w:tcPr>
            <w:tcW w:w="8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一级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二级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10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三级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11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指标值</w:t>
            </w:r>
          </w:p>
        </w:tc>
        <w:tc>
          <w:tcPr>
            <w:tcW w:w="11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完成值</w:t>
            </w:r>
          </w:p>
        </w:tc>
        <w:tc>
          <w:tcPr>
            <w:tcW w:w="5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分值</w:t>
            </w:r>
          </w:p>
        </w:tc>
        <w:tc>
          <w:tcPr>
            <w:tcW w:w="10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得分</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偏差原因分析及改进措施</w:t>
            </w:r>
          </w:p>
        </w:tc>
      </w:tr>
      <w:tr>
        <w:tblPrEx>
          <w:tblCellMar>
            <w:top w:w="0" w:type="dxa"/>
            <w:left w:w="108" w:type="dxa"/>
            <w:bottom w:w="0" w:type="dxa"/>
            <w:right w:w="108" w:type="dxa"/>
          </w:tblCellMar>
        </w:tblPrEx>
        <w:trPr>
          <w:trHeight w:val="462" w:hRule="atLeast"/>
          <w:jc w:val="center"/>
        </w:trPr>
        <w:tc>
          <w:tcPr>
            <w:tcW w:w="1072"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57"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效益</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（30分）</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经济效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10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leftChars="0" w:right="0" w:rightChars="0"/>
              <w:jc w:val="left"/>
              <w:rPr>
                <w:rFonts w:hint="eastAsia" w:ascii="原版宋体" w:hAnsi="原版宋体" w:eastAsia="仿宋_GB2312" w:cs="Times New Roman"/>
                <w:color w:val="000000"/>
                <w:kern w:val="0"/>
                <w:sz w:val="18"/>
                <w:szCs w:val="18"/>
                <w:lang w:val="en-US" w:eastAsia="zh-CN" w:bidi="ar-SA"/>
              </w:rPr>
            </w:pPr>
            <w:r>
              <w:rPr>
                <w:rFonts w:hint="eastAsia" w:eastAsia="宋体"/>
                <w:sz w:val="15"/>
                <w:szCs w:val="15"/>
                <w:lang w:val="en-US" w:eastAsia="zh-CN"/>
              </w:rPr>
              <w:t>减少</w:t>
            </w:r>
            <w:r>
              <w:rPr>
                <w:rFonts w:hint="eastAsia"/>
                <w:sz w:val="15"/>
                <w:szCs w:val="15"/>
                <w:lang w:val="en-US" w:eastAsia="zh-CN"/>
              </w:rPr>
              <w:t>服务人群</w:t>
            </w:r>
            <w:r>
              <w:rPr>
                <w:rFonts w:hint="eastAsia" w:eastAsia="宋体"/>
                <w:sz w:val="15"/>
                <w:szCs w:val="15"/>
                <w:lang w:val="en-US" w:eastAsia="zh-CN"/>
              </w:rPr>
              <w:t>医药负</w:t>
            </w:r>
            <w:r>
              <w:rPr>
                <w:rFonts w:hint="eastAsia"/>
                <w:sz w:val="15"/>
                <w:szCs w:val="15"/>
                <w:lang w:val="en-US" w:eastAsia="zh-CN"/>
              </w:rPr>
              <w:t>担</w:t>
            </w:r>
          </w:p>
        </w:tc>
        <w:tc>
          <w:tcPr>
            <w:tcW w:w="11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leftChars="0" w:right="0" w:rightChars="0"/>
              <w:jc w:val="left"/>
              <w:rPr>
                <w:rFonts w:hint="eastAsia" w:ascii="原版宋体" w:hAnsi="原版宋体" w:eastAsia="仿宋_GB2312" w:cs="Times New Roman"/>
                <w:color w:val="000000"/>
                <w:kern w:val="0"/>
                <w:sz w:val="18"/>
                <w:szCs w:val="18"/>
                <w:lang w:val="en-US" w:eastAsia="zh-CN" w:bidi="ar-SA"/>
              </w:rPr>
            </w:pPr>
            <w:r>
              <w:rPr>
                <w:rFonts w:hint="default" w:ascii="原版宋体" w:hAnsi="原版宋体" w:eastAsia="仿宋_GB2312" w:cs="Times New Roman"/>
                <w:color w:val="000000"/>
                <w:kern w:val="0"/>
                <w:sz w:val="18"/>
                <w:szCs w:val="18"/>
              </w:rPr>
              <w:t>　</w:t>
            </w:r>
            <w:r>
              <w:rPr>
                <w:rFonts w:hint="eastAsia" w:eastAsia="宋体"/>
                <w:sz w:val="15"/>
                <w:szCs w:val="15"/>
                <w:lang w:val="en-US" w:eastAsia="zh-CN"/>
              </w:rPr>
              <w:t>减少</w:t>
            </w:r>
            <w:r>
              <w:rPr>
                <w:rFonts w:hint="eastAsia"/>
                <w:sz w:val="15"/>
                <w:szCs w:val="15"/>
                <w:lang w:val="en-US" w:eastAsia="zh-CN"/>
              </w:rPr>
              <w:t>服务人群</w:t>
            </w:r>
            <w:r>
              <w:rPr>
                <w:rFonts w:hint="eastAsia" w:eastAsia="宋体"/>
                <w:sz w:val="15"/>
                <w:szCs w:val="15"/>
                <w:lang w:val="en-US" w:eastAsia="zh-CN"/>
              </w:rPr>
              <w:t>医药负</w:t>
            </w:r>
            <w:r>
              <w:rPr>
                <w:rFonts w:hint="eastAsia"/>
                <w:sz w:val="15"/>
                <w:szCs w:val="15"/>
                <w:lang w:val="en-US" w:eastAsia="zh-CN"/>
              </w:rPr>
              <w:t>担</w:t>
            </w:r>
          </w:p>
        </w:tc>
        <w:tc>
          <w:tcPr>
            <w:tcW w:w="11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leftChars="0" w:right="0" w:rightChars="0"/>
              <w:jc w:val="left"/>
              <w:rPr>
                <w:rFonts w:hint="eastAsia" w:ascii="原版宋体" w:hAnsi="原版宋体" w:eastAsia="仿宋_GB2312" w:cs="Times New Roman"/>
                <w:color w:val="000000"/>
                <w:kern w:val="0"/>
                <w:sz w:val="18"/>
                <w:szCs w:val="18"/>
                <w:lang w:val="en-US" w:eastAsia="zh-CN" w:bidi="ar-SA"/>
              </w:rPr>
            </w:pPr>
            <w:r>
              <w:rPr>
                <w:rFonts w:hint="default" w:ascii="原版宋体" w:hAnsi="原版宋体" w:eastAsia="仿宋_GB2312" w:cs="Times New Roman"/>
                <w:color w:val="000000"/>
                <w:kern w:val="0"/>
                <w:sz w:val="18"/>
                <w:szCs w:val="18"/>
              </w:rPr>
              <w:t>　</w:t>
            </w:r>
            <w:r>
              <w:rPr>
                <w:rFonts w:hint="eastAsia"/>
                <w:sz w:val="15"/>
                <w:szCs w:val="15"/>
                <w:lang w:val="en-US" w:eastAsia="zh-CN"/>
              </w:rPr>
              <w:t>90</w:t>
            </w:r>
            <w:r>
              <w:rPr>
                <w:rFonts w:hint="eastAsia" w:eastAsia="宋体"/>
                <w:sz w:val="15"/>
                <w:szCs w:val="15"/>
                <w:lang w:val="en-US" w:eastAsia="zh-CN"/>
              </w:rPr>
              <w:t>%</w:t>
            </w:r>
          </w:p>
        </w:tc>
        <w:tc>
          <w:tcPr>
            <w:tcW w:w="5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rightChars="0"/>
              <w:jc w:val="center"/>
              <w:rPr>
                <w:rFonts w:hint="eastAsia" w:ascii="宋体" w:hAnsi="宋体" w:cs="宋体"/>
                <w:sz w:val="18"/>
                <w:szCs w:val="18"/>
                <w:lang w:val="en-US" w:eastAsia="zh-CN"/>
              </w:rPr>
            </w:pPr>
            <w:r>
              <w:rPr>
                <w:rFonts w:hint="eastAsia" w:ascii="宋体" w:hAnsi="宋体" w:cs="宋体"/>
                <w:sz w:val="18"/>
                <w:szCs w:val="18"/>
                <w:lang w:val="en-US" w:eastAsia="zh-CN"/>
              </w:rPr>
              <w:t>5</w:t>
            </w:r>
          </w:p>
        </w:tc>
        <w:tc>
          <w:tcPr>
            <w:tcW w:w="10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rightChars="0"/>
              <w:jc w:val="center"/>
              <w:rPr>
                <w:rFonts w:hint="eastAsia" w:ascii="宋体" w:hAnsi="宋体" w:cs="宋体"/>
                <w:sz w:val="18"/>
                <w:szCs w:val="18"/>
                <w:lang w:val="en-US" w:eastAsia="zh-CN"/>
              </w:rPr>
            </w:pPr>
            <w:r>
              <w:rPr>
                <w:rFonts w:hint="eastAsia" w:ascii="宋体" w:hAnsi="宋体" w:cs="宋体"/>
                <w:sz w:val="18"/>
                <w:szCs w:val="18"/>
                <w:lang w:val="en-US" w:eastAsia="zh-CN"/>
              </w:rPr>
              <w:t>4</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1072"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57"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73"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社会效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1051"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城乡居民公共卫生差距</w:t>
            </w:r>
          </w:p>
        </w:tc>
        <w:tc>
          <w:tcPr>
            <w:tcW w:w="1116"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不断缩小</w:t>
            </w:r>
          </w:p>
        </w:tc>
        <w:tc>
          <w:tcPr>
            <w:tcW w:w="1146"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不断缩小</w:t>
            </w:r>
          </w:p>
        </w:tc>
        <w:tc>
          <w:tcPr>
            <w:tcW w:w="587"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rightChars="0"/>
              <w:jc w:val="center"/>
              <w:rPr>
                <w:rFonts w:hint="eastAsia" w:ascii="宋体" w:hAnsi="宋体" w:cs="宋体"/>
                <w:sz w:val="18"/>
                <w:szCs w:val="18"/>
                <w:lang w:val="en-US" w:eastAsia="zh-CN"/>
              </w:rPr>
            </w:pPr>
            <w:r>
              <w:rPr>
                <w:rFonts w:hint="eastAsia" w:ascii="宋体" w:hAnsi="宋体" w:cs="宋体"/>
                <w:sz w:val="18"/>
                <w:szCs w:val="18"/>
                <w:lang w:val="en-US" w:eastAsia="zh-CN"/>
              </w:rPr>
              <w:t>5</w:t>
            </w:r>
          </w:p>
        </w:tc>
        <w:tc>
          <w:tcPr>
            <w:tcW w:w="1012"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rightChars="0"/>
              <w:jc w:val="center"/>
              <w:rPr>
                <w:rFonts w:hint="eastAsia" w:ascii="宋体" w:hAnsi="宋体" w:cs="宋体"/>
                <w:sz w:val="18"/>
                <w:szCs w:val="18"/>
                <w:lang w:val="en-US" w:eastAsia="zh-CN"/>
              </w:rPr>
            </w:pPr>
            <w:r>
              <w:rPr>
                <w:rFonts w:hint="eastAsia" w:ascii="宋体" w:hAnsi="宋体" w:cs="宋体"/>
                <w:sz w:val="18"/>
                <w:szCs w:val="18"/>
                <w:lang w:val="en-US" w:eastAsia="zh-CN"/>
              </w:rPr>
              <w:t>4</w:t>
            </w:r>
          </w:p>
        </w:tc>
        <w:tc>
          <w:tcPr>
            <w:tcW w:w="156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1072"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57"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73"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51"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居民健康素养水平</w:t>
            </w:r>
          </w:p>
        </w:tc>
        <w:tc>
          <w:tcPr>
            <w:tcW w:w="1116"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不断提高</w:t>
            </w:r>
          </w:p>
        </w:tc>
        <w:tc>
          <w:tcPr>
            <w:tcW w:w="1146"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不断提高</w:t>
            </w:r>
          </w:p>
        </w:tc>
        <w:tc>
          <w:tcPr>
            <w:tcW w:w="587"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rightChars="0"/>
              <w:jc w:val="center"/>
              <w:rPr>
                <w:rFonts w:hint="eastAsia" w:ascii="宋体" w:hAnsi="宋体" w:cs="宋体"/>
                <w:sz w:val="18"/>
                <w:szCs w:val="18"/>
                <w:lang w:val="en-US" w:eastAsia="zh-CN"/>
              </w:rPr>
            </w:pPr>
            <w:r>
              <w:rPr>
                <w:rFonts w:hint="eastAsia" w:ascii="宋体" w:hAnsi="宋体" w:cs="宋体"/>
                <w:sz w:val="18"/>
                <w:szCs w:val="18"/>
                <w:lang w:val="en-US" w:eastAsia="zh-CN"/>
              </w:rPr>
              <w:t>5</w:t>
            </w:r>
          </w:p>
        </w:tc>
        <w:tc>
          <w:tcPr>
            <w:tcW w:w="1012"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rightChars="0"/>
              <w:jc w:val="center"/>
              <w:rPr>
                <w:rFonts w:hint="eastAsia" w:ascii="宋体" w:hAnsi="宋体" w:cs="宋体"/>
                <w:sz w:val="18"/>
                <w:szCs w:val="18"/>
                <w:lang w:val="en-US" w:eastAsia="zh-CN"/>
              </w:rPr>
            </w:pPr>
            <w:r>
              <w:rPr>
                <w:rFonts w:hint="eastAsia" w:ascii="宋体" w:hAnsi="宋体" w:cs="宋体"/>
                <w:sz w:val="18"/>
                <w:szCs w:val="18"/>
                <w:lang w:val="en-US" w:eastAsia="zh-CN"/>
              </w:rPr>
              <w:t>4</w:t>
            </w:r>
          </w:p>
        </w:tc>
        <w:tc>
          <w:tcPr>
            <w:tcW w:w="156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1072"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57"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73" w:type="dxa"/>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生态效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1051"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医疗废物处理率</w:t>
            </w:r>
          </w:p>
        </w:tc>
        <w:tc>
          <w:tcPr>
            <w:tcW w:w="1116"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　100%</w:t>
            </w:r>
          </w:p>
        </w:tc>
        <w:tc>
          <w:tcPr>
            <w:tcW w:w="1146"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　100%</w:t>
            </w:r>
          </w:p>
        </w:tc>
        <w:tc>
          <w:tcPr>
            <w:tcW w:w="587"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rightChars="0"/>
              <w:jc w:val="center"/>
              <w:rPr>
                <w:rFonts w:hint="eastAsia" w:ascii="宋体" w:hAnsi="宋体" w:cs="宋体"/>
                <w:sz w:val="18"/>
                <w:szCs w:val="18"/>
                <w:lang w:val="en-US" w:eastAsia="zh-CN"/>
              </w:rPr>
            </w:pPr>
            <w:r>
              <w:rPr>
                <w:rFonts w:hint="eastAsia" w:ascii="宋体" w:hAnsi="宋体" w:cs="宋体"/>
                <w:sz w:val="18"/>
                <w:szCs w:val="18"/>
                <w:lang w:val="en-US" w:eastAsia="zh-CN"/>
              </w:rPr>
              <w:t>5</w:t>
            </w:r>
          </w:p>
        </w:tc>
        <w:tc>
          <w:tcPr>
            <w:tcW w:w="1012"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rightChars="0"/>
              <w:jc w:val="center"/>
              <w:rPr>
                <w:rFonts w:hint="eastAsia" w:ascii="宋体" w:hAnsi="宋体" w:cs="宋体"/>
                <w:sz w:val="18"/>
                <w:szCs w:val="18"/>
                <w:lang w:val="en-US" w:eastAsia="zh-CN"/>
              </w:rPr>
            </w:pPr>
            <w:r>
              <w:rPr>
                <w:rFonts w:hint="eastAsia" w:ascii="宋体" w:hAnsi="宋体" w:cs="宋体"/>
                <w:sz w:val="18"/>
                <w:szCs w:val="18"/>
                <w:lang w:val="en-US" w:eastAsia="zh-CN"/>
              </w:rPr>
              <w:t>4</w:t>
            </w:r>
          </w:p>
        </w:tc>
        <w:tc>
          <w:tcPr>
            <w:tcW w:w="156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1072"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57"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73"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可持续影响指标</w:t>
            </w:r>
          </w:p>
        </w:tc>
        <w:tc>
          <w:tcPr>
            <w:tcW w:w="10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医疗与公卫服务水平</w:t>
            </w:r>
          </w:p>
        </w:tc>
        <w:tc>
          <w:tcPr>
            <w:tcW w:w="11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不断提高</w:t>
            </w:r>
          </w:p>
        </w:tc>
        <w:tc>
          <w:tcPr>
            <w:tcW w:w="11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不断提高</w:t>
            </w:r>
          </w:p>
        </w:tc>
        <w:tc>
          <w:tcPr>
            <w:tcW w:w="5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rightChars="0"/>
              <w:jc w:val="center"/>
              <w:rPr>
                <w:rFonts w:hint="eastAsia" w:ascii="宋体" w:hAnsi="宋体" w:cs="宋体"/>
                <w:sz w:val="18"/>
                <w:szCs w:val="18"/>
                <w:lang w:val="en-US" w:eastAsia="zh-CN"/>
              </w:rPr>
            </w:pPr>
            <w:r>
              <w:rPr>
                <w:rFonts w:hint="eastAsia" w:ascii="宋体" w:hAnsi="宋体" w:cs="宋体"/>
                <w:sz w:val="18"/>
                <w:szCs w:val="18"/>
                <w:lang w:val="en-US" w:eastAsia="zh-CN"/>
              </w:rPr>
              <w:t>5</w:t>
            </w:r>
          </w:p>
        </w:tc>
        <w:tc>
          <w:tcPr>
            <w:tcW w:w="10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rightChars="0"/>
              <w:jc w:val="center"/>
              <w:rPr>
                <w:rFonts w:hint="eastAsia" w:ascii="宋体" w:hAnsi="宋体" w:cs="宋体"/>
                <w:sz w:val="18"/>
                <w:szCs w:val="18"/>
                <w:lang w:val="en-US" w:eastAsia="zh-CN"/>
              </w:rPr>
            </w:pPr>
            <w:r>
              <w:rPr>
                <w:rFonts w:hint="eastAsia" w:ascii="宋体" w:hAnsi="宋体" w:cs="宋体"/>
                <w:sz w:val="18"/>
                <w:szCs w:val="18"/>
                <w:lang w:val="en-US" w:eastAsia="zh-CN"/>
              </w:rPr>
              <w:t>4</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原版宋体" w:hAnsi="原版宋体" w:eastAsia="仿宋_GB2312" w:cs="Times New Roman"/>
                <w:color w:val="000000"/>
                <w:kern w:val="2"/>
                <w:sz w:val="20"/>
                <w:szCs w:val="20"/>
                <w:lang w:val="en-US" w:eastAsia="zh-CN" w:bidi="ar-SA"/>
              </w:rPr>
            </w:pPr>
            <w:r>
              <w:rPr>
                <w:rFonts w:hint="default" w:ascii="原版宋体" w:hAnsi="原版宋体" w:eastAsia="仿宋_GB2312" w:cs="Times New Roman"/>
                <w:color w:val="000000"/>
                <w:sz w:val="20"/>
                <w:szCs w:val="20"/>
              </w:rPr>
              <w:t>　</w:t>
            </w:r>
          </w:p>
        </w:tc>
      </w:tr>
      <w:tr>
        <w:tblPrEx>
          <w:tblCellMar>
            <w:top w:w="0" w:type="dxa"/>
            <w:left w:w="108" w:type="dxa"/>
            <w:bottom w:w="0" w:type="dxa"/>
            <w:right w:w="108" w:type="dxa"/>
          </w:tblCellMar>
        </w:tblPrEx>
        <w:trPr>
          <w:trHeight w:val="462" w:hRule="atLeast"/>
          <w:jc w:val="center"/>
        </w:trPr>
        <w:tc>
          <w:tcPr>
            <w:tcW w:w="1072"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57"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73"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1051"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环境污染处理率</w:t>
            </w:r>
          </w:p>
        </w:tc>
        <w:tc>
          <w:tcPr>
            <w:tcW w:w="1116"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　100%</w:t>
            </w:r>
          </w:p>
        </w:tc>
        <w:tc>
          <w:tcPr>
            <w:tcW w:w="1146"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　100%</w:t>
            </w:r>
          </w:p>
        </w:tc>
        <w:tc>
          <w:tcPr>
            <w:tcW w:w="587"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rightChars="0"/>
              <w:jc w:val="center"/>
              <w:rPr>
                <w:rFonts w:hint="eastAsia" w:ascii="宋体" w:hAnsi="宋体" w:cs="宋体"/>
                <w:sz w:val="18"/>
                <w:szCs w:val="18"/>
                <w:lang w:val="en-US" w:eastAsia="zh-CN"/>
              </w:rPr>
            </w:pPr>
            <w:r>
              <w:rPr>
                <w:rFonts w:hint="eastAsia" w:ascii="宋体" w:hAnsi="宋体" w:cs="宋体"/>
                <w:sz w:val="18"/>
                <w:szCs w:val="18"/>
                <w:lang w:val="en-US" w:eastAsia="zh-CN"/>
              </w:rPr>
              <w:t>5</w:t>
            </w:r>
          </w:p>
        </w:tc>
        <w:tc>
          <w:tcPr>
            <w:tcW w:w="1012"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rightChars="0"/>
              <w:jc w:val="center"/>
              <w:rPr>
                <w:rFonts w:hint="eastAsia" w:ascii="宋体" w:hAnsi="宋体" w:cs="宋体"/>
                <w:sz w:val="18"/>
                <w:szCs w:val="18"/>
                <w:lang w:val="en-US" w:eastAsia="zh-CN"/>
              </w:rPr>
            </w:pPr>
            <w:r>
              <w:rPr>
                <w:rFonts w:hint="eastAsia" w:ascii="宋体" w:hAnsi="宋体" w:cs="宋体"/>
                <w:sz w:val="18"/>
                <w:szCs w:val="18"/>
                <w:lang w:val="en-US" w:eastAsia="zh-CN"/>
              </w:rPr>
              <w:t>4</w:t>
            </w:r>
          </w:p>
        </w:tc>
        <w:tc>
          <w:tcPr>
            <w:tcW w:w="156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1072"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57" w:type="dxa"/>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（10分）</w:t>
            </w:r>
          </w:p>
        </w:tc>
        <w:tc>
          <w:tcPr>
            <w:tcW w:w="873" w:type="dxa"/>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服务对象满意度指标</w:t>
            </w:r>
          </w:p>
        </w:tc>
        <w:tc>
          <w:tcPr>
            <w:tcW w:w="1051"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服务对象满意度</w:t>
            </w:r>
          </w:p>
        </w:tc>
        <w:tc>
          <w:tcPr>
            <w:tcW w:w="1116"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≧95%</w:t>
            </w:r>
          </w:p>
        </w:tc>
        <w:tc>
          <w:tcPr>
            <w:tcW w:w="1146"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95%</w:t>
            </w:r>
          </w:p>
        </w:tc>
        <w:tc>
          <w:tcPr>
            <w:tcW w:w="587"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rightChars="0"/>
              <w:jc w:val="center"/>
              <w:rPr>
                <w:rFonts w:hint="default" w:ascii="宋体" w:hAnsi="宋体" w:cs="宋体"/>
                <w:sz w:val="18"/>
                <w:szCs w:val="18"/>
                <w:lang w:val="en-US" w:eastAsia="zh-CN"/>
              </w:rPr>
            </w:pPr>
            <w:r>
              <w:rPr>
                <w:rFonts w:hint="eastAsia" w:ascii="宋体" w:hAnsi="宋体" w:cs="宋体"/>
                <w:sz w:val="18"/>
                <w:szCs w:val="18"/>
                <w:lang w:val="en-US" w:eastAsia="zh-CN"/>
              </w:rPr>
              <w:t>10</w:t>
            </w:r>
          </w:p>
        </w:tc>
        <w:tc>
          <w:tcPr>
            <w:tcW w:w="1012"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rightChars="0"/>
              <w:jc w:val="center"/>
              <w:rPr>
                <w:rFonts w:hint="default" w:ascii="宋体" w:hAnsi="宋体" w:cs="宋体"/>
                <w:sz w:val="18"/>
                <w:szCs w:val="18"/>
                <w:lang w:val="en-US" w:eastAsia="zh-CN"/>
              </w:rPr>
            </w:pPr>
            <w:r>
              <w:rPr>
                <w:rFonts w:hint="eastAsia" w:ascii="宋体" w:hAnsi="宋体" w:cs="宋体"/>
                <w:sz w:val="18"/>
                <w:szCs w:val="18"/>
                <w:lang w:val="en-US" w:eastAsia="zh-CN"/>
              </w:rPr>
              <w:t>10</w:t>
            </w:r>
          </w:p>
        </w:tc>
        <w:tc>
          <w:tcPr>
            <w:tcW w:w="156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89" w:hRule="atLeast"/>
          <w:jc w:val="center"/>
        </w:trPr>
        <w:tc>
          <w:tcPr>
            <w:tcW w:w="6115" w:type="dxa"/>
            <w:gridSpan w:val="6"/>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总分</w:t>
            </w:r>
          </w:p>
        </w:tc>
        <w:tc>
          <w:tcPr>
            <w:tcW w:w="58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100</w:t>
            </w:r>
          </w:p>
        </w:tc>
        <w:tc>
          <w:tcPr>
            <w:tcW w:w="101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94</w:t>
            </w:r>
          </w:p>
        </w:tc>
        <w:tc>
          <w:tcPr>
            <w:tcW w:w="156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bl>
    <w:p>
      <w:pPr>
        <w:rPr>
          <w:rFonts w:hint="eastAsia" w:eastAsia="仿宋_GB2312" w:cs="Times New Roman"/>
          <w:sz w:val="22"/>
          <w:lang w:val="en-US" w:eastAsia="zh-CN"/>
        </w:rPr>
      </w:pPr>
      <w:r>
        <w:rPr>
          <w:rFonts w:hint="default" w:ascii="Times New Roman" w:hAnsi="Times New Roman" w:eastAsia="仿宋_GB2312" w:cs="Times New Roman"/>
          <w:sz w:val="22"/>
        </w:rPr>
        <w:t>说明：</w:t>
      </w:r>
      <w:r>
        <w:rPr>
          <w:rFonts w:hint="eastAsia" w:eastAsia="仿宋_GB2312" w:cs="Times New Roman"/>
          <w:sz w:val="22"/>
          <w:lang w:eastAsia="zh-CN"/>
        </w:rPr>
        <w:t>以上数据参照</w:t>
      </w:r>
      <w:r>
        <w:rPr>
          <w:rFonts w:hint="eastAsia" w:eastAsia="仿宋_GB2312" w:cs="Times New Roman"/>
          <w:sz w:val="22"/>
          <w:lang w:val="en-US" w:eastAsia="zh-CN"/>
        </w:rPr>
        <w:t>2022年部门决算报表中的“收入支出决算总表”(财决01表)。</w:t>
      </w:r>
    </w:p>
    <w:p>
      <w:pPr>
        <w:pStyle w:val="7"/>
        <w:rPr>
          <w:rFonts w:hint="default"/>
          <w:lang w:val="en-US" w:eastAsia="zh-CN"/>
        </w:rPr>
      </w:pPr>
    </w:p>
    <w:p>
      <w:pPr>
        <w:rPr>
          <w:rFonts w:hint="default"/>
          <w:lang w:val="en-US" w:eastAsia="zh-CN"/>
        </w:rPr>
      </w:pPr>
    </w:p>
    <w:p>
      <w:pPr>
        <w:rPr>
          <w:rFonts w:hint="eastAsia" w:ascii="黑体" w:hAnsi="黑体" w:eastAsia="黑体" w:cs="黑体"/>
          <w:sz w:val="32"/>
          <w:szCs w:val="32"/>
          <w:lang w:val="en-US" w:eastAsia="zh-CN"/>
        </w:rPr>
      </w:pPr>
      <w:r>
        <w:rPr>
          <w:rFonts w:hint="eastAsia" w:ascii="仿宋" w:hAnsi="仿宋" w:eastAsia="仿宋" w:cs="仿宋"/>
          <w:sz w:val="22"/>
        </w:rPr>
        <w:t>填表人：</w:t>
      </w:r>
      <w:r>
        <w:rPr>
          <w:rFonts w:hint="eastAsia" w:ascii="仿宋" w:hAnsi="仿宋" w:eastAsia="仿宋" w:cs="仿宋"/>
          <w:sz w:val="22"/>
          <w:lang w:eastAsia="zh-CN"/>
        </w:rPr>
        <w:t>綦群艳</w:t>
      </w:r>
      <w:r>
        <w:rPr>
          <w:rFonts w:hint="eastAsia" w:ascii="仿宋" w:hAnsi="仿宋" w:eastAsia="仿宋" w:cs="仿宋"/>
          <w:sz w:val="22"/>
        </w:rPr>
        <w:t xml:space="preserve">    填报日期：</w:t>
      </w:r>
      <w:r>
        <w:rPr>
          <w:rFonts w:hint="eastAsia" w:ascii="仿宋" w:hAnsi="仿宋" w:eastAsia="仿宋" w:cs="仿宋"/>
          <w:sz w:val="22"/>
          <w:lang w:val="en-US" w:eastAsia="zh-CN"/>
        </w:rPr>
        <w:t>2022.7.12</w:t>
      </w:r>
      <w:r>
        <w:rPr>
          <w:rFonts w:hint="eastAsia" w:ascii="仿宋" w:hAnsi="仿宋" w:eastAsia="仿宋" w:cs="仿宋"/>
          <w:sz w:val="22"/>
        </w:rPr>
        <w:t xml:space="preserve">     联系电话：</w:t>
      </w:r>
      <w:r>
        <w:rPr>
          <w:rFonts w:hint="eastAsia" w:ascii="仿宋" w:hAnsi="仿宋" w:eastAsia="仿宋" w:cs="仿宋"/>
          <w:sz w:val="22"/>
          <w:lang w:val="en-US" w:eastAsia="zh-CN"/>
        </w:rPr>
        <w:t>4132645</w:t>
      </w:r>
      <w:r>
        <w:rPr>
          <w:rFonts w:hint="eastAsia" w:ascii="仿宋" w:hAnsi="仿宋" w:eastAsia="仿宋" w:cs="仿宋"/>
          <w:sz w:val="22"/>
        </w:rPr>
        <w:t xml:space="preserve">   单位负责人签字：</w:t>
      </w:r>
      <w:r>
        <w:rPr>
          <w:rFonts w:hint="eastAsia" w:ascii="仿宋" w:hAnsi="仿宋" w:eastAsia="仿宋" w:cs="仿宋"/>
          <w:sz w:val="22"/>
        </w:rPr>
        <w:br w:type="page"/>
      </w:r>
      <w:r>
        <w:rPr>
          <w:rFonts w:hint="eastAsia" w:ascii="黑体" w:hAnsi="黑体" w:eastAsia="黑体" w:cs="黑体"/>
          <w:sz w:val="32"/>
          <w:szCs w:val="32"/>
        </w:rPr>
        <w:t>附件</w:t>
      </w:r>
      <w:r>
        <w:rPr>
          <w:rFonts w:hint="eastAsia" w:ascii="黑体" w:hAnsi="黑体" w:eastAsia="黑体" w:cs="黑体"/>
          <w:sz w:val="32"/>
          <w:szCs w:val="32"/>
          <w:lang w:val="en-US" w:eastAsia="zh-CN"/>
        </w:rPr>
        <w:t>3</w:t>
      </w:r>
    </w:p>
    <w:p>
      <w:pPr>
        <w:jc w:val="center"/>
        <w:rPr>
          <w:rFonts w:hint="default" w:ascii="Times New Roman" w:hAnsi="Times New Roman" w:eastAsia="方正小标宋_GBK" w:cs="Times New Roman"/>
          <w:sz w:val="52"/>
          <w:szCs w:val="52"/>
        </w:rPr>
      </w:pP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华容县卫生健康系统县直汇总</w:t>
      </w:r>
      <w:r>
        <w:rPr>
          <w:rFonts w:hint="eastAsia" w:ascii="方正小标宋简体" w:hAnsi="方正小标宋简体" w:eastAsia="方正小标宋简体" w:cs="方正小标宋简体"/>
          <w:sz w:val="44"/>
          <w:szCs w:val="44"/>
        </w:rPr>
        <w:t>整体支出绩效自评报告</w:t>
      </w:r>
    </w:p>
    <w:p>
      <w:pPr>
        <w:jc w:val="center"/>
        <w:rPr>
          <w:rFonts w:hint="default" w:ascii="Times New Roman" w:hAnsi="Times New Roman" w:eastAsia="方正小标宋_GBK" w:cs="Times New Roman"/>
          <w:b/>
          <w:sz w:val="52"/>
          <w:szCs w:val="5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spacing w:line="600" w:lineRule="exact"/>
        <w:jc w:val="center"/>
        <w:rPr>
          <w:rFonts w:hint="eastAsia" w:ascii="仿宋" w:hAnsi="仿宋" w:eastAsia="仿宋" w:cs="仿宋"/>
          <w:sz w:val="32"/>
          <w:szCs w:val="32"/>
          <w:u w:val="single"/>
        </w:rPr>
      </w:pPr>
      <w:r>
        <w:rPr>
          <w:rFonts w:hint="eastAsia" w:ascii="仿宋" w:hAnsi="仿宋" w:eastAsia="仿宋" w:cs="仿宋"/>
          <w:sz w:val="32"/>
          <w:szCs w:val="32"/>
        </w:rPr>
        <w:t>部门（单位）名称：</w:t>
      </w:r>
      <w:r>
        <w:rPr>
          <w:rFonts w:hint="eastAsia" w:ascii="仿宋" w:hAnsi="仿宋" w:eastAsia="仿宋" w:cs="仿宋"/>
          <w:sz w:val="32"/>
          <w:szCs w:val="32"/>
          <w:u w:val="single"/>
        </w:rPr>
        <w:t>（盖章）</w:t>
      </w:r>
    </w:p>
    <w:p>
      <w:pPr>
        <w:spacing w:line="600" w:lineRule="exact"/>
        <w:jc w:val="center"/>
        <w:rPr>
          <w:rFonts w:hint="eastAsia" w:ascii="仿宋" w:hAnsi="仿宋" w:eastAsia="仿宋" w:cs="仿宋"/>
          <w:sz w:val="32"/>
          <w:szCs w:val="32"/>
        </w:rPr>
      </w:pPr>
      <w:r>
        <w:rPr>
          <w:rFonts w:hint="eastAsia" w:ascii="仿宋" w:hAnsi="仿宋" w:eastAsia="仿宋" w:cs="仿宋"/>
          <w:sz w:val="32"/>
          <w:szCs w:val="32"/>
          <w:lang w:val="en-US" w:eastAsia="zh-CN"/>
        </w:rPr>
        <w:t>2022</w:t>
      </w:r>
      <w:r>
        <w:rPr>
          <w:rFonts w:hint="eastAsia" w:ascii="仿宋" w:hAnsi="仿宋" w:eastAsia="仿宋" w:cs="仿宋"/>
          <w:sz w:val="32"/>
          <w:szCs w:val="32"/>
        </w:rPr>
        <w:t>年</w:t>
      </w:r>
      <w:r>
        <w:rPr>
          <w:rFonts w:hint="eastAsia" w:ascii="仿宋" w:hAnsi="仿宋" w:eastAsia="仿宋" w:cs="仿宋"/>
          <w:sz w:val="32"/>
          <w:szCs w:val="32"/>
          <w:lang w:val="en-US" w:eastAsia="zh-CN"/>
        </w:rPr>
        <w:t>7</w:t>
      </w:r>
      <w:r>
        <w:rPr>
          <w:rFonts w:hint="eastAsia" w:ascii="仿宋" w:hAnsi="仿宋" w:eastAsia="仿宋" w:cs="仿宋"/>
          <w:sz w:val="32"/>
          <w:szCs w:val="32"/>
        </w:rPr>
        <w:t>月</w:t>
      </w:r>
      <w:r>
        <w:rPr>
          <w:rFonts w:hint="eastAsia" w:ascii="仿宋" w:hAnsi="仿宋" w:eastAsia="仿宋" w:cs="仿宋"/>
          <w:sz w:val="32"/>
          <w:szCs w:val="32"/>
          <w:lang w:val="en-US" w:eastAsia="zh-CN"/>
        </w:rPr>
        <w:t>12</w:t>
      </w:r>
      <w:r>
        <w:rPr>
          <w:rFonts w:hint="eastAsia" w:ascii="仿宋" w:hAnsi="仿宋" w:eastAsia="仿宋" w:cs="仿宋"/>
          <w:sz w:val="32"/>
          <w:szCs w:val="32"/>
        </w:rPr>
        <w:t>日</w:t>
      </w:r>
    </w:p>
    <w:p>
      <w:pPr>
        <w:jc w:val="center"/>
        <w:rPr>
          <w:rFonts w:hint="eastAsia" w:ascii="仿宋" w:hAnsi="仿宋" w:eastAsia="仿宋" w:cs="仿宋"/>
          <w:sz w:val="32"/>
          <w:szCs w:val="32"/>
        </w:rPr>
        <w:sectPr>
          <w:footerReference r:id="rId3" w:type="default"/>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r>
        <w:rPr>
          <w:rFonts w:hint="eastAsia" w:ascii="仿宋" w:hAnsi="仿宋" w:eastAsia="仿宋" w:cs="仿宋"/>
          <w:sz w:val="32"/>
          <w:szCs w:val="32"/>
        </w:rPr>
        <w:t>（此页为封面）</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华容县卫生健康系统县直汇总整</w:t>
      </w:r>
      <w:r>
        <w:rPr>
          <w:rFonts w:hint="eastAsia" w:ascii="方正小标宋简体" w:hAnsi="方正小标宋简体" w:eastAsia="方正小标宋简体" w:cs="方正小标宋简体"/>
          <w:sz w:val="44"/>
          <w:szCs w:val="44"/>
        </w:rPr>
        <w:t>体支出绩效自评报告</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both"/>
        <w:textAlignment w:val="auto"/>
        <w:rPr>
          <w:rFonts w:hint="default" w:ascii="Times New Roman" w:hAnsi="Times New Roman" w:eastAsia="仿宋_GB2312" w:cs="Times New Roman"/>
          <w:sz w:val="32"/>
          <w:szCs w:val="32"/>
        </w:rPr>
      </w:pPr>
    </w:p>
    <w:p>
      <w:pPr>
        <w:keepNext w:val="0"/>
        <w:keepLines w:val="0"/>
        <w:pageBreakBefore w:val="0"/>
        <w:widowControl w:val="0"/>
        <w:numPr>
          <w:ilvl w:val="0"/>
          <w:numId w:val="1"/>
        </w:numPr>
        <w:kinsoku/>
        <w:wordWrap/>
        <w:overflowPunct/>
        <w:topLinePunct w:val="0"/>
        <w:autoSpaceDE/>
        <w:autoSpaceDN/>
        <w:bidi w:val="0"/>
        <w:adjustRightInd w:val="0"/>
        <w:snapToGrid w:val="0"/>
        <w:spacing w:line="600" w:lineRule="atLeast"/>
        <w:ind w:firstLine="640" w:firstLineChars="200"/>
        <w:jc w:val="both"/>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部门（单位）基本情况</w:t>
      </w:r>
    </w:p>
    <w:p>
      <w:pPr>
        <w:keepNext w:val="0"/>
        <w:keepLines w:val="0"/>
        <w:pageBreakBefore w:val="0"/>
        <w:widowControl w:val="0"/>
        <w:kinsoku/>
        <w:wordWrap/>
        <w:overflowPunct/>
        <w:topLinePunct w:val="0"/>
        <w:autoSpaceDE/>
        <w:autoSpaceDN/>
        <w:bidi w:val="0"/>
        <w:adjustRightInd w:val="0"/>
        <w:snapToGrid w:val="0"/>
        <w:spacing w:line="600" w:lineRule="atLeast"/>
        <w:ind w:firstLine="643" w:firstLineChars="200"/>
        <w:textAlignment w:val="auto"/>
        <w:rPr>
          <w:rFonts w:hint="eastAsia" w:ascii="楷体" w:hAnsi="楷体" w:eastAsia="楷体" w:cs="楷体"/>
          <w:b/>
          <w:sz w:val="32"/>
          <w:szCs w:val="32"/>
        </w:rPr>
      </w:pPr>
      <w:r>
        <w:rPr>
          <w:rFonts w:hint="eastAsia" w:ascii="楷体" w:hAnsi="楷体" w:eastAsia="楷体" w:cs="楷体"/>
          <w:b/>
          <w:sz w:val="32"/>
          <w:szCs w:val="32"/>
        </w:rPr>
        <w:t>（一）基本情况。</w:t>
      </w:r>
    </w:p>
    <w:p>
      <w:pPr>
        <w:keepNext w:val="0"/>
        <w:keepLines w:val="0"/>
        <w:pageBreakBefore w:val="0"/>
        <w:widowControl w:val="0"/>
        <w:kinsoku/>
        <w:wordWrap/>
        <w:overflowPunct/>
        <w:topLinePunct w:val="0"/>
        <w:autoSpaceDE/>
        <w:autoSpaceDN/>
        <w:bidi w:val="0"/>
        <w:adjustRightInd w:val="0"/>
        <w:snapToGrid w:val="0"/>
        <w:spacing w:line="600" w:lineRule="atLeast"/>
        <w:ind w:firstLine="643" w:firstLineChars="200"/>
        <w:textAlignment w:val="auto"/>
        <w:rPr>
          <w:rFonts w:hint="eastAsia" w:ascii="仿宋" w:hAnsi="仿宋" w:eastAsia="仿宋" w:cs="仿宋"/>
          <w:b/>
          <w:bCs/>
          <w:sz w:val="32"/>
          <w:szCs w:val="32"/>
          <w:lang w:eastAsia="zh-CN"/>
        </w:rPr>
      </w:pPr>
      <w:r>
        <w:rPr>
          <w:rFonts w:hint="eastAsia" w:ascii="仿宋" w:hAnsi="仿宋" w:eastAsia="仿宋" w:cs="仿宋"/>
          <w:b/>
          <w:bCs/>
          <w:sz w:val="32"/>
          <w:szCs w:val="32"/>
        </w:rPr>
        <w:t>1．主要职能。</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rPr>
        <w:t>1</w:t>
      </w:r>
      <w:r>
        <w:rPr>
          <w:rFonts w:hint="eastAsia" w:ascii="仿宋" w:hAnsi="仿宋" w:eastAsia="仿宋" w:cs="仿宋"/>
          <w:sz w:val="32"/>
          <w:szCs w:val="32"/>
          <w:lang w:eastAsia="zh-CN"/>
        </w:rPr>
        <w:t>）</w:t>
      </w:r>
      <w:r>
        <w:rPr>
          <w:rFonts w:hint="eastAsia" w:ascii="仿宋" w:hAnsi="仿宋" w:eastAsia="仿宋" w:cs="仿宋"/>
          <w:sz w:val="32"/>
          <w:szCs w:val="32"/>
        </w:rPr>
        <w:t>贯彻</w:t>
      </w:r>
      <w:r>
        <w:rPr>
          <w:rFonts w:hint="eastAsia" w:ascii="仿宋" w:hAnsi="仿宋" w:eastAsia="仿宋" w:cs="仿宋"/>
          <w:sz w:val="32"/>
          <w:szCs w:val="32"/>
          <w:lang w:eastAsia="zh-CN"/>
        </w:rPr>
        <w:t>落实国民健康政策、卫生健康和中医药事业发展的</w:t>
      </w:r>
      <w:r>
        <w:rPr>
          <w:rFonts w:hint="eastAsia" w:ascii="仿宋" w:hAnsi="仿宋" w:eastAsia="仿宋" w:cs="仿宋"/>
          <w:sz w:val="32"/>
          <w:szCs w:val="32"/>
        </w:rPr>
        <w:t>法律法规、</w:t>
      </w:r>
      <w:r>
        <w:rPr>
          <w:rFonts w:hint="eastAsia" w:ascii="仿宋" w:hAnsi="仿宋" w:eastAsia="仿宋" w:cs="仿宋"/>
          <w:sz w:val="32"/>
          <w:szCs w:val="32"/>
          <w:lang w:eastAsia="zh-CN"/>
        </w:rPr>
        <w:t>政策、措施，拟订我县相关政策、措施并组织实施。统筹规划卫生健康资源配置，指导区域卫生健康规划的编制和实施。制定并组织实施推进卫生健康基本公共服务均等化、普惠化、便捷化和公共资源向基层延伸等措施</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left"/>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w:t>
      </w:r>
      <w:r>
        <w:rPr>
          <w:rFonts w:hint="eastAsia" w:ascii="仿宋" w:hAnsi="仿宋" w:eastAsia="仿宋" w:cs="仿宋"/>
          <w:sz w:val="32"/>
          <w:szCs w:val="32"/>
        </w:rPr>
        <w:t>2</w:t>
      </w:r>
      <w:r>
        <w:rPr>
          <w:rFonts w:hint="eastAsia" w:ascii="仿宋" w:hAnsi="仿宋" w:eastAsia="仿宋" w:cs="仿宋"/>
          <w:sz w:val="32"/>
          <w:szCs w:val="32"/>
          <w:lang w:eastAsia="zh-CN"/>
        </w:rPr>
        <w:t>）协调推进深化医药卫生体制改革，研究提出深化医药卫生体制改革政策、措施的建议。组织深化公立医院综合改革，推进管办分离，健全现代医院管理制度，制定并组织实施推动卫生健康公共服务提供主体多元化、方式多样化的政策措施。提出医疗服务和药品价格政策的建议。</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rPr>
        <w:t>3</w:t>
      </w:r>
      <w:r>
        <w:rPr>
          <w:rFonts w:hint="eastAsia" w:ascii="仿宋" w:hAnsi="仿宋" w:eastAsia="仿宋" w:cs="仿宋"/>
          <w:sz w:val="32"/>
          <w:szCs w:val="32"/>
          <w:lang w:eastAsia="zh-CN"/>
        </w:rPr>
        <w:t>）</w:t>
      </w:r>
      <w:r>
        <w:rPr>
          <w:rFonts w:hint="eastAsia" w:ascii="仿宋" w:hAnsi="仿宋" w:eastAsia="仿宋" w:cs="仿宋"/>
          <w:sz w:val="32"/>
          <w:szCs w:val="32"/>
        </w:rPr>
        <w:t>负责</w:t>
      </w:r>
      <w:r>
        <w:rPr>
          <w:rFonts w:hint="eastAsia" w:ascii="仿宋" w:hAnsi="仿宋" w:eastAsia="仿宋" w:cs="仿宋"/>
          <w:sz w:val="32"/>
          <w:szCs w:val="32"/>
          <w:lang w:eastAsia="zh-CN"/>
        </w:rPr>
        <w:t>制定</w:t>
      </w:r>
      <w:r>
        <w:rPr>
          <w:rFonts w:hint="eastAsia" w:ascii="仿宋" w:hAnsi="仿宋" w:eastAsia="仿宋" w:cs="仿宋"/>
          <w:sz w:val="32"/>
          <w:szCs w:val="32"/>
        </w:rPr>
        <w:t>全县疾病预防控制规划、免疫规划、严重危害人民健康的公共卫生问题的干预措施并组织落实，制定全县卫生应急和紧急医学救援预案、突发公共卫生事件监测和风险评估计划，组织和指导全县突发公共卫生事件预防控制和各类突发公共事件的医疗卫生救援，</w:t>
      </w:r>
      <w:r>
        <w:rPr>
          <w:rFonts w:hint="eastAsia" w:ascii="仿宋" w:hAnsi="仿宋" w:eastAsia="仿宋" w:cs="仿宋"/>
          <w:sz w:val="32"/>
          <w:szCs w:val="32"/>
          <w:lang w:eastAsia="zh-CN"/>
        </w:rPr>
        <w:t>承担传染病疫情信息上报工作，</w:t>
      </w:r>
      <w:r>
        <w:rPr>
          <w:rFonts w:hint="eastAsia" w:ascii="仿宋" w:hAnsi="仿宋" w:eastAsia="仿宋" w:cs="仿宋"/>
          <w:sz w:val="32"/>
          <w:szCs w:val="32"/>
        </w:rPr>
        <w:t>发布法定报告传染病疫情信息、突发公共卫生事件应急处置信息。</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（4）组织拟订并协调落实应对人口老龄化政策措施，负责进老年健康服务体系建设和医养结合工作。</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（5）贯彻执行国家药物政策和国家基本药物制度，负责组织制定全县基本药物采购、配送、使用等级管理制度，对基本药物品种、管理、价格政策等提出建议，并会同有关部门</w:t>
      </w:r>
      <w:r>
        <w:rPr>
          <w:rFonts w:hint="eastAsia" w:ascii="仿宋" w:hAnsi="仿宋" w:eastAsia="仿宋" w:cs="仿宋"/>
          <w:sz w:val="32"/>
          <w:szCs w:val="32"/>
        </w:rPr>
        <w:t>组织实施。</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left"/>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（6）</w:t>
      </w:r>
      <w:r>
        <w:rPr>
          <w:rFonts w:hint="eastAsia" w:ascii="仿宋" w:hAnsi="仿宋" w:eastAsia="仿宋" w:cs="仿宋"/>
          <w:sz w:val="32"/>
          <w:szCs w:val="32"/>
          <w:lang w:eastAsia="zh-CN"/>
        </w:rPr>
        <w:t>负责制定和实施职责范围内的</w:t>
      </w:r>
      <w:r>
        <w:rPr>
          <w:rFonts w:hint="eastAsia" w:ascii="仿宋" w:hAnsi="仿宋" w:eastAsia="仿宋" w:cs="仿宋"/>
          <w:sz w:val="32"/>
          <w:szCs w:val="32"/>
        </w:rPr>
        <w:t>职业卫生、放射卫生、环境卫生、学校卫生、公共场所卫生、饮用水卫生</w:t>
      </w:r>
      <w:r>
        <w:rPr>
          <w:rFonts w:hint="eastAsia" w:ascii="仿宋" w:hAnsi="仿宋" w:eastAsia="仿宋" w:cs="仿宋"/>
          <w:sz w:val="32"/>
          <w:szCs w:val="32"/>
          <w:lang w:eastAsia="zh-CN"/>
        </w:rPr>
        <w:t>等公共卫生的监督管理，</w:t>
      </w:r>
      <w:r>
        <w:rPr>
          <w:rFonts w:hint="eastAsia" w:ascii="仿宋" w:hAnsi="仿宋" w:eastAsia="仿宋" w:cs="仿宋"/>
          <w:sz w:val="32"/>
          <w:szCs w:val="32"/>
        </w:rPr>
        <w:t>负责传染病防治监督</w:t>
      </w:r>
      <w:r>
        <w:rPr>
          <w:rFonts w:hint="eastAsia" w:ascii="仿宋" w:hAnsi="仿宋" w:eastAsia="仿宋" w:cs="仿宋"/>
          <w:sz w:val="32"/>
          <w:szCs w:val="32"/>
          <w:lang w:eastAsia="zh-CN"/>
        </w:rPr>
        <w:t>。</w:t>
      </w:r>
      <w:r>
        <w:rPr>
          <w:rFonts w:hint="eastAsia" w:ascii="仿宋" w:hAnsi="仿宋" w:eastAsia="仿宋" w:cs="仿宋"/>
          <w:sz w:val="32"/>
          <w:szCs w:val="32"/>
        </w:rPr>
        <w:t>组织开展食品安全风险监测</w:t>
      </w:r>
      <w:r>
        <w:rPr>
          <w:rFonts w:hint="eastAsia" w:ascii="仿宋" w:hAnsi="仿宋" w:eastAsia="仿宋" w:cs="仿宋"/>
          <w:sz w:val="32"/>
          <w:szCs w:val="32"/>
          <w:lang w:eastAsia="zh-CN"/>
        </w:rPr>
        <w:t>、</w:t>
      </w:r>
      <w:r>
        <w:rPr>
          <w:rFonts w:hint="eastAsia" w:ascii="仿宋" w:hAnsi="仿宋" w:eastAsia="仿宋" w:cs="仿宋"/>
          <w:sz w:val="32"/>
          <w:szCs w:val="32"/>
        </w:rPr>
        <w:t>评估，负责食源性疾病及与食品安全事故有关的流行病学调查，</w:t>
      </w:r>
      <w:r>
        <w:rPr>
          <w:rFonts w:hint="eastAsia" w:ascii="仿宋" w:hAnsi="仿宋" w:eastAsia="仿宋" w:cs="仿宋"/>
          <w:sz w:val="32"/>
          <w:szCs w:val="32"/>
          <w:lang w:eastAsia="zh-CN"/>
        </w:rPr>
        <w:t>负责国家和地方食品安全标准的宣传贯彻和追踪评价。</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7）负责制定全县医疗机构和医疗服务行业管理办法并监督实施，建立医疗服务评价和监督管理体系。制定医疗机构及其医疗服务、医疗技术、医疗质量、医疗安全以及采供血机构管理的规范、标准并组织实施，会同有关部门组织实施卫生健康专业技术人员资格标准。制定和实施卫生健康专业技术人员执业规则和服务规范。</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left"/>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（8）</w:t>
      </w:r>
      <w:r>
        <w:rPr>
          <w:rFonts w:hint="eastAsia" w:ascii="仿宋" w:hAnsi="仿宋" w:eastAsia="仿宋" w:cs="仿宋"/>
          <w:sz w:val="32"/>
          <w:szCs w:val="32"/>
        </w:rPr>
        <w:t>负责</w:t>
      </w:r>
      <w:r>
        <w:rPr>
          <w:rFonts w:hint="eastAsia" w:ascii="仿宋" w:hAnsi="仿宋" w:eastAsia="仿宋" w:cs="仿宋"/>
          <w:sz w:val="32"/>
          <w:szCs w:val="32"/>
          <w:lang w:eastAsia="zh-CN"/>
        </w:rPr>
        <w:t>计划生育管理和服务工作，开展人口监测预警，研究提出人口与家庭发展相关政策建议，提出完善计划生育政策建议。</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left"/>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（9）</w:t>
      </w:r>
      <w:r>
        <w:rPr>
          <w:rFonts w:hint="eastAsia" w:ascii="仿宋" w:hAnsi="仿宋" w:eastAsia="仿宋" w:cs="仿宋"/>
          <w:sz w:val="32"/>
          <w:szCs w:val="32"/>
          <w:lang w:eastAsia="zh-CN"/>
        </w:rPr>
        <w:t>指导全县卫生健康工作，负责组织拟订并实施基层医疗卫生、妇幼健康发展规划和政策措施，指导全县基层医疗卫生、妇幼健康服务体系建设，加强全科医生队伍建设，完善基层运行新机制和乡村医生管理制度</w:t>
      </w:r>
      <w:r>
        <w:rPr>
          <w:rFonts w:hint="eastAsia" w:ascii="仿宋" w:hAnsi="仿宋" w:eastAsia="仿宋" w:cs="仿宋"/>
          <w:sz w:val="32"/>
          <w:szCs w:val="32"/>
        </w:rPr>
        <w:t>。</w:t>
      </w:r>
      <w:r>
        <w:rPr>
          <w:rFonts w:hint="eastAsia" w:ascii="仿宋" w:hAnsi="仿宋" w:eastAsia="仿宋" w:cs="仿宋"/>
          <w:sz w:val="32"/>
          <w:szCs w:val="32"/>
          <w:lang w:eastAsia="zh-CN"/>
        </w:rPr>
        <w:t>推进卫生健康科技创新发展。</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（10）</w:t>
      </w:r>
      <w:r>
        <w:rPr>
          <w:rFonts w:hint="eastAsia" w:ascii="仿宋" w:hAnsi="仿宋" w:eastAsia="仿宋" w:cs="仿宋"/>
          <w:sz w:val="32"/>
          <w:szCs w:val="32"/>
        </w:rPr>
        <w:t>负责</w:t>
      </w:r>
      <w:r>
        <w:rPr>
          <w:rFonts w:hint="eastAsia" w:ascii="仿宋" w:hAnsi="仿宋" w:eastAsia="仿宋" w:cs="仿宋"/>
          <w:sz w:val="32"/>
          <w:szCs w:val="32"/>
          <w:lang w:eastAsia="zh-CN"/>
        </w:rPr>
        <w:t>县级保健对象的医疗保健工作，承担县委、县政府重要会议与重大活动的医疗卫生保障工作。</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left"/>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w:t>
      </w:r>
      <w:r>
        <w:rPr>
          <w:rFonts w:hint="eastAsia" w:ascii="仿宋" w:hAnsi="仿宋" w:eastAsia="仿宋" w:cs="仿宋"/>
          <w:sz w:val="32"/>
          <w:szCs w:val="32"/>
        </w:rPr>
        <w:t>1</w:t>
      </w:r>
      <w:r>
        <w:rPr>
          <w:rFonts w:hint="eastAsia" w:ascii="仿宋" w:hAnsi="仿宋" w:eastAsia="仿宋" w:cs="仿宋"/>
          <w:sz w:val="32"/>
          <w:szCs w:val="32"/>
          <w:lang w:val="en-US" w:eastAsia="zh-CN"/>
        </w:rPr>
        <w:t>1）</w:t>
      </w:r>
      <w:r>
        <w:rPr>
          <w:rFonts w:hint="eastAsia" w:ascii="仿宋" w:hAnsi="仿宋" w:eastAsia="仿宋" w:cs="仿宋"/>
          <w:sz w:val="32"/>
          <w:szCs w:val="32"/>
          <w:lang w:eastAsia="zh-CN"/>
        </w:rPr>
        <w:t>制定并组织实施全县中医药发展规划，加强中医药行业监管。</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left"/>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w:t>
      </w:r>
      <w:r>
        <w:rPr>
          <w:rFonts w:hint="eastAsia" w:ascii="仿宋" w:hAnsi="仿宋" w:eastAsia="仿宋" w:cs="仿宋"/>
          <w:sz w:val="32"/>
          <w:szCs w:val="32"/>
        </w:rPr>
        <w:t>1</w:t>
      </w:r>
      <w:r>
        <w:rPr>
          <w:rFonts w:hint="eastAsia" w:ascii="仿宋" w:hAnsi="仿宋" w:eastAsia="仿宋" w:cs="仿宋"/>
          <w:sz w:val="32"/>
          <w:szCs w:val="32"/>
          <w:lang w:val="en-US" w:eastAsia="zh-CN"/>
        </w:rPr>
        <w:t>2）</w:t>
      </w:r>
      <w:r>
        <w:rPr>
          <w:rFonts w:hint="eastAsia" w:ascii="仿宋" w:hAnsi="仿宋" w:eastAsia="仿宋" w:cs="仿宋"/>
          <w:sz w:val="32"/>
          <w:szCs w:val="32"/>
          <w:lang w:eastAsia="zh-CN"/>
        </w:rPr>
        <w:t>拟订全县卫生健康人才发展规划，指导卫生健康人才队伍建设。加强全科医生等急需紧缺专业人才培养，贯彻落实国家住院医师和专科医师培训制度</w:t>
      </w:r>
      <w:r>
        <w:rPr>
          <w:rFonts w:hint="eastAsia" w:ascii="仿宋" w:hAnsi="仿宋" w:eastAsia="仿宋" w:cs="仿宋"/>
          <w:sz w:val="32"/>
          <w:szCs w:val="32"/>
        </w:rPr>
        <w:t>。</w:t>
      </w:r>
      <w:r>
        <w:rPr>
          <w:rFonts w:hint="eastAsia" w:ascii="仿宋" w:hAnsi="仿宋" w:eastAsia="仿宋" w:cs="仿宋"/>
          <w:sz w:val="32"/>
          <w:szCs w:val="32"/>
          <w:lang w:eastAsia="zh-CN"/>
        </w:rPr>
        <w:t>负责卫生健康的援外工作。</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rPr>
        <w:t>1</w:t>
      </w:r>
      <w:r>
        <w:rPr>
          <w:rFonts w:hint="eastAsia" w:ascii="仿宋" w:hAnsi="仿宋" w:eastAsia="仿宋" w:cs="仿宋"/>
          <w:sz w:val="32"/>
          <w:szCs w:val="32"/>
          <w:lang w:val="en-US" w:eastAsia="zh-CN"/>
        </w:rPr>
        <w:t>3）</w:t>
      </w:r>
      <w:r>
        <w:rPr>
          <w:rFonts w:hint="eastAsia" w:ascii="仿宋" w:hAnsi="仿宋" w:eastAsia="仿宋" w:cs="仿宋"/>
          <w:sz w:val="32"/>
          <w:szCs w:val="32"/>
          <w:lang w:eastAsia="zh-CN"/>
        </w:rPr>
        <w:t>负责全县卫生健康监督工作，完善综合监督执法体系，规范执法行为，监督检查法律法规和政策措施的落实，组织查处重大违法行为。</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rPr>
        <w:t>1</w:t>
      </w:r>
      <w:r>
        <w:rPr>
          <w:rFonts w:hint="eastAsia" w:ascii="仿宋" w:hAnsi="仿宋" w:eastAsia="仿宋" w:cs="仿宋"/>
          <w:sz w:val="32"/>
          <w:szCs w:val="32"/>
          <w:lang w:val="en-US" w:eastAsia="zh-CN"/>
        </w:rPr>
        <w:t>4）</w:t>
      </w:r>
      <w:r>
        <w:rPr>
          <w:rFonts w:hint="eastAsia" w:ascii="仿宋" w:hAnsi="仿宋" w:eastAsia="仿宋" w:cs="仿宋"/>
          <w:sz w:val="32"/>
          <w:szCs w:val="32"/>
          <w:lang w:eastAsia="zh-CN"/>
        </w:rPr>
        <w:t>负责卫生健康宣传、健康教育、健康促进和信息化建设等工作，依法组织实施统计调查</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rPr>
        <w:t>1</w:t>
      </w:r>
      <w:r>
        <w:rPr>
          <w:rFonts w:hint="eastAsia" w:ascii="仿宋" w:hAnsi="仿宋" w:eastAsia="仿宋" w:cs="仿宋"/>
          <w:sz w:val="32"/>
          <w:szCs w:val="32"/>
          <w:lang w:val="en-US" w:eastAsia="zh-CN"/>
        </w:rPr>
        <w:t>5）</w:t>
      </w:r>
      <w:r>
        <w:rPr>
          <w:rFonts w:hint="eastAsia" w:ascii="仿宋" w:hAnsi="仿宋" w:eastAsia="仿宋" w:cs="仿宋"/>
          <w:sz w:val="32"/>
          <w:szCs w:val="32"/>
          <w:lang w:eastAsia="zh-CN"/>
        </w:rPr>
        <w:t>承担县血吸虫病地方病防治工作领导小组、县爱国卫生运动委员会、县老龄工作委员会的日常工作</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rPr>
        <w:t>1</w:t>
      </w:r>
      <w:r>
        <w:rPr>
          <w:rFonts w:hint="eastAsia" w:ascii="仿宋" w:hAnsi="仿宋" w:eastAsia="仿宋" w:cs="仿宋"/>
          <w:sz w:val="32"/>
          <w:szCs w:val="32"/>
          <w:lang w:val="en-US" w:eastAsia="zh-CN"/>
        </w:rPr>
        <w:t>6）</w:t>
      </w:r>
      <w:r>
        <w:rPr>
          <w:rFonts w:hint="eastAsia" w:ascii="仿宋" w:hAnsi="仿宋" w:eastAsia="仿宋" w:cs="仿宋"/>
          <w:sz w:val="32"/>
          <w:szCs w:val="32"/>
          <w:lang w:eastAsia="zh-CN"/>
        </w:rPr>
        <w:t>指导县红十字会、县计划生育协会的业务工作</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left"/>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w:t>
      </w:r>
      <w:r>
        <w:rPr>
          <w:rFonts w:hint="eastAsia" w:ascii="仿宋" w:hAnsi="仿宋" w:eastAsia="仿宋" w:cs="仿宋"/>
          <w:sz w:val="32"/>
          <w:szCs w:val="32"/>
        </w:rPr>
        <w:t>1</w:t>
      </w:r>
      <w:r>
        <w:rPr>
          <w:rFonts w:hint="eastAsia" w:ascii="仿宋" w:hAnsi="仿宋" w:eastAsia="仿宋" w:cs="仿宋"/>
          <w:sz w:val="32"/>
          <w:szCs w:val="32"/>
          <w:lang w:val="en-US" w:eastAsia="zh-CN"/>
        </w:rPr>
        <w:t>7）</w:t>
      </w:r>
      <w:r>
        <w:rPr>
          <w:rFonts w:hint="eastAsia" w:ascii="仿宋" w:hAnsi="仿宋" w:eastAsia="仿宋" w:cs="仿宋"/>
          <w:sz w:val="32"/>
          <w:szCs w:val="32"/>
        </w:rPr>
        <w:t>负责</w:t>
      </w:r>
      <w:r>
        <w:rPr>
          <w:rFonts w:hint="eastAsia" w:ascii="仿宋" w:hAnsi="仿宋" w:eastAsia="仿宋" w:cs="仿宋"/>
          <w:sz w:val="32"/>
          <w:szCs w:val="32"/>
          <w:lang w:eastAsia="zh-CN"/>
        </w:rPr>
        <w:t>本行业、领域安全生产和应急管理工作。</w:t>
      </w:r>
    </w:p>
    <w:p>
      <w:pPr>
        <w:keepNext w:val="0"/>
        <w:keepLines w:val="0"/>
        <w:pageBreakBefore w:val="0"/>
        <w:widowControl w:val="0"/>
        <w:kinsoku/>
        <w:wordWrap/>
        <w:overflowPunct/>
        <w:topLinePunct w:val="0"/>
        <w:autoSpaceDE/>
        <w:autoSpaceDN/>
        <w:bidi w:val="0"/>
        <w:adjustRightInd w:val="0"/>
        <w:snapToGrid w:val="0"/>
        <w:spacing w:line="600" w:lineRule="atLeast"/>
        <w:ind w:firstLine="643" w:firstLineChars="200"/>
        <w:textAlignment w:val="auto"/>
        <w:rPr>
          <w:rFonts w:hint="eastAsia" w:ascii="仿宋" w:hAnsi="仿宋" w:eastAsia="仿宋" w:cs="仿宋"/>
          <w:color w:val="0000FF"/>
          <w:sz w:val="32"/>
          <w:szCs w:val="32"/>
        </w:rPr>
      </w:pPr>
      <w:r>
        <w:rPr>
          <w:rFonts w:hint="eastAsia" w:ascii="仿宋" w:hAnsi="仿宋" w:eastAsia="仿宋" w:cs="仿宋"/>
          <w:b/>
          <w:bCs/>
          <w:sz w:val="32"/>
          <w:szCs w:val="32"/>
          <w:lang w:val="en-US" w:eastAsia="zh-CN"/>
        </w:rPr>
        <w:t>2.</w:t>
      </w:r>
      <w:r>
        <w:rPr>
          <w:rFonts w:hint="eastAsia" w:ascii="仿宋" w:hAnsi="仿宋" w:eastAsia="仿宋" w:cs="仿宋"/>
          <w:b/>
          <w:bCs/>
          <w:sz w:val="32"/>
          <w:szCs w:val="32"/>
        </w:rPr>
        <w:t>机构情况，</w:t>
      </w:r>
      <w:r>
        <w:rPr>
          <w:rFonts w:hint="eastAsia" w:ascii="仿宋" w:hAnsi="仿宋" w:eastAsia="仿宋" w:cs="仿宋"/>
          <w:sz w:val="32"/>
          <w:szCs w:val="32"/>
          <w:lang w:val="en-US" w:eastAsia="zh-CN"/>
        </w:rPr>
        <w:t>2022年</w:t>
      </w:r>
      <w:r>
        <w:rPr>
          <w:rFonts w:hint="eastAsia" w:ascii="仿宋" w:hAnsi="仿宋" w:eastAsia="仿宋" w:cs="仿宋"/>
          <w:sz w:val="32"/>
          <w:szCs w:val="32"/>
          <w:lang w:eastAsia="zh-CN"/>
        </w:rPr>
        <w:t>华容县卫生健康系统县直</w:t>
      </w:r>
      <w:r>
        <w:rPr>
          <w:rFonts w:hint="eastAsia" w:ascii="仿宋" w:hAnsi="仿宋" w:eastAsia="仿宋" w:cs="仿宋"/>
          <w:sz w:val="32"/>
          <w:szCs w:val="32"/>
        </w:rPr>
        <w:t>汇总</w:t>
      </w:r>
      <w:r>
        <w:rPr>
          <w:rFonts w:hint="eastAsia" w:ascii="仿宋" w:hAnsi="仿宋" w:eastAsia="仿宋" w:cs="仿宋"/>
          <w:sz w:val="32"/>
          <w:szCs w:val="32"/>
          <w:lang w:eastAsia="zh-CN"/>
        </w:rPr>
        <w:t>共</w:t>
      </w:r>
      <w:r>
        <w:rPr>
          <w:rFonts w:hint="eastAsia" w:ascii="仿宋" w:hAnsi="仿宋" w:eastAsia="仿宋" w:cs="仿宋"/>
          <w:sz w:val="32"/>
          <w:szCs w:val="32"/>
          <w:lang w:val="en-US" w:eastAsia="zh-CN"/>
        </w:rPr>
        <w:t>8</w:t>
      </w:r>
      <w:r>
        <w:rPr>
          <w:rFonts w:hint="eastAsia" w:ascii="仿宋" w:hAnsi="仿宋" w:eastAsia="仿宋" w:cs="仿宋"/>
          <w:sz w:val="32"/>
          <w:szCs w:val="32"/>
        </w:rPr>
        <w:t>家单位</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比2021年减少华容县计划生育协会。</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600" w:lineRule="atLeast"/>
        <w:ind w:firstLine="643" w:firstLineChars="200"/>
        <w:textAlignment w:val="auto"/>
        <w:rPr>
          <w:rFonts w:hint="eastAsia" w:ascii="仿宋" w:hAnsi="仿宋" w:eastAsia="仿宋" w:cs="仿宋"/>
          <w:sz w:val="32"/>
          <w:szCs w:val="32"/>
        </w:rPr>
      </w:pPr>
      <w:r>
        <w:rPr>
          <w:rFonts w:hint="eastAsia" w:ascii="仿宋" w:hAnsi="仿宋" w:eastAsia="仿宋" w:cs="仿宋"/>
          <w:b/>
          <w:bCs/>
          <w:kern w:val="2"/>
          <w:sz w:val="32"/>
          <w:szCs w:val="32"/>
          <w:lang w:val="en-US" w:eastAsia="zh-CN" w:bidi="ar-SA"/>
        </w:rPr>
        <w:t>3.人员情况，</w:t>
      </w:r>
      <w:r>
        <w:rPr>
          <w:rFonts w:hint="eastAsia" w:ascii="仿宋" w:hAnsi="仿宋" w:eastAsia="仿宋" w:cs="仿宋"/>
          <w:sz w:val="32"/>
          <w:szCs w:val="32"/>
          <w:lang w:val="en-US" w:eastAsia="zh-CN"/>
        </w:rPr>
        <w:t>2022年年底实有财政供养人员1267人，经费自理人员899人，合计共有在职人员合计2166人。</w:t>
      </w:r>
    </w:p>
    <w:p>
      <w:pPr>
        <w:keepNext w:val="0"/>
        <w:keepLines w:val="0"/>
        <w:pageBreakBefore w:val="0"/>
        <w:widowControl w:val="0"/>
        <w:kinsoku/>
        <w:wordWrap/>
        <w:overflowPunct/>
        <w:topLinePunct w:val="0"/>
        <w:autoSpaceDE/>
        <w:autoSpaceDN/>
        <w:bidi w:val="0"/>
        <w:adjustRightInd w:val="0"/>
        <w:snapToGrid w:val="0"/>
        <w:spacing w:line="600" w:lineRule="atLeast"/>
        <w:ind w:firstLine="470" w:firstLineChars="147"/>
        <w:jc w:val="left"/>
        <w:textAlignment w:val="auto"/>
        <w:rPr>
          <w:rFonts w:hint="eastAsia" w:ascii="楷体_GB2312" w:hAnsi="楷体_GB2312" w:eastAsia="楷体_GB2312" w:cs="楷体_GB2312"/>
          <w:b/>
          <w:bCs/>
          <w:color w:val="000000"/>
          <w:sz w:val="32"/>
          <w:szCs w:val="32"/>
        </w:rPr>
      </w:pPr>
      <w:r>
        <w:rPr>
          <w:rFonts w:hint="default" w:ascii="Times New Roman" w:hAnsi="Times New Roman" w:eastAsia="黑体" w:cs="Times New Roman"/>
          <w:kern w:val="2"/>
          <w:sz w:val="32"/>
          <w:szCs w:val="32"/>
          <w:lang w:val="en-US" w:eastAsia="zh-CN" w:bidi="ar-SA"/>
        </w:rPr>
        <w:t>二、基本支出情况</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textAlignment w:val="auto"/>
        <w:rPr>
          <w:rFonts w:hint="eastAsia" w:ascii="仿宋" w:hAnsi="仿宋" w:eastAsia="仿宋" w:cs="仿宋"/>
          <w:b/>
          <w:bCs/>
          <w:sz w:val="32"/>
          <w:szCs w:val="32"/>
          <w:lang w:val="en-US" w:eastAsia="zh-CN"/>
        </w:rPr>
      </w:pPr>
      <w:r>
        <w:rPr>
          <w:rFonts w:hint="eastAsia" w:ascii="仿宋" w:hAnsi="仿宋" w:eastAsia="仿宋" w:cs="仿宋"/>
          <w:sz w:val="32"/>
          <w:szCs w:val="32"/>
          <w:lang w:val="en-US" w:eastAsia="zh-CN"/>
        </w:rPr>
        <w:t>2022年华容县卫生健康系统县直汇总整体基本支出合计69925.61万元，主要是用于人员工资、社会保障缴费、临时工工资以及为保障医疗卫生机构正常运转、完成日常工作任务而发生的 商品和服务支出。其中：</w:t>
      </w:r>
      <w:r>
        <w:rPr>
          <w:rFonts w:hint="eastAsia" w:ascii="仿宋" w:hAnsi="仿宋" w:eastAsia="仿宋" w:cs="仿宋"/>
          <w:sz w:val="32"/>
          <w:szCs w:val="32"/>
          <w:lang w:eastAsia="zh-CN"/>
        </w:rPr>
        <w:t>工资福利支出</w:t>
      </w:r>
      <w:r>
        <w:rPr>
          <w:rFonts w:hint="eastAsia" w:ascii="仿宋" w:hAnsi="仿宋" w:eastAsia="仿宋" w:cs="仿宋"/>
          <w:sz w:val="32"/>
          <w:szCs w:val="32"/>
          <w:lang w:val="en-US" w:eastAsia="zh-CN"/>
        </w:rPr>
        <w:t>30025.68</w:t>
      </w:r>
      <w:r>
        <w:rPr>
          <w:rFonts w:hint="eastAsia" w:ascii="仿宋" w:hAnsi="仿宋" w:eastAsia="仿宋" w:cs="仿宋"/>
          <w:sz w:val="32"/>
          <w:szCs w:val="32"/>
        </w:rPr>
        <w:t>万元</w:t>
      </w:r>
      <w:r>
        <w:rPr>
          <w:rFonts w:hint="eastAsia" w:ascii="仿宋" w:hAnsi="仿宋" w:eastAsia="仿宋" w:cs="仿宋"/>
          <w:sz w:val="32"/>
          <w:szCs w:val="32"/>
          <w:lang w:eastAsia="zh-CN"/>
        </w:rPr>
        <w:t>；商品和服务支出</w:t>
      </w:r>
      <w:r>
        <w:rPr>
          <w:rFonts w:hint="eastAsia" w:ascii="仿宋" w:hAnsi="仿宋" w:eastAsia="仿宋" w:cs="仿宋"/>
          <w:sz w:val="32"/>
          <w:szCs w:val="32"/>
          <w:lang w:val="en-US" w:eastAsia="zh-CN"/>
        </w:rPr>
        <w:t>36818.76万元，对个人和家庭的补助支出3081.17万元。</w:t>
      </w:r>
    </w:p>
    <w:p>
      <w:pPr>
        <w:pStyle w:val="17"/>
        <w:keepNext w:val="0"/>
        <w:keepLines w:val="0"/>
        <w:pageBreakBefore w:val="0"/>
        <w:widowControl w:val="0"/>
        <w:kinsoku/>
        <w:wordWrap/>
        <w:overflowPunct/>
        <w:topLinePunct w:val="0"/>
        <w:autoSpaceDE/>
        <w:autoSpaceDN/>
        <w:bidi w:val="0"/>
        <w:adjustRightInd w:val="0"/>
        <w:snapToGrid w:val="0"/>
        <w:spacing w:line="600" w:lineRule="atLeast"/>
        <w:jc w:val="both"/>
        <w:textAlignment w:val="auto"/>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三、项目支出情况</w:t>
      </w:r>
    </w:p>
    <w:p>
      <w:pPr>
        <w:keepNext w:val="0"/>
        <w:keepLines w:val="0"/>
        <w:pageBreakBefore w:val="0"/>
        <w:widowControl w:val="0"/>
        <w:kinsoku/>
        <w:wordWrap/>
        <w:overflowPunct/>
        <w:topLinePunct w:val="0"/>
        <w:autoSpaceDE/>
        <w:autoSpaceDN/>
        <w:bidi w:val="0"/>
        <w:adjustRightInd w:val="0"/>
        <w:snapToGrid w:val="0"/>
        <w:spacing w:line="600" w:lineRule="atLeast"/>
        <w:ind w:firstLine="643"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1、项目资金安排落实、总投入等情况分析</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sz w:val="32"/>
          <w:szCs w:val="32"/>
          <w:lang w:val="en-US" w:eastAsia="zh-CN"/>
        </w:rPr>
        <w:t>华容县卫生健康系统县直汇总项目资金按照年初预算的安排，按照月度与项目建设资金的建设进度等安排资金落实，2022年华容县卫生健康系统县直汇总整体年初项目资金合计申报14592.58万元，主要是用于</w:t>
      </w:r>
      <w:r>
        <w:rPr>
          <w:rFonts w:hint="eastAsia" w:ascii="仿宋" w:hAnsi="仿宋" w:eastAsia="仿宋" w:cs="仿宋"/>
          <w:color w:val="auto"/>
          <w:sz w:val="32"/>
          <w:szCs w:val="32"/>
          <w:lang w:val="en-US" w:eastAsia="zh-CN"/>
        </w:rPr>
        <w:t>其他发展与改革事务支出、其他教育费附加安排的支出、其他能力资源和社会保障管理事务支出、公益性岗位补贴、行政运行、其他公立医院支出、其他基层医疗卫生机构支出、疾病预防控制机构、基本公共卫生服务、重大公共卫生支出、其他计划生育事务支出、其他医疗救助支出、其他巩固脱贫衔接乡村振兴支出、其他地方自行试点项目收益专项债券收入安排的支出等方面的支出。</w:t>
      </w:r>
    </w:p>
    <w:p>
      <w:pPr>
        <w:keepNext w:val="0"/>
        <w:keepLines w:val="0"/>
        <w:pageBreakBefore w:val="0"/>
        <w:widowControl w:val="0"/>
        <w:kinsoku/>
        <w:wordWrap/>
        <w:overflowPunct/>
        <w:topLinePunct w:val="0"/>
        <w:autoSpaceDE/>
        <w:autoSpaceDN/>
        <w:bidi w:val="0"/>
        <w:adjustRightInd w:val="0"/>
        <w:snapToGrid w:val="0"/>
        <w:spacing w:line="600" w:lineRule="atLeast"/>
        <w:ind w:firstLine="643" w:firstLineChars="200"/>
        <w:textAlignment w:val="auto"/>
        <w:rPr>
          <w:rFonts w:hint="eastAsia" w:ascii="仿宋" w:hAnsi="仿宋" w:eastAsia="仿宋" w:cs="仿宋"/>
          <w:b/>
          <w:bCs/>
          <w:color w:val="auto"/>
          <w:kern w:val="2"/>
          <w:sz w:val="32"/>
          <w:szCs w:val="32"/>
          <w:shd w:val="clear" w:color="auto" w:fill="FFFFFF"/>
          <w:lang w:val="en-US" w:eastAsia="zh-CN" w:bidi="ar-SA"/>
        </w:rPr>
      </w:pPr>
      <w:r>
        <w:rPr>
          <w:rFonts w:hint="eastAsia" w:ascii="仿宋" w:hAnsi="仿宋" w:eastAsia="仿宋" w:cs="仿宋"/>
          <w:b/>
          <w:bCs/>
          <w:color w:val="auto"/>
          <w:kern w:val="2"/>
          <w:sz w:val="32"/>
          <w:szCs w:val="32"/>
          <w:shd w:val="clear" w:color="auto" w:fill="FFFFFF"/>
          <w:lang w:val="en-US" w:eastAsia="zh-CN" w:bidi="ar-SA"/>
        </w:rPr>
        <w:t>2.专项资金实际使用情况分析</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textAlignment w:val="auto"/>
        <w:rPr>
          <w:rFonts w:hint="eastAsia" w:ascii="仿宋" w:hAnsi="仿宋" w:eastAsia="仿宋" w:cs="仿宋"/>
          <w:bCs/>
          <w:color w:val="auto"/>
          <w:sz w:val="32"/>
          <w:szCs w:val="32"/>
        </w:rPr>
      </w:pPr>
      <w:r>
        <w:rPr>
          <w:rFonts w:hint="eastAsia" w:ascii="仿宋" w:hAnsi="仿宋" w:eastAsia="仿宋" w:cs="仿宋"/>
          <w:color w:val="auto"/>
          <w:sz w:val="32"/>
          <w:szCs w:val="32"/>
          <w:lang w:val="en-US" w:eastAsia="zh-CN"/>
        </w:rPr>
        <w:t>2022年华容县卫生健康系统县直汇总整体项目支出合计14592.58万元，其中：工资和福利支出526.89，</w:t>
      </w:r>
      <w:r>
        <w:rPr>
          <w:rFonts w:hint="eastAsia" w:ascii="仿宋" w:hAnsi="仿宋" w:eastAsia="仿宋" w:cs="仿宋"/>
          <w:color w:val="auto"/>
          <w:sz w:val="32"/>
          <w:szCs w:val="32"/>
          <w:lang w:eastAsia="zh-CN"/>
        </w:rPr>
        <w:t>商品和服务支出</w:t>
      </w:r>
      <w:r>
        <w:rPr>
          <w:rFonts w:hint="eastAsia" w:ascii="仿宋" w:hAnsi="仿宋" w:eastAsia="仿宋" w:cs="仿宋"/>
          <w:color w:val="auto"/>
          <w:sz w:val="32"/>
          <w:szCs w:val="32"/>
          <w:lang w:val="en-US" w:eastAsia="zh-CN"/>
        </w:rPr>
        <w:t>1580.96万元，资本性支出12484.73万元。</w:t>
      </w:r>
    </w:p>
    <w:p>
      <w:pPr>
        <w:keepNext w:val="0"/>
        <w:keepLines w:val="0"/>
        <w:pageBreakBefore w:val="0"/>
        <w:widowControl w:val="0"/>
        <w:kinsoku/>
        <w:wordWrap/>
        <w:overflowPunct/>
        <w:topLinePunct w:val="0"/>
        <w:autoSpaceDE/>
        <w:autoSpaceDN/>
        <w:bidi w:val="0"/>
        <w:adjustRightInd w:val="0"/>
        <w:snapToGrid w:val="0"/>
        <w:spacing w:line="600" w:lineRule="atLeast"/>
        <w:ind w:firstLine="643" w:firstLineChars="200"/>
        <w:textAlignment w:val="auto"/>
        <w:rPr>
          <w:rFonts w:hint="eastAsia" w:ascii="仿宋" w:hAnsi="仿宋" w:eastAsia="仿宋" w:cs="仿宋"/>
          <w:b/>
          <w:bCs/>
          <w:color w:val="auto"/>
          <w:kern w:val="2"/>
          <w:sz w:val="32"/>
          <w:szCs w:val="32"/>
          <w:shd w:val="clear" w:color="auto" w:fill="FFFFFF"/>
          <w:lang w:val="en-US" w:eastAsia="zh-CN" w:bidi="ar-SA"/>
        </w:rPr>
      </w:pPr>
      <w:r>
        <w:rPr>
          <w:rFonts w:hint="eastAsia" w:ascii="仿宋" w:hAnsi="仿宋" w:eastAsia="仿宋" w:cs="仿宋"/>
          <w:b/>
          <w:bCs/>
          <w:color w:val="auto"/>
          <w:kern w:val="2"/>
          <w:sz w:val="32"/>
          <w:szCs w:val="32"/>
          <w:shd w:val="clear" w:color="auto" w:fill="FFFFFF"/>
          <w:lang w:val="en-US" w:eastAsia="zh-CN" w:bidi="ar-SA"/>
        </w:rPr>
        <w:t>3、专项资金管理情况分析</w:t>
      </w:r>
    </w:p>
    <w:p>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00" w:lineRule="atLeast"/>
        <w:ind w:left="0" w:right="0" w:firstLine="645"/>
        <w:jc w:val="both"/>
        <w:textAlignment w:val="auto"/>
        <w:rPr>
          <w:rFonts w:hint="eastAsia" w:ascii="仿宋" w:hAnsi="仿宋" w:eastAsia="仿宋" w:cs="仿宋"/>
          <w:color w:val="auto"/>
          <w:kern w:val="2"/>
          <w:sz w:val="32"/>
          <w:szCs w:val="32"/>
          <w:shd w:val="clear" w:color="auto" w:fill="FFFFFF"/>
          <w:lang w:val="en-US" w:eastAsia="zh-CN" w:bidi="ar-SA"/>
        </w:rPr>
      </w:pPr>
      <w:r>
        <w:rPr>
          <w:rFonts w:hint="eastAsia" w:ascii="仿宋" w:hAnsi="仿宋" w:eastAsia="仿宋" w:cs="仿宋"/>
          <w:color w:val="auto"/>
          <w:kern w:val="2"/>
          <w:sz w:val="32"/>
          <w:szCs w:val="32"/>
          <w:shd w:val="clear" w:color="auto" w:fill="FFFFFF"/>
          <w:lang w:val="en-US" w:eastAsia="zh-CN" w:bidi="ar-SA"/>
        </w:rPr>
        <w:t>严格按项目资金进行管理，执行相关财务支出管理制度，资金管理制度。实行项目绩效考核结果与各单位补助经费拨付相挂钩。加强项目资金专款专用管理，设立专账核算，各项目执行单位财务机构加强项目资金日常使用监督。</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both"/>
        <w:textAlignment w:val="auto"/>
        <w:rPr>
          <w:rFonts w:hint="default" w:ascii="Times New Roman" w:hAnsi="Times New Roman" w:eastAsia="黑体" w:cs="Times New Roman"/>
          <w:sz w:val="32"/>
          <w:szCs w:val="32"/>
        </w:rPr>
      </w:pPr>
      <w:r>
        <w:rPr>
          <w:rFonts w:hint="eastAsia" w:eastAsia="黑体" w:cs="Times New Roman"/>
          <w:sz w:val="32"/>
          <w:szCs w:val="32"/>
          <w:lang w:eastAsia="zh-CN"/>
        </w:rPr>
        <w:t>四</w:t>
      </w:r>
      <w:r>
        <w:rPr>
          <w:rFonts w:hint="default" w:ascii="Times New Roman" w:hAnsi="Times New Roman" w:eastAsia="黑体" w:cs="Times New Roman"/>
          <w:sz w:val="32"/>
          <w:szCs w:val="32"/>
        </w:rPr>
        <w:t>、部门整体支出绩效情况</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2022年，在县委县政府的坚强领导下，县卫健系统紧紧围绕县委、政府“兴医”战略，统筹推进“四稳”工作，全县卫生健康事业取得了新的进展、新的成绩、新的突破。</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（一）工作态势平稳</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今年来，我局站位全局、服务大局，在疫情防控和“富美华容”建设中展现了新担当和新作为，各项工作“稳中有进”。</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textAlignment w:val="auto"/>
        <w:rPr>
          <w:rFonts w:hint="eastAsia" w:ascii="仿宋" w:hAnsi="仿宋" w:eastAsia="仿宋" w:cs="仿宋"/>
          <w:sz w:val="32"/>
          <w:szCs w:val="32"/>
          <w:lang w:val="en-US" w:eastAsia="zh-CN"/>
        </w:rPr>
      </w:pPr>
      <w:r>
        <w:rPr>
          <w:rFonts w:hint="eastAsia" w:ascii="楷体" w:hAnsi="楷体" w:eastAsia="楷体" w:cs="楷体"/>
          <w:b/>
          <w:bCs/>
          <w:sz w:val="32"/>
          <w:szCs w:val="32"/>
          <w:lang w:val="en-US" w:eastAsia="zh-CN"/>
        </w:rPr>
        <w:t>1.疫情处置有力。</w:t>
      </w:r>
      <w:r>
        <w:rPr>
          <w:rFonts w:hint="eastAsia" w:ascii="仿宋" w:hAnsi="仿宋" w:eastAsia="仿宋" w:cs="仿宋"/>
          <w:sz w:val="32"/>
          <w:szCs w:val="32"/>
          <w:lang w:val="en-US" w:eastAsia="zh-CN"/>
        </w:rPr>
        <w:t>下半年来，我县连续遭遇2起输入性疫情影响，全县卫生健康系统全面动员、全域应战，全力以赴维护人民群众生命安全和身体健康，交出了抗疫大考的满意答卷。8.20疫情中，我们快速统筹全县医疗力量和核酸检测资源，紧急抽调近2000名医护开展城区全员核酸检测，8月21日至24日仅3天时间，共完成3轮次、42.6万人次的采样检测任务，为最短时间（3天）解除静态管控奠定了坚实基础。9.18发生的输入性病例也仅用时35分钟就闭环管控到位，没有发生社会面风险。2起输入性疫情处置过程中，我们全员上阵，第一时间投入信息摸排、流调溯源、医疗救治、隔离管控等各条“战线”、各个“战位”，做到了精准、精确、精细防控，实现了“零死亡、零院感、零外溢”目标。特别是在五一、国庆等重要假期和二十大召开的重点时段，卫健系统全员取消休假、全员备战待命，为全县“安宁”作出了重要贡献。</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textAlignment w:val="auto"/>
        <w:rPr>
          <w:rFonts w:hint="eastAsia" w:ascii="仿宋" w:hAnsi="仿宋" w:eastAsia="仿宋" w:cs="仿宋"/>
          <w:sz w:val="32"/>
          <w:szCs w:val="32"/>
          <w:lang w:val="en-US" w:eastAsia="zh-CN"/>
        </w:rPr>
      </w:pPr>
      <w:r>
        <w:rPr>
          <w:rFonts w:hint="eastAsia" w:ascii="楷体" w:hAnsi="楷体" w:eastAsia="楷体" w:cs="楷体"/>
          <w:b/>
          <w:bCs/>
          <w:sz w:val="32"/>
          <w:szCs w:val="32"/>
          <w:lang w:val="en-US" w:eastAsia="zh-CN"/>
        </w:rPr>
        <w:t>2.能力建设有效。</w:t>
      </w:r>
      <w:r>
        <w:rPr>
          <w:rFonts w:hint="eastAsia" w:ascii="仿宋" w:hAnsi="仿宋" w:eastAsia="仿宋" w:cs="仿宋"/>
          <w:sz w:val="32"/>
          <w:szCs w:val="32"/>
          <w:lang w:val="en-US" w:eastAsia="zh-CN"/>
        </w:rPr>
        <w:t>认真贯彻执行县委县政府“兴医”战略部署，在项目建设、业务提质上真谋、真干、真抓。今年来，我局高效推动了5个已建项目如期完工（团洲、治河、鲇市、东山应急接诊点及疾控中心改扩建项目），全力推进了5个在建项目进度达标（人医二期、中医二期、二医院、新河综合大楼、精专扩建项目），精心谋划了5个重点项目落地入库（宋市、操军、万庾、塔市、终南），进一步补齐了能力建设“硬件”短板。我们还积极谋划业务增量，成立了县妇保院乳腺外科，积极扩展了县人民医院和县中医医院的体检业务，争取省、市支持到位了一批医疗设备（DR、便携式B超、生化仪、血球仪、呼吸机各一台，救护车一辆）。</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textAlignment w:val="auto"/>
        <w:rPr>
          <w:rFonts w:hint="eastAsia" w:ascii="仿宋" w:hAnsi="仿宋" w:eastAsia="仿宋" w:cs="仿宋"/>
          <w:sz w:val="32"/>
          <w:szCs w:val="32"/>
          <w:lang w:val="en-US" w:eastAsia="zh-CN"/>
        </w:rPr>
      </w:pPr>
      <w:r>
        <w:rPr>
          <w:rFonts w:hint="eastAsia" w:ascii="楷体" w:hAnsi="楷体" w:eastAsia="楷体" w:cs="楷体"/>
          <w:b/>
          <w:bCs/>
          <w:sz w:val="32"/>
          <w:szCs w:val="32"/>
          <w:lang w:val="en-US" w:eastAsia="zh-CN"/>
        </w:rPr>
        <w:t>3.惠民服务有为。</w:t>
      </w:r>
      <w:r>
        <w:rPr>
          <w:rFonts w:hint="eastAsia" w:ascii="仿宋" w:hAnsi="仿宋" w:eastAsia="仿宋" w:cs="仿宋"/>
          <w:sz w:val="32"/>
          <w:szCs w:val="32"/>
          <w:lang w:val="en-US" w:eastAsia="zh-CN"/>
        </w:rPr>
        <w:t>坚持任务导向和惠民导向，在做好孕产妇免费产前筛查、新生儿先天性心脏病免费筛查、适龄妇女“两癌”免费检查3项省级重点民生实事项目基础上，多方争取项目支持，相继启动了新生儿出生缺陷（耳聋基因）免费筛查、卫生院数字化门诊建设、公立医院互联互通3项市级民生实事项目，前三个季度，3项省级民生实事项目进度均已超过90%， 3项市级民生实事项目持续发力，也均可按期完成指标任务，真正达到了政府得民心、医院得发展、群众得实惠的目的。今年开始，我局还联合县财政全面实行基本公共卫生服务项目绩点制考核模式，按照“钱随事走”的原则，综合运用绩点评分、任务管理手段，充分调动基层的积极性和主动性，截止目前，14大类基本公共卫生服务项目已全部提前完成省市下达的任务，其中超额完成的有9项，进度和质量均已处于全市前列，实现了社会效益经济效益双效合一。</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总的来说，在经济下行和疫情不断的困难局面下，卫生健康各项工作稳中有进、态势良好。</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（二）发展来势看好</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2022年我县卫生健康大部分工作都排在全市前列，指标数据有进步、考核排名有进位，整体工作再上新台阶，发展来势越来越好。</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textAlignment w:val="auto"/>
        <w:rPr>
          <w:rFonts w:hint="eastAsia" w:ascii="仿宋" w:hAnsi="仿宋" w:eastAsia="仿宋" w:cs="仿宋"/>
          <w:sz w:val="32"/>
          <w:szCs w:val="32"/>
          <w:lang w:val="en-US" w:eastAsia="zh-CN"/>
        </w:rPr>
      </w:pPr>
      <w:r>
        <w:rPr>
          <w:rFonts w:hint="eastAsia" w:ascii="楷体" w:hAnsi="楷体" w:eastAsia="楷体" w:cs="楷体"/>
          <w:b/>
          <w:bCs/>
          <w:sz w:val="32"/>
          <w:szCs w:val="32"/>
          <w:lang w:val="en-US" w:eastAsia="zh-CN"/>
        </w:rPr>
        <w:t>1.兴医强卫高位推进。</w:t>
      </w:r>
      <w:r>
        <w:rPr>
          <w:rFonts w:hint="eastAsia" w:ascii="仿宋" w:hAnsi="仿宋" w:eastAsia="仿宋" w:cs="仿宋"/>
          <w:sz w:val="32"/>
          <w:szCs w:val="32"/>
          <w:lang w:val="en-US" w:eastAsia="zh-CN"/>
        </w:rPr>
        <w:t>县委、县政府高度重视卫生健康工作，将“兴医强卫”纳入“富美华容”战略部署，高位统筹推进。今年5月，陶书记专题调度了卫生健康工作，周县长时刻关注疫情防控和公共卫生服务工作，特别是涂县长长期坐镇指导，多次深入医疗一线调研走访，解决了不少难点、堵点问题，为“兴医强卫”事业“站台”鼓劲。在县委、政府领导的重视和支持下，我县在医疗卫生事业上的投入明显加大，兴医强卫战略明显进入了“快车道”。</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textAlignment w:val="auto"/>
        <w:rPr>
          <w:rFonts w:hint="eastAsia" w:ascii="仿宋" w:hAnsi="仿宋" w:eastAsia="仿宋" w:cs="仿宋"/>
          <w:sz w:val="32"/>
          <w:szCs w:val="32"/>
          <w:lang w:val="en-US" w:eastAsia="zh-CN"/>
        </w:rPr>
      </w:pPr>
      <w:r>
        <w:rPr>
          <w:rFonts w:hint="eastAsia" w:ascii="楷体" w:hAnsi="楷体" w:eastAsia="楷体" w:cs="楷体"/>
          <w:b/>
          <w:bCs/>
          <w:sz w:val="32"/>
          <w:szCs w:val="32"/>
          <w:lang w:val="en-US" w:eastAsia="zh-CN"/>
        </w:rPr>
        <w:t>2.业务发展强势带动。</w:t>
      </w:r>
      <w:r>
        <w:rPr>
          <w:rFonts w:hint="eastAsia" w:ascii="仿宋" w:hAnsi="仿宋" w:eastAsia="仿宋" w:cs="仿宋"/>
          <w:b/>
          <w:bCs/>
          <w:sz w:val="32"/>
          <w:szCs w:val="32"/>
          <w:lang w:val="en-US" w:eastAsia="zh-CN"/>
        </w:rPr>
        <w:t>一是医疗品牌初显成效。</w:t>
      </w:r>
      <w:r>
        <w:rPr>
          <w:rFonts w:hint="eastAsia" w:ascii="仿宋" w:hAnsi="仿宋" w:eastAsia="仿宋" w:cs="仿宋"/>
          <w:sz w:val="32"/>
          <w:szCs w:val="32"/>
          <w:lang w:val="en-US" w:eastAsia="zh-CN"/>
        </w:rPr>
        <w:t>今年来，县人民医院、中医医院、妇幼保健院三家县级医院共引进新技术10余项、开展新业务30余种，签约的省、市知名专家教授已在周边县区打响了“名号”，造成了“声势”，无论是技术“硬实力”，还是服务“软实力”，均得到持续提升，能力升级的内生动力不断增强。</w:t>
      </w:r>
      <w:r>
        <w:rPr>
          <w:rFonts w:hint="eastAsia" w:ascii="仿宋" w:hAnsi="仿宋" w:eastAsia="仿宋" w:cs="仿宋"/>
          <w:b/>
          <w:bCs/>
          <w:sz w:val="32"/>
          <w:szCs w:val="32"/>
          <w:lang w:val="en-US" w:eastAsia="zh-CN"/>
        </w:rPr>
        <w:t>二是学科建设思路清晰。</w:t>
      </w:r>
      <w:r>
        <w:rPr>
          <w:rFonts w:hint="eastAsia" w:ascii="仿宋" w:hAnsi="仿宋" w:eastAsia="仿宋" w:cs="仿宋"/>
          <w:sz w:val="32"/>
          <w:szCs w:val="32"/>
          <w:lang w:val="en-US" w:eastAsia="zh-CN"/>
        </w:rPr>
        <w:t>按照“院有重点、科有特色、人有专长”的方针，从实际情况出发建强学科。县人民医院已创成县内唯一一家三级综合医院，已建成危重孕产妇救治中心、卒中中心、危重新生儿救治中心、胸痛中心等四大中心，已申报省级重点专科1个、市级重点专科1个，5个专科已被省卫健委纳入县级重点专科建设，“治大病、治难病”能力进一步提升；县中医医院围绕中医姓“中”这一根本问题，进一步做大做强中医类科室，已建成“全国基层名老中医传承工作室”1个、“全省基层名中医工作室”1个，中医药服务能力不断强化；县妇幼保健院围绕妇女和儿童群体，精准、优质开展健康保健，特色服务项目不断扩展。</w:t>
      </w:r>
      <w:r>
        <w:rPr>
          <w:rFonts w:hint="eastAsia" w:ascii="仿宋" w:hAnsi="仿宋" w:eastAsia="仿宋" w:cs="仿宋"/>
          <w:b/>
          <w:bCs/>
          <w:sz w:val="32"/>
          <w:szCs w:val="32"/>
          <w:lang w:val="en-US" w:eastAsia="zh-CN"/>
        </w:rPr>
        <w:t>三是服务质量持续改善。</w:t>
      </w:r>
      <w:r>
        <w:rPr>
          <w:rFonts w:hint="eastAsia" w:ascii="仿宋" w:hAnsi="仿宋" w:eastAsia="仿宋" w:cs="仿宋"/>
          <w:sz w:val="32"/>
          <w:szCs w:val="32"/>
          <w:lang w:val="en-US" w:eastAsia="zh-CN"/>
        </w:rPr>
        <w:t>大力开展了优质护理服务等医疗服务改善行动，推广普及“移动护士站”“智能叫号系统”等信息化便民举措，群众看病、就医体验不断改善。进一步规范了医疗行为，医疗质量安全18项核心制度得到更好落实，临床用药、诊断检测管控有效，今年来，相关纠纷、投诉明显减少，无一起医闹事件发生。</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textAlignment w:val="auto"/>
        <w:rPr>
          <w:rFonts w:hint="eastAsia" w:ascii="仿宋" w:hAnsi="仿宋" w:eastAsia="仿宋" w:cs="仿宋"/>
          <w:sz w:val="32"/>
          <w:szCs w:val="32"/>
          <w:lang w:val="en-US" w:eastAsia="zh-CN"/>
        </w:rPr>
      </w:pPr>
      <w:r>
        <w:rPr>
          <w:rFonts w:hint="eastAsia" w:ascii="楷体" w:hAnsi="楷体" w:eastAsia="楷体" w:cs="楷体"/>
          <w:b/>
          <w:bCs/>
          <w:sz w:val="32"/>
          <w:szCs w:val="32"/>
          <w:lang w:val="en-US" w:eastAsia="zh-CN"/>
        </w:rPr>
        <w:t>3.深化医改举措有效。</w:t>
      </w:r>
      <w:r>
        <w:rPr>
          <w:rFonts w:hint="eastAsia" w:ascii="仿宋" w:hAnsi="仿宋" w:eastAsia="仿宋" w:cs="仿宋"/>
          <w:sz w:val="32"/>
          <w:szCs w:val="32"/>
          <w:lang w:val="en-US" w:eastAsia="zh-CN"/>
        </w:rPr>
        <w:t>转换改革发展思维，通过智慧医疗建设，实现县域医疗资源的纵向流动，用信息化手段解决基层治不好、群众不愿治的“窘境”，逐步实现“人员双向流动、病人双向转诊、服务上下联通”的医改目标。截止目前，全县已建成视频、影像、心电三大远程诊断平台，县级医院与省市大型医院已累计开展视频诊断300余例、视频教学2400余人次，有效解决了手术、病例切片、疑难诊断等方面的难题。县级医院已累计为基层卫生院提供远程影像会诊1.1万次、远程心电会诊1.3万次，即解决了基层诊疗实际问题，又带动了基层医务骨干实操培训，实现了“双收益”。</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（三）事业起势强劲</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textAlignment w:val="auto"/>
        <w:rPr>
          <w:rFonts w:hint="eastAsia" w:ascii="仿宋" w:hAnsi="仿宋" w:eastAsia="仿宋" w:cs="仿宋"/>
          <w:sz w:val="32"/>
          <w:szCs w:val="32"/>
          <w:lang w:val="en-US" w:eastAsia="zh-CN"/>
        </w:rPr>
      </w:pPr>
      <w:r>
        <w:rPr>
          <w:rFonts w:hint="eastAsia" w:ascii="楷体" w:hAnsi="楷体" w:eastAsia="楷体" w:cs="楷体"/>
          <w:b/>
          <w:bCs/>
          <w:sz w:val="32"/>
          <w:szCs w:val="32"/>
          <w:lang w:val="en-US" w:eastAsia="zh-CN"/>
        </w:rPr>
        <w:t>1.发展基础好。</w:t>
      </w:r>
      <w:r>
        <w:rPr>
          <w:rFonts w:hint="eastAsia" w:ascii="仿宋" w:hAnsi="仿宋" w:eastAsia="仿宋" w:cs="仿宋"/>
          <w:b/>
          <w:bCs/>
          <w:sz w:val="32"/>
          <w:szCs w:val="32"/>
          <w:lang w:val="en-US" w:eastAsia="zh-CN"/>
        </w:rPr>
        <w:t>一是设备更好。</w:t>
      </w:r>
      <w:r>
        <w:rPr>
          <w:rFonts w:hint="eastAsia" w:ascii="仿宋" w:hAnsi="仿宋" w:eastAsia="仿宋" w:cs="仿宋"/>
          <w:sz w:val="32"/>
          <w:szCs w:val="32"/>
          <w:lang w:val="en-US" w:eastAsia="zh-CN"/>
        </w:rPr>
        <w:t>今年来，卫健系统自筹资金1000余万元，添置各类急需医疗设备70余台、件，乡镇卫生院一级已基本配齐DR、彩超和全自动生化分析仪“三大件”，县人民医院和县中医医院更新、添置了核磁共振成像仪、64排CT、四维彩超、数字肠胃机、高压氧仓等现代化高端医疗设备，医疗发展“硬件”进一步夯实。</w:t>
      </w:r>
      <w:r>
        <w:rPr>
          <w:rFonts w:hint="eastAsia" w:ascii="仿宋" w:hAnsi="仿宋" w:eastAsia="仿宋" w:cs="仿宋"/>
          <w:b/>
          <w:bCs/>
          <w:sz w:val="32"/>
          <w:szCs w:val="32"/>
          <w:lang w:val="en-US" w:eastAsia="zh-CN"/>
        </w:rPr>
        <w:t>二是队伍更专。</w:t>
      </w:r>
      <w:r>
        <w:rPr>
          <w:rFonts w:hint="eastAsia" w:ascii="仿宋" w:hAnsi="仿宋" w:eastAsia="仿宋" w:cs="仿宋"/>
          <w:sz w:val="32"/>
          <w:szCs w:val="32"/>
          <w:lang w:val="en-US" w:eastAsia="zh-CN"/>
        </w:rPr>
        <w:t>大力实施人才提质工程，通过“靶向引进”，今年已成功签约医学专业人才3名；通过公开招考，补充医疗一线医护52人；完成全科医生转岗培训24人、助理全科医师规范化培训20人，今年毕业的60名委培生（2019届）也已全部安排到了基层一线，年底还计划通过考核方式在乡镇卫生院内部招录20余名专技人员。特别是在今年的疫情防控工作中，我们在防疫一线、“实战”环境开展岗位练兵，完成各类培训、实操30余次，有77名医、护、技骨干人员分赴上海、贵州、海南、娄底、邵阳等地支援抗疫，进一步锤炼了医疗队伍的专业技能，确保随时拉得出、用得上、打胜仗。</w:t>
      </w:r>
      <w:r>
        <w:rPr>
          <w:rFonts w:hint="eastAsia" w:ascii="仿宋" w:hAnsi="仿宋" w:eastAsia="仿宋" w:cs="仿宋"/>
          <w:b/>
          <w:bCs/>
          <w:sz w:val="32"/>
          <w:szCs w:val="32"/>
          <w:lang w:val="en-US" w:eastAsia="zh-CN"/>
        </w:rPr>
        <w:t>三是机制更优。</w:t>
      </w:r>
      <w:r>
        <w:rPr>
          <w:rFonts w:hint="eastAsia" w:ascii="仿宋" w:hAnsi="仿宋" w:eastAsia="仿宋" w:cs="仿宋"/>
          <w:sz w:val="32"/>
          <w:szCs w:val="32"/>
          <w:lang w:val="en-US" w:eastAsia="zh-CN"/>
        </w:rPr>
        <w:t>进一步用好了激励机制，按照干部年轻化、队伍专业化的思路，选拔任用了一批肯干事、有朝气、职称高的干部，今年，局机关提拔股级干部任职8人、乡镇卫生院提拔主职干部2人、副职5人，在系统内部形成了“能者上、庸者下、劣者汰”的干事创业新机制。</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textAlignment w:val="auto"/>
        <w:rPr>
          <w:rFonts w:hint="eastAsia" w:ascii="仿宋" w:hAnsi="仿宋" w:eastAsia="仿宋" w:cs="仿宋"/>
          <w:sz w:val="32"/>
          <w:szCs w:val="32"/>
          <w:lang w:val="en-US" w:eastAsia="zh-CN"/>
        </w:rPr>
      </w:pPr>
      <w:r>
        <w:rPr>
          <w:rFonts w:hint="eastAsia" w:ascii="楷体" w:hAnsi="楷体" w:eastAsia="楷体" w:cs="楷体"/>
          <w:b/>
          <w:bCs/>
          <w:sz w:val="32"/>
          <w:szCs w:val="32"/>
          <w:lang w:val="en-US" w:eastAsia="zh-CN"/>
        </w:rPr>
        <w:t>2.纪律作风硬。</w:t>
      </w:r>
      <w:r>
        <w:rPr>
          <w:rFonts w:hint="eastAsia" w:ascii="仿宋" w:hAnsi="仿宋" w:eastAsia="仿宋" w:cs="仿宋"/>
          <w:sz w:val="32"/>
          <w:szCs w:val="32"/>
          <w:lang w:val="en-US" w:eastAsia="zh-CN"/>
        </w:rPr>
        <w:t>我们今年强力整训作风，率先在全县推行“清廉监督员”制度，聘请12名清廉监督员开展主动监督，“重拳”出击正风肃纪。对于群众反映强烈的问题和违纪违规行为，我们零容忍、零包容，已经严肃处理了4人（2名卫生院长免职），营造了“廉政、反腐”环境；针对工作过程中执行不强、效率不高的问题，我们“拉单挂账”、逐一整改，形成了“各级听指挥、上下一盘棋”的氛围。在两次疫情处置过程中，全县各级医疗单位不讲价钱、不怕困难、不打折扣，广大干部职工招之即来、来之能战、战之必胜，充分彰显了全县卫生健康系统顾大局、能战斗的过硬作风。</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textAlignment w:val="auto"/>
        <w:rPr>
          <w:rFonts w:hint="eastAsia" w:ascii="仿宋" w:hAnsi="仿宋" w:eastAsia="仿宋" w:cs="仿宋"/>
          <w:sz w:val="32"/>
          <w:szCs w:val="32"/>
          <w:lang w:val="en-US" w:eastAsia="zh-CN"/>
        </w:rPr>
      </w:pPr>
      <w:r>
        <w:rPr>
          <w:rFonts w:hint="eastAsia" w:ascii="楷体" w:hAnsi="楷体" w:eastAsia="楷体" w:cs="楷体"/>
          <w:b/>
          <w:bCs/>
          <w:sz w:val="32"/>
          <w:szCs w:val="32"/>
          <w:lang w:val="en-US" w:eastAsia="zh-CN"/>
        </w:rPr>
        <w:t>3.组织保障强。</w:t>
      </w:r>
      <w:r>
        <w:rPr>
          <w:rFonts w:hint="eastAsia" w:ascii="仿宋" w:hAnsi="仿宋" w:eastAsia="仿宋" w:cs="仿宋"/>
          <w:sz w:val="32"/>
          <w:szCs w:val="32"/>
          <w:lang w:val="en-US" w:eastAsia="zh-CN"/>
        </w:rPr>
        <w:t>今年来，我局大力推行模块式运作、标准化管理，利用局党委会、局务会和工作例会“三个会”将全年工作串联起来，做到了以点带面、统筹联动、同步推进。今年7月份，我们针对机关股室、县直单位和乡镇卫生院分别召开了一次半年度工作调度会，根据年初制定的目标，开展了年中问效，各项工作对标对表、对账销号，取得了预期效果。总的来说，上半年工作按照局负责人包片领导、股室长具体负责、下属单位承办落实的“三级”负责制推进，保持了规范有序的工作节奏，形成了责任能传导、压力能传递、工作能落实的责任链，为下一步的工作开展奠定了组织保障。</w:t>
      </w:r>
    </w:p>
    <w:p>
      <w:pPr>
        <w:pStyle w:val="17"/>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both"/>
        <w:textAlignment w:val="auto"/>
        <w:rPr>
          <w:rFonts w:hint="default" w:ascii="Times New Roman" w:hAnsi="Times New Roman" w:eastAsia="黑体" w:cs="Times New Roman"/>
          <w:sz w:val="32"/>
          <w:szCs w:val="32"/>
        </w:rPr>
      </w:pPr>
      <w:r>
        <w:rPr>
          <w:rFonts w:hint="eastAsia" w:ascii="Times New Roman" w:hAnsi="Times New Roman" w:eastAsia="黑体" w:cs="Times New Roman"/>
          <w:sz w:val="32"/>
          <w:szCs w:val="32"/>
          <w:lang w:eastAsia="zh-CN"/>
        </w:rPr>
        <w:t>五</w:t>
      </w:r>
      <w:r>
        <w:rPr>
          <w:rFonts w:hint="default" w:ascii="Times New Roman" w:hAnsi="Times New Roman" w:eastAsia="黑体" w:cs="Times New Roman"/>
          <w:sz w:val="32"/>
          <w:szCs w:val="32"/>
        </w:rPr>
        <w:t>、存在的问题及原因分析</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both"/>
        <w:textAlignment w:val="auto"/>
        <w:rPr>
          <w:rFonts w:hint="eastAsia" w:ascii="仿宋" w:hAnsi="仿宋" w:eastAsia="仿宋" w:cs="仿宋"/>
          <w:bCs/>
          <w:sz w:val="32"/>
          <w:szCs w:val="32"/>
        </w:rPr>
      </w:pPr>
      <w:r>
        <w:rPr>
          <w:rFonts w:hint="eastAsia" w:ascii="仿宋" w:hAnsi="仿宋" w:eastAsia="仿宋" w:cs="仿宋"/>
          <w:bCs/>
          <w:sz w:val="32"/>
          <w:szCs w:val="32"/>
          <w:lang w:val="en-US" w:eastAsia="zh-CN"/>
        </w:rPr>
        <w:t>1、</w:t>
      </w:r>
      <w:r>
        <w:rPr>
          <w:rFonts w:hint="eastAsia" w:ascii="仿宋" w:hAnsi="仿宋" w:eastAsia="仿宋" w:cs="仿宋"/>
          <w:bCs/>
          <w:sz w:val="32"/>
          <w:szCs w:val="32"/>
        </w:rPr>
        <w:t>预算编制有待更严格执行。</w:t>
      </w:r>
      <w:r>
        <w:rPr>
          <w:rFonts w:hint="eastAsia" w:ascii="仿宋" w:hAnsi="仿宋" w:eastAsia="仿宋" w:cs="仿宋"/>
          <w:sz w:val="32"/>
          <w:szCs w:val="32"/>
          <w:lang w:val="en-US" w:eastAsia="zh-CN"/>
        </w:rPr>
        <w:t>2022年收支业务均严格遵照预算执行，对50万以上的项目都进行了绩效评价，由于绩效管理工作刚刚起步，</w:t>
      </w:r>
      <w:r>
        <w:rPr>
          <w:rFonts w:hint="eastAsia" w:ascii="仿宋" w:hAnsi="仿宋" w:eastAsia="仿宋" w:cs="仿宋"/>
          <w:bCs/>
          <w:sz w:val="32"/>
          <w:szCs w:val="32"/>
        </w:rPr>
        <w:t>预算编制与实际支出项目有的存在差异。</w:t>
      </w:r>
      <w:r>
        <w:rPr>
          <w:rFonts w:hint="eastAsia" w:ascii="仿宋" w:hAnsi="仿宋" w:eastAsia="仿宋" w:cs="仿宋"/>
          <w:sz w:val="32"/>
          <w:szCs w:val="32"/>
          <w:lang w:val="en-US" w:eastAsia="zh-CN"/>
        </w:rPr>
        <w:t>有些工作未能找到适当的量化方式，对绩效管理量化评价方面略显不足。通过县财政局组织的预算绩效管理培训，逐步找到适合的方法对本单位的工作进行合理的分类量化，以便适应将来的预算绩效管理工作。</w:t>
      </w:r>
    </w:p>
    <w:p>
      <w:pPr>
        <w:keepNext w:val="0"/>
        <w:keepLines w:val="0"/>
        <w:pageBreakBefore w:val="0"/>
        <w:widowControl w:val="0"/>
        <w:tabs>
          <w:tab w:val="center" w:pos="4153"/>
        </w:tabs>
        <w:kinsoku/>
        <w:wordWrap/>
        <w:overflowPunct/>
        <w:topLinePunct w:val="0"/>
        <w:autoSpaceDE/>
        <w:autoSpaceDN/>
        <w:bidi w:val="0"/>
        <w:adjustRightInd w:val="0"/>
        <w:snapToGrid w:val="0"/>
        <w:spacing w:line="600" w:lineRule="atLeas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lang w:val="en-US" w:eastAsia="zh-CN"/>
        </w:rPr>
        <w:t>2、</w:t>
      </w:r>
      <w:r>
        <w:rPr>
          <w:rFonts w:hint="eastAsia" w:ascii="仿宋" w:hAnsi="仿宋" w:eastAsia="仿宋" w:cs="仿宋"/>
          <w:sz w:val="32"/>
          <w:szCs w:val="32"/>
          <w:lang w:eastAsia="zh-CN"/>
        </w:rPr>
        <w:t>加强对</w:t>
      </w:r>
      <w:r>
        <w:rPr>
          <w:rFonts w:hint="eastAsia" w:ascii="仿宋" w:hAnsi="仿宋" w:eastAsia="仿宋" w:cs="仿宋"/>
          <w:sz w:val="32"/>
          <w:szCs w:val="32"/>
        </w:rPr>
        <w:t>乡镇卫生院基础设施</w:t>
      </w:r>
      <w:r>
        <w:rPr>
          <w:rFonts w:hint="eastAsia" w:ascii="仿宋" w:hAnsi="仿宋" w:eastAsia="仿宋" w:cs="仿宋"/>
          <w:sz w:val="32"/>
          <w:szCs w:val="32"/>
          <w:lang w:eastAsia="zh-CN"/>
        </w:rPr>
        <w:t>及</w:t>
      </w:r>
      <w:r>
        <w:rPr>
          <w:rFonts w:hint="eastAsia" w:ascii="仿宋" w:hAnsi="仿宋" w:eastAsia="仿宋" w:cs="仿宋"/>
          <w:sz w:val="32"/>
          <w:szCs w:val="32"/>
        </w:rPr>
        <w:t>能力建设</w:t>
      </w:r>
      <w:r>
        <w:rPr>
          <w:rFonts w:hint="eastAsia" w:ascii="仿宋" w:hAnsi="仿宋" w:eastAsia="仿宋" w:cs="仿宋"/>
          <w:sz w:val="32"/>
          <w:szCs w:val="32"/>
          <w:lang w:eastAsia="zh-CN"/>
        </w:rPr>
        <w:t>，</w:t>
      </w:r>
      <w:r>
        <w:rPr>
          <w:rFonts w:hint="eastAsia" w:ascii="仿宋" w:hAnsi="仿宋" w:eastAsia="仿宋" w:cs="仿宋"/>
          <w:sz w:val="32"/>
          <w:szCs w:val="32"/>
        </w:rPr>
        <w:t>抓好医疗质量安全、医疗纠纷第三方调解机制、医疗机构布局、医疗废物集中处置等工作</w:t>
      </w:r>
      <w:r>
        <w:rPr>
          <w:rFonts w:hint="eastAsia" w:ascii="仿宋" w:hAnsi="仿宋" w:eastAsia="仿宋" w:cs="仿宋"/>
          <w:bCs/>
          <w:sz w:val="32"/>
          <w:szCs w:val="32"/>
        </w:rPr>
        <w:t>。</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Autospacing="0" w:line="600" w:lineRule="atLeast"/>
        <w:ind w:firstLine="640" w:firstLineChars="200"/>
        <w:textAlignment w:val="auto"/>
        <w:rPr>
          <w:rFonts w:hint="default" w:ascii="Times New Roman" w:hAnsi="Times New Roman" w:eastAsia="黑体" w:cs="Times New Roman"/>
          <w:sz w:val="32"/>
          <w:szCs w:val="32"/>
        </w:rPr>
      </w:pPr>
      <w:r>
        <w:rPr>
          <w:rFonts w:hint="eastAsia" w:eastAsia="黑体" w:cs="Times New Roman"/>
          <w:sz w:val="32"/>
          <w:szCs w:val="32"/>
          <w:lang w:eastAsia="zh-CN"/>
        </w:rPr>
        <w:t>六</w:t>
      </w:r>
      <w:r>
        <w:rPr>
          <w:rFonts w:hint="default" w:ascii="Times New Roman" w:hAnsi="Times New Roman" w:eastAsia="黑体" w:cs="Times New Roman"/>
          <w:sz w:val="32"/>
          <w:szCs w:val="32"/>
        </w:rPr>
        <w:t>、下一步改进措施</w:t>
      </w:r>
    </w:p>
    <w:p>
      <w:pPr>
        <w:pStyle w:val="8"/>
        <w:keepNext w:val="0"/>
        <w:keepLines w:val="0"/>
        <w:pageBreakBefore w:val="0"/>
        <w:widowControl w:val="0"/>
        <w:kinsoku/>
        <w:wordWrap/>
        <w:overflowPunct/>
        <w:topLinePunct w:val="0"/>
        <w:autoSpaceDE/>
        <w:autoSpaceDN/>
        <w:bidi w:val="0"/>
        <w:adjustRightInd w:val="0"/>
        <w:snapToGrid w:val="0"/>
        <w:spacing w:before="0" w:beforeAutospacing="0" w:afterAutospacing="0" w:line="600" w:lineRule="atLeast"/>
        <w:ind w:firstLine="643" w:firstLineChars="200"/>
        <w:textAlignment w:val="auto"/>
        <w:rPr>
          <w:rFonts w:hint="eastAsia" w:ascii="仿宋" w:hAnsi="仿宋" w:eastAsia="仿宋" w:cs="仿宋"/>
          <w:color w:val="auto"/>
          <w:kern w:val="2"/>
          <w:sz w:val="32"/>
          <w:szCs w:val="32"/>
          <w:lang w:val="en-US" w:eastAsia="zh-CN" w:bidi="ar-SA"/>
        </w:rPr>
      </w:pPr>
      <w:r>
        <w:rPr>
          <w:rFonts w:hint="eastAsia" w:ascii="仿宋" w:hAnsi="仿宋" w:eastAsia="仿宋" w:cs="仿宋"/>
          <w:b/>
          <w:bCs/>
          <w:color w:val="auto"/>
          <w:kern w:val="2"/>
          <w:sz w:val="32"/>
          <w:szCs w:val="32"/>
          <w:lang w:val="en-US" w:eastAsia="zh-CN" w:bidi="ar-SA"/>
        </w:rPr>
        <w:t>1.强化宣传</w:t>
      </w:r>
      <w:r>
        <w:rPr>
          <w:rFonts w:hint="eastAsia" w:ascii="仿宋" w:hAnsi="仿宋" w:eastAsia="仿宋" w:cs="仿宋"/>
          <w:color w:val="auto"/>
          <w:kern w:val="2"/>
          <w:sz w:val="32"/>
          <w:szCs w:val="32"/>
          <w:lang w:val="en-US" w:eastAsia="zh-CN" w:bidi="ar-SA"/>
        </w:rPr>
        <w:t>。进一步加大宣传力度，让广大城乡居民更全面了解项目的益处，提高群众知晓率，鼓励群众积极参与，自愿配合医疗卫生服务工作的开展。</w:t>
      </w:r>
    </w:p>
    <w:p>
      <w:pPr>
        <w:keepNext w:val="0"/>
        <w:keepLines w:val="0"/>
        <w:pageBreakBefore w:val="0"/>
        <w:widowControl w:val="0"/>
        <w:tabs>
          <w:tab w:val="center" w:pos="4153"/>
        </w:tabs>
        <w:kinsoku/>
        <w:wordWrap/>
        <w:overflowPunct/>
        <w:topLinePunct w:val="0"/>
        <w:autoSpaceDE/>
        <w:autoSpaceDN/>
        <w:bidi w:val="0"/>
        <w:adjustRightInd w:val="0"/>
        <w:snapToGrid w:val="0"/>
        <w:spacing w:line="600" w:lineRule="atLeast"/>
        <w:ind w:firstLine="630"/>
        <w:jc w:val="left"/>
        <w:textAlignment w:val="auto"/>
        <w:rPr>
          <w:rFonts w:hint="eastAsia" w:ascii="仿宋" w:hAnsi="仿宋" w:eastAsia="仿宋" w:cs="仿宋"/>
          <w:b/>
          <w:sz w:val="32"/>
          <w:szCs w:val="32"/>
        </w:rPr>
      </w:pPr>
      <w:r>
        <w:rPr>
          <w:rFonts w:hint="eastAsia" w:ascii="仿宋" w:hAnsi="仿宋" w:eastAsia="仿宋" w:cs="仿宋"/>
          <w:b/>
          <w:bCs w:val="0"/>
          <w:sz w:val="32"/>
          <w:szCs w:val="32"/>
          <w:lang w:val="en-US" w:eastAsia="zh-CN"/>
        </w:rPr>
        <w:t>2.严格审核。</w:t>
      </w:r>
      <w:r>
        <w:rPr>
          <w:rFonts w:hint="eastAsia" w:ascii="仿宋" w:hAnsi="仿宋" w:eastAsia="仿宋" w:cs="仿宋"/>
          <w:color w:val="auto"/>
          <w:kern w:val="2"/>
          <w:sz w:val="32"/>
          <w:szCs w:val="32"/>
          <w:lang w:val="en-US" w:eastAsia="zh-CN" w:bidi="ar-SA"/>
        </w:rPr>
        <w:t>按照预算规定的项目和用途严格财务审核，经费支出严格按预算规定项目的财务支出内容进行财务核算，在预算金额内严格控制费用的支出。</w:t>
      </w:r>
    </w:p>
    <w:p>
      <w:pPr>
        <w:keepNext w:val="0"/>
        <w:keepLines w:val="0"/>
        <w:pageBreakBefore w:val="0"/>
        <w:widowControl w:val="0"/>
        <w:tabs>
          <w:tab w:val="center" w:pos="4153"/>
        </w:tabs>
        <w:kinsoku/>
        <w:wordWrap/>
        <w:overflowPunct/>
        <w:topLinePunct w:val="0"/>
        <w:autoSpaceDE/>
        <w:autoSpaceDN/>
        <w:bidi w:val="0"/>
        <w:adjustRightInd w:val="0"/>
        <w:snapToGrid w:val="0"/>
        <w:spacing w:line="600" w:lineRule="atLeast"/>
        <w:ind w:firstLine="645"/>
        <w:jc w:val="left"/>
        <w:textAlignment w:val="auto"/>
        <w:rPr>
          <w:rFonts w:hint="eastAsia" w:ascii="仿宋" w:hAnsi="仿宋" w:eastAsia="仿宋" w:cs="仿宋"/>
          <w:sz w:val="32"/>
          <w:szCs w:val="32"/>
          <w:shd w:val="clear" w:color="auto" w:fill="FFFFFF"/>
        </w:rPr>
      </w:pPr>
      <w:r>
        <w:rPr>
          <w:rFonts w:hint="eastAsia" w:ascii="仿宋" w:hAnsi="仿宋" w:eastAsia="仿宋" w:cs="仿宋"/>
          <w:b/>
          <w:bCs w:val="0"/>
          <w:sz w:val="32"/>
          <w:szCs w:val="32"/>
          <w:lang w:val="en-US" w:eastAsia="zh-CN"/>
        </w:rPr>
        <w:t>3.分析常态化。</w:t>
      </w:r>
      <w:r>
        <w:rPr>
          <w:rFonts w:hint="eastAsia" w:ascii="仿宋" w:hAnsi="仿宋" w:eastAsia="仿宋" w:cs="仿宋"/>
          <w:sz w:val="32"/>
          <w:szCs w:val="32"/>
          <w:shd w:val="clear" w:color="auto" w:fill="FFFFFF"/>
          <w:lang w:eastAsia="zh-CN"/>
        </w:rPr>
        <w:t>将</w:t>
      </w:r>
      <w:r>
        <w:rPr>
          <w:rFonts w:hint="eastAsia" w:ascii="仿宋" w:hAnsi="仿宋" w:eastAsia="仿宋" w:cs="仿宋"/>
          <w:sz w:val="32"/>
          <w:szCs w:val="32"/>
          <w:shd w:val="clear" w:color="auto" w:fill="FFFFFF"/>
        </w:rPr>
        <w:t>预算财务分析常态化，定期做好预算支出财务分析，做好部门整体支出预算评价工作。</w:t>
      </w:r>
    </w:p>
    <w:p>
      <w:pPr>
        <w:keepNext w:val="0"/>
        <w:keepLines w:val="0"/>
        <w:pageBreakBefore w:val="0"/>
        <w:widowControl w:val="0"/>
        <w:tabs>
          <w:tab w:val="center" w:pos="4153"/>
        </w:tabs>
        <w:kinsoku/>
        <w:wordWrap/>
        <w:overflowPunct/>
        <w:topLinePunct w:val="0"/>
        <w:autoSpaceDE/>
        <w:autoSpaceDN/>
        <w:bidi w:val="0"/>
        <w:adjustRightInd w:val="0"/>
        <w:snapToGrid w:val="0"/>
        <w:spacing w:line="600" w:lineRule="atLeast"/>
        <w:ind w:firstLine="645"/>
        <w:jc w:val="left"/>
        <w:textAlignment w:val="auto"/>
        <w:rPr>
          <w:rFonts w:hint="eastAsia" w:ascii="仿宋" w:hAnsi="仿宋" w:eastAsia="仿宋" w:cs="仿宋"/>
          <w:bCs/>
          <w:sz w:val="32"/>
          <w:szCs w:val="32"/>
        </w:rPr>
      </w:pPr>
      <w:r>
        <w:rPr>
          <w:rFonts w:hint="eastAsia" w:ascii="仿宋" w:hAnsi="仿宋" w:eastAsia="仿宋" w:cs="仿宋"/>
          <w:b/>
          <w:bCs w:val="0"/>
          <w:sz w:val="32"/>
          <w:szCs w:val="32"/>
          <w:lang w:val="en-US" w:eastAsia="zh-CN"/>
        </w:rPr>
        <w:t>4.强化信息公开。</w:t>
      </w:r>
      <w:r>
        <w:rPr>
          <w:rFonts w:hint="eastAsia" w:ascii="仿宋" w:hAnsi="仿宋" w:eastAsia="仿宋" w:cs="仿宋"/>
          <w:color w:val="auto"/>
          <w:kern w:val="2"/>
          <w:sz w:val="32"/>
          <w:szCs w:val="32"/>
          <w:lang w:val="en-US" w:eastAsia="zh-CN" w:bidi="ar-SA"/>
        </w:rPr>
        <w:t>积极宣传和引导居民群众对医疗卫生服务的认知度和信任度，激发公众的参与度，从而积极献计献策、监督政府职能部门的各项工作。</w:t>
      </w:r>
      <w:r>
        <w:rPr>
          <w:rFonts w:hint="eastAsia" w:ascii="仿宋" w:hAnsi="仿宋" w:eastAsia="仿宋" w:cs="仿宋"/>
          <w:bCs/>
          <w:spacing w:val="-6"/>
          <w:sz w:val="32"/>
          <w:szCs w:val="32"/>
        </w:rPr>
        <w:t xml:space="preserve"> </w:t>
      </w:r>
    </w:p>
    <w:p>
      <w:pPr>
        <w:keepNext w:val="0"/>
        <w:keepLines w:val="0"/>
        <w:pageBreakBefore w:val="0"/>
        <w:widowControl w:val="0"/>
        <w:tabs>
          <w:tab w:val="center" w:pos="4153"/>
        </w:tabs>
        <w:kinsoku/>
        <w:wordWrap/>
        <w:overflowPunct/>
        <w:topLinePunct w:val="0"/>
        <w:autoSpaceDE/>
        <w:autoSpaceDN/>
        <w:bidi w:val="0"/>
        <w:adjustRightInd w:val="0"/>
        <w:snapToGrid w:val="0"/>
        <w:spacing w:line="600" w:lineRule="atLeast"/>
        <w:ind w:firstLine="643" w:firstLineChars="200"/>
        <w:jc w:val="left"/>
        <w:textAlignment w:val="auto"/>
        <w:rPr>
          <w:rFonts w:hint="eastAsia" w:ascii="仿宋" w:hAnsi="仿宋" w:eastAsia="仿宋" w:cs="仿宋"/>
          <w:sz w:val="32"/>
          <w:szCs w:val="32"/>
          <w:lang w:eastAsia="zh-CN"/>
        </w:rPr>
      </w:pPr>
      <w:r>
        <w:rPr>
          <w:rFonts w:hint="eastAsia" w:ascii="仿宋" w:hAnsi="仿宋" w:eastAsia="仿宋" w:cs="仿宋"/>
          <w:b/>
          <w:bCs w:val="0"/>
          <w:kern w:val="0"/>
          <w:sz w:val="32"/>
          <w:szCs w:val="32"/>
          <w:lang w:val="en-US" w:eastAsia="zh-CN" w:bidi="ar"/>
        </w:rPr>
        <w:t>5.加大人才培养。</w:t>
      </w:r>
      <w:r>
        <w:rPr>
          <w:rFonts w:hint="eastAsia" w:ascii="仿宋" w:hAnsi="仿宋" w:eastAsia="仿宋" w:cs="仿宋"/>
          <w:sz w:val="32"/>
          <w:szCs w:val="32"/>
          <w:lang w:eastAsia="zh-CN"/>
        </w:rPr>
        <w:t>由于基层医疗卫生机构医护人员总量不足且青黄不接的问题，希望财政能加大对医疗卫生本土化人才培养的投入。</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both"/>
        <w:textAlignment w:val="auto"/>
        <w:rPr>
          <w:rFonts w:hint="default" w:ascii="Times New Roman" w:hAnsi="Times New Roman" w:eastAsia="仿宋_GB2312" w:cs="Times New Roman"/>
          <w:sz w:val="32"/>
          <w:szCs w:val="32"/>
        </w:rPr>
      </w:pPr>
      <w:r>
        <w:rPr>
          <w:rFonts w:hint="eastAsia" w:eastAsia="黑体" w:cs="Times New Roman"/>
          <w:sz w:val="32"/>
          <w:szCs w:val="32"/>
          <w:lang w:eastAsia="zh-CN"/>
        </w:rPr>
        <w:t>七</w:t>
      </w:r>
      <w:r>
        <w:rPr>
          <w:rFonts w:hint="default" w:ascii="Times New Roman" w:hAnsi="Times New Roman" w:eastAsia="黑体" w:cs="Times New Roman"/>
          <w:sz w:val="32"/>
          <w:szCs w:val="32"/>
        </w:rPr>
        <w:t>、其他需要说明的情况</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sz w:val="32"/>
          <w:szCs w:val="32"/>
        </w:rPr>
      </w:pPr>
    </w:p>
    <w:p>
      <w:pPr>
        <w:keepNext w:val="0"/>
        <w:keepLines w:val="0"/>
        <w:pageBreakBefore w:val="0"/>
        <w:kinsoku/>
        <w:wordWrap/>
        <w:overflowPunct/>
        <w:topLinePunct w:val="0"/>
        <w:autoSpaceDE/>
        <w:autoSpaceDN/>
        <w:bidi w:val="0"/>
        <w:adjustRightInd/>
        <w:snapToGrid/>
        <w:spacing w:line="560" w:lineRule="exact"/>
        <w:ind w:firstLine="0" w:firstLineChars="0"/>
        <w:jc w:val="left"/>
        <w:textAlignment w:val="auto"/>
        <w:outlineLvl w:val="0"/>
        <w:rPr>
          <w:rFonts w:hint="eastAsia" w:ascii="仿宋_GB2312" w:eastAsia="仿宋_GB2312"/>
          <w:sz w:val="32"/>
          <w:szCs w:val="32"/>
          <w:lang w:val="en-US" w:eastAsia="zh-CN"/>
        </w:rPr>
        <w:sectPr>
          <w:pgSz w:w="11906" w:h="16838"/>
          <w:pgMar w:top="1984" w:right="1701" w:bottom="1984" w:left="1701" w:header="851" w:footer="992" w:gutter="0"/>
          <w:pgBorders>
            <w:top w:val="none" w:sz="0" w:space="0"/>
            <w:left w:val="none" w:sz="0" w:space="0"/>
            <w:bottom w:val="none" w:sz="0" w:space="0"/>
            <w:right w:val="none" w:sz="0" w:space="0"/>
          </w:pgBorders>
          <w:cols w:space="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sz w:val="32"/>
          <w:szCs w:val="32"/>
          <w:lang w:val="en-US" w:eastAsia="zh-CN"/>
        </w:rPr>
      </w:pPr>
      <w:r>
        <w:rPr>
          <w:rFonts w:hint="eastAsia" w:ascii="黑体" w:hAnsi="黑体" w:eastAsia="黑体"/>
          <w:sz w:val="32"/>
          <w:szCs w:val="32"/>
        </w:rPr>
        <w:t>附件</w:t>
      </w:r>
      <w:r>
        <w:rPr>
          <w:rFonts w:hint="eastAsia" w:ascii="黑体" w:hAnsi="黑体" w:eastAsia="黑体"/>
          <w:sz w:val="32"/>
          <w:szCs w:val="32"/>
          <w:lang w:val="en-US" w:eastAsia="zh-CN"/>
        </w:rPr>
        <w:t>4</w:t>
      </w:r>
    </w:p>
    <w:p>
      <w:pPr>
        <w:keepNext w:val="0"/>
        <w:keepLines w:val="0"/>
        <w:pageBreakBefore w:val="0"/>
        <w:widowControl/>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项目支出绩效评价</w:t>
      </w:r>
      <w:r>
        <w:rPr>
          <w:rFonts w:hint="eastAsia" w:ascii="方正小标宋简体" w:hAnsi="方正小标宋简体" w:eastAsia="方正小标宋简体" w:cs="方正小标宋简体"/>
          <w:color w:val="000000"/>
          <w:sz w:val="44"/>
          <w:szCs w:val="44"/>
          <w:lang w:eastAsia="zh-CN"/>
        </w:rPr>
        <w:t>评分表</w:t>
      </w:r>
      <w:r>
        <w:rPr>
          <w:rFonts w:hint="eastAsia" w:ascii="方正小标宋简体" w:hAnsi="方正小标宋简体" w:eastAsia="方正小标宋简体" w:cs="方正小标宋简体"/>
          <w:color w:val="000000"/>
          <w:sz w:val="44"/>
          <w:szCs w:val="44"/>
        </w:rPr>
        <w:t>（</w:t>
      </w:r>
      <w:r>
        <w:rPr>
          <w:rFonts w:hint="eastAsia" w:ascii="方正小标宋简体" w:hAnsi="方正小标宋简体" w:eastAsia="方正小标宋简体" w:cs="方正小标宋简体"/>
          <w:color w:val="000000"/>
          <w:sz w:val="44"/>
          <w:szCs w:val="44"/>
          <w:lang w:eastAsia="zh-CN"/>
        </w:rPr>
        <w:t>共性</w:t>
      </w:r>
      <w:r>
        <w:rPr>
          <w:rFonts w:hint="eastAsia" w:ascii="方正小标宋简体" w:hAnsi="方正小标宋简体" w:eastAsia="方正小标宋简体" w:cs="方正小标宋简体"/>
          <w:color w:val="000000"/>
          <w:sz w:val="44"/>
          <w:szCs w:val="44"/>
        </w:rPr>
        <w:t>）</w:t>
      </w:r>
    </w:p>
    <w:tbl>
      <w:tblPr>
        <w:tblStyle w:val="10"/>
        <w:tblW w:w="9820" w:type="dxa"/>
        <w:jc w:val="center"/>
        <w:tblLayout w:type="fixed"/>
        <w:tblCellMar>
          <w:top w:w="0" w:type="dxa"/>
          <w:left w:w="108" w:type="dxa"/>
          <w:bottom w:w="0" w:type="dxa"/>
          <w:right w:w="108" w:type="dxa"/>
        </w:tblCellMar>
      </w:tblPr>
      <w:tblGrid>
        <w:gridCol w:w="702"/>
        <w:gridCol w:w="540"/>
        <w:gridCol w:w="703"/>
        <w:gridCol w:w="540"/>
        <w:gridCol w:w="803"/>
        <w:gridCol w:w="550"/>
        <w:gridCol w:w="2407"/>
        <w:gridCol w:w="2772"/>
        <w:gridCol w:w="803"/>
      </w:tblGrid>
      <w:tr>
        <w:tblPrEx>
          <w:tblCellMar>
            <w:top w:w="0" w:type="dxa"/>
            <w:left w:w="108" w:type="dxa"/>
            <w:bottom w:w="0" w:type="dxa"/>
            <w:right w:w="108" w:type="dxa"/>
          </w:tblCellMar>
        </w:tblPrEx>
        <w:trPr>
          <w:trHeight w:val="582" w:hRule="atLeast"/>
          <w:tblHeader/>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b/>
                <w:bCs/>
                <w:kern w:val="0"/>
                <w:sz w:val="18"/>
                <w:szCs w:val="18"/>
                <w:lang w:eastAsia="zh-CN"/>
              </w:rPr>
            </w:pPr>
            <w:r>
              <w:rPr>
                <w:rFonts w:hint="eastAsia" w:ascii="仿宋" w:hAnsi="仿宋" w:eastAsia="仿宋" w:cs="仿宋"/>
                <w:b/>
                <w:bCs/>
                <w:kern w:val="0"/>
                <w:sz w:val="18"/>
                <w:szCs w:val="18"/>
              </w:rPr>
              <w:t>一级</w:t>
            </w:r>
          </w:p>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分值</w:t>
            </w:r>
          </w:p>
        </w:tc>
        <w:tc>
          <w:tcPr>
            <w:tcW w:w="703"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b/>
                <w:bCs/>
                <w:kern w:val="0"/>
                <w:sz w:val="18"/>
                <w:szCs w:val="18"/>
                <w:lang w:eastAsia="zh-CN"/>
              </w:rPr>
            </w:pPr>
            <w:r>
              <w:rPr>
                <w:rFonts w:hint="eastAsia" w:ascii="仿宋" w:hAnsi="仿宋" w:eastAsia="仿宋" w:cs="仿宋"/>
                <w:b/>
                <w:bCs/>
                <w:kern w:val="0"/>
                <w:sz w:val="18"/>
                <w:szCs w:val="18"/>
              </w:rPr>
              <w:t>二级</w:t>
            </w:r>
          </w:p>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分值</w:t>
            </w:r>
          </w:p>
        </w:tc>
        <w:tc>
          <w:tcPr>
            <w:tcW w:w="803"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b/>
                <w:bCs/>
                <w:kern w:val="0"/>
                <w:sz w:val="18"/>
                <w:szCs w:val="18"/>
                <w:lang w:eastAsia="zh-CN"/>
              </w:rPr>
            </w:pPr>
            <w:r>
              <w:rPr>
                <w:rFonts w:hint="eastAsia" w:ascii="仿宋" w:hAnsi="仿宋" w:eastAsia="仿宋" w:cs="仿宋"/>
                <w:b/>
                <w:bCs/>
                <w:kern w:val="0"/>
                <w:sz w:val="18"/>
                <w:szCs w:val="18"/>
              </w:rPr>
              <w:t>三级</w:t>
            </w:r>
          </w:p>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指标</w:t>
            </w:r>
          </w:p>
        </w:tc>
        <w:tc>
          <w:tcPr>
            <w:tcW w:w="55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分值</w:t>
            </w:r>
          </w:p>
        </w:tc>
        <w:tc>
          <w:tcPr>
            <w:tcW w:w="2407"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具体指标</w:t>
            </w:r>
          </w:p>
        </w:tc>
        <w:tc>
          <w:tcPr>
            <w:tcW w:w="2772"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评价标准</w:t>
            </w:r>
          </w:p>
        </w:tc>
        <w:tc>
          <w:tcPr>
            <w:tcW w:w="80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自评</w:t>
            </w:r>
          </w:p>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b/>
                <w:bCs/>
                <w:kern w:val="0"/>
                <w:sz w:val="24"/>
              </w:rPr>
            </w:pPr>
            <w:r>
              <w:rPr>
                <w:rFonts w:hint="eastAsia" w:ascii="仿宋" w:hAnsi="仿宋" w:eastAsia="仿宋" w:cs="仿宋"/>
                <w:b/>
                <w:bCs/>
                <w:kern w:val="0"/>
                <w:sz w:val="18"/>
                <w:szCs w:val="18"/>
              </w:rPr>
              <w:t>得分</w:t>
            </w:r>
          </w:p>
        </w:tc>
      </w:tr>
      <w:tr>
        <w:tblPrEx>
          <w:tblCellMar>
            <w:top w:w="0" w:type="dxa"/>
            <w:left w:w="108" w:type="dxa"/>
            <w:bottom w:w="0" w:type="dxa"/>
            <w:right w:w="108" w:type="dxa"/>
          </w:tblCellMar>
        </w:tblPrEx>
        <w:trPr>
          <w:trHeight w:val="967" w:hRule="atLeast"/>
          <w:jc w:val="center"/>
        </w:trPr>
        <w:tc>
          <w:tcPr>
            <w:tcW w:w="702" w:type="dxa"/>
            <w:vMerge w:val="restart"/>
            <w:tcBorders>
              <w:top w:val="nil"/>
              <w:left w:val="single" w:color="000000" w:sz="4" w:space="0"/>
              <w:bottom w:val="single" w:color="000000" w:sz="4" w:space="0"/>
              <w:right w:val="single" w:color="000000" w:sz="4" w:space="0"/>
            </w:tcBorders>
            <w:noWrap w:val="0"/>
            <w:textDirection w:val="tbLrV"/>
            <w:vAlign w:val="center"/>
          </w:tcPr>
          <w:p>
            <w:pPr>
              <w:keepNext w:val="0"/>
              <w:keepLines w:val="0"/>
              <w:widowControl/>
              <w:suppressLineNumbers w:val="0"/>
              <w:spacing w:before="0" w:beforeAutospacing="0" w:after="0" w:afterAutospacing="0" w:line="240" w:lineRule="exact"/>
              <w:ind w:left="113" w:right="113"/>
              <w:jc w:val="center"/>
              <w:rPr>
                <w:rFonts w:hint="eastAsia" w:ascii="仿宋" w:hAnsi="仿宋" w:eastAsia="仿宋" w:cs="仿宋"/>
                <w:kern w:val="0"/>
                <w:sz w:val="18"/>
                <w:szCs w:val="18"/>
              </w:rPr>
            </w:pPr>
            <w:r>
              <w:rPr>
                <w:rFonts w:hint="eastAsia" w:ascii="仿宋" w:hAnsi="仿宋" w:eastAsia="仿宋" w:cs="仿宋"/>
                <w:kern w:val="0"/>
                <w:sz w:val="18"/>
                <w:szCs w:val="18"/>
              </w:rPr>
              <w:t>项目决策</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20</w:t>
            </w:r>
          </w:p>
        </w:tc>
        <w:tc>
          <w:tcPr>
            <w:tcW w:w="703" w:type="dxa"/>
            <w:tcBorders>
              <w:top w:val="nil"/>
              <w:left w:val="nil"/>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项目目标</w:t>
            </w: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4</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lang w:eastAsia="zh-CN"/>
              </w:rPr>
            </w:pPr>
            <w:r>
              <w:rPr>
                <w:rFonts w:hint="eastAsia" w:ascii="仿宋" w:hAnsi="仿宋" w:eastAsia="仿宋" w:cs="仿宋"/>
                <w:kern w:val="0"/>
                <w:sz w:val="18"/>
                <w:szCs w:val="18"/>
              </w:rPr>
              <w:t>目标</w:t>
            </w:r>
          </w:p>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内容</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设立了项目绩效目标；目标明确；目标细化；目标量化</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lang w:eastAsia="zh-CN"/>
              </w:rPr>
            </w:pPr>
            <w:r>
              <w:rPr>
                <w:rFonts w:hint="eastAsia" w:ascii="仿宋" w:hAnsi="仿宋" w:eastAsia="仿宋" w:cs="仿宋"/>
                <w:kern w:val="0"/>
                <w:sz w:val="18"/>
                <w:szCs w:val="18"/>
              </w:rPr>
              <w:t>①设有目标（1分）</w:t>
            </w:r>
          </w:p>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lang w:eastAsia="zh-CN"/>
              </w:rPr>
            </w:pPr>
            <w:r>
              <w:rPr>
                <w:rFonts w:hint="eastAsia" w:ascii="仿宋" w:hAnsi="仿宋" w:eastAsia="仿宋" w:cs="仿宋"/>
                <w:kern w:val="0"/>
                <w:sz w:val="18"/>
                <w:szCs w:val="18"/>
              </w:rPr>
              <w:t>②目标明确（1分）</w:t>
            </w:r>
          </w:p>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lang w:eastAsia="zh-CN"/>
              </w:rPr>
            </w:pPr>
            <w:r>
              <w:rPr>
                <w:rFonts w:hint="eastAsia" w:ascii="仿宋" w:hAnsi="仿宋" w:eastAsia="仿宋" w:cs="仿宋"/>
                <w:kern w:val="0"/>
                <w:sz w:val="18"/>
                <w:szCs w:val="18"/>
              </w:rPr>
              <w:t>③目标细化（1分）</w:t>
            </w:r>
          </w:p>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④目标量化（1分）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4</w:t>
            </w:r>
          </w:p>
        </w:tc>
      </w:tr>
      <w:tr>
        <w:tblPrEx>
          <w:tblCellMar>
            <w:top w:w="0" w:type="dxa"/>
            <w:left w:w="108" w:type="dxa"/>
            <w:bottom w:w="0" w:type="dxa"/>
            <w:right w:w="108" w:type="dxa"/>
          </w:tblCellMar>
        </w:tblPrEx>
        <w:trPr>
          <w:trHeight w:val="1277"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决策过程</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8</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lang w:eastAsia="zh-CN"/>
              </w:rPr>
            </w:pPr>
            <w:r>
              <w:rPr>
                <w:rFonts w:hint="eastAsia" w:ascii="仿宋" w:hAnsi="仿宋" w:eastAsia="仿宋" w:cs="仿宋"/>
                <w:kern w:val="0"/>
                <w:sz w:val="18"/>
                <w:szCs w:val="18"/>
              </w:rPr>
              <w:t>决策</w:t>
            </w:r>
          </w:p>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依据</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有关法律法规的明确规定；某一经济社会发展规划；某部门年度工作计划；某一实际问题和需求</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lang w:eastAsia="zh-CN"/>
              </w:rPr>
            </w:pPr>
            <w:r>
              <w:rPr>
                <w:rFonts w:hint="eastAsia" w:ascii="仿宋" w:hAnsi="仿宋" w:eastAsia="仿宋" w:cs="仿宋"/>
                <w:kern w:val="0"/>
                <w:sz w:val="18"/>
                <w:szCs w:val="18"/>
              </w:rPr>
              <w:t>①符合法律法规（1分）</w:t>
            </w:r>
          </w:p>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lang w:eastAsia="zh-CN"/>
              </w:rPr>
            </w:pPr>
            <w:r>
              <w:rPr>
                <w:rFonts w:hint="eastAsia" w:ascii="仿宋" w:hAnsi="仿宋" w:eastAsia="仿宋" w:cs="仿宋"/>
                <w:kern w:val="0"/>
                <w:sz w:val="18"/>
                <w:szCs w:val="18"/>
              </w:rPr>
              <w:t>②符合经济社会发展规划（1分）</w:t>
            </w:r>
          </w:p>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lang w:eastAsia="zh-CN"/>
              </w:rPr>
            </w:pPr>
            <w:r>
              <w:rPr>
                <w:rFonts w:hint="eastAsia" w:ascii="仿宋" w:hAnsi="仿宋" w:eastAsia="仿宋" w:cs="仿宋"/>
                <w:kern w:val="0"/>
                <w:sz w:val="18"/>
                <w:szCs w:val="18"/>
              </w:rPr>
              <w:t>③部门年度工作计划（1分）</w:t>
            </w:r>
          </w:p>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spacing w:val="-6"/>
                <w:kern w:val="0"/>
                <w:sz w:val="18"/>
                <w:szCs w:val="18"/>
                <w:lang w:eastAsia="zh-CN"/>
              </w:rPr>
            </w:pPr>
            <w:r>
              <w:rPr>
                <w:rFonts w:hint="eastAsia" w:ascii="仿宋" w:hAnsi="仿宋" w:eastAsia="仿宋" w:cs="仿宋"/>
                <w:spacing w:val="-6"/>
                <w:kern w:val="0"/>
                <w:sz w:val="18"/>
                <w:szCs w:val="18"/>
              </w:rPr>
              <w:t>④针对某一实际问题和需求（1分）</w:t>
            </w:r>
          </w:p>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以上③需提供佐证资料。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4</w:t>
            </w:r>
          </w:p>
        </w:tc>
      </w:tr>
      <w:tr>
        <w:tblPrEx>
          <w:tblCellMar>
            <w:top w:w="0" w:type="dxa"/>
            <w:left w:w="108" w:type="dxa"/>
            <w:bottom w:w="0" w:type="dxa"/>
            <w:right w:w="108" w:type="dxa"/>
          </w:tblCellMar>
        </w:tblPrEx>
        <w:trPr>
          <w:trHeight w:val="983"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lang w:eastAsia="zh-CN"/>
              </w:rPr>
            </w:pPr>
            <w:r>
              <w:rPr>
                <w:rFonts w:hint="eastAsia" w:ascii="仿宋" w:hAnsi="仿宋" w:eastAsia="仿宋" w:cs="仿宋"/>
                <w:kern w:val="0"/>
                <w:sz w:val="18"/>
                <w:szCs w:val="18"/>
              </w:rPr>
              <w:t>决策</w:t>
            </w:r>
          </w:p>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程序</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项目符合申报条件；申报、批复程序符合相关管理办法；项目调整履行了相应手续</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lang w:eastAsia="zh-CN"/>
              </w:rPr>
            </w:pPr>
            <w:r>
              <w:rPr>
                <w:rFonts w:hint="eastAsia" w:ascii="仿宋" w:hAnsi="仿宋" w:eastAsia="仿宋" w:cs="仿宋"/>
                <w:kern w:val="0"/>
                <w:sz w:val="18"/>
                <w:szCs w:val="18"/>
              </w:rPr>
              <w:t>①符合申报条件（2分）</w:t>
            </w:r>
          </w:p>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lang w:eastAsia="zh-CN"/>
              </w:rPr>
            </w:pPr>
            <w:r>
              <w:rPr>
                <w:rFonts w:hint="eastAsia" w:ascii="仿宋" w:hAnsi="仿宋" w:eastAsia="仿宋" w:cs="仿宋"/>
                <w:kern w:val="0"/>
                <w:sz w:val="18"/>
                <w:szCs w:val="18"/>
              </w:rPr>
              <w:t>②项目申报、批复程序符合管理办法（1分）</w:t>
            </w:r>
          </w:p>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spacing w:val="-6"/>
                <w:kern w:val="0"/>
                <w:sz w:val="18"/>
                <w:szCs w:val="18"/>
              </w:rPr>
              <w:t>③项目调整履行了相应手续（1分）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4</w:t>
            </w:r>
          </w:p>
        </w:tc>
      </w:tr>
      <w:tr>
        <w:tblPrEx>
          <w:tblCellMar>
            <w:top w:w="0" w:type="dxa"/>
            <w:left w:w="108" w:type="dxa"/>
            <w:bottom w:w="0" w:type="dxa"/>
            <w:right w:w="108" w:type="dxa"/>
          </w:tblCellMar>
        </w:tblPrEx>
        <w:trPr>
          <w:trHeight w:val="967"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资金分配</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8</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lang w:eastAsia="zh-CN"/>
              </w:rPr>
            </w:pPr>
            <w:r>
              <w:rPr>
                <w:rFonts w:hint="eastAsia" w:ascii="仿宋" w:hAnsi="仿宋" w:eastAsia="仿宋" w:cs="仿宋"/>
                <w:kern w:val="0"/>
                <w:sz w:val="18"/>
                <w:szCs w:val="18"/>
              </w:rPr>
              <w:t>分配</w:t>
            </w:r>
          </w:p>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办法</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根据需要制定的相关资金管理办法；管理办法中有明确资金分配办法；资金分配因素全面、合理</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lang w:eastAsia="zh-CN"/>
              </w:rPr>
            </w:pPr>
            <w:r>
              <w:rPr>
                <w:rFonts w:hint="eastAsia" w:ascii="仿宋" w:hAnsi="仿宋" w:eastAsia="仿宋" w:cs="仿宋"/>
                <w:kern w:val="0"/>
                <w:sz w:val="18"/>
                <w:szCs w:val="18"/>
              </w:rPr>
              <w:t>①有相应的资金管理办法（1分）</w:t>
            </w:r>
          </w:p>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lang w:eastAsia="zh-CN"/>
              </w:rPr>
            </w:pPr>
            <w:r>
              <w:rPr>
                <w:rFonts w:hint="eastAsia" w:ascii="仿宋" w:hAnsi="仿宋" w:eastAsia="仿宋" w:cs="仿宋"/>
                <w:kern w:val="0"/>
                <w:sz w:val="18"/>
                <w:szCs w:val="18"/>
              </w:rPr>
              <w:t>②办法健全、规范（1分）</w:t>
            </w:r>
          </w:p>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lang w:eastAsia="zh-CN"/>
              </w:rPr>
            </w:pPr>
            <w:r>
              <w:rPr>
                <w:rFonts w:hint="eastAsia" w:ascii="仿宋" w:hAnsi="仿宋" w:eastAsia="仿宋" w:cs="仿宋"/>
                <w:kern w:val="0"/>
                <w:sz w:val="18"/>
                <w:szCs w:val="18"/>
              </w:rPr>
              <w:t>③因素全面合理（1分）</w:t>
            </w:r>
          </w:p>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以上①需提供佐证资料。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3</w:t>
            </w:r>
          </w:p>
        </w:tc>
      </w:tr>
      <w:tr>
        <w:tblPrEx>
          <w:tblCellMar>
            <w:top w:w="0" w:type="dxa"/>
            <w:left w:w="108" w:type="dxa"/>
            <w:bottom w:w="0" w:type="dxa"/>
            <w:right w:w="108" w:type="dxa"/>
          </w:tblCellMar>
        </w:tblPrEx>
        <w:trPr>
          <w:trHeight w:val="758"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lang w:eastAsia="zh-CN"/>
              </w:rPr>
            </w:pPr>
            <w:r>
              <w:rPr>
                <w:rFonts w:hint="eastAsia" w:ascii="仿宋" w:hAnsi="仿宋" w:eastAsia="仿宋" w:cs="仿宋"/>
                <w:kern w:val="0"/>
                <w:sz w:val="18"/>
                <w:szCs w:val="18"/>
              </w:rPr>
              <w:t>分配</w:t>
            </w:r>
          </w:p>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结果</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资金分配符合相关管理办法；分配结果公平合理</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lang w:eastAsia="zh-CN"/>
              </w:rPr>
            </w:pPr>
            <w:r>
              <w:rPr>
                <w:rFonts w:hint="eastAsia" w:ascii="仿宋" w:hAnsi="仿宋" w:eastAsia="仿宋" w:cs="仿宋"/>
                <w:kern w:val="0"/>
                <w:sz w:val="18"/>
                <w:szCs w:val="18"/>
              </w:rPr>
              <w:t>①符合分配办法（2分）</w:t>
            </w:r>
          </w:p>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lang w:eastAsia="zh-CN"/>
              </w:rPr>
            </w:pPr>
            <w:r>
              <w:rPr>
                <w:rFonts w:hint="eastAsia" w:ascii="仿宋" w:hAnsi="仿宋" w:eastAsia="仿宋" w:cs="仿宋"/>
                <w:kern w:val="0"/>
                <w:sz w:val="18"/>
                <w:szCs w:val="18"/>
              </w:rPr>
              <w:t>②分配公平合理（3分）</w:t>
            </w:r>
          </w:p>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spacing w:val="-6"/>
                <w:kern w:val="0"/>
                <w:sz w:val="18"/>
                <w:szCs w:val="18"/>
              </w:rPr>
              <w:t>此项需提供相应的资金分配方案。</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5</w:t>
            </w:r>
          </w:p>
        </w:tc>
      </w:tr>
      <w:tr>
        <w:tblPrEx>
          <w:tblCellMar>
            <w:top w:w="0" w:type="dxa"/>
            <w:left w:w="108" w:type="dxa"/>
            <w:bottom w:w="0" w:type="dxa"/>
            <w:right w:w="108" w:type="dxa"/>
          </w:tblCellMar>
        </w:tblPrEx>
        <w:trPr>
          <w:trHeight w:val="438" w:hRule="atLeast"/>
          <w:jc w:val="center"/>
        </w:trPr>
        <w:tc>
          <w:tcPr>
            <w:tcW w:w="702" w:type="dxa"/>
            <w:vMerge w:val="restart"/>
            <w:tcBorders>
              <w:top w:val="nil"/>
              <w:left w:val="single" w:color="000000" w:sz="4" w:space="0"/>
              <w:right w:val="single" w:color="000000" w:sz="4" w:space="0"/>
            </w:tcBorders>
            <w:noWrap w:val="0"/>
            <w:textDirection w:val="tbLrV"/>
            <w:vAlign w:val="center"/>
          </w:tcPr>
          <w:p>
            <w:pPr>
              <w:keepNext w:val="0"/>
              <w:keepLines w:val="0"/>
              <w:widowControl/>
              <w:suppressLineNumbers w:val="0"/>
              <w:spacing w:before="0" w:beforeAutospacing="0" w:after="0" w:afterAutospacing="0" w:line="240" w:lineRule="exact"/>
              <w:ind w:left="113" w:right="113" w:firstLine="2520" w:firstLineChars="1400"/>
              <w:jc w:val="both"/>
              <w:rPr>
                <w:rFonts w:hint="eastAsia" w:ascii="仿宋" w:hAnsi="仿宋" w:eastAsia="仿宋" w:cs="仿宋"/>
                <w:kern w:val="0"/>
                <w:sz w:val="18"/>
                <w:szCs w:val="18"/>
                <w:lang w:eastAsia="zh-CN"/>
              </w:rPr>
            </w:pPr>
            <w:r>
              <w:rPr>
                <w:rFonts w:hint="eastAsia" w:ascii="仿宋" w:hAnsi="仿宋" w:eastAsia="仿宋" w:cs="仿宋"/>
                <w:kern w:val="0"/>
                <w:sz w:val="18"/>
                <w:szCs w:val="18"/>
              </w:rPr>
              <w:t>项目</w:t>
            </w:r>
            <w:r>
              <w:rPr>
                <w:rFonts w:hint="eastAsia" w:ascii="仿宋" w:hAnsi="仿宋" w:eastAsia="仿宋" w:cs="仿宋"/>
                <w:kern w:val="0"/>
                <w:sz w:val="18"/>
                <w:szCs w:val="18"/>
                <w:lang w:eastAsia="zh-CN"/>
              </w:rPr>
              <w:t>管理</w:t>
            </w:r>
          </w:p>
        </w:tc>
        <w:tc>
          <w:tcPr>
            <w:tcW w:w="540" w:type="dxa"/>
            <w:vMerge w:val="restart"/>
            <w:tcBorders>
              <w:top w:val="nil"/>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25</w:t>
            </w:r>
          </w:p>
          <w:p>
            <w:pPr>
              <w:keepNext w:val="0"/>
              <w:keepLines w:val="0"/>
              <w:suppressLineNumbers w:val="0"/>
              <w:spacing w:before="0" w:beforeAutospacing="0" w:after="0" w:afterAutospacing="0"/>
              <w:ind w:left="0" w:right="0"/>
              <w:rPr>
                <w:rFonts w:hint="eastAsia" w:ascii="仿宋" w:hAnsi="仿宋" w:eastAsia="仿宋" w:cs="仿宋"/>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资金到位</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到位率</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实际到位/计划到位*100%</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根据项目资金的实际到位率计算得分（3分）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3</w:t>
            </w:r>
          </w:p>
        </w:tc>
      </w:tr>
      <w:tr>
        <w:tblPrEx>
          <w:tblCellMar>
            <w:top w:w="0" w:type="dxa"/>
            <w:left w:w="108" w:type="dxa"/>
            <w:bottom w:w="0" w:type="dxa"/>
            <w:right w:w="108" w:type="dxa"/>
          </w:tblCellMar>
        </w:tblPrEx>
        <w:trPr>
          <w:trHeight w:val="744"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lang w:eastAsia="zh-CN"/>
              </w:rPr>
            </w:pPr>
            <w:r>
              <w:rPr>
                <w:rFonts w:hint="eastAsia" w:ascii="仿宋" w:hAnsi="仿宋" w:eastAsia="仿宋" w:cs="仿宋"/>
                <w:kern w:val="0"/>
                <w:sz w:val="18"/>
                <w:szCs w:val="18"/>
              </w:rPr>
              <w:t>到位</w:t>
            </w:r>
          </w:p>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时效</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2</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资金及时到位；若未及时到位，是否影响项目进度</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lang w:eastAsia="zh-CN"/>
              </w:rPr>
            </w:pPr>
            <w:r>
              <w:rPr>
                <w:rFonts w:hint="eastAsia" w:ascii="仿宋" w:hAnsi="仿宋" w:eastAsia="仿宋" w:cs="仿宋"/>
                <w:kern w:val="0"/>
                <w:sz w:val="18"/>
                <w:szCs w:val="18"/>
              </w:rPr>
              <w:t>①到位及时（2分）</w:t>
            </w:r>
          </w:p>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spacing w:val="-10"/>
                <w:kern w:val="0"/>
                <w:sz w:val="18"/>
                <w:szCs w:val="18"/>
                <w:lang w:eastAsia="zh-CN"/>
              </w:rPr>
            </w:pPr>
            <w:r>
              <w:rPr>
                <w:rFonts w:hint="eastAsia" w:ascii="仿宋" w:hAnsi="仿宋" w:eastAsia="仿宋" w:cs="仿宋"/>
                <w:spacing w:val="-10"/>
                <w:kern w:val="0"/>
                <w:sz w:val="18"/>
                <w:szCs w:val="18"/>
              </w:rPr>
              <w:t>②不及时但未影响项目进度 （1分）</w:t>
            </w:r>
          </w:p>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spacing w:val="-6"/>
                <w:kern w:val="0"/>
                <w:sz w:val="18"/>
                <w:szCs w:val="18"/>
              </w:rPr>
              <w:t>③不及时并影响项目进度（0.5分）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1</w:t>
            </w:r>
          </w:p>
        </w:tc>
      </w:tr>
      <w:tr>
        <w:tblPrEx>
          <w:tblCellMar>
            <w:top w:w="0" w:type="dxa"/>
            <w:left w:w="108" w:type="dxa"/>
            <w:bottom w:w="0" w:type="dxa"/>
            <w:right w:w="108" w:type="dxa"/>
          </w:tblCellMar>
        </w:tblPrEx>
        <w:trPr>
          <w:trHeight w:val="1168"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资金管理</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10</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lang w:eastAsia="zh-CN"/>
              </w:rPr>
            </w:pPr>
            <w:r>
              <w:rPr>
                <w:rFonts w:hint="eastAsia" w:ascii="仿宋" w:hAnsi="仿宋" w:eastAsia="仿宋" w:cs="仿宋"/>
                <w:kern w:val="0"/>
                <w:sz w:val="18"/>
                <w:szCs w:val="18"/>
              </w:rPr>
              <w:t>资金</w:t>
            </w:r>
          </w:p>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使用</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7</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支出依据合规，无虚列项目支出情况；无截留挤占挪用情况；无超标准开支情况；无超预算情况</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lang w:eastAsia="zh-CN"/>
              </w:rPr>
            </w:pPr>
            <w:r>
              <w:rPr>
                <w:rFonts w:hint="eastAsia" w:ascii="仿宋" w:hAnsi="仿宋" w:eastAsia="仿宋" w:cs="仿宋"/>
                <w:kern w:val="0"/>
                <w:sz w:val="18"/>
                <w:szCs w:val="18"/>
              </w:rPr>
              <w:t xml:space="preserve">①虚列套取扣4-7分 </w:t>
            </w:r>
          </w:p>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lang w:eastAsia="zh-CN"/>
              </w:rPr>
            </w:pPr>
            <w:r>
              <w:rPr>
                <w:rFonts w:hint="eastAsia" w:ascii="仿宋" w:hAnsi="仿宋" w:eastAsia="仿宋" w:cs="仿宋"/>
                <w:kern w:val="0"/>
                <w:sz w:val="18"/>
                <w:szCs w:val="18"/>
              </w:rPr>
              <w:t>②依据不合规扣2分</w:t>
            </w:r>
          </w:p>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lang w:eastAsia="zh-CN"/>
              </w:rPr>
            </w:pPr>
            <w:r>
              <w:rPr>
                <w:rFonts w:hint="eastAsia" w:ascii="仿宋" w:hAnsi="仿宋" w:eastAsia="仿宋" w:cs="仿宋"/>
                <w:kern w:val="0"/>
                <w:sz w:val="18"/>
                <w:szCs w:val="18"/>
              </w:rPr>
              <w:t>③截留、挤占、挪用扣3-6分</w:t>
            </w:r>
          </w:p>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lang w:eastAsia="zh-CN"/>
              </w:rPr>
            </w:pPr>
            <w:r>
              <w:rPr>
                <w:rFonts w:hint="eastAsia" w:ascii="仿宋" w:hAnsi="仿宋" w:eastAsia="仿宋" w:cs="仿宋"/>
                <w:kern w:val="0"/>
                <w:sz w:val="18"/>
                <w:szCs w:val="18"/>
              </w:rPr>
              <w:t>④超标准开支扣2-5分</w:t>
            </w:r>
          </w:p>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⑤超预算扣2-5分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7</w:t>
            </w:r>
          </w:p>
        </w:tc>
      </w:tr>
      <w:tr>
        <w:tblPrEx>
          <w:tblCellMar>
            <w:top w:w="0" w:type="dxa"/>
            <w:left w:w="108" w:type="dxa"/>
            <w:bottom w:w="0" w:type="dxa"/>
            <w:right w:w="108" w:type="dxa"/>
          </w:tblCellMar>
        </w:tblPrEx>
        <w:trPr>
          <w:trHeight w:val="871"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lang w:eastAsia="zh-CN"/>
              </w:rPr>
            </w:pPr>
            <w:r>
              <w:rPr>
                <w:rFonts w:hint="eastAsia" w:ascii="仿宋" w:hAnsi="仿宋" w:eastAsia="仿宋" w:cs="仿宋"/>
                <w:kern w:val="0"/>
                <w:sz w:val="18"/>
                <w:szCs w:val="18"/>
              </w:rPr>
              <w:t>财务</w:t>
            </w:r>
          </w:p>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管理</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资金管理、费用支出等制度健全；制度执行严格；会计核算规范</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lang w:eastAsia="zh-CN"/>
              </w:rPr>
            </w:pPr>
            <w:r>
              <w:rPr>
                <w:rFonts w:hint="eastAsia" w:ascii="仿宋" w:hAnsi="仿宋" w:eastAsia="仿宋" w:cs="仿宋"/>
                <w:kern w:val="0"/>
                <w:sz w:val="18"/>
                <w:szCs w:val="18"/>
              </w:rPr>
              <w:t>①财务制度健全（1分）</w:t>
            </w:r>
          </w:p>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lang w:eastAsia="zh-CN"/>
              </w:rPr>
            </w:pPr>
            <w:r>
              <w:rPr>
                <w:rFonts w:hint="eastAsia" w:ascii="仿宋" w:hAnsi="仿宋" w:eastAsia="仿宋" w:cs="仿宋"/>
                <w:kern w:val="0"/>
                <w:sz w:val="18"/>
                <w:szCs w:val="18"/>
              </w:rPr>
              <w:t>②严格执行制度（1分）</w:t>
            </w:r>
          </w:p>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lang w:eastAsia="zh-CN"/>
              </w:rPr>
            </w:pPr>
            <w:r>
              <w:rPr>
                <w:rFonts w:hint="eastAsia" w:ascii="仿宋" w:hAnsi="仿宋" w:eastAsia="仿宋" w:cs="仿宋"/>
                <w:kern w:val="0"/>
                <w:sz w:val="18"/>
                <w:szCs w:val="18"/>
              </w:rPr>
              <w:t>③会计核算规范（1分）</w:t>
            </w:r>
          </w:p>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以上①需提供佐证资料。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3</w:t>
            </w:r>
          </w:p>
        </w:tc>
      </w:tr>
      <w:tr>
        <w:tblPrEx>
          <w:tblCellMar>
            <w:top w:w="0" w:type="dxa"/>
            <w:left w:w="108" w:type="dxa"/>
            <w:bottom w:w="0" w:type="dxa"/>
            <w:right w:w="108" w:type="dxa"/>
          </w:tblCellMar>
        </w:tblPrEx>
        <w:trPr>
          <w:trHeight w:val="532" w:hRule="atLeast"/>
          <w:jc w:val="center"/>
        </w:trPr>
        <w:tc>
          <w:tcPr>
            <w:tcW w:w="702" w:type="dxa"/>
            <w:vMerge w:val="continue"/>
            <w:tcBorders>
              <w:left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suppressLineNumbers w:val="0"/>
              <w:spacing w:before="0" w:beforeAutospacing="0" w:after="0" w:afterAutospacing="0"/>
              <w:ind w:left="0" w:right="0"/>
              <w:rPr>
                <w:rFonts w:hint="eastAsia" w:ascii="仿宋" w:hAnsi="仿宋" w:eastAsia="仿宋" w:cs="仿宋"/>
              </w:rPr>
            </w:pPr>
          </w:p>
        </w:tc>
        <w:tc>
          <w:tcPr>
            <w:tcW w:w="703" w:type="dxa"/>
            <w:vMerge w:val="restart"/>
            <w:tcBorders>
              <w:top w:val="nil"/>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组织实施</w:t>
            </w:r>
          </w:p>
        </w:tc>
        <w:tc>
          <w:tcPr>
            <w:tcW w:w="540" w:type="dxa"/>
            <w:vMerge w:val="restart"/>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10</w:t>
            </w: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lang w:eastAsia="zh-CN"/>
              </w:rPr>
            </w:pPr>
            <w:r>
              <w:rPr>
                <w:rFonts w:hint="eastAsia" w:ascii="仿宋" w:hAnsi="仿宋" w:eastAsia="仿宋" w:cs="仿宋"/>
                <w:kern w:val="0"/>
                <w:sz w:val="18"/>
                <w:szCs w:val="18"/>
              </w:rPr>
              <w:t>组织</w:t>
            </w:r>
          </w:p>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机构</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1</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机构健全、分工明确</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①机构健全、分工明确  （1分）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1</w:t>
            </w:r>
          </w:p>
        </w:tc>
      </w:tr>
      <w:tr>
        <w:tblPrEx>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lang w:eastAsia="zh-CN"/>
              </w:rPr>
            </w:pPr>
            <w:r>
              <w:rPr>
                <w:rFonts w:hint="eastAsia" w:ascii="仿宋" w:hAnsi="仿宋" w:eastAsia="仿宋" w:cs="仿宋"/>
                <w:kern w:val="0"/>
                <w:sz w:val="18"/>
                <w:szCs w:val="18"/>
              </w:rPr>
              <w:t>支撑</w:t>
            </w:r>
          </w:p>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条件</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1</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项目实施单位是否提供或具备了必备的人员、场地和设备等条件</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具备人员、场地、设备条件（1分）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1</w:t>
            </w:r>
          </w:p>
        </w:tc>
      </w:tr>
      <w:tr>
        <w:tblPrEx>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lang w:eastAsia="zh-CN"/>
              </w:rPr>
            </w:pPr>
            <w:r>
              <w:rPr>
                <w:rFonts w:hint="eastAsia" w:ascii="仿宋" w:hAnsi="仿宋" w:eastAsia="仿宋" w:cs="仿宋"/>
                <w:kern w:val="0"/>
                <w:sz w:val="18"/>
                <w:szCs w:val="18"/>
              </w:rPr>
              <w:t>项目</w:t>
            </w:r>
          </w:p>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实施</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项目按计划开工；按计划进度开展；按计划完工</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lang w:eastAsia="zh-CN"/>
              </w:rPr>
            </w:pPr>
            <w:r>
              <w:rPr>
                <w:rFonts w:hint="eastAsia" w:ascii="仿宋" w:hAnsi="仿宋" w:eastAsia="仿宋" w:cs="仿宋"/>
                <w:kern w:val="0"/>
                <w:sz w:val="18"/>
                <w:szCs w:val="18"/>
              </w:rPr>
              <w:t>①按计划开工（1分）</w:t>
            </w:r>
          </w:p>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lang w:eastAsia="zh-CN"/>
              </w:rPr>
            </w:pPr>
            <w:r>
              <w:rPr>
                <w:rFonts w:hint="eastAsia" w:ascii="仿宋" w:hAnsi="仿宋" w:eastAsia="仿宋" w:cs="仿宋"/>
                <w:kern w:val="0"/>
                <w:sz w:val="18"/>
                <w:szCs w:val="18"/>
              </w:rPr>
              <w:t>②按计划开展（1分）</w:t>
            </w:r>
          </w:p>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③按计划完工（1分）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2</w:t>
            </w:r>
          </w:p>
        </w:tc>
      </w:tr>
      <w:tr>
        <w:tblPrEx>
          <w:tblCellMar>
            <w:top w:w="0" w:type="dxa"/>
            <w:left w:w="108" w:type="dxa"/>
            <w:bottom w:w="0" w:type="dxa"/>
            <w:right w:w="108" w:type="dxa"/>
          </w:tblCellMar>
        </w:tblPrEx>
        <w:trPr>
          <w:trHeight w:val="745" w:hRule="atLeast"/>
          <w:jc w:val="center"/>
        </w:trPr>
        <w:tc>
          <w:tcPr>
            <w:tcW w:w="702" w:type="dxa"/>
            <w:vMerge w:val="continue"/>
            <w:tcBorders>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540" w:type="dxa"/>
            <w:vMerge w:val="continue"/>
            <w:tcBorders>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lang w:eastAsia="zh-CN"/>
              </w:rPr>
            </w:pPr>
            <w:r>
              <w:rPr>
                <w:rFonts w:hint="eastAsia" w:ascii="仿宋" w:hAnsi="仿宋" w:eastAsia="仿宋" w:cs="仿宋"/>
                <w:kern w:val="0"/>
                <w:sz w:val="18"/>
                <w:szCs w:val="18"/>
              </w:rPr>
              <w:t>管理</w:t>
            </w:r>
          </w:p>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制度</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项目管理制度健全；严格执行相关管理制度</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lang w:eastAsia="zh-CN"/>
              </w:rPr>
            </w:pPr>
            <w:r>
              <w:rPr>
                <w:rFonts w:hint="eastAsia" w:ascii="仿宋" w:hAnsi="仿宋" w:eastAsia="仿宋" w:cs="仿宋"/>
                <w:kern w:val="0"/>
                <w:sz w:val="18"/>
                <w:szCs w:val="18"/>
              </w:rPr>
              <w:t>①管理制度健全（2分）</w:t>
            </w:r>
          </w:p>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lang w:eastAsia="zh-CN"/>
              </w:rPr>
            </w:pPr>
            <w:r>
              <w:rPr>
                <w:rFonts w:hint="eastAsia" w:ascii="仿宋" w:hAnsi="仿宋" w:eastAsia="仿宋" w:cs="仿宋"/>
                <w:kern w:val="0"/>
                <w:sz w:val="18"/>
                <w:szCs w:val="18"/>
              </w:rPr>
              <w:t>②制度执行严格（3分）</w:t>
            </w:r>
          </w:p>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以上①需提供佐证资料。</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5</w:t>
            </w:r>
          </w:p>
        </w:tc>
      </w:tr>
      <w:tr>
        <w:tblPrEx>
          <w:tblCellMar>
            <w:top w:w="0" w:type="dxa"/>
            <w:left w:w="108" w:type="dxa"/>
            <w:bottom w:w="0" w:type="dxa"/>
            <w:right w:w="108" w:type="dxa"/>
          </w:tblCellMar>
        </w:tblPrEx>
        <w:trPr>
          <w:trHeight w:val="1134" w:hRule="atLeast"/>
          <w:jc w:val="center"/>
        </w:trPr>
        <w:tc>
          <w:tcPr>
            <w:tcW w:w="702" w:type="dxa"/>
            <w:vMerge w:val="restart"/>
            <w:tcBorders>
              <w:top w:val="single" w:color="auto" w:sz="4" w:space="0"/>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项目绩效</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55</w:t>
            </w:r>
          </w:p>
        </w:tc>
        <w:tc>
          <w:tcPr>
            <w:tcW w:w="703" w:type="dxa"/>
            <w:vMerge w:val="restart"/>
            <w:tcBorders>
              <w:top w:val="single" w:color="auto" w:sz="4" w:space="0"/>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项目产出</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15</w:t>
            </w:r>
          </w:p>
        </w:tc>
        <w:tc>
          <w:tcPr>
            <w:tcW w:w="803"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lang w:eastAsia="zh-CN"/>
              </w:rPr>
            </w:pPr>
            <w:r>
              <w:rPr>
                <w:rFonts w:hint="eastAsia" w:ascii="仿宋" w:hAnsi="仿宋" w:eastAsia="仿宋" w:cs="仿宋"/>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数量</w:t>
            </w:r>
          </w:p>
        </w:tc>
        <w:tc>
          <w:tcPr>
            <w:tcW w:w="550"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2407"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目标完成率=目标完成数/预定目标数×100%</w:t>
            </w:r>
          </w:p>
        </w:tc>
        <w:tc>
          <w:tcPr>
            <w:tcW w:w="2772"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完成绩效目标100%得5分，未完成100%的同比例扣减。</w:t>
            </w:r>
          </w:p>
        </w:tc>
        <w:tc>
          <w:tcPr>
            <w:tcW w:w="80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5</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lang w:eastAsia="zh-CN"/>
              </w:rPr>
            </w:pPr>
            <w:r>
              <w:rPr>
                <w:rFonts w:hint="eastAsia" w:ascii="仿宋" w:hAnsi="仿宋" w:eastAsia="仿宋" w:cs="仿宋"/>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质量</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4</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目标完成质量=实际达到的效果/预定目标×100%</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项目产出质量达到绩效目标100%得4分，未完成100%的同比例扣减。</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3</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lang w:eastAsia="zh-CN"/>
              </w:rPr>
            </w:pPr>
            <w:r>
              <w:rPr>
                <w:rFonts w:hint="eastAsia" w:ascii="仿宋" w:hAnsi="仿宋" w:eastAsia="仿宋" w:cs="仿宋"/>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时效</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项目资金使用的预定目标是否如期完成，未完成的理由是否充分</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项目产出时效达到绩效目标得3分，未如期完成且无充分理由的扣3分。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3</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lang w:eastAsia="zh-CN"/>
              </w:rPr>
            </w:pPr>
            <w:r>
              <w:rPr>
                <w:rFonts w:hint="eastAsia" w:ascii="仿宋" w:hAnsi="仿宋" w:eastAsia="仿宋" w:cs="仿宋"/>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成本</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项目产出成本是否按绩效目标控制</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项目产出成本按绩效目标控制得3分，未完成的，按超支比例扣减。</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3</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703" w:type="dxa"/>
            <w:vMerge w:val="restart"/>
            <w:tcBorders>
              <w:top w:val="nil"/>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项目效果</w:t>
            </w:r>
          </w:p>
        </w:tc>
        <w:tc>
          <w:tcPr>
            <w:tcW w:w="540" w:type="dxa"/>
            <w:vMerge w:val="restart"/>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40</w:t>
            </w: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lang w:eastAsia="zh-CN"/>
              </w:rPr>
            </w:pPr>
            <w:r>
              <w:rPr>
                <w:rFonts w:hint="eastAsia" w:ascii="仿宋" w:hAnsi="仿宋" w:eastAsia="仿宋" w:cs="仿宋"/>
                <w:kern w:val="0"/>
                <w:sz w:val="18"/>
                <w:szCs w:val="18"/>
              </w:rPr>
              <w:t>经济</w:t>
            </w:r>
          </w:p>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项目实施对经济发展所带来的直接或间接影响情况。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完成绩效目标设定的经济效益得8分，未完成的，按完成情况酌情扣分。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7</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lang w:eastAsia="zh-CN"/>
              </w:rPr>
            </w:pPr>
            <w:r>
              <w:rPr>
                <w:rFonts w:hint="eastAsia" w:ascii="仿宋" w:hAnsi="仿宋" w:eastAsia="仿宋" w:cs="仿宋"/>
                <w:kern w:val="0"/>
                <w:sz w:val="18"/>
                <w:szCs w:val="18"/>
              </w:rPr>
              <w:t>社会</w:t>
            </w:r>
          </w:p>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项目实施对社会发展所带来的直接或间接影响情况。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完成绩效目标设定的社会效益得8分，未完成的，按完成情况酌情扣分。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lang w:eastAsia="zh-CN"/>
              </w:rPr>
            </w:pPr>
            <w:r>
              <w:rPr>
                <w:rFonts w:hint="eastAsia" w:ascii="仿宋" w:hAnsi="仿宋" w:eastAsia="仿宋" w:cs="仿宋"/>
                <w:kern w:val="0"/>
                <w:sz w:val="18"/>
                <w:szCs w:val="18"/>
                <w:lang w:eastAsia="zh-CN"/>
              </w:rPr>
              <w:t>生态</w:t>
            </w:r>
          </w:p>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项目实施对生态环境所带来的直接或间接影响情况。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完成绩效目标设定的积极的环境效益得8分，未完成的，按完成情况酌情扣分。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lang w:eastAsia="zh-CN"/>
              </w:rPr>
            </w:pPr>
            <w:r>
              <w:rPr>
                <w:rFonts w:hint="eastAsia" w:ascii="仿宋" w:hAnsi="仿宋" w:eastAsia="仿宋" w:cs="仿宋"/>
                <w:kern w:val="0"/>
                <w:sz w:val="18"/>
                <w:szCs w:val="18"/>
              </w:rPr>
              <w:t>可持续</w:t>
            </w:r>
          </w:p>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影响</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项目后续运行及成效发挥的可持续影响情况。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完成绩效设定目标的得8分，未完成的，按完成情况酌情扣分。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服务</w:t>
            </w:r>
          </w:p>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对象</w:t>
            </w:r>
          </w:p>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满意度</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kern w:val="0"/>
                <w:sz w:val="18"/>
                <w:szCs w:val="18"/>
              </w:rPr>
            </w:pPr>
            <w:r>
              <w:rPr>
                <w:rFonts w:hint="eastAsia" w:ascii="仿宋" w:hAnsi="仿宋" w:eastAsia="仿宋" w:cs="仿宋"/>
                <w:kern w:val="0"/>
                <w:sz w:val="18"/>
                <w:szCs w:val="18"/>
              </w:rPr>
              <w:t>8</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服务对象满意率=项目区被调查人数中表示满意的人数(户数)/ 被调查人数(户数)×100%</w:t>
            </w:r>
          </w:p>
        </w:tc>
        <w:tc>
          <w:tcPr>
            <w:tcW w:w="2772" w:type="dxa"/>
            <w:tcBorders>
              <w:top w:val="nil"/>
              <w:left w:val="nil"/>
              <w:bottom w:val="single" w:color="000000" w:sz="4" w:space="0"/>
              <w:right w:val="nil"/>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 w:hAnsi="仿宋" w:eastAsia="仿宋" w:cs="仿宋"/>
                <w:kern w:val="0"/>
                <w:sz w:val="18"/>
                <w:szCs w:val="18"/>
              </w:rPr>
            </w:pPr>
            <w:r>
              <w:rPr>
                <w:rFonts w:hint="eastAsia" w:ascii="仿宋" w:hAnsi="仿宋" w:eastAsia="仿宋" w:cs="仿宋"/>
                <w:kern w:val="0"/>
                <w:sz w:val="18"/>
                <w:szCs w:val="18"/>
              </w:rPr>
              <w:t>满意率达90%（含）以上的得8分，80%（含）-90%得6分，70%（含）-80%得4分，60%（含）-70%得2分，60%以下不得分。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firstLine="240" w:firstLineChars="100"/>
              <w:jc w:val="left"/>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7</w:t>
            </w:r>
          </w:p>
        </w:tc>
      </w:tr>
      <w:tr>
        <w:tblPrEx>
          <w:tblCellMar>
            <w:top w:w="0" w:type="dxa"/>
            <w:left w:w="108" w:type="dxa"/>
            <w:bottom w:w="0" w:type="dxa"/>
            <w:right w:w="108" w:type="dxa"/>
          </w:tblCellMar>
        </w:tblPrEx>
        <w:trPr>
          <w:trHeight w:val="860" w:hRule="atLeast"/>
          <w:jc w:val="center"/>
        </w:trPr>
        <w:tc>
          <w:tcPr>
            <w:tcW w:w="702"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总分</w:t>
            </w: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100</w:t>
            </w:r>
          </w:p>
        </w:tc>
        <w:tc>
          <w:tcPr>
            <w:tcW w:w="7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b/>
                <w:bCs/>
                <w:kern w:val="0"/>
                <w:sz w:val="18"/>
                <w:szCs w:val="18"/>
              </w:rPr>
            </w:pP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100</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b/>
                <w:bCs/>
                <w:kern w:val="0"/>
                <w:sz w:val="18"/>
                <w:szCs w:val="18"/>
              </w:rPr>
            </w:pP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100</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b/>
                <w:bCs/>
                <w:kern w:val="0"/>
                <w:sz w:val="18"/>
                <w:szCs w:val="18"/>
              </w:rPr>
            </w:pPr>
          </w:p>
        </w:tc>
        <w:tc>
          <w:tcPr>
            <w:tcW w:w="2772" w:type="dxa"/>
            <w:tcBorders>
              <w:top w:val="nil"/>
              <w:left w:val="nil"/>
              <w:bottom w:val="single" w:color="000000" w:sz="4" w:space="0"/>
              <w:right w:val="nil"/>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b/>
                <w:bCs/>
                <w:kern w:val="0"/>
                <w:sz w:val="18"/>
                <w:szCs w:val="18"/>
              </w:rPr>
            </w:pP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 w:hAnsi="仿宋" w:eastAsia="仿宋" w:cs="仿宋"/>
                <w:b/>
                <w:bCs/>
                <w:kern w:val="0"/>
                <w:sz w:val="24"/>
                <w:lang w:val="en-US" w:eastAsia="zh-CN"/>
              </w:rPr>
            </w:pPr>
            <w:r>
              <w:rPr>
                <w:rFonts w:hint="eastAsia" w:ascii="仿宋" w:hAnsi="仿宋" w:eastAsia="仿宋" w:cs="仿宋"/>
                <w:b/>
                <w:bCs/>
                <w:kern w:val="0"/>
                <w:sz w:val="24"/>
                <w:lang w:val="en-US" w:eastAsia="zh-CN"/>
              </w:rPr>
              <w:t>95</w:t>
            </w:r>
          </w:p>
        </w:tc>
      </w:tr>
    </w:tbl>
    <w:p>
      <w:pPr>
        <w:adjustRightInd w:val="0"/>
        <w:snapToGrid w:val="0"/>
        <w:spacing w:before="156" w:beforeLines="50"/>
        <w:ind w:left="840" w:hanging="840" w:hangingChars="400"/>
        <w:contextualSpacing/>
        <w:rPr>
          <w:rFonts w:hint="eastAsia" w:ascii="仿宋" w:hAnsi="仿宋" w:eastAsia="仿宋" w:cs="仿宋"/>
        </w:rPr>
      </w:pPr>
      <w:r>
        <w:rPr>
          <w:rFonts w:hint="eastAsia" w:ascii="仿宋" w:hAnsi="仿宋" w:eastAsia="仿宋" w:cs="仿宋"/>
        </w:rPr>
        <w:t>备注：</w:t>
      </w:r>
      <w:r>
        <w:rPr>
          <w:rFonts w:hint="eastAsia" w:ascii="仿宋" w:hAnsi="仿宋" w:eastAsia="仿宋" w:cs="仿宋"/>
          <w:lang w:val="en-US" w:eastAsia="zh-CN"/>
        </w:rPr>
        <w:t>1、</w:t>
      </w:r>
      <w:r>
        <w:rPr>
          <w:rFonts w:hint="eastAsia" w:ascii="仿宋" w:hAnsi="仿宋" w:eastAsia="仿宋" w:cs="仿宋"/>
        </w:rPr>
        <w:t>部门（单位）根据项目实际，在《项目支出绩效评价指标</w:t>
      </w:r>
      <w:r>
        <w:rPr>
          <w:rFonts w:hint="eastAsia" w:ascii="仿宋" w:hAnsi="仿宋" w:eastAsia="仿宋" w:cs="仿宋"/>
          <w:lang w:eastAsia="zh-CN"/>
        </w:rPr>
        <w:t>评分表</w:t>
      </w:r>
      <w:r>
        <w:rPr>
          <w:rFonts w:hint="eastAsia" w:ascii="仿宋" w:hAnsi="仿宋" w:eastAsia="仿宋" w:cs="仿宋"/>
        </w:rPr>
        <w:t>（</w:t>
      </w:r>
      <w:r>
        <w:rPr>
          <w:rFonts w:hint="eastAsia" w:ascii="仿宋" w:hAnsi="仿宋" w:eastAsia="仿宋" w:cs="仿宋"/>
          <w:lang w:eastAsia="zh-CN"/>
        </w:rPr>
        <w:t>共性</w:t>
      </w:r>
      <w:r>
        <w:rPr>
          <w:rFonts w:hint="eastAsia" w:ascii="仿宋" w:hAnsi="仿宋" w:eastAsia="仿宋" w:cs="仿宋"/>
        </w:rPr>
        <w:t>）》上进一步完善、量化、细化个性指标，形成本项目的指标体系。</w:t>
      </w:r>
    </w:p>
    <w:p>
      <w:pPr>
        <w:adjustRightInd w:val="0"/>
        <w:snapToGrid w:val="0"/>
        <w:spacing w:before="156" w:beforeLines="50"/>
        <w:ind w:firstLine="630" w:firstLineChars="300"/>
        <w:contextualSpacing/>
        <w:rPr>
          <w:rFonts w:hint="eastAsia" w:ascii="仿宋" w:hAnsi="仿宋" w:eastAsia="仿宋" w:cs="仿宋"/>
          <w:sz w:val="32"/>
          <w:lang w:eastAsia="zh-CN"/>
        </w:rPr>
      </w:pPr>
      <w:r>
        <w:rPr>
          <w:rFonts w:hint="eastAsia" w:ascii="仿宋" w:hAnsi="仿宋" w:eastAsia="仿宋" w:cs="仿宋"/>
          <w:lang w:val="en-US" w:eastAsia="zh-CN"/>
        </w:rPr>
        <w:t>2、</w:t>
      </w:r>
      <w:r>
        <w:rPr>
          <w:rFonts w:hint="eastAsia" w:ascii="仿宋" w:hAnsi="仿宋" w:eastAsia="仿宋" w:cs="仿宋"/>
          <w:lang w:eastAsia="zh-CN"/>
        </w:rPr>
        <w:t>一个一级项目一张表。</w:t>
      </w:r>
    </w:p>
    <w:p>
      <w:pPr>
        <w:rPr>
          <w:rFonts w:hint="eastAsia" w:ascii="仿宋" w:hAnsi="仿宋" w:eastAsia="仿宋" w:cs="仿宋"/>
        </w:rPr>
      </w:pP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eastAsia" w:ascii="仿宋_GB2312" w:eastAsia="仿宋_GB2312"/>
          <w:sz w:val="32"/>
          <w:szCs w:val="32"/>
          <w:lang w:val="en-US" w:eastAsia="zh-CN"/>
        </w:rPr>
      </w:pPr>
      <w:bookmarkStart w:id="0" w:name="_GoBack"/>
      <w:bookmarkEnd w:id="0"/>
    </w:p>
    <w:sectPr>
      <w:pgSz w:w="11906" w:h="16838"/>
      <w:pgMar w:top="1984" w:right="1701" w:bottom="1984" w:left="1701"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83B250A-CB77-4FE1-8B9B-6835B8324904}"/>
  </w:font>
  <w:font w:name="Arial">
    <w:panose1 w:val="020B0604020202020204"/>
    <w:charset w:val="01"/>
    <w:family w:val="swiss"/>
    <w:pitch w:val="default"/>
    <w:sig w:usb0="E0002AFF" w:usb1="C0007843" w:usb2="00000009" w:usb3="00000000" w:csb0="400001FF" w:csb1="FFFF0000"/>
    <w:embedRegular r:id="rId2" w:fontKey="{AD6F6101-491D-4C21-AC90-30C41A136B86}"/>
  </w:font>
  <w:font w:name="黑体">
    <w:panose1 w:val="02010609060101010101"/>
    <w:charset w:val="86"/>
    <w:family w:val="auto"/>
    <w:pitch w:val="default"/>
    <w:sig w:usb0="800002BF" w:usb1="38CF7CFA" w:usb2="00000016" w:usb3="00000000" w:csb0="00040001" w:csb1="00000000"/>
    <w:embedRegular r:id="rId3" w:fontKey="{DDE208A6-74D3-4E9F-A7E3-4D4FC3A7D863}"/>
  </w:font>
  <w:font w:name="Courier New">
    <w:panose1 w:val="02070309020205020404"/>
    <w:charset w:val="01"/>
    <w:family w:val="modern"/>
    <w:pitch w:val="default"/>
    <w:sig w:usb0="E0002AFF" w:usb1="C0007843" w:usb2="00000009" w:usb3="00000000" w:csb0="400001FF" w:csb1="FFFF0000"/>
    <w:embedRegular r:id="rId4" w:fontKey="{DD6C6755-9810-4FD1-82AF-DE8ECD3B3D0A}"/>
  </w:font>
  <w:font w:name="Symbol">
    <w:panose1 w:val="05050102010706020507"/>
    <w:charset w:val="02"/>
    <w:family w:val="roman"/>
    <w:pitch w:val="default"/>
    <w:sig w:usb0="00000000" w:usb1="00000000" w:usb2="00000000" w:usb3="00000000" w:csb0="80000000" w:csb1="00000000"/>
    <w:embedRegular r:id="rId5" w:fontKey="{970FD62F-A7CD-41B0-A81E-A0A786403336}"/>
  </w:font>
  <w:font w:name="Calibri">
    <w:panose1 w:val="020F0502020204030204"/>
    <w:charset w:val="00"/>
    <w:family w:val="swiss"/>
    <w:pitch w:val="default"/>
    <w:sig w:usb0="E00002FF" w:usb1="4000ACFF" w:usb2="00000001" w:usb3="00000000" w:csb0="2000019F" w:csb1="00000000"/>
    <w:embedRegular r:id="rId6" w:fontKey="{C2983803-151B-4714-8F57-820E1D8E045B}"/>
  </w:font>
  <w:font w:name="??_GB2312">
    <w:altName w:val="Times New Roman"/>
    <w:panose1 w:val="00000000000000000000"/>
    <w:charset w:val="00"/>
    <w:family w:val="auto"/>
    <w:pitch w:val="default"/>
    <w:sig w:usb0="00000000" w:usb1="00000000" w:usb2="00000000" w:usb3="00000000" w:csb0="00000001" w:csb1="00000000"/>
  </w:font>
  <w:font w:name="方正小标宋简体">
    <w:panose1 w:val="03000509000000000000"/>
    <w:charset w:val="86"/>
    <w:family w:val="auto"/>
    <w:pitch w:val="default"/>
    <w:sig w:usb0="00000001" w:usb1="080E0000" w:usb2="00000000" w:usb3="00000000" w:csb0="00040000" w:csb1="00000000"/>
    <w:embedRegular r:id="rId7" w:fontKey="{784A560B-CE8B-4763-AACD-94DD501E6D85}"/>
  </w:font>
  <w:font w:name="新宋体">
    <w:panose1 w:val="02010609030101010101"/>
    <w:charset w:val="86"/>
    <w:family w:val="auto"/>
    <w:pitch w:val="default"/>
    <w:sig w:usb0="00000003" w:usb1="288F0000" w:usb2="00000006" w:usb3="00000000" w:csb0="00040001" w:csb1="00000000"/>
    <w:embedRegular r:id="rId8" w:fontKey="{533A07FE-54E2-418B-9675-5092FD606AED}"/>
  </w:font>
  <w:font w:name="仿宋_GB2312">
    <w:panose1 w:val="02010609030101010101"/>
    <w:charset w:val="86"/>
    <w:family w:val="auto"/>
    <w:pitch w:val="default"/>
    <w:sig w:usb0="00000001" w:usb1="080E0000" w:usb2="00000000" w:usb3="00000000" w:csb0="00040000" w:csb1="00000000"/>
    <w:embedRegular r:id="rId9" w:fontKey="{21E2FE4D-1682-4FF7-9B37-442464D217C1}"/>
  </w:font>
  <w:font w:name="仿宋">
    <w:panose1 w:val="02010609060101010101"/>
    <w:charset w:val="86"/>
    <w:family w:val="auto"/>
    <w:pitch w:val="default"/>
    <w:sig w:usb0="800002BF" w:usb1="38CF7CFA" w:usb2="00000016" w:usb3="00000000" w:csb0="00040001" w:csb1="00000000"/>
    <w:embedRegular r:id="rId10" w:fontKey="{CD712BE4-FC03-4F44-AAA3-C211277C3F54}"/>
  </w:font>
  <w:font w:name="原版宋体">
    <w:altName w:val="宋体"/>
    <w:panose1 w:val="02010600030101010101"/>
    <w:charset w:val="00"/>
    <w:family w:val="auto"/>
    <w:pitch w:val="default"/>
    <w:sig w:usb0="00000000" w:usb1="00000000" w:usb2="00000000" w:usb3="00000000" w:csb0="00040001" w:csb1="00000000"/>
    <w:embedRegular r:id="rId11" w:fontKey="{919A1A69-7EC6-4707-BBA0-9B0D1C1CFD33}"/>
  </w:font>
  <w:font w:name="方正小标宋_GBK">
    <w:panose1 w:val="03000509000000000000"/>
    <w:charset w:val="86"/>
    <w:family w:val="script"/>
    <w:pitch w:val="default"/>
    <w:sig w:usb0="00000001" w:usb1="080E0000" w:usb2="00000000" w:usb3="00000000" w:csb0="00040000" w:csb1="00000000"/>
    <w:embedRegular r:id="rId12" w:fontKey="{350BAE2E-3698-4E14-9C39-C7A015F552A3}"/>
  </w:font>
  <w:font w:name="楷体_GB2312">
    <w:panose1 w:val="02010609030101010101"/>
    <w:charset w:val="86"/>
    <w:family w:val="auto"/>
    <w:pitch w:val="default"/>
    <w:sig w:usb0="00000001" w:usb1="080E0000" w:usb2="00000000" w:usb3="00000000" w:csb0="00040000" w:csb1="00000000"/>
    <w:embedRegular r:id="rId13" w:fontKey="{F5613E50-8791-442B-892D-94FBEC70F933}"/>
  </w:font>
  <w:font w:name="楷体">
    <w:panose1 w:val="02010609060101010101"/>
    <w:charset w:val="86"/>
    <w:family w:val="modern"/>
    <w:pitch w:val="default"/>
    <w:sig w:usb0="800002BF" w:usb1="38CF7CFA" w:usb2="00000016" w:usb3="00000000" w:csb0="00040001" w:csb1="00000000"/>
    <w:embedRegular r:id="rId14" w:fontKey="{39ADA509-A22E-4FCE-87A1-BACFEBBB4D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rPr>
        <w:rFonts w:ascii="仿宋_GB2312" w:eastAsia="仿宋_GB2312"/>
        <w:sz w:val="28"/>
        <w:szCs w:val="28"/>
      </w:rP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5"/>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pPr>
                      <w:pStyle w:val="5"/>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DC46AD"/>
    <w:multiLevelType w:val="singleLevel"/>
    <w:tmpl w:val="1FDC46AD"/>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2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Q5YTI5YWM5OTRkOWI0MDc5NDJhYzEzNTcyNDlhZTAifQ=="/>
  </w:docVars>
  <w:rsids>
    <w:rsidRoot w:val="0CCB7736"/>
    <w:rsid w:val="00047FEF"/>
    <w:rsid w:val="000A3906"/>
    <w:rsid w:val="001776F1"/>
    <w:rsid w:val="006F0A16"/>
    <w:rsid w:val="00773328"/>
    <w:rsid w:val="00821883"/>
    <w:rsid w:val="00917857"/>
    <w:rsid w:val="00A755C2"/>
    <w:rsid w:val="016A347B"/>
    <w:rsid w:val="02B50488"/>
    <w:rsid w:val="0338470A"/>
    <w:rsid w:val="034822A9"/>
    <w:rsid w:val="03D86621"/>
    <w:rsid w:val="04200A53"/>
    <w:rsid w:val="04EE6171"/>
    <w:rsid w:val="05395EA9"/>
    <w:rsid w:val="0ABD557B"/>
    <w:rsid w:val="0BBB5A8D"/>
    <w:rsid w:val="0C104906"/>
    <w:rsid w:val="0CCB7736"/>
    <w:rsid w:val="0D9E0E8D"/>
    <w:rsid w:val="0EAB7397"/>
    <w:rsid w:val="0EF755B3"/>
    <w:rsid w:val="0F17035E"/>
    <w:rsid w:val="0F4E168D"/>
    <w:rsid w:val="11404466"/>
    <w:rsid w:val="11963ADD"/>
    <w:rsid w:val="11EB0F5C"/>
    <w:rsid w:val="11F20483"/>
    <w:rsid w:val="12F878A7"/>
    <w:rsid w:val="136F31F8"/>
    <w:rsid w:val="138750E0"/>
    <w:rsid w:val="15A620D3"/>
    <w:rsid w:val="16A3369E"/>
    <w:rsid w:val="171441AC"/>
    <w:rsid w:val="178536BD"/>
    <w:rsid w:val="17D042B8"/>
    <w:rsid w:val="18F91B8A"/>
    <w:rsid w:val="19516372"/>
    <w:rsid w:val="19575CC2"/>
    <w:rsid w:val="19A80228"/>
    <w:rsid w:val="1A101464"/>
    <w:rsid w:val="1AB74849"/>
    <w:rsid w:val="1AC52FF2"/>
    <w:rsid w:val="1AE6175D"/>
    <w:rsid w:val="1B742AA7"/>
    <w:rsid w:val="1C1B552A"/>
    <w:rsid w:val="1CA34935"/>
    <w:rsid w:val="1D5A640E"/>
    <w:rsid w:val="1DF920E2"/>
    <w:rsid w:val="1F7640EC"/>
    <w:rsid w:val="20D76C5F"/>
    <w:rsid w:val="21057490"/>
    <w:rsid w:val="214A230E"/>
    <w:rsid w:val="21B052C4"/>
    <w:rsid w:val="22FF5445"/>
    <w:rsid w:val="238D0E57"/>
    <w:rsid w:val="24256710"/>
    <w:rsid w:val="251E7983"/>
    <w:rsid w:val="254952D2"/>
    <w:rsid w:val="260D5D83"/>
    <w:rsid w:val="284A2254"/>
    <w:rsid w:val="292F1467"/>
    <w:rsid w:val="29786927"/>
    <w:rsid w:val="297B51B4"/>
    <w:rsid w:val="29E40467"/>
    <w:rsid w:val="29F527E2"/>
    <w:rsid w:val="2B9351F9"/>
    <w:rsid w:val="2BF35971"/>
    <w:rsid w:val="2C487650"/>
    <w:rsid w:val="2CD33478"/>
    <w:rsid w:val="2D0344BC"/>
    <w:rsid w:val="2DDC165D"/>
    <w:rsid w:val="2E4F43C0"/>
    <w:rsid w:val="2EC7368E"/>
    <w:rsid w:val="2FC30C0F"/>
    <w:rsid w:val="30FB4B41"/>
    <w:rsid w:val="314F441E"/>
    <w:rsid w:val="31621165"/>
    <w:rsid w:val="323C5548"/>
    <w:rsid w:val="37450F88"/>
    <w:rsid w:val="37D6106F"/>
    <w:rsid w:val="38F862EB"/>
    <w:rsid w:val="39343807"/>
    <w:rsid w:val="39887BBC"/>
    <w:rsid w:val="3A53023B"/>
    <w:rsid w:val="3AF42D2D"/>
    <w:rsid w:val="3B3A041F"/>
    <w:rsid w:val="3BAE6BF9"/>
    <w:rsid w:val="3CCA47F2"/>
    <w:rsid w:val="3CDE0708"/>
    <w:rsid w:val="3D5877DF"/>
    <w:rsid w:val="3DC55CAA"/>
    <w:rsid w:val="3DD556CA"/>
    <w:rsid w:val="3F16680E"/>
    <w:rsid w:val="3F450429"/>
    <w:rsid w:val="40204AD5"/>
    <w:rsid w:val="40226C80"/>
    <w:rsid w:val="40C451A5"/>
    <w:rsid w:val="4156470B"/>
    <w:rsid w:val="41943ACE"/>
    <w:rsid w:val="425D4066"/>
    <w:rsid w:val="430507AC"/>
    <w:rsid w:val="43173FD4"/>
    <w:rsid w:val="44143822"/>
    <w:rsid w:val="44526EBB"/>
    <w:rsid w:val="44654A12"/>
    <w:rsid w:val="457C5F26"/>
    <w:rsid w:val="460C6D7B"/>
    <w:rsid w:val="49CF255F"/>
    <w:rsid w:val="4ABD7EF7"/>
    <w:rsid w:val="4B2C5DCD"/>
    <w:rsid w:val="4B7D1173"/>
    <w:rsid w:val="4C150E22"/>
    <w:rsid w:val="4C6A38FC"/>
    <w:rsid w:val="4CA41634"/>
    <w:rsid w:val="4CE74BC3"/>
    <w:rsid w:val="4CF5000E"/>
    <w:rsid w:val="4DB17672"/>
    <w:rsid w:val="4DB73AD7"/>
    <w:rsid w:val="500B253F"/>
    <w:rsid w:val="50843723"/>
    <w:rsid w:val="50AC44C4"/>
    <w:rsid w:val="50EA6DB9"/>
    <w:rsid w:val="51CA7471"/>
    <w:rsid w:val="521C2FA3"/>
    <w:rsid w:val="522529B2"/>
    <w:rsid w:val="527F1C59"/>
    <w:rsid w:val="53910AF4"/>
    <w:rsid w:val="555952B3"/>
    <w:rsid w:val="556B5A36"/>
    <w:rsid w:val="55AF40BB"/>
    <w:rsid w:val="56F72F7C"/>
    <w:rsid w:val="576B283C"/>
    <w:rsid w:val="586243BF"/>
    <w:rsid w:val="58FD3402"/>
    <w:rsid w:val="5AAF7799"/>
    <w:rsid w:val="5B5C1753"/>
    <w:rsid w:val="5E134100"/>
    <w:rsid w:val="5F7A1C50"/>
    <w:rsid w:val="601C4AB5"/>
    <w:rsid w:val="60BE691E"/>
    <w:rsid w:val="61444403"/>
    <w:rsid w:val="62265BDF"/>
    <w:rsid w:val="62D032DE"/>
    <w:rsid w:val="62E1699A"/>
    <w:rsid w:val="64147F0D"/>
    <w:rsid w:val="64D66362"/>
    <w:rsid w:val="65860217"/>
    <w:rsid w:val="66253391"/>
    <w:rsid w:val="667E0AA1"/>
    <w:rsid w:val="683214B3"/>
    <w:rsid w:val="68FB17C3"/>
    <w:rsid w:val="695F12F9"/>
    <w:rsid w:val="69636C3A"/>
    <w:rsid w:val="69CF7B2C"/>
    <w:rsid w:val="6A0B0004"/>
    <w:rsid w:val="6BA1010E"/>
    <w:rsid w:val="6C247AD1"/>
    <w:rsid w:val="6CE47E41"/>
    <w:rsid w:val="6CED5810"/>
    <w:rsid w:val="6CF92413"/>
    <w:rsid w:val="6DFE5E04"/>
    <w:rsid w:val="6E87203D"/>
    <w:rsid w:val="6EE84E76"/>
    <w:rsid w:val="6F9278BB"/>
    <w:rsid w:val="71572F19"/>
    <w:rsid w:val="719B7427"/>
    <w:rsid w:val="71AA74E8"/>
    <w:rsid w:val="71B470D0"/>
    <w:rsid w:val="724A6793"/>
    <w:rsid w:val="736F7488"/>
    <w:rsid w:val="741F26FA"/>
    <w:rsid w:val="74470DF8"/>
    <w:rsid w:val="744F7C8E"/>
    <w:rsid w:val="75A3300B"/>
    <w:rsid w:val="75FD1676"/>
    <w:rsid w:val="76EE23CB"/>
    <w:rsid w:val="76FA0384"/>
    <w:rsid w:val="799536BA"/>
    <w:rsid w:val="7B170752"/>
    <w:rsid w:val="7B8F681B"/>
    <w:rsid w:val="7D8D631A"/>
    <w:rsid w:val="7DD96C0E"/>
    <w:rsid w:val="7E474F7B"/>
    <w:rsid w:val="7E8F7AC1"/>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0"/>
    <w:qFormat/>
    <w:locked/>
    <w:uiPriority w:val="0"/>
    <w:pPr>
      <w:keepNext/>
      <w:keepLines/>
      <w:outlineLvl w:val="0"/>
    </w:pPr>
    <w:rPr>
      <w:rFonts w:eastAsia="黑体"/>
      <w:bCs/>
      <w:kern w:val="44"/>
      <w:szCs w:val="44"/>
    </w:rPr>
  </w:style>
  <w:style w:type="character" w:default="1" w:styleId="12">
    <w:name w:val="Default Paragraph Font"/>
    <w:semiHidden/>
    <w:qFormat/>
    <w:uiPriority w:val="99"/>
  </w:style>
  <w:style w:type="table" w:default="1" w:styleId="10">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CellMar>
        <w:top w:w="0" w:type="dxa"/>
        <w:left w:w="108" w:type="dxa"/>
        <w:bottom w:w="0" w:type="dxa"/>
        <w:right w:w="108" w:type="dxa"/>
      </w:tblCellMar>
    </w:tblPr>
  </w:style>
  <w:style w:type="paragraph" w:customStyle="1" w:styleId="2">
    <w:name w:val="BodyText1I"/>
    <w:basedOn w:val="1"/>
    <w:qFormat/>
    <w:uiPriority w:val="99"/>
    <w:pPr>
      <w:snapToGrid w:val="0"/>
      <w:spacing w:line="360" w:lineRule="auto"/>
      <w:ind w:firstLine="420" w:firstLineChars="100"/>
    </w:pPr>
    <w:rPr>
      <w:sz w:val="28"/>
      <w:szCs w:val="20"/>
    </w:rPr>
  </w:style>
  <w:style w:type="paragraph" w:styleId="4">
    <w:name w:val="Body Text Indent"/>
    <w:basedOn w:val="1"/>
    <w:qFormat/>
    <w:uiPriority w:val="99"/>
    <w:pPr>
      <w:adjustRightInd w:val="0"/>
      <w:snapToGrid w:val="0"/>
      <w:spacing w:line="324" w:lineRule="auto"/>
      <w:ind w:firstLine="560" w:firstLineChars="200"/>
    </w:pPr>
    <w:rPr>
      <w:rFonts w:ascii="??_GB2312" w:eastAsia="Times New Roman"/>
      <w:sz w:val="28"/>
    </w:rPr>
  </w:style>
  <w:style w:type="paragraph" w:styleId="5">
    <w:name w:val="footer"/>
    <w:basedOn w:val="1"/>
    <w:link w:val="15"/>
    <w:qFormat/>
    <w:uiPriority w:val="99"/>
    <w:pPr>
      <w:tabs>
        <w:tab w:val="center" w:pos="4153"/>
        <w:tab w:val="right" w:pos="8306"/>
      </w:tabs>
      <w:snapToGrid w:val="0"/>
      <w:jc w:val="left"/>
    </w:pPr>
    <w:rPr>
      <w:sz w:val="18"/>
      <w:szCs w:val="18"/>
    </w:rPr>
  </w:style>
  <w:style w:type="paragraph" w:styleId="6">
    <w:name w:val="header"/>
    <w:basedOn w:val="1"/>
    <w:link w:val="16"/>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footnote text"/>
    <w:basedOn w:val="1"/>
    <w:next w:val="1"/>
    <w:qFormat/>
    <w:uiPriority w:val="0"/>
    <w:pPr>
      <w:snapToGrid w:val="0"/>
      <w:jc w:val="left"/>
    </w:pPr>
    <w:rPr>
      <w:sz w:val="18"/>
      <w:szCs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paragraph" w:styleId="9">
    <w:name w:val="Body Text First Indent 2"/>
    <w:basedOn w:val="4"/>
    <w:qFormat/>
    <w:uiPriority w:val="0"/>
    <w:pPr>
      <w:spacing w:after="0"/>
    </w:pPr>
  </w:style>
  <w:style w:type="table" w:styleId="11">
    <w:name w:val="Table Grid"/>
    <w:basedOn w:val="10"/>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basedOn w:val="12"/>
    <w:qFormat/>
    <w:locked/>
    <w:uiPriority w:val="0"/>
    <w:rPr>
      <w:b/>
    </w:rPr>
  </w:style>
  <w:style w:type="character" w:styleId="14">
    <w:name w:val="page number"/>
    <w:basedOn w:val="12"/>
    <w:qFormat/>
    <w:uiPriority w:val="99"/>
    <w:rPr>
      <w:rFonts w:cs="Times New Roman"/>
    </w:rPr>
  </w:style>
  <w:style w:type="character" w:customStyle="1" w:styleId="15">
    <w:name w:val="Footer Char"/>
    <w:basedOn w:val="12"/>
    <w:link w:val="5"/>
    <w:semiHidden/>
    <w:qFormat/>
    <w:uiPriority w:val="99"/>
    <w:rPr>
      <w:sz w:val="18"/>
      <w:szCs w:val="18"/>
    </w:rPr>
  </w:style>
  <w:style w:type="character" w:customStyle="1" w:styleId="16">
    <w:name w:val="Header Char"/>
    <w:basedOn w:val="12"/>
    <w:link w:val="6"/>
    <w:semiHidden/>
    <w:qFormat/>
    <w:uiPriority w:val="99"/>
    <w:rPr>
      <w:sz w:val="18"/>
      <w:szCs w:val="18"/>
    </w:rPr>
  </w:style>
  <w:style w:type="paragraph" w:styleId="17">
    <w:name w:val="List Paragraph"/>
    <w:basedOn w:val="1"/>
    <w:qFormat/>
    <w:uiPriority w:val="99"/>
    <w:pPr>
      <w:ind w:firstLine="420" w:firstLineChars="200"/>
    </w:pPr>
    <w:rPr>
      <w:rFonts w:ascii="Calibri" w:hAnsi="Calibri"/>
      <w:szCs w:val="22"/>
    </w:rPr>
  </w:style>
  <w:style w:type="table" w:customStyle="1" w:styleId="18">
    <w:name w:val="Table Normal"/>
    <w:semiHidden/>
    <w:unhideWhenUsed/>
    <w:qFormat/>
    <w:uiPriority w:val="0"/>
    <w:tblPr>
      <w:tblCellMar>
        <w:top w:w="0" w:type="dxa"/>
        <w:left w:w="0" w:type="dxa"/>
        <w:bottom w:w="0" w:type="dxa"/>
        <w:right w:w="0" w:type="dxa"/>
      </w:tblCellMar>
    </w:tblPr>
  </w:style>
  <w:style w:type="paragraph" w:customStyle="1" w:styleId="19">
    <w:name w:val="列出段落1"/>
    <w:basedOn w:val="1"/>
    <w:qFormat/>
    <w:uiPriority w:val="0"/>
    <w:pPr>
      <w:ind w:firstLine="420" w:firstLineChars="200"/>
    </w:pPr>
  </w:style>
  <w:style w:type="character" w:customStyle="1" w:styleId="20">
    <w:name w:val="标题 1 Char"/>
    <w:link w:val="3"/>
    <w:qFormat/>
    <w:uiPriority w:val="0"/>
    <w:rPr>
      <w:rFonts w:eastAsia="黑体"/>
      <w:bCs/>
      <w:kern w:val="44"/>
      <w:szCs w:val="4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13</Pages>
  <Words>4354</Words>
  <Characters>4599</Characters>
  <Lines>0</Lines>
  <Paragraphs>0</Paragraphs>
  <TotalTime>4</TotalTime>
  <ScaleCrop>false</ScaleCrop>
  <LinksUpToDate>false</LinksUpToDate>
  <CharactersWithSpaces>4995</CharactersWithSpaces>
  <Application>WPS Office_11.8.6.11825_F1E327BC-269C-435d-A152-05C5408002CA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2020-06-04T01:07:00Z</dcterms:created>
  <dc:creator>Administrator</dc:creator>
  <cp:lastModifiedBy>綦群艳</cp:lastModifiedBy>
  <cp:lastPrinted>2023-07-17T02:58:31Z</cp:lastPrinted>
  <dcterms:modified xsi:type="dcterms:W3CDTF">2023-07-17T03:11:00Z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2052-11.8.6.11825</vt:lpwstr>
  </property>
  <property fmtid="{D5CDD505-2E9C-101B-9397-08002B2CF9AE}" pid="3" name="KSOSaveFontToCloudKey">
    <vt:lpwstr>386772509_embed</vt:lpwstr>
  </property>
  <property fmtid="{D5CDD505-2E9C-101B-9397-08002B2CF9AE}" pid="4" name="ICV">
    <vt:lpwstr>EAA0F2B9A72A4576BD11B4AA9E0FD750</vt:lpwstr>
  </property>
</Properties>
</file>