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7"/>
        <w:tblW w:w="4997" w:type="pct"/>
        <w:jc w:val="center"/>
        <w:tblLayout w:type="autofit"/>
        <w:tblCellMar>
          <w:top w:w="0" w:type="dxa"/>
          <w:left w:w="108" w:type="dxa"/>
          <w:bottom w:w="0" w:type="dxa"/>
          <w:right w:w="108" w:type="dxa"/>
        </w:tblCellMar>
      </w:tblPr>
      <w:tblGrid>
        <w:gridCol w:w="3218"/>
        <w:gridCol w:w="1955"/>
        <w:gridCol w:w="2436"/>
        <w:gridCol w:w="1673"/>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77</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153</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50.33%</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3987.63</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4285.08</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3458.18</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966.00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lang w:val="en-US" w:eastAsia="zh-CN"/>
              </w:rPr>
            </w:pPr>
            <w:r>
              <w:rPr>
                <w:rFonts w:hint="eastAsia" w:ascii="新宋体" w:hAnsi="新宋体" w:eastAsia="新宋体" w:cs="新宋体"/>
                <w:sz w:val="21"/>
                <w:szCs w:val="21"/>
                <w:lang w:val="en-US" w:eastAsia="zh-CN"/>
              </w:rPr>
              <w:t>826.90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.卫生健康扶贫项目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966.00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826.90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ascii="新宋体" w:hAnsi="新宋体" w:eastAsia="新宋体" w:cs="新宋体"/>
          <w:i w:val="0"/>
          <w:iCs w:val="0"/>
          <w:color w:val="000000"/>
          <w:sz w:val="18"/>
          <w:szCs w:val="18"/>
          <w:lang w:val="en-US" w:eastAsia="zh-CN"/>
        </w:rPr>
        <w:t>汤纯</w:t>
      </w:r>
      <w:r>
        <w:rPr>
          <w:rFonts w:hint="default" w:ascii="Times New Roman" w:hAnsi="Times New Roman" w:eastAsia="仿宋_GB2312" w:cs="Times New Roman"/>
          <w:sz w:val="22"/>
        </w:rPr>
        <w:t xml:space="preserve">   填报日期：</w:t>
      </w:r>
      <w:r>
        <w:rPr>
          <w:rFonts w:hint="eastAsia" w:ascii="新宋体" w:hAnsi="新宋体" w:eastAsia="新宋体" w:cs="新宋体"/>
          <w:i w:val="0"/>
          <w:iCs w:val="0"/>
          <w:color w:val="000000"/>
          <w:sz w:val="18"/>
          <w:szCs w:val="18"/>
          <w:lang w:val="en-US" w:eastAsia="zh-CN"/>
        </w:rPr>
        <w:t>2023年7月13日</w:t>
      </w:r>
      <w:r>
        <w:rPr>
          <w:rFonts w:hint="default" w:ascii="Times New Roman" w:hAnsi="Times New Roman" w:eastAsia="仿宋_GB2312" w:cs="Times New Roman"/>
          <w:sz w:val="22"/>
        </w:rPr>
        <w:t xml:space="preserve"> </w:t>
      </w:r>
      <w:r>
        <w:rPr>
          <w:rFonts w:hint="eastAsia" w:eastAsia="仿宋_GB2312" w:cs="Times New Roman"/>
          <w:sz w:val="22"/>
          <w:lang w:val="en-US" w:eastAsia="zh-CN"/>
        </w:rPr>
        <w:t xml:space="preserve"> </w:t>
      </w:r>
      <w:r>
        <w:rPr>
          <w:rFonts w:hint="default" w:ascii="Times New Roman" w:hAnsi="Times New Roman" w:eastAsia="仿宋_GB2312" w:cs="Times New Roman"/>
          <w:sz w:val="22"/>
        </w:rPr>
        <w:t xml:space="preserve"> 联系电话：</w:t>
      </w:r>
      <w:r>
        <w:rPr>
          <w:rFonts w:hint="eastAsia" w:ascii="新宋体" w:hAnsi="新宋体" w:eastAsia="新宋体" w:cs="新宋体"/>
          <w:i w:val="0"/>
          <w:iCs w:val="0"/>
          <w:color w:val="000000"/>
          <w:sz w:val="18"/>
          <w:szCs w:val="18"/>
          <w:lang w:val="en-US" w:eastAsia="zh-CN"/>
        </w:rPr>
        <w:t>18773034733</w:t>
      </w:r>
      <w:r>
        <w:rPr>
          <w:rFonts w:hint="default" w:ascii="新宋体" w:hAnsi="新宋体" w:eastAsia="新宋体" w:cs="新宋体"/>
          <w:i w:val="0"/>
          <w:iCs w:val="0"/>
          <w:color w:val="000000"/>
          <w:sz w:val="18"/>
          <w:szCs w:val="18"/>
          <w:lang w:val="en-US" w:eastAsia="zh-CN"/>
        </w:rPr>
        <w:t xml:space="preserve"> </w:t>
      </w:r>
      <w:r>
        <w:rPr>
          <w:rFonts w:hint="default" w:ascii="Times New Roman" w:hAnsi="Times New Roman" w:eastAsia="仿宋_GB2312" w:cs="Times New Roman"/>
          <w:sz w:val="22"/>
        </w:rPr>
        <w:t xml:space="preserve">   单位负责人签字：</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7"/>
        <w:tblW w:w="4996" w:type="pct"/>
        <w:jc w:val="center"/>
        <w:tblLayout w:type="autofit"/>
        <w:tblCellMar>
          <w:top w:w="0" w:type="dxa"/>
          <w:left w:w="108" w:type="dxa"/>
          <w:bottom w:w="0" w:type="dxa"/>
          <w:right w:w="108" w:type="dxa"/>
        </w:tblCellMar>
      </w:tblPr>
      <w:tblGrid>
        <w:gridCol w:w="1079"/>
        <w:gridCol w:w="866"/>
        <w:gridCol w:w="871"/>
        <w:gridCol w:w="1051"/>
        <w:gridCol w:w="1112"/>
        <w:gridCol w:w="1129"/>
        <w:gridCol w:w="587"/>
        <w:gridCol w:w="1012"/>
        <w:gridCol w:w="1574"/>
      </w:tblGrid>
      <w:tr>
        <w:tblPrEx>
          <w:tblCellMar>
            <w:top w:w="0" w:type="dxa"/>
            <w:left w:w="108" w:type="dxa"/>
            <w:bottom w:w="0" w:type="dxa"/>
            <w:right w:w="108" w:type="dxa"/>
          </w:tblCellMar>
        </w:tblPrEx>
        <w:trPr>
          <w:trHeight w:val="1003" w:hRule="atLeast"/>
          <w:jc w:val="center"/>
        </w:trPr>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17"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华容县精神病专科医院</w:t>
            </w:r>
          </w:p>
        </w:tc>
      </w:tr>
      <w:tr>
        <w:tblPrEx>
          <w:tblCellMar>
            <w:top w:w="0" w:type="dxa"/>
            <w:left w:w="108" w:type="dxa"/>
            <w:bottom w:w="0" w:type="dxa"/>
            <w:right w:w="108" w:type="dxa"/>
          </w:tblCellMar>
        </w:tblPrEx>
        <w:trPr>
          <w:trHeight w:val="863" w:hRule="atLeast"/>
          <w:jc w:val="center"/>
        </w:trPr>
        <w:tc>
          <w:tcPr>
            <w:tcW w:w="582"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936"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9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582"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936"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3643.00</w:t>
            </w:r>
          </w:p>
        </w:tc>
        <w:tc>
          <w:tcPr>
            <w:tcW w:w="59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4285.08</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i w:val="0"/>
                <w:iCs w:val="0"/>
                <w:sz w:val="21"/>
                <w:szCs w:val="21"/>
                <w:lang w:val="en-US" w:eastAsia="zh-CN"/>
              </w:rPr>
              <w:t>4285.08</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1368.37</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3458.18</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w:t>
            </w:r>
            <w:r>
              <w:rPr>
                <w:rFonts w:hint="eastAsia" w:ascii="新宋体" w:hAnsi="新宋体" w:eastAsia="新宋体" w:cs="新宋体"/>
                <w:i w:val="0"/>
                <w:iCs w:val="0"/>
                <w:color w:val="000000"/>
                <w:sz w:val="21"/>
                <w:szCs w:val="21"/>
                <w:lang w:val="en-US" w:eastAsia="zh-CN"/>
              </w:rPr>
              <w:t>0</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826.90</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纳入专户管理的非税收入拨款：</w:t>
            </w:r>
            <w:r>
              <w:rPr>
                <w:rFonts w:hint="eastAsia" w:ascii="新宋体" w:hAnsi="新宋体" w:eastAsia="新宋体" w:cs="新宋体"/>
                <w:i w:val="0"/>
                <w:iCs w:val="0"/>
                <w:color w:val="000000"/>
                <w:sz w:val="21"/>
                <w:szCs w:val="21"/>
                <w:lang w:val="en-US" w:eastAsia="zh-CN"/>
              </w:rPr>
              <w:t>0</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其他资金：</w:t>
            </w:r>
            <w:r>
              <w:rPr>
                <w:rFonts w:hint="eastAsia" w:ascii="新宋体" w:hAnsi="新宋体" w:eastAsia="新宋体" w:cs="新宋体"/>
                <w:i w:val="0"/>
                <w:iCs w:val="0"/>
                <w:color w:val="000000"/>
                <w:sz w:val="21"/>
                <w:szCs w:val="21"/>
                <w:lang w:val="en-US" w:eastAsia="zh-CN"/>
              </w:rPr>
              <w:t>2916.71</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2"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101"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316"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58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101"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rPr>
            </w:pPr>
            <w:r>
              <w:rPr>
                <w:rFonts w:hint="eastAsia" w:ascii="新宋体" w:hAnsi="新宋体" w:eastAsia="新宋体" w:cs="新宋体"/>
                <w:i w:val="0"/>
                <w:iCs w:val="0"/>
                <w:color w:val="000000"/>
                <w:sz w:val="18"/>
                <w:szCs w:val="18"/>
              </w:rPr>
              <w:t>目标1：</w:t>
            </w:r>
            <w:r>
              <w:rPr>
                <w:rFonts w:hint="eastAsia" w:ascii="新宋体" w:hAnsi="新宋体" w:eastAsia="新宋体" w:cs="新宋体"/>
                <w:i w:val="0"/>
                <w:iCs w:val="0"/>
                <w:color w:val="000000"/>
                <w:sz w:val="18"/>
                <w:szCs w:val="18"/>
                <w:lang w:eastAsia="zh-CN"/>
              </w:rPr>
              <w:t>提高全县精神疾病患者诊治救治率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rPr>
            </w:pPr>
            <w:r>
              <w:rPr>
                <w:rFonts w:hint="eastAsia" w:ascii="新宋体" w:hAnsi="新宋体" w:eastAsia="新宋体" w:cs="新宋体"/>
                <w:i w:val="0"/>
                <w:iCs w:val="0"/>
                <w:color w:val="000000"/>
                <w:sz w:val="18"/>
                <w:szCs w:val="18"/>
              </w:rPr>
              <w:t>目标2：</w:t>
            </w:r>
            <w:r>
              <w:rPr>
                <w:rFonts w:hint="eastAsia" w:ascii="新宋体" w:hAnsi="新宋体" w:eastAsia="新宋体" w:cs="新宋体"/>
                <w:i w:val="0"/>
                <w:iCs w:val="0"/>
                <w:color w:val="000000"/>
                <w:sz w:val="18"/>
                <w:szCs w:val="18"/>
                <w:lang w:eastAsia="zh-CN"/>
              </w:rPr>
              <w:t>提高全县精神疾病患者康复率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2316"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i w:val="0"/>
                <w:iCs w:val="0"/>
                <w:color w:val="000000"/>
                <w:sz w:val="18"/>
                <w:szCs w:val="18"/>
                <w:lang w:eastAsia="zh-CN"/>
              </w:rPr>
              <w:t>根据年初预算及计划，已完成县域内精神疾病患者的救治及康复指导工作。</w:t>
            </w:r>
          </w:p>
        </w:tc>
      </w:tr>
      <w:tr>
        <w:tblPrEx>
          <w:tblCellMar>
            <w:top w:w="0" w:type="dxa"/>
            <w:left w:w="108" w:type="dxa"/>
            <w:bottom w:w="0" w:type="dxa"/>
            <w:right w:w="108" w:type="dxa"/>
          </w:tblCellMar>
        </w:tblPrEx>
        <w:trPr>
          <w:trHeight w:val="850" w:hRule="atLeast"/>
          <w:jc w:val="center"/>
        </w:trPr>
        <w:tc>
          <w:tcPr>
            <w:tcW w:w="58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eastAsia="zh-CN"/>
              </w:rPr>
              <w:t>精神疾病患者出院人数</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eastAsia="zh-CN"/>
              </w:rPr>
              <w:t>　</w:t>
            </w:r>
            <w:r>
              <w:rPr>
                <w:rFonts w:hint="eastAsia" w:ascii="新宋体" w:hAnsi="新宋体" w:eastAsia="新宋体" w:cs="新宋体"/>
                <w:i w:val="0"/>
                <w:iCs w:val="0"/>
                <w:color w:val="000000"/>
                <w:sz w:val="18"/>
                <w:szCs w:val="18"/>
                <w:lang w:val="en-US" w:eastAsia="zh-CN"/>
              </w:rPr>
              <w:t>1000人</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eastAsia="zh-CN"/>
              </w:rPr>
              <w:t>　</w:t>
            </w:r>
            <w:r>
              <w:rPr>
                <w:rFonts w:hint="eastAsia" w:ascii="新宋体" w:hAnsi="新宋体" w:eastAsia="新宋体" w:cs="新宋体"/>
                <w:i w:val="0"/>
                <w:iCs w:val="0"/>
                <w:color w:val="000000"/>
                <w:sz w:val="18"/>
                <w:szCs w:val="18"/>
                <w:lang w:val="en-US" w:eastAsia="zh-CN"/>
              </w:rPr>
              <w:t>1489人</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8</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8</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eastAsia="zh-CN"/>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eastAsia="zh-CN"/>
              </w:rPr>
              <w:t>门诊病人患者救治人数</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eastAsia="zh-CN"/>
              </w:rPr>
              <w:t>　</w:t>
            </w:r>
            <w:r>
              <w:rPr>
                <w:rFonts w:hint="eastAsia" w:ascii="新宋体" w:hAnsi="新宋体" w:eastAsia="新宋体" w:cs="新宋体"/>
                <w:i w:val="0"/>
                <w:iCs w:val="0"/>
                <w:color w:val="000000"/>
                <w:sz w:val="18"/>
                <w:szCs w:val="18"/>
                <w:lang w:val="en-US" w:eastAsia="zh-CN"/>
              </w:rPr>
              <w:t>10000</w:t>
            </w:r>
            <w:r>
              <w:rPr>
                <w:rFonts w:hint="eastAsia" w:ascii="新宋体" w:hAnsi="新宋体" w:eastAsia="新宋体" w:cs="新宋体"/>
                <w:i w:val="0"/>
                <w:iCs w:val="0"/>
                <w:color w:val="000000"/>
                <w:sz w:val="18"/>
                <w:szCs w:val="18"/>
                <w:lang w:eastAsia="zh-CN"/>
              </w:rPr>
              <w:t>人</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eastAsia="zh-CN"/>
              </w:rPr>
              <w:t>　</w:t>
            </w:r>
            <w:r>
              <w:rPr>
                <w:rFonts w:hint="eastAsia" w:ascii="新宋体" w:hAnsi="新宋体" w:eastAsia="新宋体" w:cs="新宋体"/>
                <w:i w:val="0"/>
                <w:iCs w:val="0"/>
                <w:color w:val="000000"/>
                <w:sz w:val="18"/>
                <w:szCs w:val="18"/>
                <w:lang w:val="en-US" w:eastAsia="zh-CN"/>
              </w:rPr>
              <w:t>12142人</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8</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8</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eastAsia="zh-CN"/>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eastAsia="zh-CN"/>
              </w:rPr>
              <w:t>精神疾病患者管理率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　</w:t>
            </w:r>
            <w:r>
              <w:rPr>
                <w:rFonts w:hint="eastAsia" w:ascii="新宋体" w:hAnsi="新宋体" w:eastAsia="新宋体" w:cs="新宋体"/>
                <w:i w:val="0"/>
                <w:iCs w:val="0"/>
                <w:color w:val="000000"/>
                <w:sz w:val="18"/>
                <w:szCs w:val="18"/>
                <w:lang w:val="en-US" w:eastAsia="zh-CN"/>
              </w:rPr>
              <w:t>&gt;=95%</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　96.1%</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8</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8</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eastAsia="zh-CN"/>
              </w:rPr>
              <w:t>精神疾病患者康复指导率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　</w:t>
            </w:r>
            <w:r>
              <w:rPr>
                <w:rFonts w:hint="eastAsia" w:ascii="新宋体" w:hAnsi="新宋体" w:eastAsia="新宋体" w:cs="新宋体"/>
                <w:i w:val="0"/>
                <w:iCs w:val="0"/>
                <w:color w:val="000000"/>
                <w:sz w:val="18"/>
                <w:szCs w:val="18"/>
                <w:lang w:val="en-US" w:eastAsia="zh-CN"/>
              </w:rPr>
              <w:t>&gt;=90%</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　90.6%</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8</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8</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eastAsia="zh-CN"/>
              </w:rPr>
              <w:t>目标完成时间</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　</w:t>
            </w:r>
            <w:r>
              <w:rPr>
                <w:rFonts w:hint="eastAsia" w:ascii="新宋体" w:hAnsi="新宋体" w:eastAsia="新宋体" w:cs="新宋体"/>
                <w:i w:val="0"/>
                <w:iCs w:val="0"/>
                <w:color w:val="000000"/>
                <w:sz w:val="18"/>
                <w:szCs w:val="18"/>
                <w:lang w:val="en-US" w:eastAsia="zh-CN"/>
              </w:rPr>
              <w:t>2022年12月31日</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　完成</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6</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6</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eastAsia="zh-CN"/>
              </w:rPr>
              <w:t>工资福利发放率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　100%</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　100%</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6</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6</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eastAsia="zh-CN"/>
              </w:rPr>
              <w:t>财政预算支出控制率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　</w:t>
            </w:r>
            <w:r>
              <w:rPr>
                <w:rFonts w:hint="eastAsia" w:ascii="新宋体" w:hAnsi="新宋体" w:eastAsia="新宋体" w:cs="新宋体"/>
                <w:i w:val="0"/>
                <w:iCs w:val="0"/>
                <w:color w:val="000000"/>
                <w:sz w:val="18"/>
                <w:szCs w:val="18"/>
                <w:lang w:val="en-US" w:eastAsia="zh-CN"/>
              </w:rPr>
              <w:t>100%</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　100%</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6</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6</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58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843"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46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医院各项业务正常开展</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p>
        </w:tc>
        <w:tc>
          <w:tcPr>
            <w:tcW w:w="597" w:type="pct"/>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100%</w:t>
            </w:r>
          </w:p>
        </w:tc>
        <w:tc>
          <w:tcPr>
            <w:tcW w:w="606" w:type="pct"/>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val="en-US" w:eastAsia="zh-CN"/>
              </w:rPr>
              <w:t>100%</w:t>
            </w:r>
          </w:p>
        </w:tc>
        <w:tc>
          <w:tcPr>
            <w:tcW w:w="316" w:type="pct"/>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val="en-US" w:eastAsia="zh-CN"/>
              </w:rPr>
              <w:t>5</w:t>
            </w:r>
          </w:p>
        </w:tc>
        <w:tc>
          <w:tcPr>
            <w:tcW w:w="545" w:type="pct"/>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5</w:t>
            </w:r>
          </w:p>
        </w:tc>
        <w:tc>
          <w:tcPr>
            <w:tcW w:w="849" w:type="pct"/>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eastAsia="zh-CN"/>
              </w:rPr>
            </w:pP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val="en-US" w:eastAsia="zh-CN"/>
              </w:rPr>
              <w:t>公立医院的公益性</w:t>
            </w:r>
          </w:p>
        </w:tc>
        <w:tc>
          <w:tcPr>
            <w:tcW w:w="59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val="en-US" w:eastAsia="zh-CN"/>
              </w:rPr>
              <w:t>100%</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val="en-US" w:eastAsia="zh-CN"/>
              </w:rPr>
              <w:t>100%</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5</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5</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eastAsia="zh-CN"/>
              </w:rPr>
            </w:pP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eastAsia="zh-CN"/>
              </w:rPr>
              <w:t>患者治愈率</w:t>
            </w:r>
          </w:p>
        </w:tc>
        <w:tc>
          <w:tcPr>
            <w:tcW w:w="59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&gt;=90</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87.4%</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5</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val="en-US" w:eastAsia="zh-CN"/>
              </w:rPr>
              <w:t>3</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提升专业技能，精湛专业技艺</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val="en-US" w:eastAsia="zh-CN"/>
              </w:rPr>
              <w:t>医废污染处理</w:t>
            </w:r>
          </w:p>
        </w:tc>
        <w:tc>
          <w:tcPr>
            <w:tcW w:w="59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val="en-US" w:eastAsia="zh-CN"/>
              </w:rPr>
              <w:t>100%</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val="en-US" w:eastAsia="zh-CN"/>
              </w:rPr>
              <w:t>100%</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5</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5</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eastAsia="zh-CN"/>
              </w:rPr>
            </w:pP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val="en-US" w:eastAsia="zh-CN"/>
              </w:rPr>
              <w:t>污水污染处理</w:t>
            </w:r>
          </w:p>
        </w:tc>
        <w:tc>
          <w:tcPr>
            <w:tcW w:w="59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val="en-US" w:eastAsia="zh-CN"/>
              </w:rPr>
              <w:t>100%</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val="en-US" w:eastAsia="zh-CN"/>
              </w:rPr>
              <w:t>100%</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5</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5</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eastAsia="zh-CN"/>
              </w:rPr>
            </w:pP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val="en-US" w:eastAsia="zh-CN"/>
              </w:rPr>
              <w:t>管理费用占公立医院业务支出比例</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&lt;1.2%</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1.52%</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val="en-US" w:eastAsia="zh-CN"/>
              </w:rPr>
              <w:t>3</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val="en-US" w:eastAsia="zh-CN"/>
              </w:rPr>
              <w:t>住院病人增加，导致管理费用相应增加</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社会公众或服务对象满意度</w:t>
            </w:r>
          </w:p>
        </w:tc>
        <w:tc>
          <w:tcPr>
            <w:tcW w:w="59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&gt;=90%</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95.1%</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10</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10</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18"/>
                <w:szCs w:val="18"/>
                <w:lang w:eastAsia="zh-CN"/>
              </w:rPr>
            </w:pPr>
          </w:p>
        </w:tc>
      </w:tr>
      <w:tr>
        <w:tblPrEx>
          <w:tblCellMar>
            <w:top w:w="0" w:type="dxa"/>
            <w:left w:w="108" w:type="dxa"/>
            <w:bottom w:w="0" w:type="dxa"/>
            <w:right w:w="108" w:type="dxa"/>
          </w:tblCellMar>
        </w:tblPrEx>
        <w:trPr>
          <w:trHeight w:val="489" w:hRule="atLeast"/>
          <w:jc w:val="center"/>
        </w:trPr>
        <w:tc>
          <w:tcPr>
            <w:tcW w:w="3289"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i w:val="0"/>
                <w:iCs w:val="0"/>
                <w:color w:val="000000"/>
                <w:sz w:val="18"/>
                <w:szCs w:val="18"/>
                <w:lang w:val="en-US" w:eastAsia="zh-CN"/>
              </w:rPr>
              <w:t>96</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6"/>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rPr>
        <w:t>填表人：</w:t>
      </w:r>
      <w:r>
        <w:rPr>
          <w:rFonts w:hint="eastAsia" w:ascii="新宋体" w:hAnsi="新宋体" w:eastAsia="新宋体" w:cs="新宋体"/>
          <w:i w:val="0"/>
          <w:iCs w:val="0"/>
          <w:color w:val="000000"/>
          <w:sz w:val="18"/>
          <w:szCs w:val="18"/>
          <w:lang w:val="en-US" w:eastAsia="zh-CN"/>
        </w:rPr>
        <w:t>汤纯</w:t>
      </w:r>
      <w:r>
        <w:rPr>
          <w:rFonts w:hint="default" w:ascii="Times New Roman" w:hAnsi="Times New Roman" w:eastAsia="仿宋_GB2312" w:cs="Times New Roman"/>
          <w:sz w:val="22"/>
        </w:rPr>
        <w:t xml:space="preserve">   填报日期：</w:t>
      </w:r>
      <w:r>
        <w:rPr>
          <w:rFonts w:hint="eastAsia" w:ascii="新宋体" w:hAnsi="新宋体" w:eastAsia="新宋体" w:cs="新宋体"/>
          <w:i w:val="0"/>
          <w:iCs w:val="0"/>
          <w:color w:val="000000"/>
          <w:sz w:val="18"/>
          <w:szCs w:val="18"/>
          <w:lang w:val="en-US" w:eastAsia="zh-CN"/>
        </w:rPr>
        <w:t>2023年7月13日</w:t>
      </w:r>
      <w:r>
        <w:rPr>
          <w:rFonts w:hint="default" w:ascii="Times New Roman" w:hAnsi="Times New Roman" w:eastAsia="仿宋_GB2312" w:cs="Times New Roman"/>
          <w:sz w:val="22"/>
        </w:rPr>
        <w:t xml:space="preserve">  </w:t>
      </w:r>
      <w:r>
        <w:rPr>
          <w:rFonts w:hint="eastAsia" w:eastAsia="仿宋_GB2312" w:cs="Times New Roman"/>
          <w:sz w:val="22"/>
          <w:lang w:val="en-US" w:eastAsia="zh-CN"/>
        </w:rPr>
        <w:t xml:space="preserve"> </w:t>
      </w:r>
      <w:r>
        <w:rPr>
          <w:rFonts w:hint="default" w:ascii="Times New Roman" w:hAnsi="Times New Roman" w:eastAsia="仿宋_GB2312" w:cs="Times New Roman"/>
          <w:sz w:val="22"/>
        </w:rPr>
        <w:t>联系电话：</w:t>
      </w:r>
      <w:r>
        <w:rPr>
          <w:rFonts w:hint="eastAsia" w:ascii="新宋体" w:hAnsi="新宋体" w:eastAsia="新宋体" w:cs="新宋体"/>
          <w:i w:val="0"/>
          <w:iCs w:val="0"/>
          <w:color w:val="000000"/>
          <w:sz w:val="18"/>
          <w:szCs w:val="18"/>
          <w:lang w:val="en-US" w:eastAsia="zh-CN"/>
        </w:rPr>
        <w:t>18773034733</w:t>
      </w:r>
      <w:r>
        <w:rPr>
          <w:rFonts w:hint="default" w:ascii="新宋体" w:hAnsi="新宋体" w:eastAsia="新宋体" w:cs="新宋体"/>
          <w:i w:val="0"/>
          <w:iCs w:val="0"/>
          <w:color w:val="000000"/>
          <w:sz w:val="18"/>
          <w:szCs w:val="18"/>
          <w:lang w:val="en-US" w:eastAsia="zh-CN"/>
        </w:rPr>
        <w:t xml:space="preserve"> </w:t>
      </w:r>
      <w:r>
        <w:rPr>
          <w:rFonts w:hint="default" w:ascii="Times New Roman" w:hAnsi="Times New Roman" w:eastAsia="仿宋_GB2312" w:cs="Times New Roman"/>
          <w:sz w:val="22"/>
        </w:rPr>
        <w:t xml:space="preserve">    单位负责人签字：</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华容县精神病专科医院</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月</w:t>
      </w:r>
      <w:r>
        <w:rPr>
          <w:rFonts w:hint="eastAsia" w:eastAsia="楷体_GB2312" w:cs="Times New Roman"/>
          <w:sz w:val="32"/>
          <w:szCs w:val="32"/>
          <w:lang w:val="en-US" w:eastAsia="zh-CN"/>
        </w:rPr>
        <w:t>13</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华容县精神病专科医院</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1"/>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widowControl/>
        <w:spacing w:line="600" w:lineRule="exact"/>
        <w:ind w:firstLine="560" w:firstLineChars="200"/>
        <w:jc w:val="left"/>
        <w:rPr>
          <w:rFonts w:ascii="仿宋" w:hAnsi="仿宋" w:eastAsia="仿宋" w:cs="仿宋_GB2312"/>
          <w:bCs/>
          <w:color w:val="auto"/>
          <w:sz w:val="28"/>
          <w:szCs w:val="28"/>
        </w:rPr>
      </w:pPr>
      <w:r>
        <w:rPr>
          <w:rFonts w:hint="eastAsia" w:ascii="仿宋" w:hAnsi="仿宋" w:eastAsia="仿宋" w:cs="仿宋_GB2312"/>
          <w:bCs/>
          <w:color w:val="auto"/>
          <w:sz w:val="28"/>
          <w:szCs w:val="28"/>
        </w:rPr>
        <w:t>1.人员编制</w:t>
      </w:r>
    </w:p>
    <w:p>
      <w:pPr>
        <w:widowControl/>
        <w:spacing w:line="600" w:lineRule="exact"/>
        <w:ind w:firstLine="560" w:firstLineChars="200"/>
        <w:jc w:val="left"/>
        <w:rPr>
          <w:rFonts w:ascii="仿宋" w:hAnsi="仿宋" w:eastAsia="仿宋" w:cs="仿宋_GB2312"/>
          <w:bCs/>
          <w:color w:val="auto"/>
          <w:sz w:val="28"/>
          <w:szCs w:val="28"/>
        </w:rPr>
      </w:pPr>
      <w:r>
        <w:rPr>
          <w:rFonts w:hint="eastAsia" w:ascii="仿宋" w:hAnsi="仿宋" w:eastAsia="仿宋" w:cs="仿宋_GB2312"/>
          <w:bCs/>
          <w:color w:val="auto"/>
          <w:sz w:val="28"/>
          <w:szCs w:val="28"/>
        </w:rPr>
        <w:t>华容县</w:t>
      </w:r>
      <w:r>
        <w:rPr>
          <w:rFonts w:hint="eastAsia" w:ascii="仿宋" w:hAnsi="仿宋" w:eastAsia="仿宋" w:cs="仿宋_GB2312"/>
          <w:bCs/>
          <w:color w:val="auto"/>
          <w:sz w:val="28"/>
          <w:szCs w:val="28"/>
          <w:lang w:eastAsia="zh-CN"/>
        </w:rPr>
        <w:t>精神病专科医院</w:t>
      </w:r>
      <w:r>
        <w:rPr>
          <w:rFonts w:hint="eastAsia" w:ascii="仿宋" w:hAnsi="仿宋" w:eastAsia="仿宋" w:cs="仿宋_GB2312"/>
          <w:bCs/>
          <w:color w:val="auto"/>
          <w:sz w:val="28"/>
          <w:szCs w:val="28"/>
        </w:rPr>
        <w:t>是财政全额拨款单位。202</w:t>
      </w:r>
      <w:r>
        <w:rPr>
          <w:rFonts w:hint="eastAsia" w:ascii="仿宋" w:hAnsi="仿宋" w:eastAsia="仿宋" w:cs="仿宋_GB2312"/>
          <w:bCs/>
          <w:color w:val="auto"/>
          <w:sz w:val="28"/>
          <w:szCs w:val="28"/>
          <w:lang w:val="en-US" w:eastAsia="zh-CN"/>
        </w:rPr>
        <w:t>2</w:t>
      </w:r>
      <w:r>
        <w:rPr>
          <w:rFonts w:hint="eastAsia" w:ascii="仿宋" w:hAnsi="仿宋" w:eastAsia="仿宋" w:cs="仿宋_GB2312"/>
          <w:bCs/>
          <w:color w:val="auto"/>
          <w:sz w:val="28"/>
          <w:szCs w:val="28"/>
        </w:rPr>
        <w:t>年经核定编制数为</w:t>
      </w:r>
      <w:r>
        <w:rPr>
          <w:rFonts w:hint="eastAsia" w:ascii="仿宋" w:hAnsi="仿宋" w:eastAsia="仿宋" w:cs="仿宋_GB2312"/>
          <w:bCs/>
          <w:color w:val="auto"/>
          <w:sz w:val="28"/>
          <w:szCs w:val="28"/>
          <w:lang w:val="en-US" w:eastAsia="zh-CN"/>
        </w:rPr>
        <w:t>77</w:t>
      </w:r>
      <w:r>
        <w:rPr>
          <w:rFonts w:hint="eastAsia" w:ascii="仿宋" w:hAnsi="仿宋" w:eastAsia="仿宋" w:cs="仿宋_GB2312"/>
          <w:bCs/>
          <w:color w:val="auto"/>
          <w:sz w:val="28"/>
          <w:szCs w:val="28"/>
        </w:rPr>
        <w:t>人，其中事业全额编制</w:t>
      </w:r>
      <w:r>
        <w:rPr>
          <w:rFonts w:hint="eastAsia" w:ascii="仿宋" w:hAnsi="仿宋" w:eastAsia="仿宋" w:cs="仿宋_GB2312"/>
          <w:bCs/>
          <w:color w:val="auto"/>
          <w:sz w:val="28"/>
          <w:szCs w:val="28"/>
          <w:lang w:val="en-US" w:eastAsia="zh-CN"/>
        </w:rPr>
        <w:t>77</w:t>
      </w:r>
      <w:r>
        <w:rPr>
          <w:rFonts w:hint="eastAsia" w:ascii="仿宋" w:hAnsi="仿宋" w:eastAsia="仿宋" w:cs="仿宋_GB2312"/>
          <w:bCs/>
          <w:color w:val="auto"/>
          <w:sz w:val="28"/>
          <w:szCs w:val="28"/>
        </w:rPr>
        <w:t>人。202</w:t>
      </w:r>
      <w:r>
        <w:rPr>
          <w:rFonts w:hint="eastAsia" w:ascii="仿宋" w:hAnsi="仿宋" w:eastAsia="仿宋" w:cs="仿宋_GB2312"/>
          <w:bCs/>
          <w:color w:val="auto"/>
          <w:sz w:val="28"/>
          <w:szCs w:val="28"/>
          <w:lang w:val="en-US" w:eastAsia="zh-CN"/>
        </w:rPr>
        <w:t>2</w:t>
      </w:r>
      <w:r>
        <w:rPr>
          <w:rFonts w:hint="eastAsia" w:ascii="仿宋" w:hAnsi="仿宋" w:eastAsia="仿宋" w:cs="仿宋_GB2312"/>
          <w:bCs/>
          <w:color w:val="auto"/>
          <w:sz w:val="28"/>
          <w:szCs w:val="28"/>
        </w:rPr>
        <w:t>年年末，实有在职人员</w:t>
      </w:r>
      <w:r>
        <w:rPr>
          <w:rFonts w:hint="eastAsia" w:ascii="仿宋" w:hAnsi="仿宋" w:eastAsia="仿宋" w:cs="仿宋_GB2312"/>
          <w:bCs/>
          <w:color w:val="auto"/>
          <w:sz w:val="28"/>
          <w:szCs w:val="28"/>
          <w:lang w:val="en-US" w:eastAsia="zh-CN"/>
        </w:rPr>
        <w:t>153</w:t>
      </w:r>
      <w:r>
        <w:rPr>
          <w:rFonts w:hint="eastAsia" w:ascii="仿宋" w:hAnsi="仿宋" w:eastAsia="仿宋" w:cs="仿宋_GB2312"/>
          <w:bCs/>
          <w:color w:val="auto"/>
          <w:sz w:val="28"/>
          <w:szCs w:val="28"/>
        </w:rPr>
        <w:t>人，其中在编在职</w:t>
      </w:r>
      <w:r>
        <w:rPr>
          <w:rFonts w:hint="eastAsia" w:ascii="仿宋" w:hAnsi="仿宋" w:eastAsia="仿宋" w:cs="仿宋_GB2312"/>
          <w:bCs/>
          <w:color w:val="auto"/>
          <w:sz w:val="28"/>
          <w:szCs w:val="28"/>
          <w:lang w:val="en-US" w:eastAsia="zh-CN"/>
        </w:rPr>
        <w:t>77</w:t>
      </w:r>
      <w:r>
        <w:rPr>
          <w:rFonts w:hint="eastAsia" w:ascii="仿宋" w:hAnsi="仿宋" w:eastAsia="仿宋" w:cs="仿宋_GB2312"/>
          <w:bCs/>
          <w:color w:val="auto"/>
          <w:sz w:val="28"/>
          <w:szCs w:val="28"/>
        </w:rPr>
        <w:t>人，长期聘用</w:t>
      </w:r>
      <w:r>
        <w:rPr>
          <w:rFonts w:hint="eastAsia" w:ascii="仿宋" w:hAnsi="仿宋" w:eastAsia="仿宋" w:cs="仿宋_GB2312"/>
          <w:bCs/>
          <w:color w:val="auto"/>
          <w:sz w:val="28"/>
          <w:szCs w:val="28"/>
          <w:lang w:val="en-US" w:eastAsia="zh-CN"/>
        </w:rPr>
        <w:t>76</w:t>
      </w:r>
      <w:r>
        <w:rPr>
          <w:rFonts w:hint="eastAsia" w:ascii="仿宋" w:hAnsi="仿宋" w:eastAsia="仿宋" w:cs="仿宋_GB2312"/>
          <w:bCs/>
          <w:color w:val="auto"/>
          <w:sz w:val="28"/>
          <w:szCs w:val="28"/>
        </w:rPr>
        <w:t>人，退休</w:t>
      </w:r>
      <w:r>
        <w:rPr>
          <w:rFonts w:hint="eastAsia" w:ascii="仿宋" w:hAnsi="仿宋" w:eastAsia="仿宋" w:cs="仿宋_GB2312"/>
          <w:bCs/>
          <w:color w:val="auto"/>
          <w:sz w:val="28"/>
          <w:szCs w:val="28"/>
          <w:lang w:val="en-US" w:eastAsia="zh-CN"/>
        </w:rPr>
        <w:t>31</w:t>
      </w:r>
      <w:r>
        <w:rPr>
          <w:rFonts w:hint="eastAsia" w:ascii="仿宋" w:hAnsi="仿宋" w:eastAsia="仿宋" w:cs="仿宋_GB2312"/>
          <w:bCs/>
          <w:color w:val="auto"/>
          <w:sz w:val="28"/>
          <w:szCs w:val="28"/>
        </w:rPr>
        <w:t>人。</w:t>
      </w:r>
    </w:p>
    <w:p>
      <w:pPr>
        <w:widowControl/>
        <w:spacing w:line="600" w:lineRule="exact"/>
        <w:ind w:firstLine="560" w:firstLineChars="200"/>
        <w:jc w:val="left"/>
        <w:rPr>
          <w:rFonts w:ascii="仿宋" w:hAnsi="仿宋" w:eastAsia="仿宋" w:cs="仿宋_GB2312"/>
          <w:bCs/>
          <w:color w:val="auto"/>
          <w:sz w:val="28"/>
          <w:szCs w:val="28"/>
        </w:rPr>
      </w:pPr>
      <w:r>
        <w:rPr>
          <w:rFonts w:hint="eastAsia" w:ascii="仿宋" w:hAnsi="仿宋" w:eastAsia="仿宋" w:cs="仿宋_GB2312"/>
          <w:bCs/>
          <w:color w:val="auto"/>
          <w:sz w:val="28"/>
          <w:szCs w:val="28"/>
        </w:rPr>
        <w:t>2.机构设置</w:t>
      </w:r>
    </w:p>
    <w:p>
      <w:pPr>
        <w:widowControl/>
        <w:spacing w:line="600" w:lineRule="exact"/>
        <w:ind w:firstLine="560" w:firstLineChars="200"/>
        <w:jc w:val="left"/>
        <w:rPr>
          <w:rFonts w:ascii="仿宋" w:hAnsi="仿宋" w:eastAsia="仿宋" w:cs="仿宋_GB2312"/>
          <w:color w:val="auto"/>
          <w:sz w:val="28"/>
          <w:szCs w:val="28"/>
          <w:shd w:val="clear" w:color="auto" w:fill="FFFFFF"/>
        </w:rPr>
      </w:pPr>
      <w:r>
        <w:rPr>
          <w:rFonts w:hint="eastAsia" w:ascii="仿宋" w:hAnsi="仿宋" w:eastAsia="仿宋" w:cs="仿宋_GB2312"/>
          <w:bCs/>
          <w:color w:val="auto"/>
          <w:sz w:val="28"/>
          <w:szCs w:val="28"/>
        </w:rPr>
        <w:t>全院内设1</w:t>
      </w:r>
      <w:r>
        <w:rPr>
          <w:rFonts w:hint="eastAsia" w:ascii="仿宋" w:hAnsi="仿宋" w:eastAsia="仿宋" w:cs="仿宋_GB2312"/>
          <w:bCs/>
          <w:color w:val="auto"/>
          <w:sz w:val="28"/>
          <w:szCs w:val="28"/>
          <w:lang w:val="en-US" w:eastAsia="zh-CN"/>
        </w:rPr>
        <w:t>6</w:t>
      </w:r>
      <w:r>
        <w:rPr>
          <w:rFonts w:hint="eastAsia" w:ascii="仿宋" w:hAnsi="仿宋" w:eastAsia="仿宋" w:cs="仿宋_GB2312"/>
          <w:bCs/>
          <w:color w:val="auto"/>
          <w:sz w:val="28"/>
          <w:szCs w:val="28"/>
        </w:rPr>
        <w:t>个临床及职能科室：办公室、人事科、后勤</w:t>
      </w:r>
      <w:r>
        <w:rPr>
          <w:rFonts w:hint="eastAsia" w:ascii="仿宋" w:hAnsi="仿宋" w:eastAsia="仿宋" w:cs="仿宋_GB2312"/>
          <w:color w:val="auto"/>
          <w:sz w:val="28"/>
          <w:szCs w:val="28"/>
          <w:shd w:val="clear" w:color="auto" w:fill="FFFFFF"/>
        </w:rPr>
        <w:t>保卫科、医务科、</w:t>
      </w:r>
      <w:r>
        <w:rPr>
          <w:rFonts w:hint="eastAsia" w:ascii="仿宋" w:hAnsi="仿宋" w:eastAsia="仿宋" w:cs="仿宋_GB2312"/>
          <w:color w:val="auto"/>
          <w:sz w:val="28"/>
          <w:szCs w:val="28"/>
          <w:shd w:val="clear" w:color="auto" w:fill="FFFFFF"/>
          <w:lang w:eastAsia="zh-CN"/>
        </w:rPr>
        <w:t>对外联络办</w:t>
      </w:r>
      <w:r>
        <w:rPr>
          <w:rFonts w:hint="eastAsia" w:ascii="仿宋" w:hAnsi="仿宋" w:eastAsia="仿宋" w:cs="仿宋_GB2312"/>
          <w:color w:val="auto"/>
          <w:sz w:val="28"/>
          <w:szCs w:val="28"/>
          <w:shd w:val="clear" w:color="auto" w:fill="FFFFFF"/>
        </w:rPr>
        <w:t>、护理部、</w:t>
      </w:r>
      <w:r>
        <w:rPr>
          <w:rFonts w:hint="eastAsia" w:ascii="仿宋" w:hAnsi="仿宋" w:eastAsia="仿宋" w:cs="仿宋_GB2312"/>
          <w:color w:val="auto"/>
          <w:sz w:val="28"/>
          <w:szCs w:val="28"/>
          <w:shd w:val="clear" w:color="auto" w:fill="FFFFFF"/>
          <w:lang w:eastAsia="zh-CN"/>
        </w:rPr>
        <w:t>精神科、</w:t>
      </w:r>
      <w:r>
        <w:rPr>
          <w:rFonts w:hint="eastAsia" w:ascii="仿宋" w:hAnsi="仿宋" w:eastAsia="仿宋" w:cs="仿宋_GB2312"/>
          <w:color w:val="auto"/>
          <w:sz w:val="28"/>
          <w:szCs w:val="28"/>
          <w:shd w:val="clear" w:color="auto" w:fill="FFFFFF"/>
        </w:rPr>
        <w:t>妇科、内科、</w:t>
      </w:r>
      <w:r>
        <w:rPr>
          <w:rFonts w:hint="eastAsia" w:ascii="仿宋" w:hAnsi="仿宋" w:eastAsia="仿宋" w:cs="仿宋_GB2312"/>
          <w:color w:val="auto"/>
          <w:sz w:val="28"/>
          <w:szCs w:val="28"/>
          <w:shd w:val="clear" w:color="auto" w:fill="FFFFFF"/>
          <w:lang w:eastAsia="zh-CN"/>
        </w:rPr>
        <w:t>外科、</w:t>
      </w:r>
      <w:r>
        <w:rPr>
          <w:rFonts w:hint="eastAsia" w:ascii="仿宋" w:hAnsi="仿宋" w:eastAsia="仿宋" w:cs="仿宋_GB2312"/>
          <w:color w:val="auto"/>
          <w:sz w:val="28"/>
          <w:szCs w:val="28"/>
          <w:shd w:val="clear" w:color="auto" w:fill="FFFFFF"/>
        </w:rPr>
        <w:t>院感科、质控室、病案室、门诊部、财务科、医保信息科。</w:t>
      </w:r>
    </w:p>
    <w:p>
      <w:pPr>
        <w:widowControl/>
        <w:spacing w:line="600" w:lineRule="exact"/>
        <w:ind w:firstLine="560" w:firstLineChars="200"/>
        <w:jc w:val="left"/>
        <w:rPr>
          <w:rFonts w:ascii="仿宋" w:hAnsi="仿宋" w:eastAsia="仿宋" w:cs="仿宋_GB2312"/>
          <w:color w:val="auto"/>
          <w:sz w:val="28"/>
          <w:szCs w:val="28"/>
          <w:shd w:val="clear" w:color="auto" w:fill="FFFFFF"/>
        </w:rPr>
      </w:pPr>
      <w:r>
        <w:rPr>
          <w:rFonts w:hint="eastAsia" w:ascii="仿宋" w:hAnsi="仿宋" w:eastAsia="仿宋" w:cs="仿宋_GB2312"/>
          <w:color w:val="auto"/>
          <w:sz w:val="28"/>
          <w:szCs w:val="28"/>
          <w:shd w:val="clear" w:color="auto" w:fill="FFFFFF"/>
        </w:rPr>
        <w:t>3.单位职能职责</w:t>
      </w:r>
    </w:p>
    <w:p>
      <w:pPr>
        <w:widowControl/>
        <w:spacing w:line="600" w:lineRule="exact"/>
        <w:ind w:firstLine="560" w:firstLineChars="200"/>
        <w:jc w:val="left"/>
        <w:rPr>
          <w:rFonts w:hint="eastAsia" w:ascii="仿宋" w:hAnsi="仿宋" w:eastAsia="仿宋" w:cs="仿宋"/>
          <w:color w:val="auto"/>
          <w:sz w:val="28"/>
          <w:szCs w:val="28"/>
          <w:shd w:val="clear" w:color="auto" w:fill="FFFFFF"/>
        </w:rPr>
      </w:pPr>
      <w:r>
        <w:rPr>
          <w:rFonts w:hint="eastAsia" w:ascii="仿宋" w:hAnsi="仿宋" w:eastAsia="仿宋" w:cs="仿宋"/>
          <w:color w:val="auto"/>
          <w:sz w:val="28"/>
          <w:szCs w:val="28"/>
          <w:lang w:val="en-US" w:eastAsia="zh-CN"/>
        </w:rPr>
        <w:t>负责全县精神障碍患者诊疗、康复指导服务及精神卫生公共服务</w:t>
      </w:r>
      <w:r>
        <w:rPr>
          <w:rFonts w:hint="eastAsia" w:ascii="仿宋" w:hAnsi="仿宋" w:eastAsia="仿宋" w:cs="仿宋"/>
          <w:color w:val="auto"/>
          <w:sz w:val="28"/>
          <w:szCs w:val="28"/>
          <w:shd w:val="clear" w:color="auto" w:fill="FFFFFF"/>
        </w:rPr>
        <w:t>。</w:t>
      </w:r>
    </w:p>
    <w:p>
      <w:pPr>
        <w:pStyle w:val="2"/>
        <w:rPr>
          <w:rFonts w:hint="default"/>
          <w:lang w:val="en-US" w:eastAsia="zh-CN"/>
        </w:rPr>
      </w:pPr>
    </w:p>
    <w:p>
      <w:pPr>
        <w:pStyle w:val="13"/>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基本支出情况</w:t>
      </w:r>
    </w:p>
    <w:p>
      <w:pPr>
        <w:pStyle w:val="13"/>
        <w:keepNext w:val="0"/>
        <w:keepLines w:val="0"/>
        <w:pageBreakBefore w:val="0"/>
        <w:widowControl/>
        <w:numPr>
          <w:numId w:val="0"/>
        </w:numPr>
        <w:kinsoku/>
        <w:wordWrap/>
        <w:overflowPunct/>
        <w:topLinePunct w:val="0"/>
        <w:autoSpaceDE/>
        <w:autoSpaceDN/>
        <w:bidi w:val="0"/>
        <w:adjustRightInd/>
        <w:snapToGrid/>
        <w:spacing w:line="610" w:lineRule="exact"/>
        <w:ind w:leftChars="200" w:firstLine="560" w:firstLineChars="200"/>
        <w:jc w:val="both"/>
        <w:textAlignment w:val="auto"/>
        <w:rPr>
          <w:rFonts w:hint="eastAsia" w:ascii="仿宋" w:hAnsi="仿宋" w:eastAsia="仿宋" w:cs="仿宋_GB2312"/>
          <w:bCs/>
          <w:color w:val="auto"/>
          <w:sz w:val="28"/>
          <w:szCs w:val="28"/>
        </w:rPr>
      </w:pPr>
      <w:r>
        <w:rPr>
          <w:rFonts w:hint="eastAsia" w:ascii="仿宋" w:hAnsi="仿宋" w:eastAsia="仿宋" w:cs="仿宋_GB2312"/>
          <w:bCs/>
          <w:color w:val="auto"/>
          <w:sz w:val="28"/>
          <w:szCs w:val="28"/>
        </w:rPr>
        <w:t>202</w:t>
      </w:r>
      <w:r>
        <w:rPr>
          <w:rFonts w:hint="eastAsia" w:ascii="仿宋" w:hAnsi="仿宋" w:eastAsia="仿宋" w:cs="仿宋_GB2312"/>
          <w:bCs/>
          <w:color w:val="auto"/>
          <w:sz w:val="28"/>
          <w:szCs w:val="28"/>
          <w:lang w:val="en-US" w:eastAsia="zh-CN"/>
        </w:rPr>
        <w:t>2</w:t>
      </w:r>
      <w:r>
        <w:rPr>
          <w:rFonts w:hint="eastAsia" w:ascii="仿宋" w:hAnsi="仿宋" w:eastAsia="仿宋" w:cs="仿宋_GB2312"/>
          <w:bCs/>
          <w:color w:val="auto"/>
          <w:sz w:val="28"/>
          <w:szCs w:val="28"/>
        </w:rPr>
        <w:t>年单位整体基本支出合计</w:t>
      </w:r>
      <w:r>
        <w:rPr>
          <w:rFonts w:hint="eastAsia" w:ascii="仿宋" w:hAnsi="仿宋" w:eastAsia="仿宋" w:cs="仿宋_GB2312"/>
          <w:bCs/>
          <w:color w:val="auto"/>
          <w:sz w:val="28"/>
          <w:szCs w:val="28"/>
          <w:lang w:val="en-US" w:eastAsia="zh-CN"/>
        </w:rPr>
        <w:t>4285.08</w:t>
      </w:r>
      <w:r>
        <w:rPr>
          <w:rFonts w:hint="eastAsia" w:ascii="仿宋" w:hAnsi="仿宋" w:eastAsia="仿宋" w:cs="仿宋_GB2312"/>
          <w:bCs/>
          <w:color w:val="auto"/>
          <w:sz w:val="28"/>
          <w:szCs w:val="28"/>
        </w:rPr>
        <w:t>万元，主要是用于人员工资、社会保障缴费、其他工资福利等工资福利支出，办公费、差旅费、三公经费等商品和服务支出，医疗费补助、遗属人员生活补助、独生子女奖励金、其他对个人和家庭的补助等对个人和家庭的补助支出。其中工资福利</w:t>
      </w:r>
      <w:r>
        <w:rPr>
          <w:rFonts w:hint="eastAsia" w:ascii="仿宋" w:hAnsi="仿宋" w:eastAsia="仿宋" w:cs="仿宋_GB2312"/>
          <w:bCs/>
          <w:color w:val="auto"/>
          <w:sz w:val="28"/>
          <w:szCs w:val="28"/>
          <w:highlight w:val="none"/>
        </w:rPr>
        <w:t>支出</w:t>
      </w:r>
      <w:r>
        <w:rPr>
          <w:rFonts w:hint="eastAsia" w:ascii="仿宋" w:hAnsi="仿宋" w:eastAsia="仿宋" w:cs="仿宋_GB2312"/>
          <w:bCs/>
          <w:color w:val="auto"/>
          <w:sz w:val="28"/>
          <w:szCs w:val="28"/>
          <w:highlight w:val="none"/>
          <w:lang w:val="en-US" w:eastAsia="zh-CN"/>
        </w:rPr>
        <w:t>1977.33</w:t>
      </w:r>
      <w:r>
        <w:rPr>
          <w:rFonts w:hint="eastAsia" w:ascii="仿宋" w:hAnsi="仿宋" w:eastAsia="仿宋" w:cs="仿宋_GB2312"/>
          <w:bCs/>
          <w:color w:val="auto"/>
          <w:sz w:val="28"/>
          <w:szCs w:val="28"/>
          <w:highlight w:val="none"/>
        </w:rPr>
        <w:t>万元，商品和服务支出</w:t>
      </w:r>
      <w:r>
        <w:rPr>
          <w:rFonts w:hint="eastAsia" w:ascii="仿宋" w:hAnsi="仿宋" w:eastAsia="仿宋" w:cs="仿宋_GB2312"/>
          <w:bCs/>
          <w:color w:val="auto"/>
          <w:sz w:val="28"/>
          <w:szCs w:val="28"/>
          <w:highlight w:val="none"/>
          <w:lang w:val="en-US" w:eastAsia="zh-CN"/>
        </w:rPr>
        <w:t>1480.85</w:t>
      </w:r>
      <w:r>
        <w:rPr>
          <w:rFonts w:hint="eastAsia" w:ascii="仿宋" w:hAnsi="仿宋" w:eastAsia="仿宋" w:cs="仿宋_GB2312"/>
          <w:bCs/>
          <w:color w:val="auto"/>
          <w:sz w:val="28"/>
          <w:szCs w:val="28"/>
          <w:highlight w:val="none"/>
        </w:rPr>
        <w:t>万元，项目支出</w:t>
      </w:r>
      <w:r>
        <w:rPr>
          <w:rFonts w:hint="eastAsia" w:ascii="仿宋" w:hAnsi="仿宋" w:eastAsia="仿宋" w:cs="仿宋_GB2312"/>
          <w:bCs/>
          <w:color w:val="auto"/>
          <w:sz w:val="28"/>
          <w:szCs w:val="28"/>
          <w:highlight w:val="none"/>
          <w:lang w:val="en-US" w:eastAsia="zh-CN"/>
        </w:rPr>
        <w:t>826.9</w:t>
      </w:r>
      <w:r>
        <w:rPr>
          <w:rFonts w:hint="eastAsia" w:ascii="仿宋" w:hAnsi="仿宋" w:eastAsia="仿宋" w:cs="仿宋_GB2312"/>
          <w:bCs/>
          <w:color w:val="auto"/>
          <w:sz w:val="28"/>
          <w:szCs w:val="28"/>
          <w:highlight w:val="none"/>
        </w:rPr>
        <w:t>万元</w:t>
      </w:r>
      <w:r>
        <w:rPr>
          <w:rFonts w:hint="eastAsia" w:ascii="仿宋" w:hAnsi="仿宋" w:eastAsia="仿宋" w:cs="仿宋_GB2312"/>
          <w:bCs/>
          <w:color w:val="auto"/>
          <w:sz w:val="28"/>
          <w:szCs w:val="28"/>
        </w:rPr>
        <w:t>。</w:t>
      </w:r>
    </w:p>
    <w:p>
      <w:pPr>
        <w:pStyle w:val="13"/>
        <w:keepNext w:val="0"/>
        <w:keepLines w:val="0"/>
        <w:pageBreakBefore w:val="0"/>
        <w:widowControl/>
        <w:numPr>
          <w:numId w:val="0"/>
        </w:numPr>
        <w:kinsoku/>
        <w:wordWrap/>
        <w:overflowPunct/>
        <w:topLinePunct w:val="0"/>
        <w:autoSpaceDE/>
        <w:autoSpaceDN/>
        <w:bidi w:val="0"/>
        <w:adjustRightInd/>
        <w:snapToGrid/>
        <w:spacing w:line="610" w:lineRule="exact"/>
        <w:jc w:val="both"/>
        <w:textAlignment w:val="auto"/>
        <w:rPr>
          <w:rFonts w:hint="default" w:ascii="仿宋" w:hAnsi="仿宋" w:eastAsia="仿宋" w:cs="仿宋_GB2312"/>
          <w:bCs/>
          <w:color w:val="auto"/>
          <w:sz w:val="28"/>
          <w:szCs w:val="28"/>
          <w:lang w:val="en-US" w:eastAsia="zh-CN"/>
        </w:rPr>
      </w:pPr>
    </w:p>
    <w:p>
      <w:pPr>
        <w:pStyle w:val="13"/>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项目支出情况</w:t>
      </w:r>
    </w:p>
    <w:p>
      <w:pPr>
        <w:spacing w:line="600" w:lineRule="exact"/>
        <w:ind w:firstLine="560" w:firstLineChars="200"/>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1、项目资金安排落实、总投入等情况分析</w:t>
      </w:r>
    </w:p>
    <w:p>
      <w:pPr>
        <w:spacing w:line="600" w:lineRule="exact"/>
        <w:ind w:firstLine="560" w:firstLineChars="200"/>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我单位项目资金按上级和本级财政预算安排，按照项目建设进度等落实资金。2022年单位项目资金合计826.90万元，主要是用于精神病财政兜底治疗支出。</w:t>
      </w:r>
    </w:p>
    <w:p>
      <w:pPr>
        <w:spacing w:line="600" w:lineRule="exact"/>
        <w:ind w:firstLine="560" w:firstLineChars="200"/>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2、项目资金实际使用情况分析</w:t>
      </w:r>
    </w:p>
    <w:p>
      <w:pPr>
        <w:spacing w:line="600" w:lineRule="exact"/>
        <w:ind w:firstLine="560" w:firstLineChars="200"/>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2022年单位项目支出合计826.9万元，用于精神病财政兜底治疗。我院今年从已进入县级项目库的城乡居民精神疾病患者免费救治项目中向上级申报扶贫专项资金1000万元，用于我县患有精神疾病的城乡居民免费治疗（即医保补助后剩余部分由县财政兜底），上级根据项目库情况，批复了我院城乡居民精神疾病患者免费救治项目建设资金826.9万元，用于我县患有精神疾病的城乡居民免费治疗。</w:t>
      </w:r>
    </w:p>
    <w:p>
      <w:pPr>
        <w:pStyle w:val="2"/>
        <w:rPr>
          <w:rFonts w:hint="default"/>
          <w:lang w:val="en-US" w:eastAsia="zh-CN"/>
        </w:rPr>
      </w:pPr>
    </w:p>
    <w:p>
      <w:pPr>
        <w:keepNext w:val="0"/>
        <w:keepLines w:val="0"/>
        <w:pageBreakBefore w:val="0"/>
        <w:widowControl/>
        <w:numPr>
          <w:numId w:val="0"/>
        </w:numPr>
        <w:kinsoku/>
        <w:wordWrap/>
        <w:overflowPunct/>
        <w:topLinePunct w:val="0"/>
        <w:autoSpaceDE/>
        <w:autoSpaceDN/>
        <w:bidi w:val="0"/>
        <w:adjustRightInd/>
        <w:snapToGrid/>
        <w:spacing w:line="610" w:lineRule="exact"/>
        <w:ind w:leftChars="200" w:firstLine="320" w:firstLineChars="100"/>
        <w:jc w:val="both"/>
        <w:textAlignment w:val="auto"/>
        <w:rPr>
          <w:rFonts w:hint="eastAsia"/>
          <w:lang w:eastAsia="zh-CN"/>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pStyle w:val="2"/>
        <w:numPr>
          <w:numId w:val="0"/>
        </w:numPr>
        <w:ind w:leftChars="200"/>
        <w:rPr>
          <w:rFonts w:hint="eastAsia"/>
          <w:lang w:eastAsia="zh-CN"/>
        </w:rPr>
      </w:pPr>
      <w:r>
        <w:rPr>
          <w:rFonts w:hint="eastAsia"/>
          <w:lang w:eastAsia="zh-CN"/>
        </w:rPr>
        <w:t>（一）</w:t>
      </w:r>
      <w:r>
        <w:rPr>
          <w:rFonts w:hint="eastAsia" w:ascii="仿宋" w:hAnsi="仿宋" w:eastAsia="仿宋" w:cs="黑体"/>
          <w:b/>
          <w:color w:val="auto"/>
          <w:sz w:val="28"/>
          <w:szCs w:val="28"/>
        </w:rPr>
        <w:t>单位整体收支情况</w:t>
      </w:r>
    </w:p>
    <w:p>
      <w:pPr>
        <w:pStyle w:val="2"/>
        <w:numPr>
          <w:numId w:val="0"/>
        </w:numPr>
        <w:ind w:firstLine="560" w:firstLineChars="200"/>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1.收入情况：全年收入合计4285.08万元，其中：一般公共预算财政拨款收入1368.37万元，事业收入2916.71万元。</w:t>
      </w:r>
    </w:p>
    <w:p>
      <w:pPr>
        <w:spacing w:line="600" w:lineRule="exact"/>
        <w:ind w:firstLine="560" w:firstLineChars="200"/>
        <w:rPr>
          <w:rFonts w:hint="eastAsia" w:ascii="仿宋" w:hAnsi="仿宋" w:eastAsia="仿宋" w:cs="仿宋_GB2312"/>
          <w:bCs/>
          <w:color w:val="auto"/>
          <w:sz w:val="28"/>
          <w:szCs w:val="28"/>
          <w:lang w:val="en-US" w:eastAsia="zh-CN"/>
        </w:rPr>
      </w:pPr>
      <w:r>
        <w:rPr>
          <w:rFonts w:hint="eastAsia" w:ascii="仿宋" w:hAnsi="仿宋" w:eastAsia="仿宋" w:cs="仿宋_GB2312"/>
          <w:bCs/>
          <w:color w:val="auto"/>
          <w:kern w:val="2"/>
          <w:sz w:val="28"/>
          <w:szCs w:val="28"/>
          <w:lang w:val="en-US" w:eastAsia="zh-CN" w:bidi="ar-SA"/>
        </w:rPr>
        <w:t>2.支出情况：全年支出合计4285.08万元，其中：基本支出3458.18万元（工资福利支出1977.33万元、商品和服务1480.85支出万元），</w:t>
      </w:r>
      <w:r>
        <w:rPr>
          <w:rFonts w:hint="eastAsia" w:ascii="仿宋" w:hAnsi="仿宋" w:eastAsia="仿宋" w:cs="黑体"/>
          <w:bCs/>
          <w:color w:val="auto"/>
          <w:sz w:val="28"/>
          <w:szCs w:val="28"/>
        </w:rPr>
        <w:t>项目支出</w:t>
      </w:r>
      <w:r>
        <w:rPr>
          <w:rFonts w:hint="eastAsia" w:ascii="仿宋" w:hAnsi="仿宋" w:eastAsia="仿宋" w:cs="黑体"/>
          <w:bCs/>
          <w:color w:val="auto"/>
          <w:sz w:val="28"/>
          <w:szCs w:val="28"/>
          <w:lang w:val="en-US" w:eastAsia="zh-CN"/>
        </w:rPr>
        <w:t>826.90</w:t>
      </w:r>
      <w:r>
        <w:rPr>
          <w:rFonts w:hint="eastAsia" w:ascii="仿宋" w:hAnsi="仿宋" w:eastAsia="仿宋" w:cs="黑体"/>
          <w:bCs/>
          <w:color w:val="auto"/>
          <w:sz w:val="28"/>
          <w:szCs w:val="28"/>
        </w:rPr>
        <w:t>万元</w:t>
      </w:r>
      <w:r>
        <w:rPr>
          <w:rFonts w:hint="eastAsia" w:ascii="仿宋" w:hAnsi="仿宋" w:eastAsia="仿宋" w:cs="黑体"/>
          <w:bCs/>
          <w:color w:val="auto"/>
          <w:sz w:val="28"/>
          <w:szCs w:val="28"/>
          <w:lang w:eastAsia="zh-CN"/>
        </w:rPr>
        <w:t>。</w:t>
      </w:r>
    </w:p>
    <w:p>
      <w:pPr>
        <w:spacing w:line="560" w:lineRule="exact"/>
        <w:jc w:val="center"/>
        <w:rPr>
          <w:rFonts w:ascii="仿宋_GB2312" w:hAnsi="仿宋_GB2312" w:eastAsia="仿宋_GB2312" w:cs="仿宋_GB2312"/>
          <w:bCs/>
          <w:color w:val="auto"/>
          <w:sz w:val="21"/>
          <w:szCs w:val="21"/>
        </w:rPr>
      </w:pP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单位整体支出情况表</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Cs/>
          <w:color w:val="auto"/>
          <w:sz w:val="21"/>
          <w:szCs w:val="21"/>
        </w:rPr>
        <w:t>单位：万元</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843"/>
        <w:gridCol w:w="1888"/>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Merge w:val="restart"/>
            <w:vAlign w:val="center"/>
          </w:tcPr>
          <w:p>
            <w:pPr>
              <w:spacing w:line="600" w:lineRule="exact"/>
              <w:jc w:val="center"/>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项目名称</w:t>
            </w:r>
          </w:p>
        </w:tc>
        <w:tc>
          <w:tcPr>
            <w:tcW w:w="3731" w:type="dxa"/>
            <w:gridSpan w:val="2"/>
          </w:tcPr>
          <w:p>
            <w:pPr>
              <w:spacing w:line="600" w:lineRule="exact"/>
              <w:jc w:val="center"/>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预算支出</w:t>
            </w:r>
          </w:p>
        </w:tc>
        <w:tc>
          <w:tcPr>
            <w:tcW w:w="2131" w:type="dxa"/>
            <w:vMerge w:val="restart"/>
            <w:vAlign w:val="center"/>
          </w:tcPr>
          <w:p>
            <w:pPr>
              <w:spacing w:line="600" w:lineRule="exact"/>
              <w:jc w:val="center"/>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Merge w:val="continue"/>
            <w:vAlign w:val="center"/>
          </w:tcPr>
          <w:p>
            <w:pPr>
              <w:spacing w:line="600" w:lineRule="exact"/>
              <w:ind w:firstLine="560" w:firstLineChars="200"/>
              <w:rPr>
                <w:rFonts w:hint="eastAsia" w:ascii="仿宋" w:hAnsi="仿宋" w:eastAsia="仿宋" w:cs="仿宋_GB2312"/>
                <w:bCs/>
                <w:color w:val="auto"/>
                <w:kern w:val="2"/>
                <w:sz w:val="28"/>
                <w:szCs w:val="28"/>
                <w:lang w:val="en-US" w:eastAsia="zh-CN" w:bidi="ar-SA"/>
              </w:rPr>
            </w:pPr>
          </w:p>
        </w:tc>
        <w:tc>
          <w:tcPr>
            <w:tcW w:w="1843" w:type="dxa"/>
          </w:tcPr>
          <w:p>
            <w:pPr>
              <w:spacing w:line="600" w:lineRule="exact"/>
              <w:jc w:val="center"/>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基本支出</w:t>
            </w:r>
          </w:p>
        </w:tc>
        <w:tc>
          <w:tcPr>
            <w:tcW w:w="1888" w:type="dxa"/>
          </w:tcPr>
          <w:p>
            <w:pPr>
              <w:spacing w:line="600" w:lineRule="exact"/>
              <w:jc w:val="center"/>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项目支出</w:t>
            </w:r>
          </w:p>
        </w:tc>
        <w:tc>
          <w:tcPr>
            <w:tcW w:w="2131" w:type="dxa"/>
            <w:vMerge w:val="continue"/>
          </w:tcPr>
          <w:p>
            <w:pPr>
              <w:spacing w:line="600" w:lineRule="exact"/>
              <w:ind w:firstLine="560" w:firstLineChars="200"/>
              <w:rPr>
                <w:rFonts w:hint="eastAsia" w:ascii="仿宋" w:hAnsi="仿宋" w:eastAsia="仿宋" w:cs="仿宋_GB2312"/>
                <w:bCs/>
                <w:color w:val="auto"/>
                <w:kern w:val="2"/>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spacing w:line="600" w:lineRule="exact"/>
              <w:rPr>
                <w:rFonts w:hint="eastAsia" w:ascii="仿宋" w:hAnsi="仿宋" w:eastAsia="仿宋" w:cs="仿宋_GB2312"/>
                <w:bCs/>
                <w:color w:val="auto"/>
                <w:kern w:val="2"/>
                <w:sz w:val="21"/>
                <w:szCs w:val="21"/>
                <w:lang w:val="en-US" w:eastAsia="zh-CN" w:bidi="ar-SA"/>
              </w:rPr>
            </w:pPr>
            <w:r>
              <w:rPr>
                <w:rFonts w:hint="eastAsia" w:ascii="仿宋" w:hAnsi="仿宋" w:eastAsia="仿宋" w:cs="仿宋_GB2312"/>
                <w:bCs/>
                <w:color w:val="auto"/>
                <w:kern w:val="2"/>
                <w:sz w:val="21"/>
                <w:szCs w:val="21"/>
                <w:lang w:val="en-US" w:eastAsia="zh-CN" w:bidi="ar-SA"/>
              </w:rPr>
              <w:t>工资福利支出</w:t>
            </w:r>
          </w:p>
        </w:tc>
        <w:tc>
          <w:tcPr>
            <w:tcW w:w="1843" w:type="dxa"/>
          </w:tcPr>
          <w:p>
            <w:pPr>
              <w:spacing w:line="600" w:lineRule="exact"/>
              <w:ind w:firstLine="420" w:firstLineChars="200"/>
              <w:jc w:val="right"/>
              <w:rPr>
                <w:rFonts w:hint="default" w:ascii="仿宋" w:hAnsi="仿宋" w:eastAsia="仿宋" w:cs="仿宋_GB2312"/>
                <w:bCs/>
                <w:color w:val="auto"/>
                <w:kern w:val="2"/>
                <w:sz w:val="21"/>
                <w:szCs w:val="21"/>
                <w:lang w:val="en-US" w:eastAsia="zh-CN" w:bidi="ar-SA"/>
              </w:rPr>
            </w:pPr>
            <w:r>
              <w:rPr>
                <w:rFonts w:hint="eastAsia" w:ascii="仿宋" w:hAnsi="仿宋" w:eastAsia="仿宋" w:cs="仿宋_GB2312"/>
                <w:bCs/>
                <w:color w:val="auto"/>
                <w:kern w:val="2"/>
                <w:sz w:val="21"/>
                <w:szCs w:val="21"/>
                <w:lang w:val="en-US" w:eastAsia="zh-CN" w:bidi="ar-SA"/>
              </w:rPr>
              <w:t>1977.33</w:t>
            </w:r>
          </w:p>
        </w:tc>
        <w:tc>
          <w:tcPr>
            <w:tcW w:w="1888" w:type="dxa"/>
          </w:tcPr>
          <w:p>
            <w:pPr>
              <w:spacing w:line="600" w:lineRule="exact"/>
              <w:ind w:firstLine="420" w:firstLineChars="200"/>
              <w:jc w:val="right"/>
              <w:rPr>
                <w:rFonts w:hint="eastAsia" w:ascii="仿宋" w:hAnsi="仿宋" w:eastAsia="仿宋" w:cs="仿宋_GB2312"/>
                <w:bCs/>
                <w:color w:val="auto"/>
                <w:kern w:val="2"/>
                <w:sz w:val="21"/>
                <w:szCs w:val="21"/>
                <w:lang w:val="en-US" w:eastAsia="zh-CN" w:bidi="ar-SA"/>
              </w:rPr>
            </w:pPr>
          </w:p>
        </w:tc>
        <w:tc>
          <w:tcPr>
            <w:tcW w:w="2131" w:type="dxa"/>
          </w:tcPr>
          <w:p>
            <w:pPr>
              <w:spacing w:line="600" w:lineRule="exact"/>
              <w:ind w:firstLine="420" w:firstLineChars="200"/>
              <w:jc w:val="right"/>
              <w:rPr>
                <w:rFonts w:hint="default" w:ascii="仿宋" w:hAnsi="仿宋" w:eastAsia="仿宋" w:cs="仿宋_GB2312"/>
                <w:bCs/>
                <w:color w:val="auto"/>
                <w:kern w:val="2"/>
                <w:sz w:val="21"/>
                <w:szCs w:val="21"/>
                <w:lang w:val="en-US" w:eastAsia="zh-CN" w:bidi="ar-SA"/>
              </w:rPr>
            </w:pPr>
            <w:r>
              <w:rPr>
                <w:rFonts w:hint="eastAsia" w:ascii="仿宋" w:hAnsi="仿宋" w:eastAsia="仿宋" w:cs="仿宋_GB2312"/>
                <w:bCs/>
                <w:color w:val="auto"/>
                <w:kern w:val="2"/>
                <w:sz w:val="21"/>
                <w:szCs w:val="21"/>
                <w:lang w:val="en-US" w:eastAsia="zh-CN" w:bidi="ar-SA"/>
              </w:rPr>
              <w:t>1977.33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spacing w:line="600" w:lineRule="exact"/>
              <w:rPr>
                <w:rFonts w:hint="eastAsia" w:ascii="仿宋" w:hAnsi="仿宋" w:eastAsia="仿宋" w:cs="仿宋_GB2312"/>
                <w:bCs/>
                <w:color w:val="auto"/>
                <w:kern w:val="2"/>
                <w:sz w:val="21"/>
                <w:szCs w:val="21"/>
                <w:lang w:val="en-US" w:eastAsia="zh-CN" w:bidi="ar-SA"/>
              </w:rPr>
            </w:pPr>
            <w:r>
              <w:rPr>
                <w:rFonts w:hint="eastAsia" w:ascii="仿宋" w:hAnsi="仿宋" w:eastAsia="仿宋" w:cs="仿宋_GB2312"/>
                <w:bCs/>
                <w:color w:val="auto"/>
                <w:kern w:val="2"/>
                <w:sz w:val="21"/>
                <w:szCs w:val="21"/>
                <w:lang w:val="en-US" w:eastAsia="zh-CN" w:bidi="ar-SA"/>
              </w:rPr>
              <w:t>商品和服务支出</w:t>
            </w:r>
          </w:p>
        </w:tc>
        <w:tc>
          <w:tcPr>
            <w:tcW w:w="1843" w:type="dxa"/>
          </w:tcPr>
          <w:p>
            <w:pPr>
              <w:spacing w:line="600" w:lineRule="exact"/>
              <w:ind w:firstLine="420" w:firstLineChars="200"/>
              <w:jc w:val="right"/>
              <w:rPr>
                <w:rFonts w:hint="default" w:ascii="仿宋" w:hAnsi="仿宋" w:eastAsia="仿宋" w:cs="仿宋_GB2312"/>
                <w:bCs/>
                <w:color w:val="auto"/>
                <w:kern w:val="2"/>
                <w:sz w:val="21"/>
                <w:szCs w:val="21"/>
                <w:lang w:val="en-US" w:eastAsia="zh-CN" w:bidi="ar-SA"/>
              </w:rPr>
            </w:pPr>
            <w:r>
              <w:rPr>
                <w:rFonts w:hint="eastAsia" w:ascii="仿宋" w:hAnsi="仿宋" w:eastAsia="仿宋" w:cs="仿宋_GB2312"/>
                <w:bCs/>
                <w:color w:val="auto"/>
                <w:kern w:val="2"/>
                <w:sz w:val="21"/>
                <w:szCs w:val="21"/>
                <w:lang w:val="en-US" w:eastAsia="zh-CN" w:bidi="ar-SA"/>
              </w:rPr>
              <w:t>1480.85</w:t>
            </w:r>
          </w:p>
        </w:tc>
        <w:tc>
          <w:tcPr>
            <w:tcW w:w="1888" w:type="dxa"/>
          </w:tcPr>
          <w:p>
            <w:pPr>
              <w:spacing w:line="600" w:lineRule="exact"/>
              <w:ind w:firstLine="420" w:firstLineChars="200"/>
              <w:jc w:val="right"/>
              <w:rPr>
                <w:rFonts w:hint="default" w:ascii="仿宋" w:hAnsi="仿宋" w:eastAsia="仿宋" w:cs="仿宋_GB2312"/>
                <w:bCs/>
                <w:color w:val="auto"/>
                <w:kern w:val="2"/>
                <w:sz w:val="21"/>
                <w:szCs w:val="21"/>
                <w:lang w:val="en-US" w:eastAsia="zh-CN" w:bidi="ar-SA"/>
              </w:rPr>
            </w:pPr>
          </w:p>
        </w:tc>
        <w:tc>
          <w:tcPr>
            <w:tcW w:w="2131" w:type="dxa"/>
          </w:tcPr>
          <w:p>
            <w:pPr>
              <w:spacing w:line="600" w:lineRule="exact"/>
              <w:ind w:firstLine="420" w:firstLineChars="200"/>
              <w:jc w:val="right"/>
              <w:rPr>
                <w:rFonts w:hint="default" w:ascii="仿宋" w:hAnsi="仿宋" w:eastAsia="仿宋" w:cs="仿宋_GB2312"/>
                <w:bCs/>
                <w:color w:val="auto"/>
                <w:kern w:val="2"/>
                <w:sz w:val="21"/>
                <w:szCs w:val="21"/>
                <w:lang w:val="en-US" w:eastAsia="zh-CN" w:bidi="ar-SA"/>
              </w:rPr>
            </w:pPr>
            <w:r>
              <w:rPr>
                <w:rFonts w:hint="eastAsia" w:ascii="仿宋" w:hAnsi="仿宋" w:eastAsia="仿宋" w:cs="仿宋_GB2312"/>
                <w:bCs/>
                <w:color w:val="auto"/>
                <w:kern w:val="2"/>
                <w:sz w:val="21"/>
                <w:szCs w:val="21"/>
                <w:lang w:val="en-US" w:eastAsia="zh-CN" w:bidi="ar-SA"/>
              </w:rPr>
              <w:t>1480.85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660" w:type="dxa"/>
          </w:tcPr>
          <w:p>
            <w:pPr>
              <w:spacing w:line="600" w:lineRule="exact"/>
              <w:rPr>
                <w:rFonts w:hint="eastAsia" w:ascii="仿宋" w:hAnsi="仿宋" w:eastAsia="仿宋" w:cs="仿宋_GB2312"/>
                <w:bCs/>
                <w:color w:val="auto"/>
                <w:kern w:val="2"/>
                <w:sz w:val="21"/>
                <w:szCs w:val="21"/>
                <w:lang w:val="en-US" w:eastAsia="zh-CN" w:bidi="ar-SA"/>
              </w:rPr>
            </w:pPr>
            <w:r>
              <w:rPr>
                <w:rFonts w:hint="eastAsia" w:ascii="仿宋" w:hAnsi="仿宋" w:eastAsia="仿宋" w:cs="仿宋_GB2312"/>
                <w:bCs/>
                <w:color w:val="auto"/>
                <w:kern w:val="2"/>
                <w:sz w:val="21"/>
                <w:szCs w:val="21"/>
                <w:lang w:val="en-US" w:eastAsia="zh-CN" w:bidi="ar-SA"/>
              </w:rPr>
              <w:t>对个人和家庭的补助支出</w:t>
            </w:r>
          </w:p>
        </w:tc>
        <w:tc>
          <w:tcPr>
            <w:tcW w:w="1843" w:type="dxa"/>
            <w:vAlign w:val="center"/>
          </w:tcPr>
          <w:p>
            <w:pPr>
              <w:spacing w:line="600" w:lineRule="exact"/>
              <w:ind w:firstLine="420" w:firstLineChars="200"/>
              <w:jc w:val="right"/>
              <w:rPr>
                <w:rFonts w:hint="eastAsia" w:ascii="仿宋" w:hAnsi="仿宋" w:eastAsia="仿宋" w:cs="仿宋_GB2312"/>
                <w:bCs/>
                <w:color w:val="auto"/>
                <w:kern w:val="2"/>
                <w:sz w:val="21"/>
                <w:szCs w:val="21"/>
                <w:lang w:val="en-US" w:eastAsia="zh-CN" w:bidi="ar-SA"/>
              </w:rPr>
            </w:pPr>
          </w:p>
        </w:tc>
        <w:tc>
          <w:tcPr>
            <w:tcW w:w="1888" w:type="dxa"/>
            <w:vAlign w:val="center"/>
          </w:tcPr>
          <w:p>
            <w:pPr>
              <w:spacing w:line="600" w:lineRule="exact"/>
              <w:ind w:firstLine="420" w:firstLineChars="200"/>
              <w:jc w:val="right"/>
              <w:rPr>
                <w:rFonts w:hint="default" w:ascii="仿宋" w:hAnsi="仿宋" w:eastAsia="仿宋" w:cs="仿宋_GB2312"/>
                <w:bCs/>
                <w:color w:val="auto"/>
                <w:kern w:val="2"/>
                <w:sz w:val="21"/>
                <w:szCs w:val="21"/>
                <w:lang w:val="en-US" w:eastAsia="zh-CN" w:bidi="ar-SA"/>
              </w:rPr>
            </w:pPr>
            <w:r>
              <w:rPr>
                <w:rFonts w:hint="eastAsia" w:ascii="仿宋" w:hAnsi="仿宋" w:eastAsia="仿宋" w:cs="仿宋_GB2312"/>
                <w:bCs/>
                <w:color w:val="auto"/>
                <w:kern w:val="2"/>
                <w:sz w:val="21"/>
                <w:szCs w:val="21"/>
                <w:lang w:val="en-US" w:eastAsia="zh-CN" w:bidi="ar-SA"/>
              </w:rPr>
              <w:t>826.90</w:t>
            </w:r>
          </w:p>
        </w:tc>
        <w:tc>
          <w:tcPr>
            <w:tcW w:w="2131" w:type="dxa"/>
            <w:vAlign w:val="center"/>
          </w:tcPr>
          <w:p>
            <w:pPr>
              <w:spacing w:line="600" w:lineRule="exact"/>
              <w:ind w:firstLine="420" w:firstLineChars="200"/>
              <w:jc w:val="right"/>
              <w:rPr>
                <w:rFonts w:hint="default" w:ascii="仿宋" w:hAnsi="仿宋" w:eastAsia="仿宋" w:cs="仿宋_GB2312"/>
                <w:bCs/>
                <w:color w:val="auto"/>
                <w:kern w:val="2"/>
                <w:sz w:val="21"/>
                <w:szCs w:val="21"/>
                <w:lang w:val="en-US" w:eastAsia="zh-CN" w:bidi="ar-SA"/>
              </w:rPr>
            </w:pPr>
            <w:r>
              <w:rPr>
                <w:rFonts w:hint="eastAsia" w:ascii="仿宋" w:hAnsi="仿宋" w:eastAsia="仿宋" w:cs="仿宋_GB2312"/>
                <w:bCs/>
                <w:color w:val="auto"/>
                <w:kern w:val="2"/>
                <w:sz w:val="21"/>
                <w:szCs w:val="21"/>
                <w:lang w:val="en-US" w:eastAsia="zh-CN" w:bidi="ar-SA"/>
              </w:rPr>
              <w:t>826.90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660" w:type="dxa"/>
          </w:tcPr>
          <w:p>
            <w:pPr>
              <w:spacing w:line="600" w:lineRule="exact"/>
              <w:rPr>
                <w:rFonts w:hint="eastAsia" w:ascii="仿宋" w:hAnsi="仿宋" w:eastAsia="仿宋" w:cs="仿宋_GB2312"/>
                <w:bCs/>
                <w:color w:val="auto"/>
                <w:kern w:val="2"/>
                <w:sz w:val="21"/>
                <w:szCs w:val="21"/>
                <w:lang w:val="en-US" w:eastAsia="zh-CN" w:bidi="ar-SA"/>
              </w:rPr>
            </w:pPr>
            <w:r>
              <w:rPr>
                <w:rFonts w:hint="eastAsia" w:ascii="仿宋" w:hAnsi="仿宋" w:eastAsia="仿宋" w:cs="仿宋_GB2312"/>
                <w:bCs/>
                <w:color w:val="auto"/>
                <w:kern w:val="2"/>
                <w:sz w:val="21"/>
                <w:szCs w:val="21"/>
                <w:lang w:val="en-US" w:eastAsia="zh-CN" w:bidi="ar-SA"/>
              </w:rPr>
              <w:t>资本性支出</w:t>
            </w:r>
          </w:p>
        </w:tc>
        <w:tc>
          <w:tcPr>
            <w:tcW w:w="1843" w:type="dxa"/>
          </w:tcPr>
          <w:p>
            <w:pPr>
              <w:spacing w:line="600" w:lineRule="exact"/>
              <w:ind w:firstLine="420" w:firstLineChars="200"/>
              <w:jc w:val="right"/>
              <w:rPr>
                <w:rFonts w:hint="eastAsia" w:ascii="仿宋" w:hAnsi="仿宋" w:eastAsia="仿宋" w:cs="仿宋_GB2312"/>
                <w:bCs/>
                <w:color w:val="auto"/>
                <w:kern w:val="2"/>
                <w:sz w:val="21"/>
                <w:szCs w:val="21"/>
                <w:lang w:val="en-US" w:eastAsia="zh-CN" w:bidi="ar-SA"/>
              </w:rPr>
            </w:pPr>
          </w:p>
        </w:tc>
        <w:tc>
          <w:tcPr>
            <w:tcW w:w="1888" w:type="dxa"/>
          </w:tcPr>
          <w:p>
            <w:pPr>
              <w:spacing w:line="600" w:lineRule="exact"/>
              <w:ind w:firstLine="420" w:firstLineChars="200"/>
              <w:jc w:val="right"/>
              <w:rPr>
                <w:rFonts w:hint="eastAsia" w:ascii="仿宋" w:hAnsi="仿宋" w:eastAsia="仿宋" w:cs="仿宋_GB2312"/>
                <w:bCs/>
                <w:color w:val="auto"/>
                <w:kern w:val="2"/>
                <w:sz w:val="21"/>
                <w:szCs w:val="21"/>
                <w:lang w:val="en-US" w:eastAsia="zh-CN" w:bidi="ar-SA"/>
              </w:rPr>
            </w:pPr>
          </w:p>
        </w:tc>
        <w:tc>
          <w:tcPr>
            <w:tcW w:w="2131" w:type="dxa"/>
          </w:tcPr>
          <w:p>
            <w:pPr>
              <w:spacing w:line="600" w:lineRule="exact"/>
              <w:ind w:firstLine="420" w:firstLineChars="200"/>
              <w:jc w:val="right"/>
              <w:rPr>
                <w:rFonts w:hint="eastAsia" w:ascii="仿宋" w:hAnsi="仿宋" w:eastAsia="仿宋" w:cs="仿宋_GB2312"/>
                <w:bCs/>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tcPr>
          <w:p>
            <w:pPr>
              <w:spacing w:line="600" w:lineRule="exact"/>
              <w:jc w:val="center"/>
              <w:rPr>
                <w:rFonts w:hint="eastAsia" w:ascii="仿宋" w:hAnsi="仿宋" w:eastAsia="仿宋" w:cs="仿宋_GB2312"/>
                <w:bCs/>
                <w:color w:val="auto"/>
                <w:kern w:val="2"/>
                <w:sz w:val="21"/>
                <w:szCs w:val="21"/>
                <w:lang w:val="en-US" w:eastAsia="zh-CN" w:bidi="ar-SA"/>
              </w:rPr>
            </w:pPr>
            <w:r>
              <w:rPr>
                <w:rFonts w:hint="eastAsia" w:ascii="仿宋" w:hAnsi="仿宋" w:eastAsia="仿宋" w:cs="仿宋_GB2312"/>
                <w:bCs/>
                <w:color w:val="auto"/>
                <w:kern w:val="2"/>
                <w:sz w:val="21"/>
                <w:szCs w:val="21"/>
                <w:lang w:val="en-US" w:eastAsia="zh-CN" w:bidi="ar-SA"/>
              </w:rPr>
              <w:t>合计</w:t>
            </w:r>
          </w:p>
        </w:tc>
        <w:tc>
          <w:tcPr>
            <w:tcW w:w="1843" w:type="dxa"/>
          </w:tcPr>
          <w:p>
            <w:pPr>
              <w:spacing w:line="600" w:lineRule="exact"/>
              <w:ind w:firstLine="420" w:firstLineChars="200"/>
              <w:jc w:val="right"/>
              <w:rPr>
                <w:rFonts w:hint="default" w:ascii="仿宋" w:hAnsi="仿宋" w:eastAsia="仿宋" w:cs="仿宋_GB2312"/>
                <w:bCs/>
                <w:color w:val="auto"/>
                <w:kern w:val="2"/>
                <w:sz w:val="21"/>
                <w:szCs w:val="21"/>
                <w:lang w:val="en-US" w:eastAsia="zh-CN" w:bidi="ar-SA"/>
              </w:rPr>
            </w:pPr>
            <w:r>
              <w:rPr>
                <w:rFonts w:hint="eastAsia" w:ascii="仿宋" w:hAnsi="仿宋" w:eastAsia="仿宋" w:cs="仿宋_GB2312"/>
                <w:bCs/>
                <w:color w:val="auto"/>
                <w:kern w:val="2"/>
                <w:sz w:val="21"/>
                <w:szCs w:val="21"/>
                <w:lang w:val="en-US" w:eastAsia="zh-CN" w:bidi="ar-SA"/>
              </w:rPr>
              <w:t>3458.18</w:t>
            </w:r>
          </w:p>
        </w:tc>
        <w:tc>
          <w:tcPr>
            <w:tcW w:w="1888" w:type="dxa"/>
          </w:tcPr>
          <w:p>
            <w:pPr>
              <w:spacing w:line="600" w:lineRule="exact"/>
              <w:ind w:firstLine="420" w:firstLineChars="200"/>
              <w:jc w:val="right"/>
              <w:rPr>
                <w:rFonts w:hint="default" w:ascii="仿宋" w:hAnsi="仿宋" w:eastAsia="仿宋" w:cs="仿宋_GB2312"/>
                <w:bCs/>
                <w:color w:val="auto"/>
                <w:kern w:val="2"/>
                <w:sz w:val="21"/>
                <w:szCs w:val="21"/>
                <w:lang w:val="en-US" w:eastAsia="zh-CN" w:bidi="ar-SA"/>
              </w:rPr>
            </w:pPr>
            <w:r>
              <w:rPr>
                <w:rFonts w:hint="eastAsia" w:ascii="仿宋" w:hAnsi="仿宋" w:eastAsia="仿宋" w:cs="仿宋_GB2312"/>
                <w:bCs/>
                <w:color w:val="auto"/>
                <w:kern w:val="2"/>
                <w:sz w:val="21"/>
                <w:szCs w:val="21"/>
                <w:lang w:val="en-US" w:eastAsia="zh-CN" w:bidi="ar-SA"/>
              </w:rPr>
              <w:t>826.90</w:t>
            </w:r>
          </w:p>
        </w:tc>
        <w:tc>
          <w:tcPr>
            <w:tcW w:w="2131" w:type="dxa"/>
          </w:tcPr>
          <w:p>
            <w:pPr>
              <w:spacing w:line="600" w:lineRule="exact"/>
              <w:ind w:firstLine="420" w:firstLineChars="200"/>
              <w:jc w:val="right"/>
              <w:rPr>
                <w:rFonts w:hint="default" w:ascii="仿宋" w:hAnsi="仿宋" w:eastAsia="仿宋" w:cs="仿宋_GB2312"/>
                <w:bCs/>
                <w:color w:val="auto"/>
                <w:kern w:val="2"/>
                <w:sz w:val="21"/>
                <w:szCs w:val="21"/>
                <w:lang w:val="en-US" w:eastAsia="zh-CN" w:bidi="ar-SA"/>
              </w:rPr>
            </w:pPr>
            <w:r>
              <w:rPr>
                <w:rFonts w:hint="eastAsia" w:ascii="仿宋" w:hAnsi="仿宋" w:eastAsia="仿宋" w:cs="仿宋_GB2312"/>
                <w:bCs/>
                <w:color w:val="auto"/>
                <w:kern w:val="2"/>
                <w:sz w:val="21"/>
                <w:szCs w:val="21"/>
                <w:lang w:val="en-US" w:eastAsia="zh-CN" w:bidi="ar-SA"/>
              </w:rPr>
              <w:t>4285.08</w:t>
            </w:r>
          </w:p>
        </w:tc>
      </w:tr>
    </w:tbl>
    <w:p>
      <w:pPr>
        <w:spacing w:line="600" w:lineRule="exact"/>
        <w:ind w:right="140" w:firstLine="281" w:firstLineChars="100"/>
        <w:jc w:val="left"/>
        <w:rPr>
          <w:rFonts w:hint="eastAsia" w:ascii="仿宋" w:hAnsi="仿宋" w:eastAsia="仿宋" w:cs="仿宋_GB2312"/>
          <w:b/>
          <w:color w:val="auto"/>
          <w:sz w:val="28"/>
          <w:szCs w:val="28"/>
        </w:rPr>
      </w:pPr>
    </w:p>
    <w:p>
      <w:pPr>
        <w:spacing w:line="600" w:lineRule="exact"/>
        <w:ind w:right="140" w:firstLine="281" w:firstLineChars="100"/>
        <w:jc w:val="left"/>
        <w:rPr>
          <w:rFonts w:ascii="仿宋" w:hAnsi="仿宋" w:eastAsia="仿宋" w:cs="仿宋_GB2312"/>
          <w:b/>
          <w:color w:val="auto"/>
          <w:sz w:val="28"/>
          <w:szCs w:val="28"/>
        </w:rPr>
      </w:pPr>
      <w:r>
        <w:rPr>
          <w:rFonts w:hint="eastAsia" w:ascii="仿宋" w:hAnsi="仿宋" w:eastAsia="仿宋" w:cs="仿宋_GB2312"/>
          <w:b/>
          <w:color w:val="auto"/>
          <w:sz w:val="28"/>
          <w:szCs w:val="28"/>
        </w:rPr>
        <w:t>（二）一般公共预算财政拨款支出情况</w:t>
      </w:r>
    </w:p>
    <w:p>
      <w:pPr>
        <w:spacing w:line="600" w:lineRule="exact"/>
        <w:ind w:right="140" w:firstLine="560" w:firstLineChars="200"/>
        <w:jc w:val="left"/>
        <w:rPr>
          <w:rFonts w:hint="default" w:ascii="仿宋" w:hAnsi="仿宋" w:eastAsia="仿宋" w:cs="仿宋_GB2312"/>
          <w:bCs/>
          <w:color w:val="auto"/>
          <w:sz w:val="28"/>
          <w:szCs w:val="28"/>
          <w:lang w:val="en-US" w:eastAsia="zh-CN"/>
        </w:rPr>
      </w:pPr>
      <w:r>
        <w:rPr>
          <w:rFonts w:hint="eastAsia" w:ascii="仿宋" w:hAnsi="仿宋" w:eastAsia="仿宋" w:cs="仿宋_GB2312"/>
          <w:bCs/>
          <w:color w:val="auto"/>
          <w:sz w:val="28"/>
          <w:szCs w:val="28"/>
        </w:rPr>
        <w:t>202</w:t>
      </w:r>
      <w:r>
        <w:rPr>
          <w:rFonts w:hint="eastAsia" w:ascii="仿宋" w:hAnsi="仿宋" w:eastAsia="仿宋" w:cs="仿宋_GB2312"/>
          <w:bCs/>
          <w:color w:val="auto"/>
          <w:sz w:val="28"/>
          <w:szCs w:val="28"/>
          <w:lang w:val="en-US" w:eastAsia="zh-CN"/>
        </w:rPr>
        <w:t>2</w:t>
      </w:r>
      <w:r>
        <w:rPr>
          <w:rFonts w:hint="eastAsia" w:ascii="仿宋" w:hAnsi="仿宋" w:eastAsia="仿宋" w:cs="仿宋_GB2312"/>
          <w:bCs/>
          <w:color w:val="auto"/>
          <w:sz w:val="28"/>
          <w:szCs w:val="28"/>
        </w:rPr>
        <w:t>年一般公共预算财政拨款基本支出</w:t>
      </w:r>
      <w:r>
        <w:rPr>
          <w:rFonts w:hint="eastAsia" w:ascii="仿宋" w:hAnsi="仿宋" w:eastAsia="仿宋" w:cs="仿宋_GB2312"/>
          <w:bCs/>
          <w:color w:val="auto"/>
          <w:sz w:val="28"/>
          <w:szCs w:val="28"/>
          <w:lang w:val="en-US" w:eastAsia="zh-CN"/>
        </w:rPr>
        <w:t>1368.37</w:t>
      </w:r>
      <w:r>
        <w:rPr>
          <w:rFonts w:hint="eastAsia" w:ascii="仿宋" w:hAnsi="仿宋" w:eastAsia="仿宋" w:cs="仿宋_GB2312"/>
          <w:bCs/>
          <w:color w:val="auto"/>
          <w:sz w:val="28"/>
          <w:szCs w:val="28"/>
        </w:rPr>
        <w:t>万元，其中人员经费支出</w:t>
      </w:r>
      <w:r>
        <w:rPr>
          <w:rFonts w:hint="eastAsia" w:ascii="仿宋" w:hAnsi="仿宋" w:eastAsia="仿宋" w:cs="仿宋_GB2312"/>
          <w:bCs/>
          <w:color w:val="auto"/>
          <w:sz w:val="28"/>
          <w:szCs w:val="28"/>
          <w:lang w:val="en-US" w:eastAsia="zh-CN"/>
        </w:rPr>
        <w:t>541.47</w:t>
      </w:r>
      <w:r>
        <w:rPr>
          <w:rFonts w:hint="eastAsia" w:ascii="仿宋" w:hAnsi="仿宋" w:eastAsia="仿宋" w:cs="仿宋_GB2312"/>
          <w:bCs/>
          <w:color w:val="auto"/>
          <w:sz w:val="28"/>
          <w:szCs w:val="28"/>
        </w:rPr>
        <w:t>万元，</w:t>
      </w:r>
      <w:r>
        <w:rPr>
          <w:rFonts w:hint="eastAsia" w:ascii="仿宋" w:hAnsi="仿宋" w:eastAsia="仿宋" w:cs="仿宋_GB2312"/>
          <w:bCs/>
          <w:color w:val="auto"/>
          <w:sz w:val="28"/>
          <w:szCs w:val="28"/>
          <w:lang w:eastAsia="zh-CN"/>
        </w:rPr>
        <w:t>项目支出</w:t>
      </w:r>
      <w:r>
        <w:rPr>
          <w:rFonts w:hint="eastAsia" w:ascii="仿宋" w:hAnsi="仿宋" w:eastAsia="仿宋" w:cs="仿宋_GB2312"/>
          <w:bCs/>
          <w:color w:val="auto"/>
          <w:sz w:val="28"/>
          <w:szCs w:val="28"/>
          <w:lang w:val="en-US" w:eastAsia="zh-CN"/>
        </w:rPr>
        <w:t>826.90万元。</w:t>
      </w:r>
    </w:p>
    <w:p>
      <w:pPr>
        <w:spacing w:line="600" w:lineRule="exact"/>
        <w:ind w:firstLine="281" w:firstLineChars="100"/>
        <w:rPr>
          <w:rFonts w:hint="eastAsia" w:ascii="仿宋" w:hAnsi="仿宋" w:eastAsia="仿宋" w:cs="黑体"/>
          <w:b/>
          <w:color w:val="auto"/>
          <w:sz w:val="28"/>
          <w:szCs w:val="28"/>
        </w:rPr>
      </w:pPr>
    </w:p>
    <w:p>
      <w:pPr>
        <w:spacing w:line="600" w:lineRule="exact"/>
        <w:ind w:firstLine="281" w:firstLineChars="100"/>
        <w:rPr>
          <w:rFonts w:ascii="仿宋" w:hAnsi="仿宋" w:eastAsia="仿宋" w:cs="黑体"/>
          <w:b/>
          <w:color w:val="auto"/>
          <w:sz w:val="28"/>
          <w:szCs w:val="28"/>
        </w:rPr>
      </w:pPr>
      <w:r>
        <w:rPr>
          <w:rFonts w:hint="eastAsia" w:ascii="仿宋" w:hAnsi="仿宋" w:eastAsia="仿宋" w:cs="黑体"/>
          <w:b/>
          <w:color w:val="auto"/>
          <w:sz w:val="28"/>
          <w:szCs w:val="28"/>
        </w:rPr>
        <w:t>（三）三公经费支出情况</w:t>
      </w:r>
    </w:p>
    <w:p>
      <w:pPr>
        <w:spacing w:line="600" w:lineRule="exact"/>
        <w:ind w:firstLine="560" w:firstLineChars="200"/>
        <w:rPr>
          <w:rFonts w:hint="eastAsia" w:ascii="仿宋" w:hAnsi="仿宋" w:eastAsia="仿宋" w:cs="黑体"/>
          <w:bCs/>
          <w:color w:val="auto"/>
          <w:sz w:val="28"/>
          <w:szCs w:val="28"/>
          <w:lang w:val="en-US" w:eastAsia="zh-CN"/>
        </w:rPr>
      </w:pPr>
      <w:r>
        <w:rPr>
          <w:rFonts w:hint="eastAsia" w:ascii="仿宋" w:hAnsi="仿宋" w:eastAsia="仿宋" w:cs="黑体"/>
          <w:bCs/>
          <w:color w:val="auto"/>
          <w:sz w:val="28"/>
          <w:szCs w:val="28"/>
        </w:rPr>
        <w:t>202</w:t>
      </w:r>
      <w:r>
        <w:rPr>
          <w:rFonts w:hint="eastAsia" w:ascii="仿宋" w:hAnsi="仿宋" w:eastAsia="仿宋" w:cs="黑体"/>
          <w:bCs/>
          <w:color w:val="auto"/>
          <w:sz w:val="28"/>
          <w:szCs w:val="28"/>
          <w:lang w:val="en-US" w:eastAsia="zh-CN"/>
        </w:rPr>
        <w:t>2</w:t>
      </w:r>
      <w:r>
        <w:rPr>
          <w:rFonts w:hint="eastAsia" w:ascii="仿宋" w:hAnsi="仿宋" w:eastAsia="仿宋" w:cs="黑体"/>
          <w:bCs/>
          <w:color w:val="auto"/>
          <w:sz w:val="28"/>
          <w:szCs w:val="28"/>
        </w:rPr>
        <w:t>年三公经费支出</w:t>
      </w:r>
      <w:r>
        <w:rPr>
          <w:rFonts w:hint="eastAsia" w:ascii="仿宋" w:hAnsi="仿宋" w:eastAsia="仿宋" w:cs="黑体"/>
          <w:bCs/>
          <w:color w:val="auto"/>
          <w:sz w:val="28"/>
          <w:szCs w:val="28"/>
          <w:lang w:val="en-US" w:eastAsia="zh-CN"/>
        </w:rPr>
        <w:t>0</w:t>
      </w:r>
      <w:r>
        <w:rPr>
          <w:rFonts w:hint="eastAsia" w:ascii="仿宋" w:hAnsi="仿宋" w:eastAsia="仿宋" w:cs="黑体"/>
          <w:bCs/>
          <w:color w:val="auto"/>
          <w:sz w:val="28"/>
          <w:szCs w:val="28"/>
        </w:rPr>
        <w:t>万元</w:t>
      </w:r>
      <w:r>
        <w:rPr>
          <w:rFonts w:hint="eastAsia" w:ascii="仿宋" w:hAnsi="仿宋" w:eastAsia="仿宋" w:cs="黑体"/>
          <w:bCs/>
          <w:color w:val="auto"/>
          <w:sz w:val="28"/>
          <w:szCs w:val="28"/>
          <w:lang w:eastAsia="zh-CN"/>
        </w:rPr>
        <w:t>。</w:t>
      </w:r>
    </w:p>
    <w:p>
      <w:pPr>
        <w:pStyle w:val="13"/>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黑体" w:cs="Times New Roman"/>
          <w:sz w:val="32"/>
          <w:szCs w:val="32"/>
          <w:lang w:eastAsia="zh-CN"/>
        </w:rPr>
      </w:pPr>
    </w:p>
    <w:p>
      <w:pPr>
        <w:pStyle w:val="13"/>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keepNext w:val="0"/>
        <w:keepLines w:val="0"/>
        <w:pageBreakBefore w:val="0"/>
        <w:widowControl/>
        <w:kinsoku/>
        <w:wordWrap/>
        <w:overflowPunct/>
        <w:topLinePunct w:val="0"/>
        <w:autoSpaceDE/>
        <w:autoSpaceDN/>
        <w:bidi w:val="0"/>
        <w:adjustRightInd/>
        <w:snapToGrid/>
        <w:spacing w:line="610" w:lineRule="exact"/>
        <w:ind w:firstLine="560" w:firstLineChars="200"/>
        <w:jc w:val="both"/>
        <w:textAlignment w:val="auto"/>
        <w:rPr>
          <w:rFonts w:hint="eastAsia" w:ascii="仿宋" w:hAnsi="仿宋" w:eastAsia="仿宋" w:cs="黑体"/>
          <w:bCs/>
          <w:color w:val="auto"/>
          <w:sz w:val="28"/>
          <w:szCs w:val="28"/>
          <w:lang w:eastAsia="zh-CN"/>
        </w:rPr>
      </w:pPr>
      <w:r>
        <w:rPr>
          <w:rFonts w:hint="eastAsia" w:ascii="仿宋" w:hAnsi="仿宋" w:eastAsia="仿宋" w:cs="黑体"/>
          <w:bCs/>
          <w:color w:val="auto"/>
          <w:sz w:val="28"/>
          <w:szCs w:val="28"/>
          <w:lang w:val="en-US" w:eastAsia="zh-CN"/>
        </w:rPr>
        <w:t>1.</w:t>
      </w:r>
      <w:r>
        <w:rPr>
          <w:rFonts w:hint="eastAsia" w:ascii="仿宋" w:hAnsi="仿宋" w:eastAsia="仿宋" w:cs="黑体"/>
          <w:bCs/>
          <w:color w:val="auto"/>
          <w:sz w:val="28"/>
          <w:szCs w:val="28"/>
        </w:rPr>
        <w:t>部分预算实行人均定额标准预算，存在局限性</w:t>
      </w:r>
      <w:r>
        <w:rPr>
          <w:rFonts w:hint="eastAsia" w:ascii="仿宋" w:hAnsi="仿宋" w:eastAsia="仿宋" w:cs="黑体"/>
          <w:bCs/>
          <w:color w:val="auto"/>
          <w:sz w:val="28"/>
          <w:szCs w:val="28"/>
          <w:lang w:eastAsia="zh-CN"/>
        </w:rPr>
        <w:t>。</w:t>
      </w:r>
    </w:p>
    <w:p>
      <w:pPr>
        <w:keepNext w:val="0"/>
        <w:keepLines w:val="0"/>
        <w:pageBreakBefore w:val="0"/>
        <w:widowControl/>
        <w:kinsoku/>
        <w:wordWrap/>
        <w:overflowPunct/>
        <w:topLinePunct w:val="0"/>
        <w:autoSpaceDE/>
        <w:autoSpaceDN/>
        <w:bidi w:val="0"/>
        <w:adjustRightInd/>
        <w:snapToGrid/>
        <w:spacing w:line="610" w:lineRule="exact"/>
        <w:ind w:firstLine="560" w:firstLineChars="200"/>
        <w:jc w:val="both"/>
        <w:textAlignment w:val="auto"/>
        <w:rPr>
          <w:rFonts w:hint="eastAsia" w:ascii="仿宋_GB2312" w:hAnsi="宋体" w:eastAsia="仿宋_GB2312" w:cs="宋体"/>
          <w:bCs/>
          <w:color w:val="auto"/>
          <w:sz w:val="28"/>
          <w:szCs w:val="28"/>
        </w:rPr>
      </w:pPr>
      <w:r>
        <w:rPr>
          <w:rFonts w:hint="eastAsia" w:ascii="仿宋" w:hAnsi="仿宋" w:eastAsia="仿宋" w:cs="黑体"/>
          <w:bCs/>
          <w:color w:val="auto"/>
          <w:sz w:val="28"/>
          <w:szCs w:val="28"/>
          <w:lang w:val="en-US" w:eastAsia="zh-CN"/>
        </w:rPr>
        <w:t>2.</w:t>
      </w:r>
      <w:r>
        <w:rPr>
          <w:rFonts w:hint="eastAsia" w:ascii="仿宋" w:hAnsi="仿宋" w:eastAsia="仿宋" w:cs="黑体"/>
          <w:bCs/>
          <w:color w:val="auto"/>
          <w:sz w:val="28"/>
          <w:szCs w:val="28"/>
        </w:rPr>
        <w:t>项目预算编制，相关业务人员参与度不高</w:t>
      </w:r>
      <w:r>
        <w:rPr>
          <w:rFonts w:hint="eastAsia" w:ascii="仿宋_GB2312" w:hAnsi="宋体" w:eastAsia="仿宋_GB2312" w:cs="宋体"/>
          <w:bCs/>
          <w:color w:val="auto"/>
          <w:sz w:val="28"/>
          <w:szCs w:val="28"/>
        </w:rPr>
        <w:t>。</w:t>
      </w:r>
    </w:p>
    <w:p>
      <w:pPr>
        <w:keepNext w:val="0"/>
        <w:keepLines w:val="0"/>
        <w:pageBreakBefore w:val="0"/>
        <w:widowControl/>
        <w:numPr>
          <w:numId w:val="0"/>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六、</w:t>
      </w:r>
      <w:r>
        <w:rPr>
          <w:rFonts w:hint="default" w:ascii="Times New Roman" w:hAnsi="Times New Roman" w:eastAsia="黑体" w:cs="Times New Roman"/>
          <w:sz w:val="32"/>
          <w:szCs w:val="32"/>
        </w:rPr>
        <w:t>下一步改进措施</w:t>
      </w:r>
    </w:p>
    <w:p>
      <w:pPr>
        <w:spacing w:line="600" w:lineRule="exact"/>
        <w:ind w:firstLine="420" w:firstLineChars="200"/>
        <w:rPr>
          <w:rFonts w:hint="eastAsia" w:ascii="仿宋" w:hAnsi="仿宋" w:eastAsia="仿宋"/>
          <w:color w:val="auto"/>
          <w:sz w:val="28"/>
          <w:szCs w:val="28"/>
        </w:rPr>
      </w:pPr>
      <w:r>
        <w:rPr>
          <w:rFonts w:hint="eastAsia" w:ascii="仿宋" w:hAnsi="仿宋" w:eastAsia="仿宋"/>
          <w:color w:val="auto"/>
        </w:rPr>
        <w:t xml:space="preserve"> </w:t>
      </w:r>
      <w:r>
        <w:rPr>
          <w:rFonts w:hint="eastAsia" w:ascii="仿宋" w:hAnsi="仿宋" w:eastAsia="仿宋"/>
          <w:color w:val="auto"/>
          <w:sz w:val="28"/>
          <w:szCs w:val="28"/>
        </w:rPr>
        <w:t>从源头上强化预算管理，在信息化建设的基础上，根据医院整体发展规划，结合实际情况，统筹安排预算编制，提高预算编制的科学性、准确性和合理性，优化资金使用结构，如实反映各项活动的实际开展情况。</w:t>
      </w:r>
    </w:p>
    <w:p>
      <w:pPr>
        <w:pStyle w:val="2"/>
        <w:rPr>
          <w:rFonts w:hint="default"/>
        </w:rPr>
      </w:pPr>
    </w:p>
    <w:p>
      <w:pPr>
        <w:keepNext w:val="0"/>
        <w:keepLines w:val="0"/>
        <w:pageBreakBefore w:val="0"/>
        <w:widowControl/>
        <w:numPr>
          <w:numId w:val="0"/>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其他需要说明的情况</w:t>
      </w:r>
    </w:p>
    <w:p>
      <w:pPr>
        <w:pStyle w:val="2"/>
        <w:numPr>
          <w:numId w:val="0"/>
        </w:numPr>
        <w:ind w:leftChars="200" w:firstLine="560" w:firstLineChars="200"/>
        <w:rPr>
          <w:rFonts w:hint="default"/>
        </w:rPr>
      </w:pPr>
      <w:r>
        <w:rPr>
          <w:rFonts w:hint="eastAsia" w:ascii="仿宋" w:hAnsi="仿宋" w:eastAsia="仿宋"/>
          <w:color w:val="auto"/>
          <w:sz w:val="28"/>
          <w:szCs w:val="28"/>
          <w:lang w:eastAsia="zh-CN"/>
        </w:rPr>
        <w:t>我</w:t>
      </w:r>
      <w:r>
        <w:rPr>
          <w:rFonts w:hint="eastAsia" w:ascii="仿宋" w:hAnsi="仿宋" w:eastAsia="仿宋"/>
          <w:color w:val="auto"/>
          <w:sz w:val="28"/>
          <w:szCs w:val="28"/>
        </w:rPr>
        <w:t>院承担辖区</w:t>
      </w:r>
      <w:r>
        <w:rPr>
          <w:rFonts w:hint="eastAsia" w:ascii="仿宋" w:hAnsi="仿宋" w:eastAsia="仿宋"/>
          <w:color w:val="auto"/>
          <w:sz w:val="28"/>
          <w:szCs w:val="28"/>
          <w:lang w:eastAsia="zh-CN"/>
        </w:rPr>
        <w:t>精神疾病患者的救治任务</w:t>
      </w:r>
      <w:r>
        <w:rPr>
          <w:rFonts w:hint="eastAsia" w:ascii="仿宋" w:hAnsi="仿宋" w:eastAsia="仿宋"/>
          <w:color w:val="auto"/>
          <w:sz w:val="28"/>
          <w:szCs w:val="28"/>
        </w:rPr>
        <w:t>，所需资金缺口较大，希望财政能加大对医院的经费投入。</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kinsoku/>
        <w:wordWrap/>
        <w:overflowPunct/>
        <w:topLinePunct w:val="0"/>
        <w:autoSpaceDE/>
        <w:autoSpaceDN/>
        <w:bidi w:val="0"/>
        <w:adjustRightInd/>
        <w:snapToGrid/>
        <w:spacing w:line="560" w:lineRule="exact"/>
        <w:ind w:firstLine="0" w:firstLineChars="0"/>
        <w:jc w:val="left"/>
        <w:textAlignment w:val="auto"/>
        <w:outlineLvl w:val="0"/>
        <w:rPr>
          <w:rFonts w:hint="eastAsia" w:ascii="仿宋_GB2312" w:eastAsia="仿宋_GB2312"/>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7"/>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val="0"/>
                <w:bCs w:val="0"/>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val="0"/>
                <w:bCs w:val="0"/>
                <w:kern w:val="0"/>
                <w:sz w:val="18"/>
                <w:szCs w:val="18"/>
                <w:lang w:val="en-US" w:eastAsia="zh-CN"/>
              </w:rPr>
            </w:pPr>
            <w:r>
              <w:rPr>
                <w:rFonts w:hint="eastAsia" w:ascii="仿宋_GB2312" w:hAnsi="宋体" w:eastAsia="仿宋_GB2312" w:cs="宋体"/>
                <w:b/>
                <w:bCs/>
                <w:kern w:val="0"/>
                <w:sz w:val="18"/>
                <w:szCs w:val="18"/>
                <w:lang w:val="en-US" w:eastAsia="zh-CN"/>
              </w:rPr>
              <w:t>98</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6"/>
        <w:rPr>
          <w:rFonts w:hint="eastAsia"/>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7"/>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trHeight w:val="410"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华容县精神病专科医院住院患者扶贫支出项目</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华容县卫生健康管理局</w:t>
            </w: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lang w:eastAsia="zh-CN"/>
              </w:rPr>
            </w:pPr>
            <w:r>
              <w:rPr>
                <w:rFonts w:hint="eastAsia" w:ascii="Times New Roman" w:hAnsi="Times New Roman" w:eastAsia="仿宋_GB2312" w:cs="Times New Roman"/>
                <w:color w:val="000000"/>
                <w:sz w:val="20"/>
                <w:szCs w:val="20"/>
                <w:lang w:eastAsia="zh-CN"/>
              </w:rPr>
              <w:t>华容县精神病专科医院</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826.9</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826.9</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val="en-US" w:eastAsia="zh-CN"/>
              </w:rPr>
              <w:t>826.9</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val="en-US" w:eastAsia="zh-CN"/>
              </w:rPr>
              <w:t>826.9</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ascii="新宋体" w:hAnsi="新宋体" w:eastAsia="新宋体" w:cs="新宋体"/>
                <w:i w:val="0"/>
                <w:iCs w:val="0"/>
                <w:color w:val="000000"/>
                <w:sz w:val="18"/>
                <w:szCs w:val="18"/>
                <w:lang w:val="en-US" w:eastAsia="zh-CN"/>
              </w:rPr>
              <w:t>通过财政兜底救治，减除患者家庭的医疗负担</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新宋体" w:hAnsi="新宋体" w:eastAsia="新宋体" w:cs="新宋体"/>
                <w:i w:val="0"/>
                <w:iCs w:val="0"/>
                <w:color w:val="000000"/>
                <w:sz w:val="18"/>
                <w:szCs w:val="18"/>
                <w:lang w:val="en-US" w:eastAsia="zh-CN"/>
              </w:rPr>
              <w:t>基</w:t>
            </w:r>
            <w:r>
              <w:rPr>
                <w:rFonts w:hint="eastAsia" w:ascii="新宋体" w:hAnsi="新宋体" w:eastAsia="新宋体" w:cs="新宋体"/>
                <w:i w:val="0"/>
                <w:iCs w:val="0"/>
                <w:color w:val="000000"/>
                <w:sz w:val="18"/>
                <w:szCs w:val="18"/>
                <w:lang w:val="en-US" w:eastAsia="zh-CN"/>
              </w:rPr>
              <w:t>本完成</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sz w:val="18"/>
                <w:szCs w:val="18"/>
                <w:lang w:eastAsia="zh-CN"/>
              </w:rPr>
              <w:t>精神疾病患者出院人数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sz w:val="18"/>
                <w:szCs w:val="18"/>
                <w:lang w:val="en-US" w:eastAsia="zh-CN"/>
              </w:rPr>
              <w:t>1000人</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sz w:val="18"/>
                <w:szCs w:val="18"/>
                <w:lang w:val="en-US" w:eastAsia="zh-CN"/>
              </w:rPr>
              <w:t>1489人</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患者治愈率</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原版宋体" w:hAnsi="原版宋体" w:eastAsia="仿宋_GB2312" w:cs="Times New Roman"/>
                <w:color w:val="000000"/>
                <w:kern w:val="0"/>
                <w:sz w:val="18"/>
                <w:szCs w:val="18"/>
                <w:lang w:val="en-US" w:eastAsia="zh-CN" w:bidi="ar-SA"/>
              </w:rPr>
            </w:pPr>
            <w:r>
              <w:rPr>
                <w:rFonts w:hint="eastAsia" w:ascii="原版宋体" w:hAnsi="原版宋体" w:cs="Times New Roman"/>
                <w:color w:val="000000"/>
                <w:kern w:val="0"/>
                <w:sz w:val="18"/>
                <w:szCs w:val="18"/>
                <w:lang w:val="en-US" w:eastAsia="zh-CN"/>
              </w:rPr>
              <w:t>90%</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原版宋体" w:hAnsi="原版宋体" w:eastAsia="仿宋_GB2312" w:cs="Times New Roman"/>
                <w:color w:val="000000"/>
                <w:kern w:val="0"/>
                <w:sz w:val="18"/>
                <w:szCs w:val="18"/>
                <w:lang w:val="en-US" w:eastAsia="zh-CN" w:bidi="ar-SA"/>
              </w:rPr>
            </w:pPr>
            <w:r>
              <w:rPr>
                <w:rFonts w:hint="eastAsia" w:ascii="新宋体" w:hAnsi="新宋体" w:eastAsia="新宋体" w:cs="新宋体"/>
                <w:i w:val="0"/>
                <w:iCs w:val="0"/>
                <w:color w:val="000000"/>
                <w:sz w:val="18"/>
                <w:szCs w:val="18"/>
                <w:lang w:val="en-US" w:eastAsia="zh-CN"/>
              </w:rPr>
              <w:t>87.4%</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新宋体" w:hAnsi="新宋体" w:eastAsia="新宋体" w:cs="新宋体"/>
                <w:i w:val="0"/>
                <w:iCs w:val="0"/>
                <w:color w:val="000000"/>
                <w:sz w:val="18"/>
                <w:szCs w:val="18"/>
                <w:lang w:val="en-US" w:eastAsia="zh-CN"/>
              </w:rPr>
              <w:t>提升专业技能，精湛专业技艺</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信息化完成时限</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both"/>
              <w:rPr>
                <w:rFonts w:hint="default" w:ascii="原版宋体" w:hAnsi="原版宋体" w:eastAsia="仿宋_GB2312" w:cs="Times New Roman"/>
                <w:color w:val="000000"/>
                <w:kern w:val="0"/>
                <w:sz w:val="18"/>
                <w:szCs w:val="18"/>
                <w:lang w:val="en-US" w:eastAsia="zh-CN" w:bidi="ar-SA"/>
              </w:rPr>
            </w:pPr>
            <w:r>
              <w:rPr>
                <w:rFonts w:hint="eastAsia" w:ascii="原版宋体" w:hAnsi="原版宋体" w:cs="Times New Roman"/>
                <w:color w:val="000000"/>
                <w:kern w:val="0"/>
                <w:sz w:val="18"/>
                <w:szCs w:val="18"/>
                <w:lang w:val="en-US" w:eastAsia="zh-CN"/>
              </w:rPr>
              <w:t>2022年12月31日</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原版宋体" w:hAnsi="原版宋体" w:eastAsia="仿宋_GB2312" w:cs="Times New Roman"/>
                <w:color w:val="000000"/>
                <w:kern w:val="0"/>
                <w:sz w:val="18"/>
                <w:szCs w:val="18"/>
                <w:lang w:val="en-US" w:eastAsia="zh-CN" w:bidi="ar-SA"/>
              </w:rPr>
            </w:pPr>
            <w:r>
              <w:rPr>
                <w:rFonts w:hint="eastAsia" w:ascii="原版宋体" w:hAnsi="原版宋体" w:cs="Times New Roman"/>
                <w:color w:val="000000"/>
                <w:kern w:val="0"/>
                <w:sz w:val="18"/>
                <w:szCs w:val="18"/>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15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15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eastAsia="zh-CN"/>
              </w:rPr>
              <w:t>财政预算支出控制率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原版宋体" w:hAnsi="原版宋体" w:eastAsia="仿宋_GB2312" w:cs="Times New Roman"/>
                <w:color w:val="000000"/>
                <w:kern w:val="0"/>
                <w:sz w:val="18"/>
                <w:szCs w:val="18"/>
                <w:lang w:val="en-US" w:eastAsia="zh-CN" w:bidi="ar-SA"/>
              </w:rPr>
            </w:pPr>
            <w:r>
              <w:rPr>
                <w:rFonts w:hint="eastAsia" w:ascii="新宋体" w:hAnsi="新宋体" w:eastAsia="新宋体" w:cs="新宋体"/>
                <w:i w:val="0"/>
                <w:iCs w:val="0"/>
                <w:color w:val="000000"/>
                <w:sz w:val="18"/>
                <w:szCs w:val="18"/>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原版宋体" w:hAnsi="原版宋体" w:eastAsia="仿宋_GB2312" w:cs="Times New Roman"/>
                <w:color w:val="000000"/>
                <w:kern w:val="0"/>
                <w:sz w:val="18"/>
                <w:szCs w:val="18"/>
                <w:lang w:val="en-US" w:eastAsia="zh-CN" w:bidi="ar-SA"/>
              </w:rPr>
            </w:pPr>
            <w:r>
              <w:rPr>
                <w:rFonts w:hint="eastAsia" w:ascii="新宋体" w:hAnsi="新宋体" w:eastAsia="新宋体" w:cs="新宋体"/>
                <w:i w:val="0"/>
                <w:iCs w:val="0"/>
                <w:color w:val="000000"/>
                <w:sz w:val="18"/>
                <w:szCs w:val="18"/>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15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15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医院项目业务正常开展</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i w:val="0"/>
                <w:iCs w:val="0"/>
                <w:color w:val="000000"/>
                <w:sz w:val="18"/>
                <w:szCs w:val="18"/>
                <w:lang w:val="en-US" w:eastAsia="zh-CN"/>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原版宋体" w:hAnsi="原版宋体" w:eastAsia="仿宋_GB2312" w:cs="Times New Roman"/>
                <w:color w:val="000000"/>
                <w:kern w:val="0"/>
                <w:sz w:val="18"/>
                <w:szCs w:val="18"/>
                <w:lang w:val="en-US" w:eastAsia="zh-CN" w:bidi="ar-SA"/>
              </w:rPr>
            </w:pPr>
            <w:r>
              <w:rPr>
                <w:rFonts w:hint="eastAsia" w:ascii="新宋体" w:hAnsi="新宋体" w:eastAsia="新宋体" w:cs="新宋体"/>
                <w:i w:val="0"/>
                <w:iCs w:val="0"/>
                <w:color w:val="000000"/>
                <w:sz w:val="18"/>
                <w:szCs w:val="18"/>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原版宋体" w:hAnsi="原版宋体" w:eastAsia="仿宋_GB2312" w:cs="Times New Roman"/>
                <w:color w:val="000000"/>
                <w:kern w:val="0"/>
                <w:sz w:val="18"/>
                <w:szCs w:val="18"/>
                <w:lang w:val="en-US" w:eastAsia="zh-CN" w:bidi="ar-SA"/>
              </w:rPr>
            </w:pPr>
            <w:r>
              <w:rPr>
                <w:rFonts w:hint="eastAsia" w:ascii="新宋体" w:hAnsi="新宋体" w:eastAsia="新宋体" w:cs="新宋体"/>
                <w:i w:val="0"/>
                <w:iCs w:val="0"/>
                <w:color w:val="000000"/>
                <w:sz w:val="18"/>
                <w:szCs w:val="18"/>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公立医院的公益性</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原版宋体" w:hAnsi="原版宋体" w:eastAsia="仿宋_GB2312" w:cs="Times New Roman"/>
                <w:color w:val="000000"/>
                <w:kern w:val="0"/>
                <w:sz w:val="18"/>
                <w:szCs w:val="18"/>
                <w:lang w:val="en-US" w:eastAsia="zh-CN" w:bidi="ar-SA"/>
              </w:rPr>
            </w:pPr>
            <w:r>
              <w:rPr>
                <w:rFonts w:hint="eastAsia" w:ascii="原版宋体" w:hAnsi="原版宋体" w:cs="Times New Roman"/>
                <w:color w:val="000000"/>
                <w:kern w:val="0"/>
                <w:sz w:val="18"/>
                <w:szCs w:val="18"/>
                <w:lang w:val="en-US" w:eastAsia="zh-CN"/>
              </w:rPr>
              <w:t>100%</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原版宋体" w:hAnsi="原版宋体" w:eastAsia="仿宋_GB2312" w:cs="Times New Roman"/>
                <w:color w:val="000000"/>
                <w:kern w:val="0"/>
                <w:sz w:val="18"/>
                <w:szCs w:val="18"/>
                <w:lang w:val="en-US" w:eastAsia="zh-CN" w:bidi="ar-SA"/>
              </w:rPr>
            </w:pPr>
            <w:r>
              <w:rPr>
                <w:rFonts w:hint="eastAsia" w:ascii="原版宋体" w:hAnsi="原版宋体" w:cs="Times New Roman"/>
                <w:color w:val="000000"/>
                <w:kern w:val="0"/>
                <w:sz w:val="18"/>
                <w:szCs w:val="18"/>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92" w:hRule="atLeast"/>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lang w:eastAsia="zh-CN"/>
              </w:rPr>
              <w:t>环境污染处理率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i w:val="0"/>
                <w:iCs w:val="0"/>
                <w:color w:val="000000"/>
                <w:sz w:val="18"/>
                <w:szCs w:val="18"/>
                <w:lang w:val="en-US" w:eastAsia="zh-CN"/>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sz w:val="18"/>
                <w:szCs w:val="18"/>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sz w:val="18"/>
                <w:szCs w:val="18"/>
                <w:lang w:val="en-US" w:eastAsia="zh-CN"/>
              </w:rPr>
              <w:t>100%</w:t>
            </w:r>
          </w:p>
        </w:tc>
        <w:tc>
          <w:tcPr>
            <w:tcW w:w="828" w:type="dxa"/>
            <w:tcBorders>
              <w:top w:val="nil"/>
              <w:left w:val="nil"/>
              <w:bottom w:val="single" w:color="auto" w:sz="4" w:space="0"/>
              <w:right w:val="single" w:color="auto" w:sz="4" w:space="0"/>
            </w:tcBorders>
            <w:noWrap w:val="0"/>
            <w:vAlign w:val="center"/>
          </w:tcPr>
          <w:p>
            <w:pPr>
              <w:pStyle w:val="2"/>
              <w:ind w:left="0" w:leftChars="0" w:firstLine="0" w:firstLineChars="0"/>
              <w:jc w:val="center"/>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医废污染处理</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sz w:val="18"/>
                <w:szCs w:val="18"/>
                <w:lang w:val="en-US" w:eastAsia="zh-CN"/>
              </w:rPr>
              <w:t>100%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sz w:val="18"/>
                <w:szCs w:val="18"/>
                <w:lang w:val="en-US" w:eastAsia="zh-CN"/>
              </w:rPr>
              <w:t>100%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pStyle w:val="2"/>
              <w:tabs>
                <w:tab w:val="center" w:pos="306"/>
              </w:tabs>
              <w:ind w:left="0" w:leftChars="0" w:firstLine="0" w:firstLineChars="0"/>
              <w:jc w:val="center"/>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5</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5</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污水污染处理</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sz w:val="18"/>
                <w:szCs w:val="18"/>
                <w:lang w:val="en-US" w:eastAsia="zh-CN"/>
              </w:rPr>
              <w:t>100%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sz w:val="18"/>
                <w:szCs w:val="18"/>
                <w:lang w:val="en-US" w:eastAsia="zh-CN"/>
              </w:rPr>
              <w:t>100%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5</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5</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i w:val="0"/>
                <w:iCs w:val="0"/>
                <w:color w:val="000000"/>
                <w:sz w:val="18"/>
                <w:szCs w:val="18"/>
                <w:lang w:val="en-US" w:eastAsia="zh-CN"/>
              </w:rPr>
            </w:pPr>
            <w:r>
              <w:rPr>
                <w:rFonts w:hint="eastAsia" w:ascii="新宋体" w:hAnsi="新宋体" w:eastAsia="新宋体" w:cs="新宋体"/>
                <w:i w:val="0"/>
                <w:iCs w:val="0"/>
                <w:color w:val="000000"/>
                <w:sz w:val="18"/>
                <w:szCs w:val="18"/>
                <w:lang w:val="en-US" w:eastAsia="zh-CN"/>
              </w:rPr>
              <w:t>社会公众或服务对象满意度</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原版宋体" w:hAnsi="原版宋体" w:cs="Times New Roman"/>
                <w:color w:val="000000"/>
                <w:kern w:val="0"/>
                <w:sz w:val="18"/>
                <w:szCs w:val="18"/>
                <w:lang w:val="en-US" w:eastAsia="zh-CN"/>
              </w:rPr>
            </w:pPr>
            <w:r>
              <w:rPr>
                <w:rFonts w:hint="eastAsia" w:ascii="新宋体" w:hAnsi="新宋体" w:eastAsia="新宋体" w:cs="新宋体"/>
                <w:i w:val="0"/>
                <w:iCs w:val="0"/>
                <w:color w:val="000000"/>
                <w:sz w:val="18"/>
                <w:szCs w:val="18"/>
                <w:lang w:val="en-US" w:eastAsia="zh-CN"/>
              </w:rPr>
              <w:t>&gt;=90%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原版宋体" w:hAnsi="原版宋体" w:cs="Times New Roman"/>
                <w:color w:val="000000"/>
                <w:kern w:val="0"/>
                <w:sz w:val="18"/>
                <w:szCs w:val="18"/>
                <w:lang w:val="en-US" w:eastAsia="zh-CN"/>
              </w:rPr>
            </w:pPr>
            <w:r>
              <w:rPr>
                <w:rFonts w:hint="eastAsia" w:ascii="新宋体" w:hAnsi="新宋体" w:eastAsia="新宋体" w:cs="新宋体"/>
                <w:i w:val="0"/>
                <w:iCs w:val="0"/>
                <w:color w:val="000000"/>
                <w:sz w:val="18"/>
                <w:szCs w:val="18"/>
                <w:lang w:val="en-US" w:eastAsia="zh-CN"/>
              </w:rPr>
              <w:t>95.1%</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18"/>
                <w:szCs w:val="18"/>
                <w:lang w:val="en-US" w:eastAsia="zh-CN" w:bidi="ar-SA"/>
              </w:rPr>
            </w:pPr>
            <w:r>
              <w:rPr>
                <w:rFonts w:hint="eastAsia" w:ascii="新宋体" w:hAnsi="新宋体" w:eastAsia="新宋体" w:cs="新宋体"/>
                <w:i w:val="0"/>
                <w:iCs w:val="0"/>
                <w:color w:val="000000"/>
                <w:kern w:val="2"/>
                <w:sz w:val="18"/>
                <w:szCs w:val="18"/>
                <w:lang w:val="en-US" w:eastAsia="zh-CN" w:bidi="ar-SA"/>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rPr>
        <w:t>填表人：</w:t>
      </w:r>
      <w:r>
        <w:rPr>
          <w:rFonts w:hint="eastAsia" w:ascii="新宋体" w:hAnsi="新宋体" w:eastAsia="新宋体" w:cs="新宋体"/>
          <w:i w:val="0"/>
          <w:iCs w:val="0"/>
          <w:color w:val="000000"/>
          <w:sz w:val="18"/>
          <w:szCs w:val="18"/>
          <w:lang w:val="en-US" w:eastAsia="zh-CN"/>
        </w:rPr>
        <w:t>汤纯</w:t>
      </w:r>
      <w:r>
        <w:rPr>
          <w:rFonts w:hint="default" w:ascii="Times New Roman" w:hAnsi="Times New Roman" w:eastAsia="仿宋_GB2312" w:cs="Times New Roman"/>
          <w:sz w:val="22"/>
        </w:rPr>
        <w:t xml:space="preserve">   填报日期：</w:t>
      </w:r>
      <w:r>
        <w:rPr>
          <w:rFonts w:hint="eastAsia" w:ascii="新宋体" w:hAnsi="新宋体" w:eastAsia="新宋体" w:cs="新宋体"/>
          <w:i w:val="0"/>
          <w:iCs w:val="0"/>
          <w:color w:val="000000"/>
          <w:sz w:val="18"/>
          <w:szCs w:val="18"/>
          <w:lang w:val="en-US" w:eastAsia="zh-CN"/>
        </w:rPr>
        <w:t>2023年7月13日</w:t>
      </w:r>
      <w:r>
        <w:rPr>
          <w:rFonts w:hint="default" w:ascii="Times New Roman" w:hAnsi="Times New Roman" w:eastAsia="仿宋_GB2312" w:cs="Times New Roman"/>
          <w:sz w:val="22"/>
        </w:rPr>
        <w:t xml:space="preserve">  </w:t>
      </w:r>
      <w:r>
        <w:rPr>
          <w:rFonts w:hint="eastAsia" w:eastAsia="仿宋_GB2312" w:cs="Times New Roman"/>
          <w:sz w:val="22"/>
          <w:lang w:val="en-US" w:eastAsia="zh-CN"/>
        </w:rPr>
        <w:t xml:space="preserve"> </w:t>
      </w:r>
      <w:r>
        <w:rPr>
          <w:rFonts w:hint="default" w:ascii="Times New Roman" w:hAnsi="Times New Roman" w:eastAsia="仿宋_GB2312" w:cs="Times New Roman"/>
          <w:sz w:val="22"/>
        </w:rPr>
        <w:t>联系电话：</w:t>
      </w:r>
      <w:r>
        <w:rPr>
          <w:rFonts w:hint="eastAsia" w:ascii="新宋体" w:hAnsi="新宋体" w:eastAsia="新宋体" w:cs="新宋体"/>
          <w:i w:val="0"/>
          <w:iCs w:val="0"/>
          <w:color w:val="000000"/>
          <w:sz w:val="18"/>
          <w:szCs w:val="18"/>
          <w:lang w:val="en-US" w:eastAsia="zh-CN"/>
        </w:rPr>
        <w:t>18773034733</w:t>
      </w:r>
      <w:r>
        <w:rPr>
          <w:rFonts w:hint="default" w:ascii="新宋体" w:hAnsi="新宋体" w:eastAsia="新宋体" w:cs="新宋体"/>
          <w:i w:val="0"/>
          <w:iCs w:val="0"/>
          <w:color w:val="000000"/>
          <w:sz w:val="18"/>
          <w:szCs w:val="18"/>
          <w:lang w:val="en-US" w:eastAsia="zh-CN"/>
        </w:rPr>
        <w:t xml:space="preserve"> </w:t>
      </w:r>
      <w:r>
        <w:rPr>
          <w:rFonts w:hint="default" w:ascii="Times New Roman" w:hAnsi="Times New Roman" w:eastAsia="仿宋_GB2312" w:cs="Times New Roman"/>
          <w:sz w:val="22"/>
        </w:rPr>
        <w:t xml:space="preserve">    单位负责人签字：</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华容县精神病专科医院</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卫生健康扶贫</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月</w:t>
      </w:r>
      <w:r>
        <w:rPr>
          <w:rFonts w:hint="eastAsia" w:eastAsia="楷体_GB2312" w:cs="Times New Roman"/>
          <w:sz w:val="32"/>
          <w:szCs w:val="32"/>
          <w:lang w:val="en-US" w:eastAsia="zh-CN"/>
        </w:rPr>
        <w:t>13</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jc w:val="center"/>
        <w:rPr>
          <w:rFonts w:hint="eastAsia" w:ascii="方正小标宋简体" w:hAnsi="方正小标宋简体" w:eastAsia="方正小标宋简体" w:cs="方正小标宋简体"/>
          <w:sz w:val="44"/>
          <w:szCs w:val="44"/>
          <w:lang w:eastAsia="zh-CN"/>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华容县精神病专科医院</w:t>
      </w: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val="en-US" w:eastAsia="zh-CN"/>
        </w:rPr>
        <w:t>卫生健康扶贫</w:t>
      </w:r>
      <w:r>
        <w:rPr>
          <w:rFonts w:hint="eastAsia" w:ascii="方正小标宋简体" w:hAnsi="方正小标宋简体" w:eastAsia="方正小标宋简体" w:cs="方正小标宋简体"/>
          <w:sz w:val="44"/>
          <w:szCs w:val="44"/>
          <w:lang w:eastAsia="zh-CN"/>
        </w:rPr>
        <w:t>项目支出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ind w:firstLine="840" w:firstLineChars="300"/>
        <w:jc w:val="left"/>
        <w:rPr>
          <w:rFonts w:hint="eastAsia" w:ascii="仿宋" w:hAnsi="仿宋" w:eastAsia="仿宋" w:cs="仿宋_GB2312"/>
          <w:bCs/>
          <w:color w:val="auto"/>
          <w:sz w:val="28"/>
          <w:szCs w:val="28"/>
          <w:lang w:eastAsia="zh-CN"/>
        </w:rPr>
      </w:pPr>
      <w:r>
        <w:rPr>
          <w:rFonts w:hint="eastAsia" w:ascii="仿宋" w:hAnsi="仿宋" w:eastAsia="仿宋" w:cs="仿宋_GB2312"/>
          <w:bCs/>
          <w:color w:val="auto"/>
          <w:sz w:val="28"/>
          <w:szCs w:val="28"/>
        </w:rPr>
        <w:t>202</w:t>
      </w:r>
      <w:r>
        <w:rPr>
          <w:rFonts w:hint="eastAsia" w:ascii="仿宋" w:hAnsi="仿宋" w:eastAsia="仿宋" w:cs="仿宋_GB2312"/>
          <w:bCs/>
          <w:color w:val="auto"/>
          <w:sz w:val="28"/>
          <w:szCs w:val="28"/>
          <w:lang w:val="en-US" w:eastAsia="zh-CN"/>
        </w:rPr>
        <w:t>2</w:t>
      </w:r>
      <w:r>
        <w:rPr>
          <w:rFonts w:hint="eastAsia" w:ascii="仿宋" w:hAnsi="仿宋" w:eastAsia="仿宋" w:cs="仿宋_GB2312"/>
          <w:bCs/>
          <w:color w:val="auto"/>
          <w:sz w:val="28"/>
          <w:szCs w:val="28"/>
        </w:rPr>
        <w:t>年</w:t>
      </w:r>
      <w:r>
        <w:rPr>
          <w:rFonts w:hint="eastAsia" w:ascii="仿宋" w:hAnsi="仿宋" w:eastAsia="仿宋" w:cs="仿宋_GB2312"/>
          <w:bCs/>
          <w:color w:val="auto"/>
          <w:sz w:val="28"/>
          <w:szCs w:val="28"/>
          <w:lang w:eastAsia="zh-CN"/>
        </w:rPr>
        <w:t>我院</w:t>
      </w:r>
      <w:r>
        <w:rPr>
          <w:rFonts w:hint="eastAsia" w:ascii="仿宋" w:hAnsi="仿宋" w:eastAsia="仿宋" w:cs="仿宋_GB2312"/>
          <w:bCs/>
          <w:color w:val="auto"/>
          <w:sz w:val="28"/>
          <w:szCs w:val="28"/>
          <w:lang w:val="en-US" w:eastAsia="zh-CN"/>
        </w:rPr>
        <w:t>卫生健康扶贫</w:t>
      </w:r>
      <w:r>
        <w:rPr>
          <w:rFonts w:hint="eastAsia" w:ascii="仿宋" w:hAnsi="仿宋" w:eastAsia="仿宋" w:cs="仿宋_GB2312"/>
          <w:bCs/>
          <w:color w:val="auto"/>
          <w:sz w:val="28"/>
          <w:szCs w:val="28"/>
          <w:lang w:eastAsia="zh-CN"/>
        </w:rPr>
        <w:t>项目用于精神病财政兜底治疗。</w:t>
      </w:r>
    </w:p>
    <w:p>
      <w:pPr>
        <w:pStyle w:val="2"/>
        <w:ind w:firstLine="840" w:firstLineChars="300"/>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我院今年从已进入县级项目库的城乡居民精神疾病患者免费救治项目中向上级申报扶贫专项资金1000万元，用于我县患有精神疾病的城乡居民全免费治疗（即医保补助后剩余部分由县财政全兜底）。</w:t>
      </w:r>
    </w:p>
    <w:p>
      <w:pPr>
        <w:pStyle w:val="2"/>
        <w:ind w:firstLine="560" w:firstLineChars="200"/>
        <w:rPr>
          <w:rFonts w:hint="eastAsia" w:ascii="仿宋_GB2312" w:hAnsi="仿宋_GB2312" w:eastAsia="仿宋_GB2312" w:cs="仿宋_GB2312"/>
          <w:color w:val="auto"/>
          <w:kern w:val="0"/>
          <w:sz w:val="28"/>
          <w:szCs w:val="28"/>
          <w:lang w:val="en-US" w:eastAsia="zh-CN"/>
        </w:rPr>
      </w:pPr>
      <w:r>
        <w:rPr>
          <w:rFonts w:hint="eastAsia" w:ascii="仿宋" w:hAnsi="仿宋" w:eastAsia="仿宋" w:cs="仿宋_GB2312"/>
          <w:bCs/>
          <w:color w:val="auto"/>
          <w:kern w:val="2"/>
          <w:sz w:val="28"/>
          <w:szCs w:val="28"/>
          <w:lang w:val="en-US" w:eastAsia="zh-CN" w:bidi="ar-SA"/>
        </w:rPr>
        <w:t>由于政策调整，该全免政策实行到2022年7月28日止。</w:t>
      </w:r>
    </w:p>
    <w:p>
      <w:pPr>
        <w:keepNext w:val="0"/>
        <w:keepLines w:val="0"/>
        <w:pageBreakBefore w:val="0"/>
        <w:numPr>
          <w:ilvl w:val="0"/>
          <w:numId w:val="2"/>
        </w:numPr>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绩效评价工作开展情况</w:t>
      </w:r>
    </w:p>
    <w:p>
      <w:pPr>
        <w:pStyle w:val="2"/>
        <w:rPr>
          <w:rFonts w:hint="default" w:ascii="仿宋" w:hAnsi="仿宋" w:eastAsia="仿宋" w:cs="仿宋_GB2312"/>
          <w:bCs/>
          <w:color w:val="auto"/>
          <w:kern w:val="2"/>
          <w:sz w:val="28"/>
          <w:szCs w:val="28"/>
          <w:lang w:val="en-US" w:eastAsia="zh-CN" w:bidi="ar-SA"/>
        </w:rPr>
      </w:pPr>
      <w:r>
        <w:rPr>
          <w:rFonts w:hint="eastAsia"/>
          <w:lang w:val="en-US" w:eastAsia="zh-CN"/>
        </w:rPr>
        <w:t xml:space="preserve">    </w:t>
      </w:r>
      <w:r>
        <w:rPr>
          <w:rFonts w:hint="eastAsia" w:ascii="仿宋" w:hAnsi="仿宋" w:eastAsia="仿宋" w:cs="仿宋_GB2312"/>
          <w:bCs/>
          <w:color w:val="auto"/>
          <w:kern w:val="2"/>
          <w:sz w:val="28"/>
          <w:szCs w:val="28"/>
          <w:lang w:val="en-US" w:eastAsia="zh-CN" w:bidi="ar-SA"/>
        </w:rPr>
        <w:t>上级根据项目库情况，批复了我院城乡居民精神疾病患者免费救治项目建设资金826.90万元，用于我县患有精神疾病的城乡居民免费治疗。</w:t>
      </w:r>
    </w:p>
    <w:p>
      <w:pPr>
        <w:keepNext w:val="0"/>
        <w:keepLines w:val="0"/>
        <w:pageBreakBefore w:val="0"/>
        <w:numPr>
          <w:numId w:val="0"/>
        </w:numPr>
        <w:kinsoku/>
        <w:wordWrap/>
        <w:overflowPunct/>
        <w:topLinePunct w:val="0"/>
        <w:autoSpaceDE/>
        <w:autoSpaceDN/>
        <w:bidi w:val="0"/>
        <w:adjustRightInd/>
        <w:snapToGrid/>
        <w:spacing w:line="610" w:lineRule="exact"/>
        <w:ind w:leftChars="200" w:firstLine="300" w:firstLineChars="100"/>
        <w:textAlignment w:val="auto"/>
        <w:rPr>
          <w:rFonts w:hint="eastAsia" w:ascii="黑体" w:hAnsi="黑体" w:eastAsia="黑体" w:cs="黑体"/>
          <w:sz w:val="30"/>
          <w:szCs w:val="30"/>
        </w:rPr>
      </w:pPr>
      <w:r>
        <w:rPr>
          <w:rFonts w:hint="eastAsia" w:ascii="黑体" w:hAnsi="黑体" w:eastAsia="黑体" w:cs="黑体"/>
          <w:sz w:val="30"/>
          <w:szCs w:val="30"/>
          <w:lang w:eastAsia="zh-CN"/>
        </w:rPr>
        <w:t>三、</w:t>
      </w:r>
      <w:r>
        <w:rPr>
          <w:rFonts w:hint="eastAsia" w:ascii="黑体" w:hAnsi="黑体" w:eastAsia="黑体" w:cs="黑体"/>
          <w:sz w:val="30"/>
          <w:szCs w:val="30"/>
        </w:rPr>
        <w:t>综合评价情况及评价结论</w:t>
      </w:r>
    </w:p>
    <w:p>
      <w:pPr>
        <w:widowControl/>
        <w:spacing w:line="390" w:lineRule="atLeast"/>
        <w:ind w:firstLine="694" w:firstLineChars="248"/>
        <w:jc w:val="left"/>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1.通过财政兜底救治，减轻患者家庭负担。</w:t>
      </w:r>
    </w:p>
    <w:p>
      <w:pPr>
        <w:widowControl/>
        <w:spacing w:line="390" w:lineRule="atLeast"/>
        <w:ind w:firstLine="694" w:firstLineChars="248"/>
        <w:jc w:val="left"/>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将我县城乡居民中患有精神疾病患者的住院费用（含住院期间生活费）和门诊费用扣除医保报销后的剩余部分全部免除后，减轻了这部分患者家庭的医疗负担，从源头上避免了因病致贫、因病返贫。</w:t>
      </w:r>
    </w:p>
    <w:p>
      <w:pPr>
        <w:widowControl/>
        <w:spacing w:line="390" w:lineRule="atLeast"/>
        <w:ind w:firstLine="560" w:firstLineChars="200"/>
        <w:jc w:val="left"/>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 xml:space="preserve">2.通过满意度测评，该项目群众满意度为100%。 </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widowControl/>
        <w:spacing w:line="390" w:lineRule="atLeast"/>
        <w:ind w:firstLine="694" w:firstLineChars="248"/>
        <w:jc w:val="left"/>
        <w:rPr>
          <w:rFonts w:hint="default"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项目实际发生费用情况:通过项目实施，对2022年7月28日前所涉符合健康扶贫财政资金兜底救治患者实行了全免费治疗（含住院期间生活费），截止2022年12月31日，救助患者结算金额为826.90万元。</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五、主要经验及做法、存在的问题及原因分析</w:t>
      </w:r>
    </w:p>
    <w:p>
      <w:pPr>
        <w:widowControl/>
        <w:spacing w:line="390" w:lineRule="atLeast"/>
        <w:ind w:firstLine="694" w:firstLineChars="248"/>
        <w:jc w:val="left"/>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1、制定现代管理医院医院章程，完善医院管理制度</w:t>
      </w:r>
    </w:p>
    <w:p>
      <w:pPr>
        <w:widowControl/>
        <w:spacing w:line="390" w:lineRule="atLeast"/>
        <w:ind w:firstLine="694" w:firstLineChars="248"/>
        <w:jc w:val="left"/>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制定了《华容县精神病专科医院章程》，并以章程为统领，按照现代医院管理标准和管理要求，编审完成《华容县精神病专科医院管理制度汇编》，规范了医院内部治理结构和权力运行规则，提高医院运行效率。</w:t>
      </w:r>
    </w:p>
    <w:p>
      <w:pPr>
        <w:widowControl/>
        <w:spacing w:line="390" w:lineRule="atLeast"/>
        <w:ind w:firstLine="694" w:firstLineChars="248"/>
        <w:jc w:val="left"/>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2、加强药品、耗材的采购与管理</w:t>
      </w:r>
    </w:p>
    <w:p>
      <w:pPr>
        <w:widowControl/>
        <w:spacing w:line="390" w:lineRule="atLeast"/>
        <w:ind w:firstLine="694" w:firstLineChars="248"/>
        <w:jc w:val="left"/>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严格执行药品与耗材网上集中招标采购，落实国家基本药物制度和“两票制”，开展临床用药综合评价、处方点评，实行药品、耗材“零利润”销售，缓解老百姓看病难贵问题。</w:t>
      </w:r>
    </w:p>
    <w:p>
      <w:pPr>
        <w:widowControl/>
        <w:spacing w:line="390" w:lineRule="atLeast"/>
        <w:ind w:firstLine="694" w:firstLineChars="248"/>
        <w:jc w:val="left"/>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3、调整医疗服务价格</w:t>
      </w:r>
    </w:p>
    <w:p>
      <w:pPr>
        <w:widowControl/>
        <w:spacing w:line="390" w:lineRule="atLeast"/>
        <w:ind w:firstLine="694" w:firstLineChars="248"/>
        <w:jc w:val="left"/>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对医疗服务价格进行及时调整并与县医保系统进行对应，规范了医疗服务项目，做到合理收费。</w:t>
      </w:r>
    </w:p>
    <w:p>
      <w:pPr>
        <w:widowControl/>
        <w:spacing w:line="390" w:lineRule="atLeast"/>
        <w:ind w:firstLine="694" w:firstLineChars="248"/>
        <w:jc w:val="left"/>
        <w:rPr>
          <w:rFonts w:hint="eastAsia" w:ascii="仿宋" w:hAnsi="仿宋" w:eastAsia="仿宋" w:cs="仿宋_GB2312"/>
          <w:bCs/>
          <w:color w:val="auto"/>
          <w:kern w:val="2"/>
          <w:sz w:val="28"/>
          <w:szCs w:val="28"/>
          <w:lang w:val="zh-TW" w:eastAsia="zh-CN" w:bidi="ar-SA"/>
        </w:rPr>
      </w:pPr>
      <w:r>
        <w:rPr>
          <w:rFonts w:hint="eastAsia" w:ascii="仿宋" w:hAnsi="仿宋" w:eastAsia="仿宋" w:cs="仿宋_GB2312"/>
          <w:bCs/>
          <w:color w:val="auto"/>
          <w:kern w:val="2"/>
          <w:sz w:val="28"/>
          <w:szCs w:val="28"/>
          <w:lang w:val="en-US" w:eastAsia="zh-CN" w:bidi="ar-SA"/>
        </w:rPr>
        <w:t>4、进一步完善医院信息系统建设，</w:t>
      </w:r>
      <w:r>
        <w:rPr>
          <w:rFonts w:hint="eastAsia" w:ascii="仿宋" w:hAnsi="仿宋" w:eastAsia="仿宋" w:cs="仿宋_GB2312"/>
          <w:bCs/>
          <w:color w:val="auto"/>
          <w:kern w:val="2"/>
          <w:sz w:val="28"/>
          <w:szCs w:val="28"/>
          <w:lang w:val="zh-TW" w:eastAsia="zh-TW" w:bidi="ar-SA"/>
        </w:rPr>
        <w:t>积极推进“互联网+医疗健康”</w:t>
      </w:r>
    </w:p>
    <w:p>
      <w:pPr>
        <w:widowControl/>
        <w:spacing w:line="390" w:lineRule="atLeast"/>
        <w:ind w:firstLine="694" w:firstLineChars="248"/>
        <w:jc w:val="left"/>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 xml:space="preserve">   完成医院数据中心升级改造，实行了网上预约挂号、检查结果查询，开展远程医疗，方便群众就医。</w:t>
      </w:r>
    </w:p>
    <w:p>
      <w:pPr>
        <w:widowControl/>
        <w:spacing w:line="390" w:lineRule="atLeast"/>
        <w:ind w:firstLine="694" w:firstLineChars="248"/>
        <w:jc w:val="left"/>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5、启动二级公立医院薪酬制度改革</w:t>
      </w:r>
    </w:p>
    <w:p>
      <w:pPr>
        <w:widowControl/>
        <w:spacing w:line="390" w:lineRule="atLeast"/>
        <w:ind w:firstLine="694" w:firstLineChars="248"/>
        <w:jc w:val="left"/>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绩效管理方案得到落实，进一步调动了医务人员积极，提高医疗服务质量和水平。</w:t>
      </w:r>
    </w:p>
    <w:p>
      <w:pPr>
        <w:widowControl/>
        <w:spacing w:line="390" w:lineRule="atLeast"/>
        <w:ind w:firstLine="694" w:firstLineChars="248"/>
        <w:jc w:val="left"/>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6、加强医德医风管理</w:t>
      </w:r>
    </w:p>
    <w:p>
      <w:pPr>
        <w:widowControl/>
        <w:spacing w:line="390" w:lineRule="atLeast"/>
        <w:ind w:firstLine="694" w:firstLineChars="248"/>
        <w:jc w:val="left"/>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制定《医德医风管理规定》，建立医务人员医德档案，实行医德“一票否决”制，将医德表现与医务人员晋职晋级、岗位聘用、评优评先和定期考核等直接挂钩，并实行医德教育和考核奖惩。</w:t>
      </w:r>
    </w:p>
    <w:p>
      <w:pPr>
        <w:widowControl/>
        <w:spacing w:line="390" w:lineRule="atLeast"/>
        <w:ind w:firstLine="694" w:firstLineChars="248"/>
        <w:jc w:val="left"/>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7、落实“结对帮扶”等政策</w:t>
      </w:r>
    </w:p>
    <w:p>
      <w:pPr>
        <w:widowControl/>
        <w:spacing w:line="390" w:lineRule="atLeast"/>
        <w:ind w:firstLine="694" w:firstLineChars="248"/>
        <w:jc w:val="left"/>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与乡镇卫生院院签订结对帮扶协议，促进乡镇卫生院精神障碍患者康复指导工作能力的提升，使精神卫生患者的安全进一步得到保障。</w:t>
      </w:r>
    </w:p>
    <w:p>
      <w:pPr>
        <w:widowControl/>
        <w:spacing w:line="390" w:lineRule="atLeast"/>
        <w:ind w:firstLine="694" w:firstLineChars="248"/>
        <w:jc w:val="left"/>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8、加强区域医共体建设，提升医院综合能力</w:t>
      </w:r>
    </w:p>
    <w:p>
      <w:pPr>
        <w:widowControl/>
        <w:spacing w:line="390" w:lineRule="atLeast"/>
        <w:ind w:firstLine="694" w:firstLineChars="248"/>
        <w:jc w:val="left"/>
        <w:rPr>
          <w:rFonts w:hint="eastAsia"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与岳阳市一人民医院、华容县人民医院签订了医疗联合体协议，加强了医院综合能力建设。</w:t>
      </w:r>
    </w:p>
    <w:p>
      <w:pPr>
        <w:keepNext w:val="0"/>
        <w:keepLines w:val="0"/>
        <w:pageBreakBefore w:val="0"/>
        <w:widowControl/>
        <w:numPr>
          <w:ilvl w:val="0"/>
          <w:numId w:val="3"/>
        </w:numPr>
        <w:kinsoku/>
        <w:wordWrap/>
        <w:overflowPunct/>
        <w:topLinePunct w:val="0"/>
        <w:autoSpaceDE/>
        <w:autoSpaceDN/>
        <w:bidi w:val="0"/>
        <w:adjustRightInd/>
        <w:snapToGrid/>
        <w:spacing w:line="610" w:lineRule="exact"/>
        <w:ind w:firstLine="600" w:firstLineChars="200"/>
        <w:jc w:val="both"/>
        <w:textAlignment w:val="auto"/>
        <w:rPr>
          <w:rFonts w:hint="eastAsia" w:ascii="黑体" w:hAnsi="黑体" w:eastAsia="黑体" w:cs="黑体"/>
          <w:sz w:val="30"/>
          <w:szCs w:val="30"/>
        </w:rPr>
      </w:pPr>
      <w:r>
        <w:rPr>
          <w:rFonts w:hint="eastAsia" w:ascii="黑体" w:hAnsi="黑体" w:eastAsia="黑体" w:cs="黑体"/>
          <w:sz w:val="30"/>
          <w:szCs w:val="30"/>
        </w:rPr>
        <w:t>其他需要说明的问题</w:t>
      </w:r>
    </w:p>
    <w:p>
      <w:pPr>
        <w:pStyle w:val="2"/>
        <w:numPr>
          <w:ilvl w:val="0"/>
          <w:numId w:val="0"/>
        </w:numPr>
        <w:ind w:leftChars="200" w:firstLine="560" w:firstLineChars="200"/>
        <w:rPr>
          <w:rFonts w:hint="default" w:ascii="仿宋" w:hAnsi="仿宋" w:eastAsia="仿宋" w:cs="仿宋_GB2312"/>
          <w:bCs/>
          <w:color w:val="auto"/>
          <w:kern w:val="2"/>
          <w:sz w:val="28"/>
          <w:szCs w:val="28"/>
          <w:lang w:val="en-US" w:eastAsia="zh-CN" w:bidi="ar-SA"/>
        </w:rPr>
      </w:pPr>
      <w:r>
        <w:rPr>
          <w:rFonts w:hint="eastAsia" w:ascii="仿宋" w:hAnsi="仿宋" w:eastAsia="仿宋" w:cs="仿宋_GB2312"/>
          <w:bCs/>
          <w:color w:val="auto"/>
          <w:kern w:val="2"/>
          <w:sz w:val="28"/>
          <w:szCs w:val="28"/>
          <w:lang w:val="en-US" w:eastAsia="zh-CN" w:bidi="ar-SA"/>
        </w:rPr>
        <w:t>我院承担辖区精神疾病患者的救治任务，所需资金缺口较大，希望财政能加大对医院的经费投入。</w:t>
      </w:r>
    </w:p>
    <w:p>
      <w:pPr>
        <w:pStyle w:val="2"/>
        <w:numPr>
          <w:numId w:val="0"/>
        </w:numPr>
        <w:ind w:firstLine="1120" w:firstLineChars="400"/>
        <w:rPr>
          <w:rFonts w:hint="eastAsia"/>
          <w:lang w:val="en-US" w:eastAsia="zh-CN"/>
        </w:rPr>
      </w:pPr>
      <w:bookmarkStart w:id="0" w:name="_GoBack"/>
      <w:bookmarkEnd w:id="0"/>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089D326-200D-471A-BBF7-3C98C025B7AE}"/>
  </w:font>
  <w:font w:name="Arial">
    <w:panose1 w:val="020B0604020202020204"/>
    <w:charset w:val="01"/>
    <w:family w:val="swiss"/>
    <w:pitch w:val="default"/>
    <w:sig w:usb0="E0002AFF" w:usb1="C0007843" w:usb2="00000009" w:usb3="00000000" w:csb0="400001FF" w:csb1="FFFF0000"/>
    <w:embedRegular r:id="rId2" w:fontKey="{97658AD1-0244-4576-975B-D5BBAFB98A8F}"/>
  </w:font>
  <w:font w:name="黑体">
    <w:panose1 w:val="02010609060101010101"/>
    <w:charset w:val="86"/>
    <w:family w:val="auto"/>
    <w:pitch w:val="default"/>
    <w:sig w:usb0="800002BF" w:usb1="38CF7CFA" w:usb2="00000016" w:usb3="00000000" w:csb0="00040001" w:csb1="00000000"/>
    <w:embedRegular r:id="rId3" w:fontKey="{FDEABA4A-AEEA-47F2-ADC5-99502D155EE0}"/>
  </w:font>
  <w:font w:name="Courier New">
    <w:panose1 w:val="02070309020205020404"/>
    <w:charset w:val="01"/>
    <w:family w:val="modern"/>
    <w:pitch w:val="default"/>
    <w:sig w:usb0="E0002AFF" w:usb1="C0007843" w:usb2="00000009" w:usb3="00000000" w:csb0="400001FF" w:csb1="FFFF0000"/>
    <w:embedRegular r:id="rId4" w:fontKey="{44B62FED-E256-4A78-8C93-82C526B59835}"/>
  </w:font>
  <w:font w:name="Symbol">
    <w:panose1 w:val="05050102010706020507"/>
    <w:charset w:val="02"/>
    <w:family w:val="roman"/>
    <w:pitch w:val="default"/>
    <w:sig w:usb0="00000000" w:usb1="00000000" w:usb2="00000000" w:usb3="00000000" w:csb0="80000000" w:csb1="00000000"/>
    <w:embedRegular r:id="rId5" w:fontKey="{8BB5B5FF-4ED9-4DA9-A547-84D869FCBAE0}"/>
  </w:font>
  <w:font w:name="Calibri">
    <w:panose1 w:val="020F0502020204030204"/>
    <w:charset w:val="00"/>
    <w:family w:val="swiss"/>
    <w:pitch w:val="default"/>
    <w:sig w:usb0="E00002FF" w:usb1="4000ACFF" w:usb2="00000001" w:usb3="00000000" w:csb0="2000019F" w:csb1="00000000"/>
    <w:embedRegular r:id="rId6" w:fontKey="{23116633-0E82-4BFB-9EE3-F24DD3715AE1}"/>
  </w:font>
  <w:font w:name="仿宋_GB2312">
    <w:panose1 w:val="02010609030101010101"/>
    <w:charset w:val="86"/>
    <w:family w:val="auto"/>
    <w:pitch w:val="default"/>
    <w:sig w:usb0="00000001" w:usb1="080E0000" w:usb2="00000000" w:usb3="00000000" w:csb0="00040000" w:csb1="00000000"/>
    <w:embedRegular r:id="rId7" w:fontKey="{11C02898-C180-409D-BE5E-12B7732ACFC2}"/>
  </w:font>
  <w:font w:name="方正小标宋_GBK">
    <w:panose1 w:val="03000509000000000000"/>
    <w:charset w:val="86"/>
    <w:family w:val="script"/>
    <w:pitch w:val="default"/>
    <w:sig w:usb0="00000001" w:usb1="080E0000" w:usb2="00000000" w:usb3="00000000" w:csb0="00040000" w:csb1="00000000"/>
    <w:embedRegular r:id="rId8" w:fontKey="{DE9E8F19-8DD5-4132-AA36-FB7CA1083D10}"/>
  </w:font>
  <w:font w:name="楷体_GB2312">
    <w:panose1 w:val="02010609030101010101"/>
    <w:charset w:val="86"/>
    <w:family w:val="auto"/>
    <w:pitch w:val="default"/>
    <w:sig w:usb0="00000001" w:usb1="080E0000" w:usb2="00000000" w:usb3="00000000" w:csb0="00040000" w:csb1="00000000"/>
    <w:embedRegular r:id="rId9" w:fontKey="{F006D081-A840-4029-9678-46B785C608AE}"/>
  </w:font>
  <w:font w:name="华文楷体">
    <w:altName w:val="楷体_GB2312"/>
    <w:panose1 w:val="00000000000000000000"/>
    <w:charset w:val="86"/>
    <w:family w:val="auto"/>
    <w:pitch w:val="default"/>
    <w:sig w:usb0="00000000" w:usb1="00000000" w:usb2="00000010" w:usb3="00000000" w:csb0="0004009F" w:csb1="00000000"/>
  </w:font>
  <w:font w:name="方正小标宋简体">
    <w:altName w:val="仿宋_GB2312"/>
    <w:panose1 w:val="02010601030101010101"/>
    <w:charset w:val="86"/>
    <w:family w:val="auto"/>
    <w:pitch w:val="default"/>
    <w:sig w:usb0="00000000" w:usb1="00000000" w:usb2="00000000" w:usb3="00000000" w:csb0="00040000" w:csb1="00000000"/>
    <w:embedRegular r:id="rId10" w:fontKey="{CE4F42F8-39DA-45E6-BA9C-6A27411FD025}"/>
  </w:font>
  <w:font w:name="新宋体">
    <w:panose1 w:val="02010609030101010101"/>
    <w:charset w:val="86"/>
    <w:family w:val="auto"/>
    <w:pitch w:val="default"/>
    <w:sig w:usb0="00000003" w:usb1="288F0000" w:usb2="00000006" w:usb3="00000000" w:csb0="00040001" w:csb1="00000000"/>
    <w:embedRegular r:id="rId11" w:fontKey="{CF45AFEF-561F-4B35-A5AE-175271DED00B}"/>
  </w:font>
  <w:font w:name="原版宋体">
    <w:altName w:val="宋体"/>
    <w:panose1 w:val="02010600030101010101"/>
    <w:charset w:val="00"/>
    <w:family w:val="auto"/>
    <w:pitch w:val="default"/>
    <w:sig w:usb0="00000000" w:usb1="00000000" w:usb2="00000000" w:usb3="00000000" w:csb0="00040001" w:csb1="00000000"/>
    <w:embedRegular r:id="rId12" w:fontKey="{3839A081-CB23-4CB0-AD8C-CFC2F4AA3EE8}"/>
  </w:font>
  <w:font w:name="仿宋">
    <w:panose1 w:val="02010609060101010101"/>
    <w:charset w:val="86"/>
    <w:family w:val="auto"/>
    <w:pitch w:val="default"/>
    <w:sig w:usb0="800002BF" w:usb1="38CF7CFA" w:usb2="00000016" w:usb3="00000000" w:csb0="00040001" w:csb1="00000000"/>
    <w:embedRegular r:id="rId13" w:fontKey="{B4A4465B-3868-4605-A7AA-3B1ADA3A16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36C678"/>
    <w:multiLevelType w:val="singleLevel"/>
    <w:tmpl w:val="EB36C678"/>
    <w:lvl w:ilvl="0" w:tentative="0">
      <w:start w:val="2"/>
      <w:numFmt w:val="chineseCounting"/>
      <w:suff w:val="nothing"/>
      <w:lvlText w:val="%1、"/>
      <w:lvlJc w:val="left"/>
      <w:rPr>
        <w:rFonts w:hint="eastAsia"/>
      </w:rPr>
    </w:lvl>
  </w:abstractNum>
  <w:abstractNum w:abstractNumId="1">
    <w:nsid w:val="F6471595"/>
    <w:multiLevelType w:val="singleLevel"/>
    <w:tmpl w:val="F6471595"/>
    <w:lvl w:ilvl="0" w:tentative="0">
      <w:start w:val="6"/>
      <w:numFmt w:val="chineseCounting"/>
      <w:suff w:val="nothing"/>
      <w:lvlText w:val="%1、"/>
      <w:lvlJc w:val="left"/>
      <w:rPr>
        <w:rFonts w:hint="eastAsia"/>
      </w:rPr>
    </w:lvl>
  </w:abstractNum>
  <w:abstractNum w:abstractNumId="2">
    <w:nsid w:val="F9195CC0"/>
    <w:multiLevelType w:val="singleLevel"/>
    <w:tmpl w:val="F9195CC0"/>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ZlZGQ5ZjFmYTcwYThlZGE1MjNmOTAyNmIwYjNlM2MifQ=="/>
  </w:docVars>
  <w:rsids>
    <w:rsidRoot w:val="0CCB7736"/>
    <w:rsid w:val="00047FEF"/>
    <w:rsid w:val="000A3906"/>
    <w:rsid w:val="001776F1"/>
    <w:rsid w:val="006F0A16"/>
    <w:rsid w:val="00773328"/>
    <w:rsid w:val="00821883"/>
    <w:rsid w:val="00917857"/>
    <w:rsid w:val="00A755C2"/>
    <w:rsid w:val="016A347B"/>
    <w:rsid w:val="02B50488"/>
    <w:rsid w:val="0338470A"/>
    <w:rsid w:val="034822A9"/>
    <w:rsid w:val="03D86621"/>
    <w:rsid w:val="04AB36BF"/>
    <w:rsid w:val="04EE6171"/>
    <w:rsid w:val="05395EA9"/>
    <w:rsid w:val="0958506B"/>
    <w:rsid w:val="0ABD557B"/>
    <w:rsid w:val="0BBB5A8D"/>
    <w:rsid w:val="0C104906"/>
    <w:rsid w:val="0C5016EF"/>
    <w:rsid w:val="0C960FAD"/>
    <w:rsid w:val="0CCB7736"/>
    <w:rsid w:val="0D9E0E8D"/>
    <w:rsid w:val="0EAB7397"/>
    <w:rsid w:val="0EF755B3"/>
    <w:rsid w:val="0F17035E"/>
    <w:rsid w:val="0F4E168D"/>
    <w:rsid w:val="11404466"/>
    <w:rsid w:val="11963ADD"/>
    <w:rsid w:val="11EB0F5C"/>
    <w:rsid w:val="11F20483"/>
    <w:rsid w:val="136F31F8"/>
    <w:rsid w:val="138750E0"/>
    <w:rsid w:val="144440A4"/>
    <w:rsid w:val="15A620D3"/>
    <w:rsid w:val="16A3369E"/>
    <w:rsid w:val="178536BD"/>
    <w:rsid w:val="19516372"/>
    <w:rsid w:val="19575CC2"/>
    <w:rsid w:val="19A80228"/>
    <w:rsid w:val="1A101464"/>
    <w:rsid w:val="1AB74849"/>
    <w:rsid w:val="1AC52FF2"/>
    <w:rsid w:val="1AE6175D"/>
    <w:rsid w:val="1B742AA7"/>
    <w:rsid w:val="1C6E6464"/>
    <w:rsid w:val="1CA34935"/>
    <w:rsid w:val="1D5A640E"/>
    <w:rsid w:val="1F7640EC"/>
    <w:rsid w:val="20D76C5F"/>
    <w:rsid w:val="21057490"/>
    <w:rsid w:val="214A230E"/>
    <w:rsid w:val="216159D7"/>
    <w:rsid w:val="21627E3D"/>
    <w:rsid w:val="21B052C4"/>
    <w:rsid w:val="22FF5445"/>
    <w:rsid w:val="232A7131"/>
    <w:rsid w:val="233C3A1D"/>
    <w:rsid w:val="238D0E57"/>
    <w:rsid w:val="24256710"/>
    <w:rsid w:val="251E7983"/>
    <w:rsid w:val="260D5D83"/>
    <w:rsid w:val="27C933D0"/>
    <w:rsid w:val="284A2254"/>
    <w:rsid w:val="292F1467"/>
    <w:rsid w:val="29786927"/>
    <w:rsid w:val="297B51B4"/>
    <w:rsid w:val="29E40467"/>
    <w:rsid w:val="29F527E2"/>
    <w:rsid w:val="2BF35971"/>
    <w:rsid w:val="2C487650"/>
    <w:rsid w:val="2E4F43C0"/>
    <w:rsid w:val="2EC7368E"/>
    <w:rsid w:val="30281CE4"/>
    <w:rsid w:val="30FB4B41"/>
    <w:rsid w:val="31621165"/>
    <w:rsid w:val="323C5548"/>
    <w:rsid w:val="36437016"/>
    <w:rsid w:val="37450F88"/>
    <w:rsid w:val="37D6106F"/>
    <w:rsid w:val="388D6683"/>
    <w:rsid w:val="38F862EB"/>
    <w:rsid w:val="39343807"/>
    <w:rsid w:val="39887BBC"/>
    <w:rsid w:val="3A53023B"/>
    <w:rsid w:val="3AF42D2D"/>
    <w:rsid w:val="3B3A041F"/>
    <w:rsid w:val="3BAE6BF9"/>
    <w:rsid w:val="3CCA47F2"/>
    <w:rsid w:val="3CDE0708"/>
    <w:rsid w:val="3D5877DF"/>
    <w:rsid w:val="3DC55CAA"/>
    <w:rsid w:val="3DD556CA"/>
    <w:rsid w:val="3F450429"/>
    <w:rsid w:val="40226C80"/>
    <w:rsid w:val="40C451A5"/>
    <w:rsid w:val="4156470B"/>
    <w:rsid w:val="41943ACE"/>
    <w:rsid w:val="425D4066"/>
    <w:rsid w:val="43173FD4"/>
    <w:rsid w:val="44143822"/>
    <w:rsid w:val="44654A12"/>
    <w:rsid w:val="457C5F26"/>
    <w:rsid w:val="49CF255F"/>
    <w:rsid w:val="4B2C5DCD"/>
    <w:rsid w:val="4B7D1173"/>
    <w:rsid w:val="4BAD1567"/>
    <w:rsid w:val="4C150E22"/>
    <w:rsid w:val="4C6A38FC"/>
    <w:rsid w:val="4CE74BC3"/>
    <w:rsid w:val="4CF5000E"/>
    <w:rsid w:val="4DB17672"/>
    <w:rsid w:val="50AC44C4"/>
    <w:rsid w:val="50EA6DB9"/>
    <w:rsid w:val="51CA7471"/>
    <w:rsid w:val="521C2FA3"/>
    <w:rsid w:val="522529B2"/>
    <w:rsid w:val="53493715"/>
    <w:rsid w:val="538779D4"/>
    <w:rsid w:val="53910AF4"/>
    <w:rsid w:val="555952B3"/>
    <w:rsid w:val="556B5A36"/>
    <w:rsid w:val="55AF40BB"/>
    <w:rsid w:val="56F72F7C"/>
    <w:rsid w:val="586243BF"/>
    <w:rsid w:val="58FD3402"/>
    <w:rsid w:val="5AAF7799"/>
    <w:rsid w:val="5B5C1753"/>
    <w:rsid w:val="5CBD5382"/>
    <w:rsid w:val="5E134100"/>
    <w:rsid w:val="5EC62244"/>
    <w:rsid w:val="5F7A1C50"/>
    <w:rsid w:val="601C4AB5"/>
    <w:rsid w:val="60BE691E"/>
    <w:rsid w:val="61444403"/>
    <w:rsid w:val="62265BDF"/>
    <w:rsid w:val="62E1699A"/>
    <w:rsid w:val="64147F0D"/>
    <w:rsid w:val="64D66362"/>
    <w:rsid w:val="65860217"/>
    <w:rsid w:val="667E0AA1"/>
    <w:rsid w:val="68FB17C3"/>
    <w:rsid w:val="695F12F9"/>
    <w:rsid w:val="69636C3A"/>
    <w:rsid w:val="69CF7B2C"/>
    <w:rsid w:val="6A0B0004"/>
    <w:rsid w:val="6AB06375"/>
    <w:rsid w:val="6BA1010E"/>
    <w:rsid w:val="6CE47E41"/>
    <w:rsid w:val="6CED5810"/>
    <w:rsid w:val="6CF92413"/>
    <w:rsid w:val="6DFE5E04"/>
    <w:rsid w:val="6E87203D"/>
    <w:rsid w:val="6F9278BB"/>
    <w:rsid w:val="70932B72"/>
    <w:rsid w:val="71572F19"/>
    <w:rsid w:val="719B7427"/>
    <w:rsid w:val="724A6793"/>
    <w:rsid w:val="72C15BC2"/>
    <w:rsid w:val="741F26FA"/>
    <w:rsid w:val="74470DF8"/>
    <w:rsid w:val="74AC442A"/>
    <w:rsid w:val="753F7BF1"/>
    <w:rsid w:val="75FD1676"/>
    <w:rsid w:val="799536BA"/>
    <w:rsid w:val="7B170752"/>
    <w:rsid w:val="7B8F681B"/>
    <w:rsid w:val="7DD96C0E"/>
    <w:rsid w:val="7E474F7B"/>
    <w:rsid w:val="7E8F7AC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9">
    <w:name w:val="Default Paragraph Font"/>
    <w:semiHidden/>
    <w:qFormat/>
    <w:uiPriority w:val="99"/>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customStyle="1" w:styleId="2">
    <w:name w:val="BodyText1I"/>
    <w:basedOn w:val="1"/>
    <w:qFormat/>
    <w:uiPriority w:val="99"/>
    <w:pPr>
      <w:snapToGrid w:val="0"/>
      <w:spacing w:line="360" w:lineRule="auto"/>
      <w:ind w:firstLine="420" w:firstLineChars="100"/>
    </w:pPr>
    <w:rPr>
      <w:sz w:val="28"/>
      <w:szCs w:val="20"/>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footnote text"/>
    <w:basedOn w:val="1"/>
    <w:next w:val="1"/>
    <w:qFormat/>
    <w:uiPriority w:val="0"/>
    <w:pPr>
      <w:snapToGrid w:val="0"/>
      <w:jc w:val="left"/>
    </w:pPr>
    <w:rPr>
      <w:sz w:val="18"/>
      <w:szCs w:val="18"/>
    </w:rPr>
  </w:style>
  <w:style w:type="table" w:styleId="8">
    <w:name w:val="Table Grid"/>
    <w:basedOn w:val="7"/>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99"/>
    <w:rPr>
      <w:rFonts w:cs="Times New Roman"/>
    </w:rPr>
  </w:style>
  <w:style w:type="character" w:customStyle="1" w:styleId="11">
    <w:name w:val="Footer Char"/>
    <w:basedOn w:val="9"/>
    <w:link w:val="4"/>
    <w:semiHidden/>
    <w:qFormat/>
    <w:uiPriority w:val="99"/>
    <w:rPr>
      <w:sz w:val="18"/>
      <w:szCs w:val="18"/>
    </w:rPr>
  </w:style>
  <w:style w:type="character" w:customStyle="1" w:styleId="12">
    <w:name w:val="Header Char"/>
    <w:basedOn w:val="9"/>
    <w:link w:val="5"/>
    <w:semiHidden/>
    <w:qFormat/>
    <w:uiPriority w:val="99"/>
    <w:rPr>
      <w:sz w:val="18"/>
      <w:szCs w:val="18"/>
    </w:rPr>
  </w:style>
  <w:style w:type="paragraph" w:styleId="13">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15</Pages>
  <Words>5527</Words>
  <Characters>6215</Characters>
  <Lines>0</Lines>
  <Paragraphs>0</Paragraphs>
  <TotalTime>4</TotalTime>
  <ScaleCrop>false</ScaleCrop>
  <LinksUpToDate>false</LinksUpToDate>
  <CharactersWithSpaces>6336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汤汤</cp:lastModifiedBy>
  <cp:lastPrinted>2023-06-29T01:04:00Z</cp:lastPrinted>
  <dcterms:modified xsi:type="dcterms:W3CDTF">2023-07-13T07:54:13Z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