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600" w:lineRule="exact"/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年度部门整体支出绩效评价基础数据表</w:t>
      </w:r>
    </w:p>
    <w:tbl>
      <w:tblPr>
        <w:tblStyle w:val="10"/>
        <w:tblW w:w="4998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8"/>
        <w:gridCol w:w="1956"/>
        <w:gridCol w:w="2437"/>
        <w:gridCol w:w="167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财政供养人员情况（人）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编制数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年实际在职人数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控制率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33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19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57.58%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经费控制情况（万元）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2021年决算数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年预算数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年决算数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一、基本支出：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605.7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498.27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498.27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其中：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三公经费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公务用车购置和维护经费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其中：公车购置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公车运行维护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2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出国经费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3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公务接待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二、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项目支出：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114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122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122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default" w:ascii="新宋体" w:hAnsi="新宋体" w:eastAsia="新宋体" w:cs="新宋体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.卫生健康支出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114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122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122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厉行节约保障措施</w:t>
            </w:r>
          </w:p>
        </w:tc>
        <w:tc>
          <w:tcPr>
            <w:tcW w:w="3266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</w:tbl>
    <w:p>
      <w:pPr>
        <w:widowControl/>
        <w:spacing w:afterLines="0" w:line="400" w:lineRule="exact"/>
        <w:jc w:val="left"/>
        <w:rPr>
          <w:rFonts w:hint="eastAsia" w:ascii="新宋体" w:hAnsi="新宋体" w:eastAsia="新宋体" w:cs="新宋体"/>
          <w:sz w:val="21"/>
          <w:szCs w:val="21"/>
          <w:lang w:eastAsia="zh-CN"/>
        </w:rPr>
      </w:pPr>
      <w:r>
        <w:rPr>
          <w:rFonts w:hint="eastAsia" w:ascii="新宋体" w:hAnsi="新宋体" w:eastAsia="新宋体" w:cs="新宋体"/>
          <w:sz w:val="21"/>
          <w:szCs w:val="21"/>
        </w:rPr>
        <w:t>说明：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以上数据均来源于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部门决算报表，其中</w:t>
      </w:r>
      <w:r>
        <w:rPr>
          <w:rFonts w:hint="eastAsia" w:ascii="新宋体" w:hAnsi="新宋体" w:eastAsia="新宋体" w:cs="新宋体"/>
          <w:sz w:val="21"/>
          <w:szCs w:val="21"/>
        </w:rPr>
        <w:t>“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基本支出</w:t>
      </w:r>
      <w:r>
        <w:rPr>
          <w:rFonts w:hint="eastAsia" w:ascii="新宋体" w:hAnsi="新宋体" w:eastAsia="新宋体" w:cs="新宋体"/>
          <w:sz w:val="21"/>
          <w:szCs w:val="21"/>
        </w:rPr>
        <w:t>”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数据参照基本支出决算明细表（财决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05-1表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）；“三公经费”数据参照机构运行信息表（财决附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03表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）；</w:t>
      </w:r>
      <w:r>
        <w:rPr>
          <w:rFonts w:hint="eastAsia" w:ascii="新宋体" w:hAnsi="新宋体" w:eastAsia="新宋体" w:cs="新宋体"/>
          <w:sz w:val="21"/>
          <w:szCs w:val="21"/>
        </w:rPr>
        <w:t>“项目支出”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数据参照项目支出决算明细表（财决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05-2表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）。</w:t>
      </w:r>
    </w:p>
    <w:p>
      <w:pPr>
        <w:widowControl/>
        <w:spacing w:after="0" w:afterLines="0" w:line="400" w:lineRule="exact"/>
        <w:jc w:val="left"/>
        <w:rPr>
          <w:rFonts w:hint="default" w:ascii="Times New Roman" w:hAnsi="Times New Roman" w:eastAsia="仿宋_GB2312" w:cs="Times New Roman"/>
          <w:sz w:val="22"/>
        </w:rPr>
      </w:pPr>
    </w:p>
    <w:p>
      <w:pPr>
        <w:widowControl/>
        <w:spacing w:after="0" w:afterLines="0" w:line="400" w:lineRule="exact"/>
        <w:jc w:val="left"/>
        <w:rPr>
          <w:rFonts w:hint="eastAsia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22"/>
        </w:rPr>
        <w:t>填表人：</w:t>
      </w:r>
      <w:r>
        <w:rPr>
          <w:rFonts w:hint="eastAsia" w:eastAsia="仿宋_GB2312" w:cs="Times New Roman"/>
          <w:sz w:val="22"/>
          <w:lang w:eastAsia="zh-CN"/>
        </w:rPr>
        <w:t>练正杰</w:t>
      </w:r>
      <w:r>
        <w:rPr>
          <w:rFonts w:hint="default" w:ascii="Times New Roman" w:hAnsi="Times New Roman" w:eastAsia="仿宋_GB2312" w:cs="Times New Roman"/>
          <w:sz w:val="22"/>
        </w:rPr>
        <w:t xml:space="preserve">  填报日期：</w:t>
      </w:r>
      <w:r>
        <w:rPr>
          <w:rFonts w:hint="eastAsia" w:eastAsia="仿宋_GB2312" w:cs="Times New Roman"/>
          <w:sz w:val="22"/>
          <w:lang w:val="en-US" w:eastAsia="zh-CN"/>
        </w:rPr>
        <w:t>2023.7.13</w:t>
      </w:r>
      <w:r>
        <w:rPr>
          <w:rFonts w:hint="default" w:ascii="Times New Roman" w:hAnsi="Times New Roman" w:eastAsia="仿宋_GB2312" w:cs="Times New Roman"/>
          <w:sz w:val="22"/>
        </w:rPr>
        <w:t xml:space="preserve"> 联系电话：</w:t>
      </w:r>
      <w:r>
        <w:rPr>
          <w:rFonts w:hint="eastAsia" w:eastAsia="仿宋_GB2312" w:cs="Times New Roman"/>
          <w:sz w:val="22"/>
          <w:lang w:val="en-US" w:eastAsia="zh-CN"/>
        </w:rPr>
        <w:t>18711231466</w:t>
      </w:r>
      <w:r>
        <w:rPr>
          <w:rFonts w:hint="default" w:ascii="Times New Roman" w:hAnsi="Times New Roman" w:eastAsia="仿宋_GB2312" w:cs="Times New Roman"/>
          <w:sz w:val="22"/>
        </w:rPr>
        <w:t xml:space="preserve">  单位负责人签字：</w:t>
      </w:r>
      <w:r>
        <w:rPr>
          <w:rFonts w:hint="default" w:ascii="Times New Roman" w:hAnsi="Times New Roman" w:eastAsia="仿宋_GB2312" w:cs="Times New Roman"/>
          <w:sz w:val="22"/>
        </w:rPr>
        <w:br w:type="page"/>
      </w:r>
      <w:r>
        <w:rPr>
          <w:rFonts w:hint="default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年度部门整体支出绩效自评表</w:t>
      </w:r>
    </w:p>
    <w:tbl>
      <w:tblPr>
        <w:tblStyle w:val="10"/>
        <w:tblW w:w="4996" w:type="pct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8"/>
        <w:gridCol w:w="994"/>
        <w:gridCol w:w="866"/>
        <w:gridCol w:w="1465"/>
        <w:gridCol w:w="750"/>
        <w:gridCol w:w="972"/>
        <w:gridCol w:w="587"/>
        <w:gridCol w:w="806"/>
        <w:gridCol w:w="177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3" w:hRule="atLeast"/>
          <w:jc w:val="center"/>
        </w:trPr>
        <w:tc>
          <w:tcPr>
            <w:tcW w:w="5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县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级预算部门名称</w:t>
            </w:r>
          </w:p>
        </w:tc>
        <w:tc>
          <w:tcPr>
            <w:tcW w:w="4424" w:type="pct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8"/>
                <w:szCs w:val="28"/>
                <w:lang w:val="en-US" w:eastAsia="zh-CN"/>
              </w:rPr>
              <w:t>华容县插旗镇卫生院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atLeast"/>
          <w:jc w:val="center"/>
        </w:trPr>
        <w:tc>
          <w:tcPr>
            <w:tcW w:w="575" w:type="pct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预算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申请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（万元）</w:t>
            </w:r>
          </w:p>
        </w:tc>
        <w:tc>
          <w:tcPr>
            <w:tcW w:w="1002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78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年初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预算数</w:t>
            </w:r>
          </w:p>
        </w:tc>
        <w:tc>
          <w:tcPr>
            <w:tcW w:w="40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预算数</w:t>
            </w:r>
          </w:p>
        </w:tc>
        <w:tc>
          <w:tcPr>
            <w:tcW w:w="5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执行数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分值</w:t>
            </w:r>
          </w:p>
        </w:tc>
        <w:tc>
          <w:tcPr>
            <w:tcW w:w="43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执行率</w:t>
            </w:r>
          </w:p>
        </w:tc>
        <w:tc>
          <w:tcPr>
            <w:tcW w:w="95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1002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年度资金总额</w:t>
            </w:r>
          </w:p>
        </w:tc>
        <w:tc>
          <w:tcPr>
            <w:tcW w:w="78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  <w:t>369.4</w:t>
            </w:r>
          </w:p>
        </w:tc>
        <w:tc>
          <w:tcPr>
            <w:tcW w:w="40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sz w:val="16"/>
                <w:szCs w:val="16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16"/>
                <w:szCs w:val="16"/>
                <w:lang w:val="en-US" w:eastAsia="zh-CN"/>
              </w:rPr>
              <w:t>620.27</w:t>
            </w:r>
          </w:p>
        </w:tc>
        <w:tc>
          <w:tcPr>
            <w:tcW w:w="5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620.27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10</w:t>
            </w:r>
          </w:p>
        </w:tc>
        <w:tc>
          <w:tcPr>
            <w:tcW w:w="43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95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5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95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按收入性质分：</w:t>
            </w:r>
          </w:p>
        </w:tc>
        <w:tc>
          <w:tcPr>
            <w:tcW w:w="2229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按支出性质分：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5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95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其中：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一般公共预算：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356.04</w:t>
            </w:r>
          </w:p>
        </w:tc>
        <w:tc>
          <w:tcPr>
            <w:tcW w:w="2229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其中：基本支出：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498.27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5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95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政府性基金拨款：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229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项目支出：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122.0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5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95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纳入专户管理的非税收入拨款：</w:t>
            </w:r>
          </w:p>
        </w:tc>
        <w:tc>
          <w:tcPr>
            <w:tcW w:w="2229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5" w:type="pct"/>
            <w:vMerge w:val="continue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95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1260" w:firstLineChars="60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其他资金：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264.23</w:t>
            </w:r>
          </w:p>
        </w:tc>
        <w:tc>
          <w:tcPr>
            <w:tcW w:w="2229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5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总体目标</w:t>
            </w:r>
          </w:p>
        </w:tc>
        <w:tc>
          <w:tcPr>
            <w:tcW w:w="2195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预期目标</w:t>
            </w:r>
          </w:p>
        </w:tc>
        <w:tc>
          <w:tcPr>
            <w:tcW w:w="2229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实际完成情况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5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2195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default" w:ascii="仿宋_GB2312" w:hAnsi="仿宋_GB2312" w:eastAsia="仿宋_GB2312" w:cs="仿宋_GB2312"/>
                <w:color w:val="00000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Cs w:val="21"/>
              </w:rPr>
              <w:t>目标1：</w:t>
            </w:r>
            <w:r>
              <w:rPr>
                <w:rFonts w:hint="eastAsia" w:eastAsia="仿宋_GB2312"/>
                <w:kern w:val="0"/>
                <w:szCs w:val="21"/>
              </w:rPr>
              <w:t>保障职工工资福利发放，“五险一金缴纳”</w:t>
            </w:r>
          </w:p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default" w:ascii="仿宋_GB2312" w:hAnsi="仿宋_GB2312" w:eastAsia="仿宋_GB2312" w:cs="仿宋_GB2312"/>
                <w:color w:val="00000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Cs w:val="21"/>
              </w:rPr>
              <w:t>目标2：</w:t>
            </w:r>
            <w:r>
              <w:rPr>
                <w:rFonts w:hint="eastAsia" w:eastAsia="仿宋_GB2312"/>
                <w:kern w:val="0"/>
                <w:szCs w:val="21"/>
              </w:rPr>
              <w:t>公用经费确保工作正常运转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Cs w:val="21"/>
              </w:rPr>
              <w:t>目标3：</w:t>
            </w:r>
            <w:r>
              <w:rPr>
                <w:rFonts w:hint="eastAsia" w:eastAsia="仿宋_GB2312"/>
                <w:kern w:val="0"/>
                <w:szCs w:val="21"/>
              </w:rPr>
              <w:t>医疗收入保障医院日常工作开展</w:t>
            </w:r>
          </w:p>
        </w:tc>
        <w:tc>
          <w:tcPr>
            <w:tcW w:w="2229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default" w:ascii="仿宋_GB2312" w:hAnsi="仿宋_GB2312" w:eastAsia="仿宋_GB2312" w:cs="仿宋_GB2312"/>
                <w:color w:val="000000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职工工资福利发放，“五险一金缴纳”到位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医疗和公卫工作圆满完成预期目标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75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标</w:t>
            </w:r>
          </w:p>
        </w:tc>
        <w:tc>
          <w:tcPr>
            <w:tcW w:w="53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4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7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4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指标值</w:t>
            </w:r>
          </w:p>
        </w:tc>
        <w:tc>
          <w:tcPr>
            <w:tcW w:w="5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完成值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分值</w:t>
            </w:r>
          </w:p>
        </w:tc>
        <w:tc>
          <w:tcPr>
            <w:tcW w:w="4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得分</w:t>
            </w:r>
          </w:p>
        </w:tc>
        <w:tc>
          <w:tcPr>
            <w:tcW w:w="95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35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产出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(50分)</w:t>
            </w:r>
          </w:p>
        </w:tc>
        <w:tc>
          <w:tcPr>
            <w:tcW w:w="466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数量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7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工资福利发放率</w:t>
            </w:r>
          </w:p>
        </w:tc>
        <w:tc>
          <w:tcPr>
            <w:tcW w:w="4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5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4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95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3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7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“五险一金”缴纳率</w:t>
            </w:r>
          </w:p>
        </w:tc>
        <w:tc>
          <w:tcPr>
            <w:tcW w:w="4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5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4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95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3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7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eastAsia="仿宋_GB2312"/>
                <w:kern w:val="0"/>
                <w:szCs w:val="21"/>
              </w:rPr>
            </w:pPr>
            <w:r>
              <w:rPr>
                <w:rFonts w:hint="eastAsia" w:ascii="宋体" w:hAnsi="宋体" w:eastAsia="仿宋_GB2312"/>
                <w:kern w:val="0"/>
                <w:sz w:val="21"/>
                <w:szCs w:val="21"/>
              </w:rPr>
              <w:t>适龄人群国家免疫规划疫苗接种率</w:t>
            </w:r>
          </w:p>
        </w:tc>
        <w:tc>
          <w:tcPr>
            <w:tcW w:w="4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eastAsia="仿宋_GB2312"/>
                <w:kern w:val="0"/>
                <w:sz w:val="21"/>
                <w:szCs w:val="21"/>
              </w:rPr>
              <w:t>≥90</w:t>
            </w:r>
            <w:r>
              <w:rPr>
                <w:rFonts w:hint="eastAsia" w:ascii="宋体" w:hAnsi="宋体" w:eastAsia="仿宋_GB2312"/>
                <w:kern w:val="0"/>
                <w:sz w:val="21"/>
                <w:szCs w:val="21"/>
                <w:lang w:val="en-US" w:eastAsia="zh-CN"/>
              </w:rPr>
              <w:t>%</w:t>
            </w:r>
          </w:p>
        </w:tc>
        <w:tc>
          <w:tcPr>
            <w:tcW w:w="5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eastAsia="仿宋_GB2312"/>
                <w:kern w:val="0"/>
                <w:sz w:val="21"/>
                <w:szCs w:val="21"/>
                <w:lang w:val="en-US" w:eastAsia="zh-CN"/>
              </w:rPr>
              <w:t>95.58</w:t>
            </w:r>
            <w:r>
              <w:rPr>
                <w:rFonts w:hint="eastAsia" w:ascii="宋体" w:hAnsi="宋体" w:eastAsia="仿宋_GB2312"/>
                <w:kern w:val="0"/>
                <w:sz w:val="21"/>
                <w:szCs w:val="21"/>
              </w:rPr>
              <w:t>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4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95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3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7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日常公用经费使用率</w:t>
            </w:r>
          </w:p>
        </w:tc>
        <w:tc>
          <w:tcPr>
            <w:tcW w:w="4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5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4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95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3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质量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7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仿宋_GB2312"/>
                <w:kern w:val="0"/>
                <w:sz w:val="21"/>
                <w:szCs w:val="21"/>
              </w:rPr>
              <w:t>居民健康档案规范化电子建档率</w:t>
            </w:r>
          </w:p>
        </w:tc>
        <w:tc>
          <w:tcPr>
            <w:tcW w:w="4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5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4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95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3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7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仿宋_GB2312"/>
                <w:kern w:val="0"/>
                <w:sz w:val="21"/>
                <w:szCs w:val="21"/>
              </w:rPr>
              <w:t>建档立卡贫困人口签约率</w:t>
            </w:r>
          </w:p>
        </w:tc>
        <w:tc>
          <w:tcPr>
            <w:tcW w:w="4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5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4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95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3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时效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7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仿宋_GB2312"/>
                <w:kern w:val="0"/>
                <w:sz w:val="21"/>
                <w:szCs w:val="21"/>
              </w:rPr>
              <w:t>资金拨付及时率</w:t>
            </w:r>
          </w:p>
        </w:tc>
        <w:tc>
          <w:tcPr>
            <w:tcW w:w="4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仿宋_GB2312"/>
                <w:kern w:val="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5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仿宋_GB2312"/>
                <w:kern w:val="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4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95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3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成本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指标</w:t>
            </w:r>
          </w:p>
        </w:tc>
        <w:tc>
          <w:tcPr>
            <w:tcW w:w="7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仿宋_GB2312"/>
                <w:kern w:val="0"/>
                <w:sz w:val="21"/>
                <w:szCs w:val="21"/>
                <w:lang w:eastAsia="zh-CN"/>
              </w:rPr>
              <w:t>项目预算执行率</w:t>
            </w:r>
          </w:p>
        </w:tc>
        <w:tc>
          <w:tcPr>
            <w:tcW w:w="4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5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4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95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7" w:hRule="atLeast"/>
          <w:jc w:val="center"/>
        </w:trPr>
        <w:tc>
          <w:tcPr>
            <w:tcW w:w="575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标</w:t>
            </w:r>
          </w:p>
        </w:tc>
        <w:tc>
          <w:tcPr>
            <w:tcW w:w="53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4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7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4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指标值</w:t>
            </w:r>
          </w:p>
        </w:tc>
        <w:tc>
          <w:tcPr>
            <w:tcW w:w="5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完成值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分值</w:t>
            </w:r>
          </w:p>
        </w:tc>
        <w:tc>
          <w:tcPr>
            <w:tcW w:w="4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得分</w:t>
            </w:r>
          </w:p>
        </w:tc>
        <w:tc>
          <w:tcPr>
            <w:tcW w:w="95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5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35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效益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（30分）</w:t>
            </w:r>
          </w:p>
        </w:tc>
        <w:tc>
          <w:tcPr>
            <w:tcW w:w="4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经济效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7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仿宋_GB2312"/>
                <w:kern w:val="0"/>
                <w:sz w:val="21"/>
                <w:szCs w:val="21"/>
              </w:rPr>
              <w:t>财政配套资金到位率</w:t>
            </w:r>
          </w:p>
        </w:tc>
        <w:tc>
          <w:tcPr>
            <w:tcW w:w="4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5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4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95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5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3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社会效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14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患者治愈率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9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95%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43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95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加强专业医疗知识培训，提升医疗治疗水平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575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3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生态效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78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环境污染处理率</w:t>
            </w:r>
          </w:p>
        </w:tc>
        <w:tc>
          <w:tcPr>
            <w:tcW w:w="40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5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43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95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3" w:hRule="atLeast"/>
          <w:jc w:val="center"/>
        </w:trPr>
        <w:tc>
          <w:tcPr>
            <w:tcW w:w="575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3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可持续影响指标</w:t>
            </w:r>
          </w:p>
        </w:tc>
        <w:tc>
          <w:tcPr>
            <w:tcW w:w="7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医废污染处理</w:t>
            </w:r>
          </w:p>
        </w:tc>
        <w:tc>
          <w:tcPr>
            <w:tcW w:w="4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5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4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95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5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3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78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仿宋_GB2312"/>
                <w:kern w:val="0"/>
                <w:sz w:val="21"/>
                <w:szCs w:val="21"/>
              </w:rPr>
              <w:t>基层服务能力不断提升</w:t>
            </w:r>
          </w:p>
        </w:tc>
        <w:tc>
          <w:tcPr>
            <w:tcW w:w="40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52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43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95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提升医疗业务和公共卫生服务水平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5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35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（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分）</w:t>
            </w:r>
          </w:p>
        </w:tc>
        <w:tc>
          <w:tcPr>
            <w:tcW w:w="466" w:type="pct"/>
            <w:vMerge w:val="restar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服务对象满意度指标</w:t>
            </w:r>
          </w:p>
        </w:tc>
        <w:tc>
          <w:tcPr>
            <w:tcW w:w="78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  <w:lang w:eastAsia="zh-CN"/>
              </w:rPr>
              <w:t>签约居民</w:t>
            </w:r>
            <w:r>
              <w:rPr>
                <w:rFonts w:hint="eastAsia" w:eastAsia="仿宋_GB2312"/>
                <w:kern w:val="0"/>
                <w:szCs w:val="21"/>
              </w:rPr>
              <w:t>满意度</w:t>
            </w:r>
          </w:p>
        </w:tc>
        <w:tc>
          <w:tcPr>
            <w:tcW w:w="40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5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43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95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5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3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78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  <w:lang w:eastAsia="zh-CN"/>
              </w:rPr>
              <w:t>受益对象</w:t>
            </w:r>
            <w:r>
              <w:rPr>
                <w:rFonts w:hint="eastAsia" w:eastAsia="仿宋_GB2312"/>
                <w:kern w:val="0"/>
                <w:szCs w:val="21"/>
              </w:rPr>
              <w:t>满意度</w:t>
            </w:r>
          </w:p>
        </w:tc>
        <w:tc>
          <w:tcPr>
            <w:tcW w:w="40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5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43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95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提升医疗业务和公共卫生服务水平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3294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总分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100</w:t>
            </w:r>
          </w:p>
        </w:tc>
        <w:tc>
          <w:tcPr>
            <w:tcW w:w="43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94</w:t>
            </w:r>
          </w:p>
        </w:tc>
        <w:tc>
          <w:tcPr>
            <w:tcW w:w="95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</w:tbl>
    <w:p>
      <w:pPr>
        <w:rPr>
          <w:rFonts w:hint="eastAsia" w:eastAsia="仿宋_GB2312" w:cs="Times New Roman"/>
          <w:sz w:val="2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2"/>
        </w:rPr>
        <w:t>说明：</w:t>
      </w:r>
      <w:r>
        <w:rPr>
          <w:rFonts w:hint="eastAsia" w:eastAsia="仿宋_GB2312" w:cs="Times New Roman"/>
          <w:sz w:val="22"/>
          <w:lang w:eastAsia="zh-CN"/>
        </w:rPr>
        <w:t>以上数据参照</w:t>
      </w:r>
      <w:r>
        <w:rPr>
          <w:rFonts w:hint="eastAsia" w:eastAsia="仿宋_GB2312" w:cs="Times New Roman"/>
          <w:sz w:val="22"/>
          <w:lang w:val="en-US" w:eastAsia="zh-CN"/>
        </w:rPr>
        <w:t>2022年部门决算报表中的“收入支出决算总表”(财决01表)。</w:t>
      </w: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2"/>
          <w:szCs w:val="22"/>
        </w:rPr>
        <w:t>填表人：</w:t>
      </w:r>
      <w:r>
        <w:rPr>
          <w:rFonts w:hint="eastAsia" w:eastAsia="仿宋_GB2312" w:cs="Times New Roman"/>
          <w:sz w:val="22"/>
          <w:szCs w:val="22"/>
          <w:lang w:val="en-US" w:eastAsia="zh-CN"/>
        </w:rPr>
        <w:t>练正杰</w:t>
      </w:r>
      <w:r>
        <w:rPr>
          <w:rFonts w:hint="default" w:ascii="Times New Roman" w:hAnsi="Times New Roman" w:eastAsia="仿宋_GB2312" w:cs="Times New Roman"/>
          <w:sz w:val="22"/>
          <w:szCs w:val="22"/>
        </w:rPr>
        <w:t xml:space="preserve"> 填报日期：</w:t>
      </w:r>
      <w:r>
        <w:rPr>
          <w:rFonts w:hint="eastAsia" w:eastAsia="仿宋_GB2312" w:cs="Times New Roman"/>
          <w:sz w:val="22"/>
          <w:szCs w:val="22"/>
          <w:lang w:val="en-US" w:eastAsia="zh-CN"/>
        </w:rPr>
        <w:t xml:space="preserve">2023.7.13 </w:t>
      </w:r>
      <w:r>
        <w:rPr>
          <w:rFonts w:hint="default" w:ascii="Times New Roman" w:hAnsi="Times New Roman" w:eastAsia="仿宋_GB2312" w:cs="Times New Roman"/>
          <w:sz w:val="22"/>
          <w:szCs w:val="22"/>
        </w:rPr>
        <w:t xml:space="preserve"> 联系电话：</w:t>
      </w:r>
      <w:r>
        <w:rPr>
          <w:rFonts w:hint="eastAsia" w:eastAsia="仿宋_GB2312" w:cs="Times New Roman"/>
          <w:sz w:val="22"/>
          <w:szCs w:val="22"/>
          <w:lang w:val="en-US" w:eastAsia="zh-CN"/>
        </w:rPr>
        <w:t>18711231466</w:t>
      </w:r>
      <w:r>
        <w:rPr>
          <w:rFonts w:hint="default" w:ascii="Times New Roman" w:hAnsi="Times New Roman" w:eastAsia="仿宋_GB2312" w:cs="Times New Roman"/>
          <w:sz w:val="22"/>
          <w:szCs w:val="22"/>
        </w:rPr>
        <w:t xml:space="preserve"> 单位负责人签字：</w:t>
      </w:r>
      <w:r>
        <w:rPr>
          <w:rFonts w:hint="default" w:ascii="Times New Roman" w:hAnsi="Times New Roman" w:eastAsia="仿宋_GB2312" w:cs="Times New Roman"/>
          <w:sz w:val="22"/>
          <w:szCs w:val="22"/>
        </w:rPr>
        <w:br w:type="page"/>
      </w: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3</w:t>
      </w:r>
    </w:p>
    <w:p>
      <w:pPr>
        <w:jc w:val="center"/>
        <w:rPr>
          <w:rFonts w:hint="default" w:ascii="Times New Roman" w:hAnsi="Times New Roman" w:eastAsia="方正小标宋_GBK" w:cs="Times New Roman"/>
          <w:sz w:val="52"/>
          <w:szCs w:val="52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华容县插旗镇卫生院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整体支出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jc w:val="center"/>
        <w:rPr>
          <w:rFonts w:hint="default" w:ascii="Times New Roman" w:hAnsi="Times New Roman" w:eastAsia="方正小标宋_GBK" w:cs="Times New Roman"/>
          <w:b/>
          <w:sz w:val="52"/>
          <w:szCs w:val="5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both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spacing w:line="600" w:lineRule="exact"/>
        <w:jc w:val="center"/>
        <w:rPr>
          <w:rFonts w:hint="default" w:ascii="Times New Roman" w:hAnsi="Times New Roman" w:eastAsia="仿宋_GB2312" w:cs="Times New Roman"/>
          <w:sz w:val="32"/>
          <w:szCs w:val="32"/>
          <w:u w:val="single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部门（单位）名称：</w:t>
      </w:r>
      <w:r>
        <w:rPr>
          <w:rFonts w:hint="default" w:ascii="Times New Roman" w:hAnsi="Times New Roman" w:eastAsia="仿宋_GB2312" w:cs="Times New Roman"/>
          <w:sz w:val="32"/>
          <w:szCs w:val="32"/>
          <w:u w:val="single"/>
        </w:rPr>
        <w:t>（盖章）</w:t>
      </w:r>
    </w:p>
    <w:p>
      <w:pPr>
        <w:spacing w:line="600" w:lineRule="exact"/>
        <w:jc w:val="center"/>
        <w:rPr>
          <w:rFonts w:hint="default" w:ascii="Times New Roman" w:hAnsi="Times New Roman" w:eastAsia="楷体_GB2312" w:cs="Times New Roman"/>
          <w:sz w:val="32"/>
          <w:szCs w:val="32"/>
        </w:rPr>
      </w:pPr>
      <w:r>
        <w:rPr>
          <w:rFonts w:hint="default" w:ascii="Times New Roman" w:hAnsi="Times New Roman" w:eastAsia="楷体_GB2312" w:cs="Times New Roman"/>
          <w:sz w:val="32"/>
          <w:szCs w:val="32"/>
        </w:rPr>
        <w:t>年  月  日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  <w:sectPr>
          <w:footerReference r:id="rId3" w:type="default"/>
          <w:pgSz w:w="11906" w:h="16838"/>
          <w:pgMar w:top="1701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（此页为封面）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华容县插旗镇卫生院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整体支出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部门（单位）基本情况</w:t>
      </w:r>
    </w:p>
    <w:p>
      <w:pPr>
        <w:spacing w:line="600" w:lineRule="exact"/>
        <w:ind w:firstLine="472" w:firstLineChars="147"/>
        <w:jc w:val="left"/>
        <w:rPr>
          <w:rFonts w:hint="eastAsia" w:ascii="楷体_GB2312" w:hAnsi="楷体_GB2312" w:eastAsia="楷体_GB2312" w:cs="楷体_GB2312"/>
          <w:b/>
          <w:bCs/>
          <w:color w:val="auto"/>
          <w:sz w:val="32"/>
          <w:szCs w:val="28"/>
        </w:rPr>
      </w:pPr>
      <w:r>
        <w:rPr>
          <w:rFonts w:hint="eastAsia" w:ascii="楷体_GB2312" w:hAnsi="楷体_GB2312" w:eastAsia="楷体_GB2312" w:cs="楷体_GB2312"/>
          <w:b/>
          <w:bCs/>
          <w:color w:val="auto"/>
          <w:sz w:val="32"/>
          <w:szCs w:val="28"/>
        </w:rPr>
        <w:t>（一）</w:t>
      </w:r>
      <w:r>
        <w:rPr>
          <w:rFonts w:hint="eastAsia" w:ascii="楷体_GB2312" w:hAnsi="楷体_GB2312" w:eastAsia="楷体_GB2312" w:cs="楷体_GB2312"/>
          <w:b/>
          <w:bCs/>
          <w:color w:val="auto"/>
          <w:sz w:val="32"/>
          <w:szCs w:val="28"/>
          <w:lang w:eastAsia="zh-CN"/>
        </w:rPr>
        <w:t>部门</w:t>
      </w:r>
      <w:r>
        <w:rPr>
          <w:rFonts w:hint="eastAsia" w:ascii="楷体_GB2312" w:hAnsi="楷体_GB2312" w:eastAsia="楷体_GB2312" w:cs="楷体_GB2312"/>
          <w:b/>
          <w:bCs/>
          <w:color w:val="auto"/>
          <w:sz w:val="32"/>
          <w:szCs w:val="28"/>
        </w:rPr>
        <w:t>基本概况</w:t>
      </w:r>
    </w:p>
    <w:p>
      <w:pPr>
        <w:shd w:val="solid" w:color="FFFFFF" w:fill="auto"/>
        <w:autoSpaceDN w:val="0"/>
        <w:spacing w:line="600" w:lineRule="exact"/>
        <w:ind w:firstLine="640" w:firstLineChars="200"/>
        <w:jc w:val="left"/>
        <w:rPr>
          <w:rFonts w:hint="eastAsia" w:ascii="仿宋" w:hAnsi="仿宋" w:eastAsia="仿宋" w:cs="仿宋"/>
          <w:color w:val="auto"/>
          <w:sz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华容县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插旗镇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卫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生院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隶属于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华容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县卫生健康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局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所属二级预算单位，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202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年编制部门</w:t>
      </w:r>
      <w:r>
        <w:rPr>
          <w:rFonts w:hint="eastAsia" w:ascii="仿宋" w:hAnsi="仿宋" w:eastAsia="仿宋" w:cs="仿宋"/>
          <w:color w:val="auto"/>
          <w:sz w:val="32"/>
        </w:rPr>
        <w:t>核实华容县</w:t>
      </w:r>
      <w:r>
        <w:rPr>
          <w:rFonts w:hint="eastAsia" w:ascii="仿宋" w:hAnsi="仿宋" w:eastAsia="仿宋" w:cs="仿宋"/>
          <w:color w:val="auto"/>
          <w:sz w:val="32"/>
          <w:lang w:eastAsia="zh-CN"/>
        </w:rPr>
        <w:t>插旗镇卫生院</w:t>
      </w:r>
      <w:r>
        <w:rPr>
          <w:rFonts w:hint="eastAsia" w:ascii="仿宋" w:hAnsi="仿宋" w:eastAsia="仿宋" w:cs="仿宋"/>
          <w:color w:val="auto"/>
          <w:sz w:val="32"/>
        </w:rPr>
        <w:t>卫生</w:t>
      </w:r>
      <w:r>
        <w:rPr>
          <w:rFonts w:hint="eastAsia" w:ascii="仿宋" w:hAnsi="仿宋" w:eastAsia="仿宋" w:cs="仿宋"/>
          <w:color w:val="auto"/>
          <w:sz w:val="32"/>
          <w:lang w:eastAsia="zh-CN"/>
        </w:rPr>
        <w:t>院事业</w:t>
      </w:r>
      <w:r>
        <w:rPr>
          <w:rFonts w:hint="eastAsia" w:ascii="仿宋" w:hAnsi="仿宋" w:eastAsia="仿宋" w:cs="仿宋"/>
          <w:color w:val="auto"/>
          <w:sz w:val="32"/>
        </w:rPr>
        <w:t>编制</w:t>
      </w:r>
      <w:r>
        <w:rPr>
          <w:rFonts w:hint="eastAsia" w:ascii="仿宋" w:hAnsi="仿宋" w:eastAsia="仿宋" w:cs="仿宋"/>
          <w:color w:val="auto"/>
          <w:sz w:val="32"/>
          <w:lang w:val="en-US" w:eastAsia="zh-CN"/>
        </w:rPr>
        <w:t>33</w:t>
      </w:r>
      <w:r>
        <w:rPr>
          <w:rFonts w:hint="eastAsia" w:ascii="仿宋" w:hAnsi="仿宋" w:eastAsia="仿宋" w:cs="仿宋"/>
          <w:color w:val="auto"/>
          <w:sz w:val="32"/>
        </w:rPr>
        <w:t>名，实有</w:t>
      </w:r>
      <w:r>
        <w:rPr>
          <w:rFonts w:hint="eastAsia" w:ascii="仿宋" w:hAnsi="仿宋" w:eastAsia="仿宋" w:cs="仿宋"/>
          <w:color w:val="auto"/>
          <w:sz w:val="32"/>
          <w:lang w:eastAsia="zh-CN"/>
        </w:rPr>
        <w:t>事业编制</w:t>
      </w:r>
      <w:r>
        <w:rPr>
          <w:rFonts w:hint="eastAsia" w:ascii="仿宋" w:hAnsi="仿宋" w:eastAsia="仿宋" w:cs="仿宋"/>
          <w:color w:val="auto"/>
          <w:sz w:val="32"/>
        </w:rPr>
        <w:t>人员</w:t>
      </w:r>
      <w:r>
        <w:rPr>
          <w:rFonts w:hint="eastAsia" w:ascii="仿宋" w:hAnsi="仿宋" w:eastAsia="仿宋" w:cs="仿宋"/>
          <w:color w:val="auto"/>
          <w:sz w:val="32"/>
          <w:lang w:val="en-US" w:eastAsia="zh-CN"/>
        </w:rPr>
        <w:t>19</w:t>
      </w:r>
      <w:bookmarkStart w:id="0" w:name="_GoBack"/>
      <w:bookmarkEnd w:id="0"/>
      <w:r>
        <w:rPr>
          <w:rFonts w:hint="eastAsia" w:ascii="仿宋" w:hAnsi="仿宋" w:eastAsia="仿宋" w:cs="仿宋"/>
          <w:color w:val="auto"/>
          <w:sz w:val="32"/>
        </w:rPr>
        <w:t>人</w:t>
      </w:r>
      <w:r>
        <w:rPr>
          <w:rFonts w:hint="eastAsia" w:ascii="仿宋" w:hAnsi="仿宋" w:eastAsia="仿宋" w:cs="仿宋"/>
          <w:color w:val="auto"/>
          <w:sz w:val="32"/>
          <w:lang w:eastAsia="zh-CN"/>
        </w:rPr>
        <w:t>。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是公益性、综合性的基层医疗卫生机构。为保障本单位平稳运行，切实做好基层医疗单位的相关工作，我院高度重视医护人员医疗水平和服务质量的提升，重视院内医疗环境和设施的改善，不断提高辖区内居民的健康水平，努力满足人民群众日益增长的健康需求，保证基层医疗卫生工作的有序开展，维护医护人员的相关合法权益。</w:t>
      </w:r>
      <w:r>
        <w:rPr>
          <w:rFonts w:hint="eastAsia" w:ascii="仿宋" w:hAnsi="仿宋" w:eastAsia="仿宋" w:cs="仿宋"/>
          <w:color w:val="auto"/>
          <w:sz w:val="32"/>
          <w:lang w:val="en-US" w:eastAsia="zh-CN"/>
        </w:rPr>
        <w:t>华容县插旗镇卫生院单位内设机构包括：3个职能科室：医疗组、防保组、行政后勤组。</w:t>
      </w:r>
    </w:p>
    <w:p>
      <w:pPr>
        <w:shd w:val="solid" w:color="FFFFFF" w:fill="auto"/>
        <w:autoSpaceDN w:val="0"/>
        <w:spacing w:line="600" w:lineRule="exact"/>
        <w:ind w:firstLine="469" w:firstLineChars="146"/>
        <w:jc w:val="left"/>
        <w:rPr>
          <w:rFonts w:hint="eastAsia" w:ascii="楷体_GB2312" w:hAnsi="楷体_GB2312" w:eastAsia="楷体_GB2312" w:cs="楷体_GB2312"/>
          <w:b/>
          <w:bCs/>
          <w:sz w:val="32"/>
          <w:lang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</w:rPr>
        <w:t>（二）部门主要职能</w:t>
      </w:r>
      <w:r>
        <w:rPr>
          <w:rFonts w:hint="eastAsia" w:ascii="楷体_GB2312" w:hAnsi="楷体_GB2312" w:eastAsia="楷体_GB2312" w:cs="楷体_GB2312"/>
          <w:b/>
          <w:bCs/>
          <w:sz w:val="32"/>
          <w:lang w:eastAsia="zh-CN"/>
        </w:rPr>
        <w:t>及支出使用方向和内容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240" w:beforeAutospacing="0" w:after="240" w:afterAutospacing="0" w:line="368" w:lineRule="atLeast"/>
        <w:ind w:left="0" w:right="0" w:firstLine="420"/>
        <w:jc w:val="both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1.公共卫生服务：负责辖区城乡居民健康档案管理、健康教育、预防接种、儿童健康管理、孕产妇健康管理、老年人健康管理、高血压患者健康管理、糖尿病患者健康管理、重性精神疾病患者管理；中医药健康管理和疾病康复；疾病控制、传染病及突发公共卫生事件报告和处理等。负责辖区其他公共卫生服务项目。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240" w:beforeAutospacing="0" w:after="240" w:afterAutospacing="0" w:line="368" w:lineRule="atLeast"/>
        <w:ind w:left="0" w:right="0" w:firstLine="420"/>
        <w:jc w:val="both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2.基本医疗服务：开展一般常见病、多发病、地方病的基本医疗服务；现场救护和转诊服务；慢性病管理。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240" w:beforeAutospacing="0" w:after="240" w:afterAutospacing="0" w:line="368" w:lineRule="atLeast"/>
        <w:ind w:left="0" w:right="0" w:firstLine="420"/>
        <w:jc w:val="both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3.计划生育服务：开展避孕节育、生殖健康、优生服务和家庭保健的咨询、指导和技术服务。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240" w:beforeAutospacing="0" w:after="240" w:afterAutospacing="0" w:line="368" w:lineRule="atLeast"/>
        <w:ind w:left="0" w:right="0" w:firstLine="420"/>
        <w:jc w:val="both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4.协助乡镇政府制定和组织实施初级卫生保健、卫生事业发展规划和年度计划，开展爱国卫生工作。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240" w:beforeAutospacing="0" w:after="240" w:afterAutospacing="0" w:line="368" w:lineRule="atLeast"/>
        <w:ind w:left="0" w:right="0" w:firstLine="420"/>
        <w:jc w:val="both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5.指导辖区内诊所、村卫生室业务工作，对村医和村妇幼保健人员进行相关技能培训，做好医疗卫生信息统计报告工作，完整、及时、准确报告相关信息，逐步推进乡村卫生服务一体化管理。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240" w:beforeAutospacing="0" w:after="240" w:afterAutospacing="0" w:line="368" w:lineRule="atLeast"/>
        <w:ind w:left="0" w:right="0" w:firstLine="420"/>
        <w:jc w:val="both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6.开展城乡居民医疗保险政策法规宣传与咨询，协助做好相应的医疗服务和补偿结算等工作。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240" w:beforeAutospacing="0" w:after="240" w:afterAutospacing="0" w:line="368" w:lineRule="atLeast"/>
        <w:ind w:left="0" w:right="0" w:firstLine="420"/>
        <w:jc w:val="both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7.负责辖区公共卫生管理；协助开展辖区内卫生监督工作，承担区域内公共卫生信息收集与报告。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600" w:lineRule="atLeast"/>
        <w:ind w:firstLine="630"/>
        <w:jc w:val="both"/>
        <w:textAlignment w:val="auto"/>
        <w:rPr>
          <w:rFonts w:hint="eastAsia" w:ascii="仿宋" w:hAnsi="仿宋" w:eastAsia="仿宋" w:cs="仿宋"/>
          <w:sz w:val="32"/>
          <w:szCs w:val="24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8.</w:t>
      </w:r>
      <w:r>
        <w:rPr>
          <w:rFonts w:hint="eastAsia" w:ascii="仿宋" w:hAnsi="仿宋" w:eastAsia="仿宋" w:cs="仿宋"/>
          <w:sz w:val="32"/>
          <w:szCs w:val="24"/>
          <w:lang w:val="en-US" w:eastAsia="zh-CN"/>
        </w:rPr>
        <w:t>健全消毒、隔离制度，遵守无菌操作规程，加强医疗质量管理。做好医疗废物处理和污水、污物无害化处理。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sz w:val="32"/>
          <w:szCs w:val="24"/>
          <w:lang w:val="en-US" w:eastAsia="zh-CN"/>
        </w:rPr>
        <w:t>9.执行国家基本药物制度药品集中采购、零差率销售等政策，为实施一体化管理的村卫生室统一代购药品.</w:t>
      </w:r>
    </w:p>
    <w:p>
      <w:pPr>
        <w:pStyle w:val="17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基本支出情况</w:t>
      </w:r>
    </w:p>
    <w:p>
      <w:pPr>
        <w:spacing w:line="560" w:lineRule="exact"/>
        <w:ind w:firstLine="640" w:firstLineChars="200"/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28"/>
          <w:lang w:val="en-US" w:eastAsia="zh-CN"/>
        </w:rPr>
        <w:t>2022年华容县插旗镇卫生院基本支出合计498.27万元，主要是用于人员工资、社会保障缴费、临时工工资以及为保障医疗卫生机构正常运转、完成日常工作任务而发生的商品和服务支出。其中：</w:t>
      </w:r>
      <w:r>
        <w:rPr>
          <w:rFonts w:hint="eastAsia" w:ascii="仿宋" w:hAnsi="仿宋" w:eastAsia="仿宋" w:cs="仿宋"/>
          <w:sz w:val="32"/>
          <w:szCs w:val="28"/>
          <w:lang w:eastAsia="zh-CN"/>
        </w:rPr>
        <w:t>工资福利支出</w:t>
      </w:r>
      <w:r>
        <w:rPr>
          <w:rFonts w:hint="eastAsia" w:ascii="仿宋" w:hAnsi="仿宋" w:eastAsia="仿宋" w:cs="仿宋"/>
          <w:sz w:val="32"/>
          <w:szCs w:val="28"/>
          <w:lang w:val="en-US" w:eastAsia="zh-CN"/>
        </w:rPr>
        <w:t>194.9</w:t>
      </w:r>
      <w:r>
        <w:rPr>
          <w:rFonts w:hint="eastAsia" w:ascii="仿宋" w:hAnsi="仿宋" w:eastAsia="仿宋" w:cs="仿宋"/>
          <w:sz w:val="32"/>
          <w:szCs w:val="28"/>
        </w:rPr>
        <w:t>万元</w:t>
      </w:r>
      <w:r>
        <w:rPr>
          <w:rFonts w:hint="eastAsia" w:ascii="仿宋" w:hAnsi="仿宋" w:eastAsia="仿宋" w:cs="仿宋"/>
          <w:sz w:val="32"/>
          <w:szCs w:val="28"/>
          <w:lang w:eastAsia="zh-CN"/>
        </w:rPr>
        <w:t>，商品和服务支出</w:t>
      </w:r>
      <w:r>
        <w:rPr>
          <w:rFonts w:hint="eastAsia" w:ascii="仿宋" w:hAnsi="仿宋" w:eastAsia="仿宋" w:cs="仿宋"/>
          <w:sz w:val="32"/>
          <w:szCs w:val="28"/>
          <w:lang w:val="en-US" w:eastAsia="zh-CN"/>
        </w:rPr>
        <w:t>303.37万元。</w:t>
      </w:r>
    </w:p>
    <w:p>
      <w:pPr>
        <w:pStyle w:val="17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项目支出情况</w:t>
      </w:r>
    </w:p>
    <w:p>
      <w:pPr>
        <w:spacing w:line="560" w:lineRule="exact"/>
        <w:ind w:firstLine="643" w:firstLineChars="200"/>
        <w:rPr>
          <w:rFonts w:hint="eastAsia" w:ascii="Times New Roman" w:hAnsi="Times New Roman" w:eastAsia="仿宋_GB2312" w:cs="Times New Roman"/>
          <w:b/>
          <w:bCs/>
          <w:color w:val="auto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/>
          <w:bCs/>
          <w:color w:val="auto"/>
          <w:kern w:val="2"/>
          <w:sz w:val="32"/>
          <w:szCs w:val="32"/>
          <w:shd w:val="clear" w:color="auto" w:fill="FFFFFF"/>
          <w:lang w:val="en-US" w:eastAsia="zh-CN" w:bidi="ar-SA"/>
        </w:rPr>
        <w:t>1、项目资金安排落实、总投入等情况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color w:val="auto"/>
          <w:sz w:val="32"/>
          <w:szCs w:val="28"/>
          <w:lang w:val="en-US" w:eastAsia="zh-CN"/>
        </w:rPr>
      </w:pPr>
      <w:r>
        <w:rPr>
          <w:rFonts w:hint="eastAsia" w:ascii="仿宋" w:hAnsi="仿宋" w:eastAsia="仿宋" w:cs="仿宋"/>
          <w:sz w:val="32"/>
          <w:szCs w:val="28"/>
          <w:lang w:val="en-US" w:eastAsia="zh-CN"/>
        </w:rPr>
        <w:t>2022年华容县插旗镇卫生院整体年初项目资金合计申报122万元，主要是用于</w:t>
      </w:r>
      <w:r>
        <w:rPr>
          <w:rFonts w:hint="eastAsia" w:ascii="仿宋" w:hAnsi="仿宋" w:eastAsia="仿宋" w:cs="仿宋"/>
          <w:color w:val="auto"/>
          <w:sz w:val="32"/>
          <w:szCs w:val="28"/>
          <w:lang w:val="en-US" w:eastAsia="zh-CN"/>
        </w:rPr>
        <w:t>基本公共卫生服务、应急物资储备的支出。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3" w:firstLineChars="200"/>
        <w:textAlignment w:val="auto"/>
        <w:rPr>
          <w:rFonts w:hint="eastAsia" w:ascii="Times New Roman" w:hAnsi="Times New Roman" w:eastAsia="仿宋_GB2312" w:cs="Times New Roman"/>
          <w:b/>
          <w:bCs/>
          <w:color w:val="auto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eastAsia="仿宋_GB2312" w:cs="Times New Roman"/>
          <w:b/>
          <w:bCs/>
          <w:color w:val="auto"/>
          <w:kern w:val="2"/>
          <w:sz w:val="32"/>
          <w:szCs w:val="32"/>
          <w:shd w:val="clear" w:color="auto" w:fill="FFFFFF"/>
          <w:lang w:val="en-US" w:eastAsia="zh-CN" w:bidi="ar-SA"/>
        </w:rPr>
        <w:t>2</w:t>
      </w:r>
      <w:r>
        <w:rPr>
          <w:rFonts w:hint="eastAsia" w:ascii="Times New Roman" w:hAnsi="Times New Roman" w:eastAsia="仿宋_GB2312" w:cs="Times New Roman"/>
          <w:b/>
          <w:bCs/>
          <w:color w:val="auto"/>
          <w:kern w:val="2"/>
          <w:sz w:val="32"/>
          <w:szCs w:val="32"/>
          <w:shd w:val="clear" w:color="auto" w:fill="FFFFFF"/>
          <w:lang w:val="en-US" w:eastAsia="zh-CN" w:bidi="ar-SA"/>
        </w:rPr>
        <w:t>、专项资金管理情况分析</w:t>
      </w:r>
    </w:p>
    <w:p>
      <w:pPr>
        <w:pStyle w:val="1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61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kern w:val="2"/>
          <w:sz w:val="32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32"/>
          <w:szCs w:val="32"/>
          <w:shd w:val="clear" w:color="auto" w:fill="FFFFFF"/>
          <w:lang w:val="en-US" w:eastAsia="zh-CN" w:bidi="ar-SA"/>
        </w:rPr>
        <w:t>严格按项目资金进行管理，执行相关财务支出管理制度，资金管理制度。加强项目资金专款专用管理，设立专账核算，加强项目资金日常使用监督</w:t>
      </w:r>
      <w:r>
        <w:rPr>
          <w:rFonts w:hint="eastAsia" w:ascii="仿宋" w:hAnsi="仿宋" w:eastAsia="仿宋" w:cs="仿宋"/>
          <w:kern w:val="2"/>
          <w:sz w:val="32"/>
          <w:szCs w:val="28"/>
          <w:lang w:val="en-US" w:eastAsia="zh-CN" w:bidi="ar-SA"/>
        </w:rPr>
        <w:t>。</w:t>
      </w:r>
    </w:p>
    <w:p>
      <w:pPr>
        <w:pStyle w:val="1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610" w:lineRule="exact"/>
        <w:ind w:firstLine="640" w:firstLineChars="200"/>
        <w:jc w:val="left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eastAsia="zh-CN"/>
        </w:rPr>
        <w:t>四</w:t>
      </w:r>
      <w:r>
        <w:rPr>
          <w:rFonts w:hint="default" w:ascii="Times New Roman" w:hAnsi="Times New Roman" w:eastAsia="黑体" w:cs="Times New Roman"/>
          <w:sz w:val="32"/>
          <w:szCs w:val="32"/>
        </w:rPr>
        <w:t>、部门整体支出绩效情况</w:t>
      </w:r>
    </w:p>
    <w:p>
      <w:pPr>
        <w:adjustRightInd w:val="0"/>
        <w:snapToGrid w:val="0"/>
        <w:spacing w:line="600" w:lineRule="exact"/>
        <w:ind w:left="17" w:leftChars="8" w:firstLine="716" w:firstLineChars="223"/>
        <w:jc w:val="left"/>
        <w:rPr>
          <w:rFonts w:hint="eastAsia" w:ascii="仿宋_GB2312" w:hAnsi="仿宋_GB2312" w:eastAsia="仿宋_GB2312" w:cs="仿宋_GB2312"/>
          <w:b/>
          <w:bCs/>
          <w:sz w:val="30"/>
          <w:szCs w:val="30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28"/>
        </w:rPr>
        <w:t>1.部门整体收支情况：</w:t>
      </w:r>
    </w:p>
    <w:p>
      <w:pPr>
        <w:adjustRightInd w:val="0"/>
        <w:snapToGrid w:val="0"/>
        <w:spacing w:line="600" w:lineRule="atLeast"/>
        <w:ind w:firstLine="640" w:firstLineChars="200"/>
        <w:rPr>
          <w:rFonts w:hint="eastAsia" w:ascii="仿宋" w:hAnsi="仿宋" w:eastAsia="仿宋" w:cs="仿宋"/>
          <w:sz w:val="32"/>
          <w:szCs w:val="28"/>
        </w:rPr>
      </w:pPr>
      <w:r>
        <w:rPr>
          <w:rFonts w:hint="eastAsia" w:ascii="仿宋" w:hAnsi="仿宋" w:eastAsia="仿宋" w:cs="仿宋"/>
          <w:sz w:val="32"/>
          <w:szCs w:val="28"/>
        </w:rPr>
        <w:t>（1）收入情况：</w:t>
      </w:r>
      <w:r>
        <w:rPr>
          <w:rFonts w:hint="eastAsia" w:ascii="仿宋" w:hAnsi="仿宋" w:eastAsia="仿宋" w:cs="仿宋"/>
          <w:sz w:val="32"/>
          <w:szCs w:val="28"/>
          <w:lang w:eastAsia="zh-CN"/>
        </w:rPr>
        <w:t>医院</w:t>
      </w:r>
      <w:r>
        <w:rPr>
          <w:rFonts w:hint="eastAsia" w:ascii="仿宋" w:hAnsi="仿宋" w:eastAsia="仿宋" w:cs="仿宋"/>
          <w:sz w:val="32"/>
          <w:szCs w:val="28"/>
        </w:rPr>
        <w:t>全年</w:t>
      </w:r>
      <w:r>
        <w:rPr>
          <w:rFonts w:hint="eastAsia" w:ascii="仿宋" w:hAnsi="仿宋" w:eastAsia="仿宋" w:cs="仿宋"/>
          <w:sz w:val="32"/>
          <w:szCs w:val="28"/>
          <w:lang w:eastAsia="zh-CN"/>
        </w:rPr>
        <w:t>收入合计</w:t>
      </w:r>
      <w:r>
        <w:rPr>
          <w:rFonts w:hint="eastAsia" w:ascii="仿宋" w:hAnsi="仿宋" w:eastAsia="仿宋" w:cs="仿宋"/>
          <w:color w:val="auto"/>
          <w:sz w:val="32"/>
          <w:szCs w:val="28"/>
          <w:lang w:val="en-US" w:eastAsia="zh-CN"/>
        </w:rPr>
        <w:t>620.27万</w:t>
      </w:r>
      <w:r>
        <w:rPr>
          <w:rFonts w:hint="eastAsia" w:ascii="仿宋" w:hAnsi="仿宋" w:eastAsia="仿宋" w:cs="仿宋"/>
          <w:sz w:val="32"/>
          <w:szCs w:val="28"/>
          <w:lang w:val="en-US" w:eastAsia="zh-CN"/>
        </w:rPr>
        <w:t>元，其中：一般公共预算</w:t>
      </w:r>
      <w:r>
        <w:rPr>
          <w:rFonts w:hint="eastAsia" w:ascii="仿宋" w:hAnsi="仿宋" w:eastAsia="仿宋" w:cs="仿宋"/>
          <w:sz w:val="32"/>
          <w:szCs w:val="28"/>
        </w:rPr>
        <w:t>财政拨款收入</w:t>
      </w:r>
      <w:r>
        <w:rPr>
          <w:rFonts w:hint="eastAsia" w:ascii="仿宋" w:hAnsi="仿宋" w:eastAsia="仿宋" w:cs="仿宋"/>
          <w:sz w:val="32"/>
          <w:szCs w:val="28"/>
          <w:lang w:val="en-US" w:eastAsia="zh-CN"/>
        </w:rPr>
        <w:t>356.05</w:t>
      </w:r>
      <w:r>
        <w:rPr>
          <w:rFonts w:hint="eastAsia" w:ascii="仿宋" w:hAnsi="仿宋" w:eastAsia="仿宋" w:cs="仿宋"/>
          <w:sz w:val="32"/>
          <w:szCs w:val="28"/>
        </w:rPr>
        <w:t>万元</w:t>
      </w:r>
      <w:r>
        <w:rPr>
          <w:rFonts w:hint="eastAsia" w:ascii="仿宋" w:hAnsi="仿宋" w:eastAsia="仿宋" w:cs="仿宋"/>
          <w:sz w:val="32"/>
          <w:szCs w:val="28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28"/>
          <w:lang w:val="en-US" w:eastAsia="zh-CN"/>
        </w:rPr>
        <w:t>事业收入235.82万元，其他收入28.4万元</w:t>
      </w:r>
      <w:r>
        <w:rPr>
          <w:rFonts w:hint="eastAsia" w:ascii="仿宋" w:hAnsi="仿宋" w:eastAsia="仿宋" w:cs="仿宋"/>
          <w:sz w:val="32"/>
          <w:szCs w:val="28"/>
        </w:rPr>
        <w:t>。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28"/>
          <w:lang w:val="en-US" w:eastAsia="zh-CN"/>
        </w:rPr>
      </w:pPr>
      <w:r>
        <w:rPr>
          <w:rFonts w:hint="eastAsia" w:ascii="仿宋" w:hAnsi="仿宋" w:eastAsia="仿宋" w:cs="仿宋"/>
          <w:sz w:val="32"/>
          <w:szCs w:val="28"/>
        </w:rPr>
        <w:t>（2）支出情况</w:t>
      </w:r>
      <w:r>
        <w:rPr>
          <w:rFonts w:hint="eastAsia" w:ascii="仿宋" w:hAnsi="仿宋" w:eastAsia="仿宋" w:cs="仿宋"/>
          <w:sz w:val="32"/>
          <w:szCs w:val="28"/>
          <w:lang w:eastAsia="zh-CN"/>
        </w:rPr>
        <w:t>：医院</w:t>
      </w:r>
      <w:r>
        <w:rPr>
          <w:rFonts w:hint="eastAsia" w:ascii="仿宋" w:hAnsi="仿宋" w:eastAsia="仿宋" w:cs="仿宋"/>
          <w:sz w:val="32"/>
          <w:szCs w:val="28"/>
        </w:rPr>
        <w:t>全年</w:t>
      </w:r>
      <w:r>
        <w:rPr>
          <w:rFonts w:hint="eastAsia" w:ascii="仿宋" w:hAnsi="仿宋" w:eastAsia="仿宋" w:cs="仿宋"/>
          <w:sz w:val="32"/>
          <w:szCs w:val="28"/>
          <w:lang w:eastAsia="zh-CN"/>
        </w:rPr>
        <w:t>支出合计</w:t>
      </w:r>
      <w:r>
        <w:rPr>
          <w:rFonts w:hint="eastAsia" w:ascii="仿宋" w:hAnsi="仿宋" w:eastAsia="仿宋" w:cs="仿宋"/>
          <w:sz w:val="32"/>
          <w:szCs w:val="28"/>
          <w:lang w:val="en-US" w:eastAsia="zh-CN"/>
        </w:rPr>
        <w:t>620.27万元，其中：</w:t>
      </w:r>
      <w:r>
        <w:rPr>
          <w:rFonts w:hint="eastAsia" w:ascii="仿宋" w:hAnsi="仿宋" w:eastAsia="仿宋" w:cs="仿宋"/>
          <w:sz w:val="32"/>
          <w:szCs w:val="28"/>
        </w:rPr>
        <w:t>基本支出</w:t>
      </w:r>
      <w:r>
        <w:rPr>
          <w:rFonts w:hint="eastAsia" w:ascii="仿宋" w:hAnsi="仿宋" w:eastAsia="仿宋" w:cs="仿宋"/>
          <w:sz w:val="32"/>
          <w:szCs w:val="28"/>
          <w:lang w:val="en-US" w:eastAsia="zh-CN"/>
        </w:rPr>
        <w:t>498.27</w:t>
      </w:r>
      <w:r>
        <w:rPr>
          <w:rFonts w:hint="eastAsia" w:ascii="仿宋" w:hAnsi="仿宋" w:eastAsia="仿宋" w:cs="仿宋"/>
          <w:sz w:val="32"/>
          <w:szCs w:val="28"/>
        </w:rPr>
        <w:t>万元（</w:t>
      </w:r>
      <w:r>
        <w:rPr>
          <w:rFonts w:hint="eastAsia" w:ascii="仿宋" w:hAnsi="仿宋" w:eastAsia="仿宋" w:cs="仿宋"/>
          <w:sz w:val="32"/>
          <w:szCs w:val="28"/>
          <w:lang w:eastAsia="zh-CN"/>
        </w:rPr>
        <w:t>工资福利支出</w:t>
      </w:r>
      <w:r>
        <w:rPr>
          <w:rFonts w:hint="eastAsia" w:ascii="仿宋" w:hAnsi="仿宋" w:eastAsia="仿宋" w:cs="仿宋"/>
          <w:sz w:val="32"/>
          <w:szCs w:val="28"/>
          <w:lang w:val="en-US" w:eastAsia="zh-CN"/>
        </w:rPr>
        <w:t>194.9</w:t>
      </w:r>
      <w:r>
        <w:rPr>
          <w:rFonts w:hint="eastAsia" w:ascii="仿宋" w:hAnsi="仿宋" w:eastAsia="仿宋" w:cs="仿宋"/>
          <w:sz w:val="32"/>
          <w:szCs w:val="28"/>
        </w:rPr>
        <w:t>万元</w:t>
      </w:r>
      <w:r>
        <w:rPr>
          <w:rFonts w:hint="eastAsia" w:ascii="仿宋" w:hAnsi="仿宋" w:eastAsia="仿宋" w:cs="仿宋"/>
          <w:sz w:val="32"/>
          <w:szCs w:val="28"/>
          <w:lang w:eastAsia="zh-CN"/>
        </w:rPr>
        <w:t>，商品和服务支出</w:t>
      </w:r>
      <w:r>
        <w:rPr>
          <w:rFonts w:hint="eastAsia" w:ascii="仿宋" w:hAnsi="仿宋" w:eastAsia="仿宋" w:cs="仿宋"/>
          <w:sz w:val="32"/>
          <w:szCs w:val="28"/>
          <w:lang w:val="en-US" w:eastAsia="zh-CN"/>
        </w:rPr>
        <w:t>303.37万元。）</w:t>
      </w:r>
    </w:p>
    <w:p>
      <w:pPr>
        <w:adjustRightInd w:val="0"/>
        <w:snapToGrid w:val="0"/>
        <w:spacing w:line="600" w:lineRule="atLeast"/>
        <w:ind w:firstLine="640" w:firstLineChars="200"/>
        <w:rPr>
          <w:rFonts w:hint="eastAsia" w:ascii="仿宋" w:hAnsi="仿宋" w:eastAsia="仿宋" w:cs="仿宋"/>
          <w:sz w:val="32"/>
          <w:szCs w:val="28"/>
        </w:rPr>
      </w:pPr>
      <w:r>
        <w:rPr>
          <w:rFonts w:hint="eastAsia" w:ascii="仿宋" w:hAnsi="仿宋" w:eastAsia="仿宋" w:cs="仿宋"/>
          <w:sz w:val="32"/>
          <w:szCs w:val="28"/>
        </w:rPr>
        <w:t>项目支出</w:t>
      </w:r>
      <w:r>
        <w:rPr>
          <w:rFonts w:hint="eastAsia" w:ascii="仿宋" w:hAnsi="仿宋" w:eastAsia="仿宋" w:cs="仿宋"/>
          <w:sz w:val="32"/>
          <w:szCs w:val="28"/>
          <w:lang w:val="en-US" w:eastAsia="zh-CN"/>
        </w:rPr>
        <w:t>122万元，主要是</w:t>
      </w:r>
      <w:r>
        <w:rPr>
          <w:rFonts w:hint="eastAsia" w:ascii="仿宋" w:hAnsi="仿宋" w:eastAsia="仿宋" w:cs="仿宋"/>
          <w:sz w:val="32"/>
          <w:szCs w:val="28"/>
          <w:lang w:eastAsia="zh-CN"/>
        </w:rPr>
        <w:t>商品和服务支出</w:t>
      </w:r>
      <w:r>
        <w:rPr>
          <w:rFonts w:hint="eastAsia" w:ascii="仿宋" w:hAnsi="仿宋" w:eastAsia="仿宋" w:cs="仿宋"/>
          <w:sz w:val="32"/>
          <w:szCs w:val="28"/>
          <w:lang w:val="en-US" w:eastAsia="zh-CN"/>
        </w:rPr>
        <w:t>122</w:t>
      </w:r>
      <w:r>
        <w:rPr>
          <w:rFonts w:hint="eastAsia" w:ascii="仿宋" w:hAnsi="仿宋" w:eastAsia="仿宋" w:cs="仿宋"/>
          <w:sz w:val="32"/>
          <w:szCs w:val="28"/>
        </w:rPr>
        <w:t>万元。</w:t>
      </w:r>
    </w:p>
    <w:p>
      <w:pPr>
        <w:adjustRightInd w:val="0"/>
        <w:snapToGrid w:val="0"/>
        <w:spacing w:line="600" w:lineRule="exact"/>
        <w:ind w:firstLine="739" w:firstLineChars="230"/>
        <w:jc w:val="left"/>
        <w:rPr>
          <w:rFonts w:hint="eastAsia" w:ascii="仿宋" w:hAnsi="仿宋" w:eastAsia="仿宋" w:cs="仿宋"/>
          <w:color w:val="000000"/>
          <w:sz w:val="32"/>
          <w:szCs w:val="28"/>
        </w:rPr>
      </w:pPr>
      <w:r>
        <w:rPr>
          <w:rFonts w:hint="eastAsia" w:ascii="仿宋_GB2312" w:hAnsi="宋体" w:eastAsia="仿宋_GB2312" w:cs="宋体"/>
          <w:b/>
          <w:bCs/>
          <w:sz w:val="32"/>
          <w:szCs w:val="28"/>
        </w:rPr>
        <w:t>2</w:t>
      </w:r>
      <w:r>
        <w:rPr>
          <w:rFonts w:hint="eastAsia" w:ascii="仿宋_GB2312" w:hAnsi="宋体" w:eastAsia="仿宋_GB2312" w:cs="宋体"/>
          <w:sz w:val="32"/>
          <w:szCs w:val="28"/>
        </w:rPr>
        <w:t>.</w:t>
      </w:r>
      <w:r>
        <w:rPr>
          <w:rFonts w:hint="eastAsia" w:ascii="仿宋_GB2312" w:hAnsi="宋体" w:eastAsia="仿宋_GB2312" w:cs="宋体"/>
          <w:b/>
          <w:bCs/>
          <w:sz w:val="32"/>
          <w:szCs w:val="28"/>
        </w:rPr>
        <w:t>三公经费支出情况：</w:t>
      </w:r>
      <w:r>
        <w:rPr>
          <w:rFonts w:hint="eastAsia" w:ascii="仿宋" w:hAnsi="仿宋" w:eastAsia="仿宋" w:cs="仿宋"/>
          <w:sz w:val="32"/>
          <w:szCs w:val="28"/>
          <w:lang w:eastAsia="zh-CN"/>
        </w:rPr>
        <w:t>20</w:t>
      </w:r>
      <w:r>
        <w:rPr>
          <w:rFonts w:hint="eastAsia" w:ascii="仿宋" w:hAnsi="仿宋" w:eastAsia="仿宋" w:cs="仿宋"/>
          <w:sz w:val="32"/>
          <w:szCs w:val="28"/>
          <w:lang w:val="en-US" w:eastAsia="zh-CN"/>
        </w:rPr>
        <w:t>22</w:t>
      </w:r>
      <w:r>
        <w:rPr>
          <w:rFonts w:hint="eastAsia" w:ascii="仿宋" w:hAnsi="仿宋" w:eastAsia="仿宋" w:cs="仿宋"/>
          <w:sz w:val="32"/>
          <w:szCs w:val="28"/>
        </w:rPr>
        <w:t>年</w:t>
      </w:r>
      <w:r>
        <w:rPr>
          <w:rFonts w:hint="eastAsia" w:ascii="仿宋" w:hAnsi="仿宋" w:eastAsia="仿宋" w:cs="仿宋"/>
          <w:sz w:val="32"/>
          <w:szCs w:val="28"/>
          <w:lang w:eastAsia="zh-CN"/>
        </w:rPr>
        <w:t>本单位</w:t>
      </w:r>
      <w:r>
        <w:rPr>
          <w:rFonts w:hint="eastAsia" w:ascii="仿宋" w:hAnsi="仿宋" w:eastAsia="仿宋" w:cs="仿宋"/>
          <w:sz w:val="32"/>
          <w:szCs w:val="28"/>
        </w:rPr>
        <w:t>安排“三公”经费”</w:t>
      </w:r>
      <w:r>
        <w:rPr>
          <w:rFonts w:hint="eastAsia" w:ascii="仿宋" w:hAnsi="仿宋" w:eastAsia="仿宋" w:cs="仿宋"/>
          <w:sz w:val="32"/>
          <w:szCs w:val="28"/>
          <w:lang w:val="en-US" w:eastAsia="zh-CN"/>
        </w:rPr>
        <w:t>0</w:t>
      </w:r>
      <w:r>
        <w:rPr>
          <w:rFonts w:hint="eastAsia" w:ascii="仿宋" w:hAnsi="仿宋" w:eastAsia="仿宋" w:cs="仿宋"/>
          <w:sz w:val="32"/>
          <w:szCs w:val="28"/>
        </w:rPr>
        <w:t>万元，实际支出</w:t>
      </w:r>
      <w:r>
        <w:rPr>
          <w:rFonts w:hint="eastAsia" w:ascii="仿宋" w:hAnsi="仿宋" w:eastAsia="仿宋" w:cs="仿宋"/>
          <w:sz w:val="32"/>
          <w:szCs w:val="28"/>
          <w:lang w:val="en-US" w:eastAsia="zh-CN"/>
        </w:rPr>
        <w:t>0</w:t>
      </w:r>
      <w:r>
        <w:rPr>
          <w:rFonts w:hint="eastAsia" w:ascii="仿宋" w:hAnsi="仿宋" w:eastAsia="仿宋" w:cs="仿宋"/>
          <w:sz w:val="32"/>
          <w:szCs w:val="28"/>
        </w:rPr>
        <w:t>万元。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atLeast"/>
        <w:ind w:firstLine="643" w:firstLineChars="200"/>
        <w:jc w:val="both"/>
        <w:textAlignment w:val="auto"/>
        <w:rPr>
          <w:rFonts w:hint="eastAsia" w:ascii="仿宋" w:hAnsi="仿宋" w:eastAsia="仿宋" w:cs="仿宋"/>
          <w:sz w:val="32"/>
          <w:szCs w:val="28"/>
          <w:lang w:val="en-US" w:eastAsia="zh-CN"/>
        </w:rPr>
      </w:pPr>
      <w:r>
        <w:rPr>
          <w:rFonts w:hint="eastAsia" w:ascii="仿宋_GB2312" w:hAnsi="宋体" w:eastAsia="仿宋_GB2312" w:cs="宋体"/>
          <w:b/>
          <w:bCs/>
          <w:sz w:val="32"/>
          <w:szCs w:val="28"/>
        </w:rPr>
        <w:t>3.</w:t>
      </w:r>
      <w:r>
        <w:rPr>
          <w:rFonts w:hint="eastAsia" w:ascii="仿宋_GB2312" w:hAnsi="宋体" w:eastAsia="仿宋_GB2312" w:cs="宋体"/>
          <w:b/>
          <w:bCs/>
          <w:sz w:val="32"/>
          <w:szCs w:val="28"/>
          <w:lang w:val="en-US" w:eastAsia="zh-CN"/>
        </w:rPr>
        <w:t>政府性基金预算</w:t>
      </w:r>
      <w:r>
        <w:rPr>
          <w:rFonts w:hint="eastAsia" w:ascii="仿宋_GB2312" w:hAnsi="宋体" w:eastAsia="仿宋_GB2312" w:cs="宋体"/>
          <w:b/>
          <w:bCs/>
          <w:sz w:val="32"/>
          <w:szCs w:val="28"/>
        </w:rPr>
        <w:t>财政拨款</w:t>
      </w:r>
      <w:r>
        <w:rPr>
          <w:rFonts w:hint="eastAsia" w:ascii="仿宋_GB2312" w:hAnsi="宋体" w:eastAsia="仿宋_GB2312" w:cs="宋体"/>
          <w:b/>
          <w:bCs/>
          <w:sz w:val="32"/>
          <w:szCs w:val="28"/>
          <w:lang w:eastAsia="zh-CN"/>
        </w:rPr>
        <w:t>项目支出</w:t>
      </w:r>
      <w:r>
        <w:rPr>
          <w:rFonts w:hint="eastAsia" w:ascii="仿宋_GB2312" w:hAnsi="宋体" w:eastAsia="仿宋_GB2312" w:cs="宋体"/>
          <w:b/>
          <w:bCs/>
          <w:sz w:val="32"/>
          <w:szCs w:val="28"/>
        </w:rPr>
        <w:t>情况：</w:t>
      </w:r>
      <w:r>
        <w:rPr>
          <w:rFonts w:hint="eastAsia" w:ascii="仿宋" w:hAnsi="仿宋" w:eastAsia="仿宋" w:cs="仿宋"/>
          <w:b/>
          <w:bCs/>
          <w:sz w:val="32"/>
          <w:szCs w:val="28"/>
          <w:lang w:eastAsia="zh-CN"/>
        </w:rPr>
        <w:t>2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0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22</w:t>
      </w:r>
      <w:r>
        <w:rPr>
          <w:rFonts w:hint="eastAsia" w:ascii="仿宋" w:hAnsi="仿宋" w:eastAsia="仿宋" w:cs="仿宋"/>
          <w:sz w:val="32"/>
          <w:szCs w:val="32"/>
        </w:rPr>
        <w:t>年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本单位没有</w:t>
      </w:r>
      <w:r>
        <w:rPr>
          <w:rFonts w:hint="eastAsia" w:ascii="仿宋" w:hAnsi="仿宋" w:eastAsia="仿宋" w:cs="仿宋"/>
          <w:sz w:val="32"/>
          <w:szCs w:val="28"/>
          <w:lang w:val="en-US" w:eastAsia="zh-CN"/>
        </w:rPr>
        <w:t>政府性基金预算</w:t>
      </w:r>
      <w:r>
        <w:rPr>
          <w:rFonts w:hint="eastAsia" w:ascii="仿宋" w:hAnsi="仿宋" w:eastAsia="仿宋" w:cs="仿宋"/>
          <w:sz w:val="32"/>
          <w:szCs w:val="28"/>
        </w:rPr>
        <w:t>财政拨款</w:t>
      </w:r>
      <w:r>
        <w:rPr>
          <w:rFonts w:hint="eastAsia" w:ascii="仿宋" w:hAnsi="仿宋" w:eastAsia="仿宋" w:cs="仿宋"/>
          <w:sz w:val="32"/>
          <w:szCs w:val="28"/>
          <w:lang w:eastAsia="zh-CN"/>
        </w:rPr>
        <w:t>项目收入和支出</w:t>
      </w:r>
      <w:r>
        <w:rPr>
          <w:rFonts w:hint="eastAsia" w:ascii="仿宋" w:hAnsi="仿宋" w:eastAsia="仿宋" w:cs="仿宋"/>
          <w:sz w:val="32"/>
          <w:szCs w:val="28"/>
          <w:lang w:val="en-US" w:eastAsia="zh-CN"/>
        </w:rPr>
        <w:t>。</w:t>
      </w:r>
    </w:p>
    <w:p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3" w:firstLineChars="200"/>
        <w:jc w:val="both"/>
        <w:textAlignment w:val="auto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 xml:space="preserve">  4</w:t>
      </w:r>
      <w:r>
        <w:rPr>
          <w:rFonts w:hint="eastAsia" w:ascii="仿宋_GB2312" w:hAnsi="宋体" w:eastAsia="仿宋_GB2312" w:cs="宋体"/>
          <w:b/>
          <w:bCs/>
          <w:sz w:val="32"/>
          <w:szCs w:val="28"/>
        </w:rPr>
        <w:t>.</w:t>
      </w:r>
      <w:r>
        <w:rPr>
          <w:rFonts w:hint="eastAsia" w:ascii="仿宋_GB2312" w:hAnsi="宋体" w:eastAsia="仿宋_GB2312" w:cs="宋体"/>
          <w:b/>
          <w:bCs/>
          <w:sz w:val="32"/>
          <w:szCs w:val="28"/>
          <w:lang w:eastAsia="zh-CN"/>
        </w:rPr>
        <w:t>部门整体</w:t>
      </w:r>
      <w:r>
        <w:rPr>
          <w:rFonts w:hint="eastAsia" w:ascii="仿宋_GB2312" w:hAnsi="宋体" w:eastAsia="仿宋_GB2312" w:cs="宋体"/>
          <w:b/>
          <w:bCs/>
          <w:sz w:val="32"/>
          <w:szCs w:val="28"/>
          <w:lang w:val="en-US" w:eastAsia="zh-CN"/>
        </w:rPr>
        <w:t>绩效目标完成情况：</w:t>
      </w:r>
    </w:p>
    <w:p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2"/>
          <w:szCs w:val="32"/>
        </w:rPr>
        <w:t>2022年规范化居民电子健康档案已完成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23394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份，建档率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达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98 %；共完成接种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2123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针次，其中卡介苗、乙肝疫苗、脊灰疫苗、麻疹疫苗、百白破、流脑、乙脑、甲肝等免疫规划疫苗接种率均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达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99 %以上；0-6岁儿童健康管理人数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842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人，新生儿家庭访视率100%，儿童健康管理率100%；共管理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56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 xml:space="preserve"> 例孕产妇，早孕建册率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100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%</w:t>
      </w: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产后访视率100%；老年人健康管理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3086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人，健康管理率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91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 xml:space="preserve"> %</w:t>
      </w: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；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糖尿病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697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 xml:space="preserve">人，规范管理 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506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人，规范管理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率72.6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 xml:space="preserve"> %；高血压管理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2120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人,规范管理14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89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人,规范管理率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70.24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 xml:space="preserve">%；严重精神障碍患者健康管理 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101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人，规范管理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101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人，规范管理率100%；肺结核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13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人，已管理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13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人，管理率100%，规范服药5人，规范服药率100%；接受中医药健康管理服务老年人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2230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人，老年人中医药健康管理率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72.26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 xml:space="preserve"> %，0-3岁儿童接受中医药健康管理服务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213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人，儿童中医药健康管理服务率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81.92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%；卫生院均实行了传染病和突发公共卫生事件预警应急机制，传染病疫情报告率100%，及时报告率100%；卫生计生监督协管信息报告率100%。</w:t>
      </w:r>
    </w:p>
    <w:p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000000"/>
          <w:sz w:val="32"/>
          <w:szCs w:val="32"/>
        </w:rPr>
        <w:t>全</w:t>
      </w: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镇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家庭医生团队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个累计签约人数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11936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人，通过“</w:t>
      </w: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家庭医生签约（卫宁）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”实现了应签尽签，签约率100%</w:t>
      </w: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。</w:t>
      </w:r>
    </w:p>
    <w:p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ascii="Times New Roman" w:hAnsi="Times New Roman" w:eastAsia="黑体" w:cs="Times New Roman"/>
          <w:sz w:val="32"/>
          <w:szCs w:val="32"/>
          <w:lang w:eastAsia="zh-CN"/>
        </w:rPr>
        <w:t>五</w:t>
      </w:r>
      <w:r>
        <w:rPr>
          <w:rFonts w:hint="default" w:ascii="Times New Roman" w:hAnsi="Times New Roman" w:eastAsia="黑体" w:cs="Times New Roman"/>
          <w:sz w:val="32"/>
          <w:szCs w:val="32"/>
        </w:rPr>
        <w:t>、存在的问题及原因分析</w:t>
      </w:r>
    </w:p>
    <w:p>
      <w:pPr>
        <w:tabs>
          <w:tab w:val="center" w:pos="4153"/>
        </w:tabs>
        <w:spacing w:line="600" w:lineRule="exact"/>
        <w:ind w:firstLine="640" w:firstLineChars="200"/>
        <w:jc w:val="left"/>
        <w:rPr>
          <w:rFonts w:hint="eastAsia" w:ascii="仿宋" w:hAnsi="仿宋" w:eastAsia="仿宋" w:cs="仿宋"/>
          <w:bCs/>
          <w:sz w:val="32"/>
          <w:szCs w:val="32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存在问题：一是基本公共卫生工作落实不够彻底，宣传力度不够，乡村医生对重点工作重点知识掌握不足；二是家庭医生签约服务力度仍需加大，重点人群服务力度不强；三是中医药服务水平不高；</w:t>
      </w:r>
      <w:r>
        <w:rPr>
          <w:rFonts w:hint="eastAsia" w:ascii="仿宋" w:hAnsi="仿宋" w:eastAsia="仿宋" w:cs="仿宋"/>
          <w:bCs/>
          <w:sz w:val="32"/>
          <w:szCs w:val="32"/>
          <w:lang w:val="en-US" w:eastAsia="zh-CN"/>
        </w:rPr>
        <w:t>四是</w:t>
      </w:r>
      <w:r>
        <w:rPr>
          <w:rFonts w:hint="eastAsia" w:ascii="仿宋" w:hAnsi="仿宋" w:eastAsia="仿宋" w:cs="仿宋"/>
          <w:bCs/>
          <w:sz w:val="32"/>
          <w:szCs w:val="32"/>
        </w:rPr>
        <w:t>预算编制有待更严格执行。预算编制与实际支出项目有的存在差异。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有些工作未能找到适当的量化方式，对绩效管理量化评价方面略显不足。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eastAsia="zh-CN"/>
        </w:rPr>
        <w:t>六</w:t>
      </w:r>
      <w:r>
        <w:rPr>
          <w:rFonts w:hint="default" w:ascii="Times New Roman" w:hAnsi="Times New Roman" w:eastAsia="黑体" w:cs="Times New Roman"/>
          <w:sz w:val="32"/>
          <w:szCs w:val="32"/>
        </w:rPr>
        <w:t>、下一步改进措施</w:t>
      </w: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Autospacing="0" w:line="600" w:lineRule="atLeast"/>
        <w:ind w:firstLine="643" w:firstLineChars="200"/>
        <w:textAlignment w:val="auto"/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32"/>
          <w:szCs w:val="32"/>
          <w:lang w:val="en-US" w:eastAsia="zh-CN" w:bidi="ar-SA"/>
        </w:rPr>
        <w:t>1.强化宣传</w:t>
      </w:r>
      <w:r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-SA"/>
        </w:rPr>
        <w:t>。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一是加强乡村医生培训，加大对基本公共卫生服务工作宣传力度，增加巡讲次数；二是提高家庭医生签约团队对签约对象的服务，加强对重点人群服务；三是提高乡村两级中医药医疗服务能力，加强重点岗位重点培训。</w:t>
      </w:r>
    </w:p>
    <w:p>
      <w:pPr>
        <w:tabs>
          <w:tab w:val="center" w:pos="4153"/>
        </w:tabs>
        <w:spacing w:line="540" w:lineRule="exact"/>
        <w:ind w:firstLine="630"/>
        <w:jc w:val="left"/>
        <w:rPr>
          <w:rFonts w:hint="eastAsia"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bCs w:val="0"/>
          <w:sz w:val="32"/>
          <w:szCs w:val="32"/>
          <w:lang w:val="en-US" w:eastAsia="zh-CN"/>
        </w:rPr>
        <w:t>2.严格审核。</w:t>
      </w:r>
      <w:r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-SA"/>
        </w:rPr>
        <w:t>按照预算规定的项目和用途严格财务审核，经费支出严格按预算规定项目的财务支出内容进行财务核算，在预算金额内严格控制费用的支出。</w:t>
      </w:r>
    </w:p>
    <w:p>
      <w:pPr>
        <w:tabs>
          <w:tab w:val="center" w:pos="4153"/>
        </w:tabs>
        <w:spacing w:line="540" w:lineRule="exact"/>
        <w:ind w:firstLine="645"/>
        <w:jc w:val="left"/>
        <w:rPr>
          <w:rFonts w:hint="eastAsia" w:ascii="仿宋" w:hAnsi="仿宋" w:eastAsia="仿宋" w:cs="仿宋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b/>
          <w:bCs w:val="0"/>
          <w:sz w:val="32"/>
          <w:szCs w:val="32"/>
          <w:lang w:val="en-US" w:eastAsia="zh-CN"/>
        </w:rPr>
        <w:t>3.分析常态化。</w:t>
      </w:r>
      <w:r>
        <w:rPr>
          <w:rFonts w:hint="eastAsia" w:ascii="仿宋" w:hAnsi="仿宋" w:eastAsia="仿宋" w:cs="仿宋"/>
          <w:sz w:val="32"/>
          <w:szCs w:val="32"/>
          <w:shd w:val="clear" w:color="auto" w:fill="FFFFFF"/>
          <w:lang w:eastAsia="zh-CN"/>
        </w:rPr>
        <w:t>将</w:t>
      </w:r>
      <w:r>
        <w:rPr>
          <w:rFonts w:hint="eastAsia" w:ascii="仿宋" w:hAnsi="仿宋" w:eastAsia="仿宋" w:cs="仿宋"/>
          <w:sz w:val="32"/>
          <w:szCs w:val="32"/>
          <w:shd w:val="clear" w:color="auto" w:fill="FFFFFF"/>
        </w:rPr>
        <w:t>预算财务分析常态化，定期做好预算支出财务分析，做好</w:t>
      </w:r>
      <w:r>
        <w:rPr>
          <w:rFonts w:hint="eastAsia" w:ascii="仿宋" w:hAnsi="仿宋" w:eastAsia="仿宋" w:cs="仿宋"/>
          <w:sz w:val="32"/>
          <w:szCs w:val="32"/>
          <w:shd w:val="clear" w:color="auto" w:fill="FFFFFF"/>
          <w:lang w:eastAsia="zh-CN"/>
        </w:rPr>
        <w:t>医院</w:t>
      </w:r>
      <w:r>
        <w:rPr>
          <w:rFonts w:hint="eastAsia" w:ascii="仿宋" w:hAnsi="仿宋" w:eastAsia="仿宋" w:cs="仿宋"/>
          <w:sz w:val="32"/>
          <w:szCs w:val="32"/>
          <w:shd w:val="clear" w:color="auto" w:fill="FFFFFF"/>
        </w:rPr>
        <w:t>整体支出预算评价工作。</w:t>
      </w:r>
    </w:p>
    <w:p>
      <w:pPr>
        <w:tabs>
          <w:tab w:val="center" w:pos="4153"/>
        </w:tabs>
        <w:spacing w:line="540" w:lineRule="exact"/>
        <w:ind w:firstLine="645"/>
        <w:jc w:val="left"/>
        <w:rPr>
          <w:rFonts w:hint="eastAsia" w:ascii="仿宋" w:hAnsi="仿宋" w:eastAsia="仿宋" w:cs="仿宋"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 w:val="0"/>
          <w:sz w:val="32"/>
          <w:szCs w:val="32"/>
          <w:lang w:val="en-US" w:eastAsia="zh-CN"/>
        </w:rPr>
        <w:t>4.强化信息公开。</w:t>
      </w:r>
      <w:r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-SA"/>
        </w:rPr>
        <w:t>积极宣传和引导居民群众对医疗卫生服务的认知度和信任度，激发公众的参与度，从而积极献计献策、监督政府职能部门的各项工作。</w:t>
      </w:r>
      <w:r>
        <w:rPr>
          <w:rFonts w:hint="eastAsia" w:ascii="仿宋" w:hAnsi="仿宋" w:eastAsia="仿宋" w:cs="仿宋"/>
          <w:bCs/>
          <w:spacing w:val="-6"/>
          <w:sz w:val="32"/>
          <w:szCs w:val="32"/>
        </w:rPr>
        <w:t xml:space="preserve"> </w:t>
      </w:r>
    </w:p>
    <w:p>
      <w:pPr>
        <w:tabs>
          <w:tab w:val="center" w:pos="4153"/>
        </w:tabs>
        <w:spacing w:line="600" w:lineRule="exact"/>
        <w:ind w:firstLine="643" w:firstLineChars="200"/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 w:val="0"/>
          <w:kern w:val="0"/>
          <w:sz w:val="32"/>
          <w:szCs w:val="32"/>
          <w:lang w:val="en-US" w:eastAsia="zh-CN" w:bidi="ar"/>
        </w:rPr>
        <w:t>5.加大人才培养。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由于基层医疗卫生机构医护人员总量不足且青黄不接的问题，希望财政能加大对医疗卫生本土化人才培养的投入。</w:t>
      </w:r>
    </w:p>
    <w:p>
      <w:pPr>
        <w:tabs>
          <w:tab w:val="center" w:pos="4153"/>
        </w:tabs>
        <w:spacing w:line="540" w:lineRule="exact"/>
        <w:ind w:firstLine="643" w:firstLineChars="200"/>
        <w:rPr>
          <w:rFonts w:hint="eastAsia" w:ascii="仿宋" w:hAnsi="仿宋" w:eastAsia="仿宋" w:cs="仿宋"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 w:val="0"/>
          <w:kern w:val="0"/>
          <w:sz w:val="32"/>
          <w:szCs w:val="32"/>
          <w:lang w:val="en-US" w:eastAsia="zh-CN" w:bidi="ar"/>
        </w:rPr>
        <w:t>6.增强投入。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疾病预防控制中相关经费短缺，预防性健康体检经费，疫情防控经费，建设等项目需要增强投入和建设。加强对</w:t>
      </w:r>
      <w:r>
        <w:rPr>
          <w:rFonts w:hint="eastAsia" w:ascii="仿宋" w:hAnsi="仿宋" w:eastAsia="仿宋" w:cs="仿宋"/>
          <w:sz w:val="32"/>
          <w:szCs w:val="32"/>
        </w:rPr>
        <w:t>卫生院基础设施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及</w:t>
      </w:r>
      <w:r>
        <w:rPr>
          <w:rFonts w:hint="eastAsia" w:ascii="仿宋" w:hAnsi="仿宋" w:eastAsia="仿宋" w:cs="仿宋"/>
          <w:sz w:val="32"/>
          <w:szCs w:val="32"/>
        </w:rPr>
        <w:t>能力建设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</w:rPr>
        <w:t>抓好医疗质量安全、医疗纠纷第三方调解机制、医疗机构布局、医疗废物集中处置等工作</w:t>
      </w:r>
      <w:r>
        <w:rPr>
          <w:rFonts w:hint="eastAsia" w:ascii="仿宋" w:hAnsi="仿宋" w:eastAsia="仿宋" w:cs="仿宋"/>
          <w:bCs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7.</w:t>
      </w:r>
      <w:r>
        <w:rPr>
          <w:rFonts w:hint="eastAsia" w:ascii="仿宋" w:hAnsi="仿宋" w:eastAsia="仿宋" w:cs="仿宋"/>
          <w:b/>
          <w:bCs/>
          <w:kern w:val="2"/>
          <w:sz w:val="32"/>
          <w:szCs w:val="32"/>
          <w:lang w:val="en-US" w:eastAsia="zh-CN" w:bidi="ar-SA"/>
        </w:rPr>
        <w:t>加强财务管理。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加强财务管理，严格财务审核。在费用报账支付时，按照预算规定的费用项目和用途进行资金使用审核、列报支付、财务核算，杜绝超支现象的发生。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eastAsia="zh-CN"/>
        </w:rPr>
        <w:t>七</w:t>
      </w:r>
      <w:r>
        <w:rPr>
          <w:rFonts w:hint="default" w:ascii="Times New Roman" w:hAnsi="Times New Roman" w:eastAsia="黑体" w:cs="Times New Roman"/>
          <w:sz w:val="32"/>
          <w:szCs w:val="32"/>
        </w:rPr>
        <w:t>、其他需要说明的情况</w:t>
      </w:r>
    </w:p>
    <w:p>
      <w:pPr>
        <w:pStyle w:val="2"/>
        <w:rPr>
          <w:rFonts w:hint="eastAsia" w:eastAsia="黑体"/>
          <w:lang w:val="en-US" w:eastAsia="zh-CN"/>
        </w:rPr>
      </w:pPr>
      <w:r>
        <w:rPr>
          <w:rFonts w:hint="eastAsia" w:eastAsia="仿宋_GB2312"/>
          <w:sz w:val="32"/>
          <w:szCs w:val="32"/>
          <w:lang w:val="en-US" w:eastAsia="zh-CN"/>
        </w:rPr>
        <w:t>无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outlineLvl w:val="0"/>
        <w:rPr>
          <w:rFonts w:hint="eastAsia" w:ascii="仿宋_GB2312" w:eastAsia="仿宋_GB2312"/>
          <w:sz w:val="32"/>
          <w:szCs w:val="32"/>
          <w:lang w:val="en-US" w:eastAsia="zh-CN"/>
        </w:rPr>
        <w:sectPr>
          <w:pgSz w:w="11906" w:h="16838"/>
          <w:pgMar w:top="1984" w:right="1701" w:bottom="1984" w:left="1701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sz w:val="32"/>
          <w:szCs w:val="32"/>
        </w:rPr>
        <w:t>附件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4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项目支出绩效评价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eastAsia="zh-CN"/>
        </w:rPr>
        <w:t>评分表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（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eastAsia="zh-CN"/>
        </w:rPr>
        <w:t>共性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）</w:t>
      </w:r>
    </w:p>
    <w:tbl>
      <w:tblPr>
        <w:tblStyle w:val="10"/>
        <w:tblW w:w="982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2"/>
        <w:gridCol w:w="540"/>
        <w:gridCol w:w="703"/>
        <w:gridCol w:w="540"/>
        <w:gridCol w:w="803"/>
        <w:gridCol w:w="550"/>
        <w:gridCol w:w="2407"/>
        <w:gridCol w:w="2772"/>
        <w:gridCol w:w="80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  <w:tblHeader/>
          <w:jc w:val="center"/>
        </w:trPr>
        <w:tc>
          <w:tcPr>
            <w:tcW w:w="702" w:type="dxa"/>
            <w:tcBorders>
              <w:top w:val="single" w:color="FEFEFE" w:sz="8" w:space="0"/>
              <w:left w:val="single" w:color="FEFEFE" w:sz="8" w:space="0"/>
              <w:bottom w:val="single" w:color="82181A" w:sz="24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一级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指标</w:t>
            </w:r>
          </w:p>
        </w:tc>
        <w:tc>
          <w:tcPr>
            <w:tcW w:w="540" w:type="dxa"/>
            <w:tcBorders>
              <w:top w:val="single" w:color="FEFEFE" w:sz="8" w:space="0"/>
              <w:left w:val="single" w:color="FEFEFE" w:sz="8" w:space="0"/>
              <w:bottom w:val="single" w:color="82181A" w:sz="24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分值</w:t>
            </w:r>
          </w:p>
        </w:tc>
        <w:tc>
          <w:tcPr>
            <w:tcW w:w="703" w:type="dxa"/>
            <w:tcBorders>
              <w:top w:val="single" w:color="FEFEFE" w:sz="8" w:space="0"/>
              <w:left w:val="single" w:color="FEFEFE" w:sz="8" w:space="0"/>
              <w:bottom w:val="single" w:color="82181A" w:sz="24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二级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指标</w:t>
            </w:r>
          </w:p>
        </w:tc>
        <w:tc>
          <w:tcPr>
            <w:tcW w:w="540" w:type="dxa"/>
            <w:tcBorders>
              <w:top w:val="single" w:color="FEFEFE" w:sz="8" w:space="0"/>
              <w:left w:val="single" w:color="FEFEFE" w:sz="8" w:space="0"/>
              <w:bottom w:val="single" w:color="82181A" w:sz="24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分值</w:t>
            </w:r>
          </w:p>
        </w:tc>
        <w:tc>
          <w:tcPr>
            <w:tcW w:w="803" w:type="dxa"/>
            <w:tcBorders>
              <w:top w:val="single" w:color="FEFEFE" w:sz="8" w:space="0"/>
              <w:left w:val="single" w:color="FEFEFE" w:sz="8" w:space="0"/>
              <w:bottom w:val="single" w:color="82181A" w:sz="24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三级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指标</w:t>
            </w:r>
          </w:p>
        </w:tc>
        <w:tc>
          <w:tcPr>
            <w:tcW w:w="550" w:type="dxa"/>
            <w:tcBorders>
              <w:top w:val="single" w:color="FEFEFE" w:sz="8" w:space="0"/>
              <w:left w:val="single" w:color="FEFEFE" w:sz="8" w:space="0"/>
              <w:bottom w:val="single" w:color="82181A" w:sz="24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分值</w:t>
            </w:r>
          </w:p>
        </w:tc>
        <w:tc>
          <w:tcPr>
            <w:tcW w:w="2407" w:type="dxa"/>
            <w:tcBorders>
              <w:top w:val="single" w:color="FEFEFE" w:sz="8" w:space="0"/>
              <w:left w:val="single" w:color="FEFEFE" w:sz="8" w:space="0"/>
              <w:bottom w:val="single" w:color="82181A" w:sz="24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具体指标</w:t>
            </w:r>
          </w:p>
        </w:tc>
        <w:tc>
          <w:tcPr>
            <w:tcW w:w="2772" w:type="dxa"/>
            <w:tcBorders>
              <w:top w:val="single" w:color="FEFEFE" w:sz="8" w:space="0"/>
              <w:left w:val="single" w:color="FEFEFE" w:sz="8" w:space="0"/>
              <w:bottom w:val="single" w:color="82181A" w:sz="24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评价标准</w:t>
            </w:r>
          </w:p>
        </w:tc>
        <w:tc>
          <w:tcPr>
            <w:tcW w:w="803" w:type="dxa"/>
            <w:tcBorders>
              <w:top w:val="single" w:color="FEFEFE" w:sz="8" w:space="0"/>
              <w:left w:val="single" w:color="FEFEFE" w:sz="8" w:space="0"/>
              <w:bottom w:val="single" w:color="82181A" w:sz="24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自评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7" w:hRule="atLeast"/>
          <w:jc w:val="center"/>
        </w:trPr>
        <w:tc>
          <w:tcPr>
            <w:tcW w:w="702" w:type="dxa"/>
            <w:vMerge w:val="restart"/>
            <w:tcBorders>
              <w:top w:val="single" w:color="82181A" w:sz="24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textDirection w:val="tbLr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113" w:right="113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项目决策</w:t>
            </w:r>
          </w:p>
        </w:tc>
        <w:tc>
          <w:tcPr>
            <w:tcW w:w="540" w:type="dxa"/>
            <w:vMerge w:val="restart"/>
            <w:tcBorders>
              <w:top w:val="single" w:color="82181A" w:sz="24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703" w:type="dxa"/>
            <w:tcBorders>
              <w:top w:val="single" w:color="82181A" w:sz="24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项目目标</w:t>
            </w:r>
          </w:p>
        </w:tc>
        <w:tc>
          <w:tcPr>
            <w:tcW w:w="540" w:type="dxa"/>
            <w:tcBorders>
              <w:top w:val="single" w:color="82181A" w:sz="24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803" w:type="dxa"/>
            <w:tcBorders>
              <w:top w:val="single" w:color="82181A" w:sz="24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目标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内容</w:t>
            </w:r>
          </w:p>
        </w:tc>
        <w:tc>
          <w:tcPr>
            <w:tcW w:w="550" w:type="dxa"/>
            <w:tcBorders>
              <w:top w:val="single" w:color="82181A" w:sz="24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2407" w:type="dxa"/>
            <w:tcBorders>
              <w:top w:val="single" w:color="82181A" w:sz="24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设立了项目绩效目标；目标明确；目标细化；目标量化</w:t>
            </w:r>
          </w:p>
        </w:tc>
        <w:tc>
          <w:tcPr>
            <w:tcW w:w="2772" w:type="dxa"/>
            <w:tcBorders>
              <w:top w:val="single" w:color="82181A" w:sz="24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①设有目标（1分）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②目标明确（1分）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③目标细化（1分）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④目标量化（1分）</w:t>
            </w:r>
          </w:p>
        </w:tc>
        <w:tc>
          <w:tcPr>
            <w:tcW w:w="803" w:type="dxa"/>
            <w:tcBorders>
              <w:top w:val="single" w:color="82181A" w:sz="24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7" w:hRule="atLeast"/>
          <w:jc w:val="center"/>
        </w:trPr>
        <w:tc>
          <w:tcPr>
            <w:tcW w:w="702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决策过程</w:t>
            </w:r>
          </w:p>
        </w:tc>
        <w:tc>
          <w:tcPr>
            <w:tcW w:w="540" w:type="dxa"/>
            <w:vMerge w:val="restart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决策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依据</w:t>
            </w: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有关法律法规的明确规定；某一经济社会发展规划；某部门年度工作计划；某一实际问题和需求</w:t>
            </w: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①符合法律法规（1分）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②符合经济社会发展规划（1分）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③部门年度工作计划（1分）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spacing w:val="-6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6"/>
                <w:kern w:val="0"/>
                <w:sz w:val="18"/>
                <w:szCs w:val="18"/>
              </w:rPr>
              <w:t>④针对某一实际问题和需求（1分）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以上③需提供佐证资料。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3" w:hRule="atLeast"/>
          <w:jc w:val="center"/>
        </w:trPr>
        <w:tc>
          <w:tcPr>
            <w:tcW w:w="702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决策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程序</w:t>
            </w: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项目符合申报条件；申报、批复程序符合相关管理办法；项目调整履行了相应手续</w:t>
            </w: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①符合申报条件（2分）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②项目申报、批复程序符合管理办法（1分）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6"/>
                <w:kern w:val="0"/>
                <w:sz w:val="18"/>
                <w:szCs w:val="18"/>
              </w:rPr>
              <w:t>③项目调整履行了相应手续（1分）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7" w:hRule="atLeast"/>
          <w:jc w:val="center"/>
        </w:trPr>
        <w:tc>
          <w:tcPr>
            <w:tcW w:w="702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资金分配</w:t>
            </w:r>
          </w:p>
        </w:tc>
        <w:tc>
          <w:tcPr>
            <w:tcW w:w="540" w:type="dxa"/>
            <w:vMerge w:val="restart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分配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办法</w:t>
            </w: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根据需要制定的相关资金管理办法；管理办法中有明确资金分配办法；资金分配因素全面、合理</w:t>
            </w: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①有相应的资金管理办法（1分）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②办法健全、规范（1分）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③因素全面合理（1分）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以上①需提供佐证资料。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8" w:hRule="atLeast"/>
          <w:jc w:val="center"/>
        </w:trPr>
        <w:tc>
          <w:tcPr>
            <w:tcW w:w="702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分配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结果</w:t>
            </w: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资金分配符合相关管理办法；分配结果公平合理</w:t>
            </w: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①符合分配办法（2分）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②分配公平合理（3分）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6"/>
                <w:kern w:val="0"/>
                <w:sz w:val="18"/>
                <w:szCs w:val="18"/>
              </w:rPr>
              <w:t>此项需提供相应的资金分配方案。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  <w:jc w:val="center"/>
        </w:trPr>
        <w:tc>
          <w:tcPr>
            <w:tcW w:w="702" w:type="dxa"/>
            <w:vMerge w:val="restart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textDirection w:val="tbLr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113" w:right="113" w:firstLine="2520" w:firstLineChars="1400"/>
              <w:jc w:val="both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项目</w:t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  <w:t>管理</w:t>
            </w:r>
          </w:p>
        </w:tc>
        <w:tc>
          <w:tcPr>
            <w:tcW w:w="540" w:type="dxa"/>
            <w:vMerge w:val="restart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25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/>
                <w:color w:val="000000"/>
              </w:rPr>
            </w:pPr>
          </w:p>
        </w:tc>
        <w:tc>
          <w:tcPr>
            <w:tcW w:w="703" w:type="dxa"/>
            <w:vMerge w:val="restart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资金到位</w:t>
            </w:r>
          </w:p>
        </w:tc>
        <w:tc>
          <w:tcPr>
            <w:tcW w:w="540" w:type="dxa"/>
            <w:vMerge w:val="restart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到位率</w:t>
            </w: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实际到位/计划到位*100%</w:t>
            </w: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根据项目资金的实际到位率计算得分（3分）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4" w:hRule="atLeast"/>
          <w:jc w:val="center"/>
        </w:trPr>
        <w:tc>
          <w:tcPr>
            <w:tcW w:w="702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到位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时效</w:t>
            </w: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资金及时到位；若未及时到位，是否影响项目进度</w:t>
            </w: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①到位及时（2分）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spacing w:val="-1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10"/>
                <w:kern w:val="0"/>
                <w:sz w:val="18"/>
                <w:szCs w:val="18"/>
              </w:rPr>
              <w:t>②不及时但未影响项目进度 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6"/>
                <w:kern w:val="0"/>
                <w:sz w:val="18"/>
                <w:szCs w:val="18"/>
              </w:rPr>
              <w:t>③不及时并影响项目进度（0.5分）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8" w:hRule="atLeast"/>
          <w:jc w:val="center"/>
        </w:trPr>
        <w:tc>
          <w:tcPr>
            <w:tcW w:w="702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资金管理</w:t>
            </w:r>
          </w:p>
        </w:tc>
        <w:tc>
          <w:tcPr>
            <w:tcW w:w="540" w:type="dxa"/>
            <w:vMerge w:val="restart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资金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使用</w:t>
            </w: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支出依据合规，无虚列项目支出情况；无截留挤占挪用情况；无超标准开支情况；无超预算情况</w:t>
            </w: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 xml:space="preserve">①虚列套取扣4-7分 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②依据不合规扣2分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③截留、挤占、挪用扣3-6分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④超标准开支扣2-5分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⑤超预算扣2-5分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1" w:hRule="atLeast"/>
          <w:jc w:val="center"/>
        </w:trPr>
        <w:tc>
          <w:tcPr>
            <w:tcW w:w="702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财务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管理</w:t>
            </w: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资金管理、费用支出等制度健全；制度执行严格；会计核算规范</w:t>
            </w: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①财务制度健全（1分）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②严格执行制度（1分）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③会计核算规范（1分）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以上①需提供佐证资料。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  <w:jc w:val="center"/>
        </w:trPr>
        <w:tc>
          <w:tcPr>
            <w:tcW w:w="702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/>
                <w:color w:val="000000"/>
              </w:rPr>
            </w:pPr>
          </w:p>
        </w:tc>
        <w:tc>
          <w:tcPr>
            <w:tcW w:w="703" w:type="dxa"/>
            <w:vMerge w:val="restart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组织实施</w:t>
            </w:r>
          </w:p>
        </w:tc>
        <w:tc>
          <w:tcPr>
            <w:tcW w:w="540" w:type="dxa"/>
            <w:vMerge w:val="restart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组织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机构</w:t>
            </w: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机构健全、分工明确</w:t>
            </w: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①机构健全、分工明确  （1分）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  <w:jc w:val="center"/>
        </w:trPr>
        <w:tc>
          <w:tcPr>
            <w:tcW w:w="702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支撑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条件</w:t>
            </w: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项目实施单位是否提供或具备了必备的人员、场地和设备等条件</w:t>
            </w: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具备人员、场地、设备条件（1分）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  <w:jc w:val="center"/>
        </w:trPr>
        <w:tc>
          <w:tcPr>
            <w:tcW w:w="702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项目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实施</w:t>
            </w: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项目按计划开工；按计划进度开展；按计划完工</w:t>
            </w: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①按计划开工（1分）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②按计划开展（1分）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③按计划完工（1分）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5" w:hRule="atLeast"/>
          <w:jc w:val="center"/>
        </w:trPr>
        <w:tc>
          <w:tcPr>
            <w:tcW w:w="702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管理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制度</w:t>
            </w: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项目管理制度健全；严格执行相关管理制度</w:t>
            </w: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①管理制度健全（2分）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②制度执行严格（3分）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以上①需提供佐证资料。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restart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项目绩效</w:t>
            </w:r>
          </w:p>
        </w:tc>
        <w:tc>
          <w:tcPr>
            <w:tcW w:w="540" w:type="dxa"/>
            <w:vMerge w:val="restart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55</w:t>
            </w:r>
          </w:p>
        </w:tc>
        <w:tc>
          <w:tcPr>
            <w:tcW w:w="703" w:type="dxa"/>
            <w:vMerge w:val="restart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项目产出</w:t>
            </w:r>
          </w:p>
        </w:tc>
        <w:tc>
          <w:tcPr>
            <w:tcW w:w="540" w:type="dxa"/>
            <w:vMerge w:val="restart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15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产出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数量</w:t>
            </w: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目标完成率=目标完成数/预定目标数×100%</w:t>
            </w: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完成绩效目标100%得5分，未完成100%的同比例扣减。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产出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质量</w:t>
            </w: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目标完成质量=实际达到的效果/预定目标×100%</w:t>
            </w: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项目产出质量达到绩效目标100%得4分，未完成100%的同比例扣减。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产出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时效</w:t>
            </w: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项目资金使用的预定目标是否如期完成，未完成的理由是否充分</w:t>
            </w: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项目产出时效达到绩效目标得3分，未如期完成且无充分理由的扣3分。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产出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成本</w:t>
            </w: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项目产出成本是否按绩效目标控制</w:t>
            </w: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项目产出成本按绩效目标控制得3分，未完成的，按超支比例扣减。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项目效果</w:t>
            </w:r>
          </w:p>
        </w:tc>
        <w:tc>
          <w:tcPr>
            <w:tcW w:w="540" w:type="dxa"/>
            <w:vMerge w:val="restart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40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经济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效益</w:t>
            </w: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项目实施对经济发展所带来的直接或间接影响情况。</w:t>
            </w: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完成绩效目标设定的经济效益得8分，未完成的，按完成情况酌情扣分。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社会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效益</w:t>
            </w: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项目实施对社会发展所带来的直接或间接影响情况。</w:t>
            </w: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完成绩效目标设定的社会效益得8分，未完成的，按完成情况酌情扣分。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  <w:t>生态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效益</w:t>
            </w: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项目实施对生态环境所带来的直接或间接影响情况。</w:t>
            </w: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完成绩效目标设定的积极的环境效益得8分，未完成的，按完成情况酌情扣分。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可持续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影响</w:t>
            </w: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项目后续运行及成效发挥的可持续影响情况。</w:t>
            </w: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完成绩效设定目标的得8分，未完成的，按完成情况酌情扣分。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服务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对象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满意度</w:t>
            </w: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服务对象满意率=项目区被调查人数中表示满意的人数(户数)/ 被调查人数(户数)×100%</w:t>
            </w: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满意率达90%（含）以上的得8分，80%（含）-90%得6分，70%（含）-80%得4分，60%（含）-70%得2分，60%以下不得分。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  <w:jc w:val="center"/>
        </w:trPr>
        <w:tc>
          <w:tcPr>
            <w:tcW w:w="702" w:type="dxa"/>
            <w:tcBorders>
              <w:top w:val="single" w:color="82181A" w:sz="8" w:space="0"/>
              <w:left w:val="single" w:color="FEFEFE" w:sz="8" w:space="0"/>
              <w:bottom w:val="single" w:color="FEFEFE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总分</w:t>
            </w:r>
          </w:p>
        </w:tc>
        <w:tc>
          <w:tcPr>
            <w:tcW w:w="540" w:type="dxa"/>
            <w:tcBorders>
              <w:top w:val="single" w:color="82181A" w:sz="8" w:space="0"/>
              <w:left w:val="single" w:color="FEFEFE" w:sz="8" w:space="0"/>
              <w:bottom w:val="single" w:color="FEFEFE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100</w:t>
            </w:r>
          </w:p>
        </w:tc>
        <w:tc>
          <w:tcPr>
            <w:tcW w:w="703" w:type="dxa"/>
            <w:tcBorders>
              <w:top w:val="single" w:color="82181A" w:sz="8" w:space="0"/>
              <w:left w:val="single" w:color="FEFEFE" w:sz="8" w:space="0"/>
              <w:bottom w:val="single" w:color="FEFEFE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color="82181A" w:sz="8" w:space="0"/>
              <w:left w:val="single" w:color="FEFEFE" w:sz="8" w:space="0"/>
              <w:bottom w:val="single" w:color="FEFEFE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100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FEFEFE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FEFEFE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100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FEFEFE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FEFEFE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FEFEFE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宋体" w:hAnsi="宋体" w:cs="宋体"/>
                <w:b/>
                <w:bCs/>
                <w:color w:val="000000"/>
                <w:kern w:val="0"/>
                <w:sz w:val="24"/>
              </w:rPr>
            </w:pPr>
          </w:p>
        </w:tc>
      </w:tr>
    </w:tbl>
    <w:p>
      <w:pPr>
        <w:adjustRightInd w:val="0"/>
        <w:snapToGrid w:val="0"/>
        <w:spacing w:before="156" w:beforeLines="50"/>
        <w:ind w:left="840" w:hanging="840" w:hangingChars="400"/>
        <w:contextualSpacing/>
        <w:rPr>
          <w:rFonts w:hint="eastAsia" w:ascii="仿宋_GB2312" w:eastAsia="仿宋_GB2312"/>
        </w:rPr>
      </w:pPr>
      <w:r>
        <w:rPr>
          <w:rFonts w:hint="eastAsia" w:ascii="仿宋_GB2312" w:eastAsia="仿宋_GB2312"/>
        </w:rPr>
        <w:t>备注：</w:t>
      </w:r>
      <w:r>
        <w:rPr>
          <w:rFonts w:hint="eastAsia" w:ascii="仿宋_GB2312" w:eastAsia="仿宋_GB2312"/>
          <w:lang w:val="en-US" w:eastAsia="zh-CN"/>
        </w:rPr>
        <w:t>1、</w:t>
      </w:r>
      <w:r>
        <w:rPr>
          <w:rFonts w:hint="eastAsia" w:ascii="仿宋_GB2312" w:eastAsia="仿宋_GB2312"/>
        </w:rPr>
        <w:t>部门（单位）根据项目实际，在《项目支出绩效评价指标</w:t>
      </w:r>
      <w:r>
        <w:rPr>
          <w:rFonts w:hint="eastAsia" w:ascii="仿宋_GB2312" w:eastAsia="仿宋_GB2312"/>
          <w:lang w:eastAsia="zh-CN"/>
        </w:rPr>
        <w:t>评分表</w:t>
      </w:r>
      <w:r>
        <w:rPr>
          <w:rFonts w:hint="eastAsia" w:ascii="仿宋_GB2312" w:eastAsia="仿宋_GB2312"/>
        </w:rPr>
        <w:t>（</w:t>
      </w:r>
      <w:r>
        <w:rPr>
          <w:rFonts w:hint="eastAsia" w:ascii="仿宋_GB2312" w:eastAsia="仿宋_GB2312"/>
          <w:lang w:eastAsia="zh-CN"/>
        </w:rPr>
        <w:t>共性</w:t>
      </w:r>
      <w:r>
        <w:rPr>
          <w:rFonts w:hint="eastAsia" w:ascii="仿宋_GB2312" w:eastAsia="仿宋_GB2312"/>
        </w:rPr>
        <w:t>）》上进一步完善、量化、细化个性指标，形成本项目的指标体系。</w:t>
      </w:r>
    </w:p>
    <w:p>
      <w:pPr>
        <w:adjustRightInd w:val="0"/>
        <w:snapToGrid w:val="0"/>
        <w:spacing w:before="156" w:beforeLines="50"/>
        <w:ind w:firstLine="630" w:firstLineChars="300"/>
        <w:contextualSpacing/>
        <w:rPr>
          <w:rFonts w:hint="eastAsia" w:eastAsia="仿宋_GB2312"/>
          <w:sz w:val="32"/>
          <w:lang w:eastAsia="zh-CN"/>
        </w:rPr>
      </w:pPr>
      <w:r>
        <w:rPr>
          <w:rFonts w:hint="eastAsia" w:ascii="仿宋_GB2312" w:eastAsia="仿宋_GB2312"/>
          <w:lang w:val="en-US" w:eastAsia="zh-CN"/>
        </w:rPr>
        <w:t>2、</w:t>
      </w:r>
      <w:r>
        <w:rPr>
          <w:rFonts w:hint="eastAsia" w:ascii="仿宋_GB2312" w:eastAsia="仿宋_GB2312"/>
          <w:lang w:eastAsia="zh-CN"/>
        </w:rPr>
        <w:t>一个一级项目一张表。</w:t>
      </w:r>
    </w:p>
    <w:p/>
    <w:p>
      <w:pPr>
        <w:pStyle w:val="2"/>
        <w:rPr>
          <w:rFonts w:hint="eastAsia"/>
          <w:lang w:val="en-US" w:eastAsia="zh-CN"/>
        </w:rPr>
        <w:sectPr>
          <w:pgSz w:w="11906" w:h="16838"/>
          <w:pgMar w:top="1701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</w:p>
    <w:p>
      <w:pPr>
        <w:spacing w:line="240" w:lineRule="auto"/>
        <w:ind w:firstLine="0" w:firstLineChars="0"/>
        <w:jc w:val="left"/>
        <w:outlineLvl w:val="0"/>
        <w:rPr>
          <w:rFonts w:hint="eastAsia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5</w:t>
      </w:r>
    </w:p>
    <w:p>
      <w:pPr>
        <w:widowControl/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年度项目支出绩效自评表</w:t>
      </w:r>
    </w:p>
    <w:tbl>
      <w:tblPr>
        <w:tblStyle w:val="10"/>
        <w:tblW w:w="9851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0"/>
        <w:gridCol w:w="1080"/>
        <w:gridCol w:w="1080"/>
        <w:gridCol w:w="1224"/>
        <w:gridCol w:w="1134"/>
        <w:gridCol w:w="1134"/>
        <w:gridCol w:w="828"/>
        <w:gridCol w:w="873"/>
        <w:gridCol w:w="141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项目支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出名称</w:t>
            </w:r>
          </w:p>
        </w:tc>
        <w:tc>
          <w:tcPr>
            <w:tcW w:w="8771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主管部门</w:t>
            </w:r>
          </w:p>
        </w:tc>
        <w:tc>
          <w:tcPr>
            <w:tcW w:w="451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实施单位</w:t>
            </w:r>
          </w:p>
        </w:tc>
        <w:tc>
          <w:tcPr>
            <w:tcW w:w="3119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项目资金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（万元）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年初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预算数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全年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预算数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sz w:val="20"/>
                <w:szCs w:val="20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sz w:val="20"/>
                <w:szCs w:val="20"/>
              </w:rPr>
              <w:t>执行数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sz w:val="20"/>
                <w:szCs w:val="20"/>
              </w:rPr>
              <w:t>分值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sz w:val="20"/>
                <w:szCs w:val="20"/>
              </w:rPr>
              <w:t>执行率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sz w:val="20"/>
                <w:szCs w:val="20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年度资金总额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其中：当年财政拨款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 w:firstLine="600" w:firstLineChars="30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上年结转资金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 w:firstLine="600" w:firstLineChars="30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其他资金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年度总体目标</w:t>
            </w:r>
          </w:p>
        </w:tc>
        <w:tc>
          <w:tcPr>
            <w:tcW w:w="451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预期目标</w:t>
            </w:r>
          </w:p>
        </w:tc>
        <w:tc>
          <w:tcPr>
            <w:tcW w:w="425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实际完成情况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451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425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标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一级指标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二级指标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三级指标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指标值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完成值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分值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both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产出指标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(50分)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数量指标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质量指标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时效指标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成本指标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效益指标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（30分）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经济效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益指标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社会效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益指标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生态效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益指标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可持续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影响指标</w:t>
            </w:r>
          </w:p>
        </w:tc>
        <w:tc>
          <w:tcPr>
            <w:tcW w:w="12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（10分）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服务对象满意度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73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</w:tbl>
    <w:p>
      <w:pPr>
        <w:rPr>
          <w:rFonts w:hint="eastAsia" w:ascii="新宋体" w:hAnsi="新宋体" w:eastAsia="新宋体" w:cs="新宋体"/>
          <w:sz w:val="21"/>
          <w:szCs w:val="21"/>
          <w:lang w:eastAsia="zh-CN"/>
        </w:rPr>
      </w:pPr>
      <w:r>
        <w:rPr>
          <w:rFonts w:hint="eastAsia" w:ascii="新宋体" w:hAnsi="新宋体" w:eastAsia="新宋体" w:cs="新宋体"/>
          <w:sz w:val="21"/>
          <w:szCs w:val="21"/>
        </w:rPr>
        <w:t>备注：一个一级项目支出一张表。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如，</w:t>
      </w:r>
      <w:r>
        <w:rPr>
          <w:rFonts w:hint="eastAsia" w:ascii="新宋体" w:hAnsi="新宋体" w:eastAsia="新宋体" w:cs="新宋体"/>
          <w:sz w:val="21"/>
          <w:szCs w:val="21"/>
        </w:rPr>
        <w:t>业务工作经费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，</w:t>
      </w:r>
      <w:r>
        <w:rPr>
          <w:rFonts w:hint="eastAsia" w:ascii="新宋体" w:hAnsi="新宋体" w:eastAsia="新宋体" w:cs="新宋体"/>
          <w:sz w:val="21"/>
          <w:szCs w:val="21"/>
        </w:rPr>
        <w:t>运行维护经费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，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XX项目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资金…各一张表。</w:t>
      </w:r>
    </w:p>
    <w:p>
      <w:pPr>
        <w:pStyle w:val="2"/>
        <w:rPr>
          <w:rFonts w:hint="eastAsia"/>
        </w:rPr>
      </w:pPr>
    </w:p>
    <w:p>
      <w:pPr>
        <w:rPr>
          <w:rFonts w:hint="eastAsia"/>
        </w:rPr>
      </w:pPr>
    </w:p>
    <w:p>
      <w:pPr>
        <w:jc w:val="left"/>
        <w:rPr>
          <w:rFonts w:hint="eastAsia" w:ascii="新宋体" w:hAnsi="新宋体" w:eastAsia="新宋体" w:cs="新宋体"/>
          <w:sz w:val="21"/>
          <w:szCs w:val="21"/>
        </w:rPr>
      </w:pPr>
      <w:r>
        <w:rPr>
          <w:rFonts w:hint="eastAsia" w:ascii="新宋体" w:hAnsi="新宋体" w:eastAsia="新宋体" w:cs="新宋体"/>
          <w:sz w:val="21"/>
          <w:szCs w:val="21"/>
        </w:rPr>
        <w:t xml:space="preserve">填表人：       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 xml:space="preserve"> </w:t>
      </w:r>
      <w:r>
        <w:rPr>
          <w:rFonts w:hint="eastAsia" w:ascii="新宋体" w:hAnsi="新宋体" w:eastAsia="新宋体" w:cs="新宋体"/>
          <w:sz w:val="21"/>
          <w:szCs w:val="21"/>
        </w:rPr>
        <w:t xml:space="preserve">填报日期：    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 xml:space="preserve">      </w:t>
      </w:r>
      <w:r>
        <w:rPr>
          <w:rFonts w:hint="eastAsia" w:ascii="新宋体" w:hAnsi="新宋体" w:eastAsia="新宋体" w:cs="新宋体"/>
          <w:sz w:val="21"/>
          <w:szCs w:val="21"/>
        </w:rPr>
        <w:t xml:space="preserve">联系电话：   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 xml:space="preserve">       </w:t>
      </w:r>
      <w:r>
        <w:rPr>
          <w:rFonts w:hint="eastAsia" w:ascii="新宋体" w:hAnsi="新宋体" w:eastAsia="新宋体" w:cs="新宋体"/>
          <w:sz w:val="21"/>
          <w:szCs w:val="21"/>
        </w:rPr>
        <w:t xml:space="preserve"> 单位负责人签字：</w:t>
      </w:r>
    </w:p>
    <w:p>
      <w:pPr>
        <w:spacing w:line="240" w:lineRule="auto"/>
        <w:ind w:firstLine="0" w:firstLineChars="0"/>
        <w:jc w:val="left"/>
        <w:outlineLvl w:val="0"/>
        <w:rPr>
          <w:rFonts w:hint="eastAsia" w:ascii="新宋体" w:hAnsi="新宋体" w:eastAsia="新宋体" w:cs="新宋体"/>
          <w:sz w:val="21"/>
          <w:szCs w:val="21"/>
          <w:lang w:val="en-US" w:eastAsia="zh-CN"/>
        </w:rPr>
        <w:sectPr>
          <w:pgSz w:w="11906" w:h="16838"/>
          <w:pgMar w:top="1701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6</w:t>
      </w:r>
    </w:p>
    <w:p>
      <w:pPr>
        <w:jc w:val="center"/>
        <w:rPr>
          <w:rFonts w:hint="default" w:ascii="Times New Roman" w:hAnsi="Times New Roman" w:eastAsia="方正小标宋_GBK" w:cs="Times New Roman"/>
          <w:sz w:val="52"/>
          <w:szCs w:val="52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年度××部门（单位）××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项目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支出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jc w:val="center"/>
        <w:rPr>
          <w:rFonts w:hint="default" w:ascii="Times New Roman" w:hAnsi="Times New Roman" w:eastAsia="方正小标宋_GBK" w:cs="Times New Roman"/>
          <w:b/>
          <w:sz w:val="52"/>
          <w:szCs w:val="5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both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both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spacing w:line="600" w:lineRule="exact"/>
        <w:jc w:val="center"/>
        <w:rPr>
          <w:rFonts w:hint="default" w:ascii="Times New Roman" w:hAnsi="Times New Roman" w:eastAsia="仿宋_GB2312" w:cs="Times New Roman"/>
          <w:sz w:val="32"/>
          <w:szCs w:val="32"/>
          <w:u w:val="single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部门（单位）名称：</w:t>
      </w:r>
      <w:r>
        <w:rPr>
          <w:rFonts w:hint="default" w:ascii="Times New Roman" w:hAnsi="Times New Roman" w:eastAsia="仿宋_GB2312" w:cs="Times New Roman"/>
          <w:sz w:val="32"/>
          <w:szCs w:val="32"/>
          <w:u w:val="single"/>
        </w:rPr>
        <w:t>（盖章）</w:t>
      </w:r>
    </w:p>
    <w:p>
      <w:pPr>
        <w:spacing w:line="600" w:lineRule="exact"/>
        <w:jc w:val="center"/>
        <w:rPr>
          <w:rFonts w:hint="default" w:ascii="Times New Roman" w:hAnsi="Times New Roman" w:eastAsia="楷体_GB2312" w:cs="Times New Roman"/>
          <w:sz w:val="32"/>
          <w:szCs w:val="32"/>
        </w:rPr>
      </w:pPr>
      <w:r>
        <w:rPr>
          <w:rFonts w:hint="default" w:ascii="Times New Roman" w:hAnsi="Times New Roman" w:eastAsia="楷体_GB2312" w:cs="Times New Roman"/>
          <w:sz w:val="32"/>
          <w:szCs w:val="32"/>
        </w:rPr>
        <w:t>年  月  日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（此页为封面）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br w:type="page"/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年度××部门（单位）××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项目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支出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一、基本情况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(一)项目概况。包括项目背景、主要内容及实施情况、资金投入和使用情况等。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(二)项目绩效目标。包括总体目标和阶段性目标。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二、绩效评价工作开展情况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(一)绩效评价目的、对象和范围。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(二)绩效评价原则、评价指标体系(附表说明)、评价方法、 评价标准等。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(三)绩效评价工作过程。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 xml:space="preserve">三、综合评价情况及评价结论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四、绩效评价指标分析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(一)项目决策情况。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(二)项目过程情况。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(三)项目产出情况。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(四)项目效益情况。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五、主要经验及做法、存在的问题及原因分析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jc w:val="both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eastAsia="zh-CN"/>
        </w:rPr>
        <w:t>六</w:t>
      </w:r>
      <w:r>
        <w:rPr>
          <w:rFonts w:hint="eastAsia" w:ascii="黑体" w:hAnsi="黑体" w:eastAsia="黑体" w:cs="黑体"/>
          <w:sz w:val="30"/>
          <w:szCs w:val="30"/>
        </w:rPr>
        <w:t>、其他需要说明的问题</w:t>
      </w:r>
    </w:p>
    <w:sectPr>
      <w:pgSz w:w="11906" w:h="16838"/>
      <w:pgMar w:top="1984" w:right="1701" w:bottom="1984" w:left="170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DEC5057-6AF3-4686-9CBE-6EEF21AF542E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52C276EB-FE4F-4FFC-AEB1-00C1E320F69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64DFF11E-1055-4FFA-9F23-8C0A92E3EC7E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F824A2E2-6EC2-4719-BCDE-A50C75B21BF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4A3260E8-DA63-4C64-8645-A67401DE46F6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DB99F1A4-F07D-4466-ABE4-E750731558DB}"/>
  </w:font>
  <w:font w:name="方正小标宋简体">
    <w:altName w:val="仿宋_GB2312"/>
    <w:panose1 w:val="02010601030101010101"/>
    <w:charset w:val="86"/>
    <w:family w:val="auto"/>
    <w:pitch w:val="default"/>
    <w:sig w:usb0="00000000" w:usb1="00000000" w:usb2="00000000" w:usb3="00000000" w:csb0="00040000" w:csb1="00000000"/>
    <w:embedRegular r:id="rId7" w:fontKey="{1705E211-57F5-445D-8A3F-CC603C4917F1}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  <w:embedRegular r:id="rId8" w:fontKey="{AC849B86-F748-49EF-82DD-167D0FFDAD29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9" w:fontKey="{1FA3B9F6-70D3-4E40-856A-694364F86A6B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0" w:fontKey="{EE0F8E98-17C7-409F-9C29-42BCD66ABD07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1" w:fontKey="{44ED31AB-443E-47A4-8A85-9E72F0C3CCB8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2" w:fontKey="{C74CDE7E-A218-4D70-A40A-9F651EF23FF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right"/>
      <w:rPr>
        <w:rFonts w:ascii="仿宋_GB2312" w:eastAsia="仿宋_GB2312"/>
        <w:sz w:val="28"/>
        <w:szCs w:val="28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6"/>
                            <w:jc w:val="right"/>
                          </w:pP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  <w:lang w:val="zh-CN"/>
                            </w:rPr>
                            <w:t>1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jHpww4AgAAbwQAAA4AAABkcnMvZTJvRG9jLnhtbK1UzY7TMBC+I/EO&#10;lu80aVl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5RoplCw0/fv51+&#10;/Dr9/Equojyt9TNEPVjEhe6t6TA0w73HZWTdVU7FX/Ah8EPc40Vc0QXC46PpZDrN4eLwDQfgZ4/P&#10;rfPhnTCKRKOgDt1LorLDxoc+dAiJ2bRZN1KmDkpN2oJev3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mMenDD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jc w:val="right"/>
                    </w:pP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  <w:lang w:val="zh-CN"/>
                      </w:rPr>
                      <w:t>1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31A568"/>
    <w:multiLevelType w:val="singleLevel"/>
    <w:tmpl w:val="F131A56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13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VkN2JhNTM1NTM5ZjgyOTkwYjBlZTk0YWY3M2FiZWEifQ=="/>
  </w:docVars>
  <w:rsids>
    <w:rsidRoot w:val="0CCB7736"/>
    <w:rsid w:val="00047FEF"/>
    <w:rsid w:val="000A3906"/>
    <w:rsid w:val="001776F1"/>
    <w:rsid w:val="006F0A16"/>
    <w:rsid w:val="00773328"/>
    <w:rsid w:val="00821883"/>
    <w:rsid w:val="00917857"/>
    <w:rsid w:val="00A755C2"/>
    <w:rsid w:val="016A347B"/>
    <w:rsid w:val="02B50488"/>
    <w:rsid w:val="0338470A"/>
    <w:rsid w:val="034822A9"/>
    <w:rsid w:val="036208AE"/>
    <w:rsid w:val="03D86621"/>
    <w:rsid w:val="04C609C8"/>
    <w:rsid w:val="04EE6171"/>
    <w:rsid w:val="05395EA9"/>
    <w:rsid w:val="05404C1F"/>
    <w:rsid w:val="08922F27"/>
    <w:rsid w:val="09E06A6E"/>
    <w:rsid w:val="0ABD557B"/>
    <w:rsid w:val="0B3B6851"/>
    <w:rsid w:val="0BBB5A8D"/>
    <w:rsid w:val="0C104906"/>
    <w:rsid w:val="0CCB7736"/>
    <w:rsid w:val="0D9E0E8D"/>
    <w:rsid w:val="0E39045D"/>
    <w:rsid w:val="0EAB7397"/>
    <w:rsid w:val="0EF755B3"/>
    <w:rsid w:val="0F17035E"/>
    <w:rsid w:val="0F4E168D"/>
    <w:rsid w:val="11404466"/>
    <w:rsid w:val="11691059"/>
    <w:rsid w:val="117143B2"/>
    <w:rsid w:val="11951E4E"/>
    <w:rsid w:val="11963ADD"/>
    <w:rsid w:val="11EB0F5C"/>
    <w:rsid w:val="11F20483"/>
    <w:rsid w:val="136F31F8"/>
    <w:rsid w:val="138750E0"/>
    <w:rsid w:val="138E1EAB"/>
    <w:rsid w:val="15A620D3"/>
    <w:rsid w:val="16A3369E"/>
    <w:rsid w:val="178536BD"/>
    <w:rsid w:val="17C35773"/>
    <w:rsid w:val="188B3F3A"/>
    <w:rsid w:val="19516372"/>
    <w:rsid w:val="19575CC2"/>
    <w:rsid w:val="19A80228"/>
    <w:rsid w:val="1A101464"/>
    <w:rsid w:val="1AA91564"/>
    <w:rsid w:val="1AB74849"/>
    <w:rsid w:val="1AC52FF2"/>
    <w:rsid w:val="1AE6175D"/>
    <w:rsid w:val="1B742AA7"/>
    <w:rsid w:val="1B9E085D"/>
    <w:rsid w:val="1C44694B"/>
    <w:rsid w:val="1CA34935"/>
    <w:rsid w:val="1D5A640E"/>
    <w:rsid w:val="1D927B8A"/>
    <w:rsid w:val="1DDE0ED1"/>
    <w:rsid w:val="1DF20628"/>
    <w:rsid w:val="1F7640EC"/>
    <w:rsid w:val="20D76C5F"/>
    <w:rsid w:val="21057490"/>
    <w:rsid w:val="214A230E"/>
    <w:rsid w:val="21B052C4"/>
    <w:rsid w:val="2271533D"/>
    <w:rsid w:val="22FF5445"/>
    <w:rsid w:val="238D0E57"/>
    <w:rsid w:val="24256710"/>
    <w:rsid w:val="251E7983"/>
    <w:rsid w:val="25847DEE"/>
    <w:rsid w:val="25D951D2"/>
    <w:rsid w:val="260D5D83"/>
    <w:rsid w:val="26795443"/>
    <w:rsid w:val="283920CE"/>
    <w:rsid w:val="284A2254"/>
    <w:rsid w:val="292F1467"/>
    <w:rsid w:val="29736F84"/>
    <w:rsid w:val="29786927"/>
    <w:rsid w:val="297B51B4"/>
    <w:rsid w:val="29E40467"/>
    <w:rsid w:val="29F527E2"/>
    <w:rsid w:val="2BF35971"/>
    <w:rsid w:val="2C487650"/>
    <w:rsid w:val="2E4F43C0"/>
    <w:rsid w:val="2EC7368E"/>
    <w:rsid w:val="2F745341"/>
    <w:rsid w:val="30FB4B41"/>
    <w:rsid w:val="31621165"/>
    <w:rsid w:val="318A2BFA"/>
    <w:rsid w:val="323C5548"/>
    <w:rsid w:val="32C43EEA"/>
    <w:rsid w:val="330B3759"/>
    <w:rsid w:val="367A61A6"/>
    <w:rsid w:val="36D96449"/>
    <w:rsid w:val="37410504"/>
    <w:rsid w:val="37450F88"/>
    <w:rsid w:val="37D6106F"/>
    <w:rsid w:val="382A2A41"/>
    <w:rsid w:val="38F862EB"/>
    <w:rsid w:val="39343807"/>
    <w:rsid w:val="39887BBC"/>
    <w:rsid w:val="3A53023B"/>
    <w:rsid w:val="3A7C3409"/>
    <w:rsid w:val="3ADD1FEC"/>
    <w:rsid w:val="3AF42D2D"/>
    <w:rsid w:val="3B3A041F"/>
    <w:rsid w:val="3BAE6BF9"/>
    <w:rsid w:val="3CCA47F2"/>
    <w:rsid w:val="3CDE0708"/>
    <w:rsid w:val="3D5877DF"/>
    <w:rsid w:val="3DC55CAA"/>
    <w:rsid w:val="3DD556CA"/>
    <w:rsid w:val="3F450429"/>
    <w:rsid w:val="3F84512C"/>
    <w:rsid w:val="40226C80"/>
    <w:rsid w:val="406B3BF6"/>
    <w:rsid w:val="40C451A5"/>
    <w:rsid w:val="41487B56"/>
    <w:rsid w:val="4156470B"/>
    <w:rsid w:val="41943ACE"/>
    <w:rsid w:val="425D4066"/>
    <w:rsid w:val="43173FD4"/>
    <w:rsid w:val="432A7D99"/>
    <w:rsid w:val="43D36618"/>
    <w:rsid w:val="44143822"/>
    <w:rsid w:val="44205041"/>
    <w:rsid w:val="44654A12"/>
    <w:rsid w:val="45087097"/>
    <w:rsid w:val="457C5F26"/>
    <w:rsid w:val="47971775"/>
    <w:rsid w:val="47A621BC"/>
    <w:rsid w:val="49CF255F"/>
    <w:rsid w:val="4B2C48CA"/>
    <w:rsid w:val="4B2C5DCD"/>
    <w:rsid w:val="4B7D1173"/>
    <w:rsid w:val="4BB70638"/>
    <w:rsid w:val="4C150E22"/>
    <w:rsid w:val="4C6A38FC"/>
    <w:rsid w:val="4CE74BC3"/>
    <w:rsid w:val="4CF5000E"/>
    <w:rsid w:val="4D720CBA"/>
    <w:rsid w:val="4D812CAB"/>
    <w:rsid w:val="4DB17672"/>
    <w:rsid w:val="4FB31116"/>
    <w:rsid w:val="4FD03A76"/>
    <w:rsid w:val="5086682B"/>
    <w:rsid w:val="50AC44C4"/>
    <w:rsid w:val="50EA6DB9"/>
    <w:rsid w:val="5149710B"/>
    <w:rsid w:val="51B13991"/>
    <w:rsid w:val="51CA7471"/>
    <w:rsid w:val="51E613C5"/>
    <w:rsid w:val="521C2FA3"/>
    <w:rsid w:val="522529B2"/>
    <w:rsid w:val="52741030"/>
    <w:rsid w:val="52FD6A60"/>
    <w:rsid w:val="53910AF4"/>
    <w:rsid w:val="555952B3"/>
    <w:rsid w:val="556B5A36"/>
    <w:rsid w:val="55AF40BB"/>
    <w:rsid w:val="56F72F7C"/>
    <w:rsid w:val="586243BF"/>
    <w:rsid w:val="58FD3402"/>
    <w:rsid w:val="5AAF7799"/>
    <w:rsid w:val="5B5C1753"/>
    <w:rsid w:val="5C261A0E"/>
    <w:rsid w:val="5C9E54E5"/>
    <w:rsid w:val="5DA30A1C"/>
    <w:rsid w:val="5DD230AF"/>
    <w:rsid w:val="5E134100"/>
    <w:rsid w:val="5EA958DC"/>
    <w:rsid w:val="5F7A1C50"/>
    <w:rsid w:val="5FA6034F"/>
    <w:rsid w:val="601C4AB5"/>
    <w:rsid w:val="60BE691E"/>
    <w:rsid w:val="61444403"/>
    <w:rsid w:val="62265BDF"/>
    <w:rsid w:val="62E1699A"/>
    <w:rsid w:val="63B15515"/>
    <w:rsid w:val="64147F0D"/>
    <w:rsid w:val="64D66362"/>
    <w:rsid w:val="65860217"/>
    <w:rsid w:val="658E1FB1"/>
    <w:rsid w:val="667E0AA1"/>
    <w:rsid w:val="67E825F8"/>
    <w:rsid w:val="67EE6D37"/>
    <w:rsid w:val="68FB17C3"/>
    <w:rsid w:val="695F12F9"/>
    <w:rsid w:val="69636C3A"/>
    <w:rsid w:val="69912070"/>
    <w:rsid w:val="69CF7B2C"/>
    <w:rsid w:val="6A0B0004"/>
    <w:rsid w:val="6BA1010E"/>
    <w:rsid w:val="6CE47E41"/>
    <w:rsid w:val="6CED5810"/>
    <w:rsid w:val="6CF92413"/>
    <w:rsid w:val="6DFE5E04"/>
    <w:rsid w:val="6E87203D"/>
    <w:rsid w:val="6F9278BB"/>
    <w:rsid w:val="70603021"/>
    <w:rsid w:val="71572F19"/>
    <w:rsid w:val="71867FE1"/>
    <w:rsid w:val="719B7427"/>
    <w:rsid w:val="724A6793"/>
    <w:rsid w:val="73451BDA"/>
    <w:rsid w:val="741F26FA"/>
    <w:rsid w:val="74470DF8"/>
    <w:rsid w:val="748C250E"/>
    <w:rsid w:val="75785DEB"/>
    <w:rsid w:val="75FD1676"/>
    <w:rsid w:val="76D37824"/>
    <w:rsid w:val="76EE0B02"/>
    <w:rsid w:val="788A2AAC"/>
    <w:rsid w:val="799536BA"/>
    <w:rsid w:val="7A252A8D"/>
    <w:rsid w:val="7AC322A6"/>
    <w:rsid w:val="7B170752"/>
    <w:rsid w:val="7B8F681B"/>
    <w:rsid w:val="7BE451FE"/>
    <w:rsid w:val="7D4C6582"/>
    <w:rsid w:val="7DD96C0E"/>
    <w:rsid w:val="7E474F7B"/>
    <w:rsid w:val="7E8F7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qFormat="1" w:unhideWhenUsed="0" w:uiPriority="0" w:semiHidden="0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qFormat="1" w:uiPriority="99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locked/>
    <w:uiPriority w:val="0"/>
    <w:pPr>
      <w:keepNext/>
      <w:keepLines/>
      <w:outlineLvl w:val="0"/>
    </w:pPr>
    <w:rPr>
      <w:rFonts w:eastAsia="黑体"/>
      <w:bCs/>
      <w:kern w:val="44"/>
      <w:szCs w:val="44"/>
    </w:rPr>
  </w:style>
  <w:style w:type="character" w:default="1" w:styleId="12">
    <w:name w:val="Default Paragraph Font"/>
    <w:semiHidden/>
    <w:qFormat/>
    <w:uiPriority w:val="99"/>
  </w:style>
  <w:style w:type="table" w:default="1" w:styleId="10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eastAsia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note text"/>
    <w:basedOn w:val="1"/>
    <w:next w:val="1"/>
    <w:qFormat/>
    <w:uiPriority w:val="0"/>
    <w:pPr>
      <w:snapToGrid w:val="0"/>
      <w:jc w:val="left"/>
    </w:pPr>
    <w:rPr>
      <w:sz w:val="18"/>
      <w:szCs w:val="18"/>
    </w:rPr>
  </w:style>
  <w:style w:type="paragraph" w:styleId="4">
    <w:name w:val="Body Text"/>
    <w:basedOn w:val="1"/>
    <w:next w:val="5"/>
    <w:unhideWhenUsed/>
    <w:qFormat/>
    <w:uiPriority w:val="99"/>
    <w:pPr>
      <w:spacing w:after="120"/>
    </w:pPr>
  </w:style>
  <w:style w:type="paragraph" w:styleId="5">
    <w:name w:val="toc 5"/>
    <w:basedOn w:val="1"/>
    <w:next w:val="1"/>
    <w:qFormat/>
    <w:uiPriority w:val="0"/>
    <w:pPr>
      <w:spacing w:before="100" w:beforeAutospacing="1" w:after="100" w:afterAutospacing="1"/>
      <w:ind w:left="1680"/>
    </w:pPr>
  </w:style>
  <w:style w:type="paragraph" w:styleId="6">
    <w:name w:val="footer"/>
    <w:basedOn w:val="1"/>
    <w:link w:val="15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8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9">
    <w:name w:val="Body Text First Indent"/>
    <w:basedOn w:val="4"/>
    <w:unhideWhenUsed/>
    <w:qFormat/>
    <w:uiPriority w:val="99"/>
    <w:pPr>
      <w:ind w:firstLine="420" w:firstLineChars="100"/>
    </w:pPr>
  </w:style>
  <w:style w:type="table" w:styleId="11">
    <w:name w:val="Table Grid"/>
    <w:basedOn w:val="10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page number"/>
    <w:basedOn w:val="12"/>
    <w:qFormat/>
    <w:uiPriority w:val="99"/>
    <w:rPr>
      <w:rFonts w:cs="Times New Roman"/>
    </w:rPr>
  </w:style>
  <w:style w:type="paragraph" w:customStyle="1" w:styleId="14">
    <w:name w:val="无间隔1"/>
    <w:basedOn w:val="9"/>
    <w:next w:val="1"/>
    <w:qFormat/>
    <w:uiPriority w:val="99"/>
    <w:rPr>
      <w:rFonts w:ascii="Calibri" w:hAnsi="Calibri"/>
      <w:sz w:val="21"/>
      <w:szCs w:val="21"/>
    </w:rPr>
  </w:style>
  <w:style w:type="character" w:customStyle="1" w:styleId="15">
    <w:name w:val="Footer Char"/>
    <w:basedOn w:val="12"/>
    <w:link w:val="6"/>
    <w:semiHidden/>
    <w:qFormat/>
    <w:uiPriority w:val="99"/>
    <w:rPr>
      <w:sz w:val="18"/>
      <w:szCs w:val="18"/>
    </w:rPr>
  </w:style>
  <w:style w:type="character" w:customStyle="1" w:styleId="16">
    <w:name w:val="Header Char"/>
    <w:basedOn w:val="12"/>
    <w:link w:val="7"/>
    <w:semiHidden/>
    <w:qFormat/>
    <w:uiPriority w:val="99"/>
    <w:rPr>
      <w:sz w:val="18"/>
      <w:szCs w:val="18"/>
    </w:rPr>
  </w:style>
  <w:style w:type="paragraph" w:styleId="17">
    <w:name w:val="List Paragraph"/>
    <w:basedOn w:val="1"/>
    <w:qFormat/>
    <w:uiPriority w:val="99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Pages>15</Pages>
  <Words>5751</Words>
  <Characters>6284</Characters>
  <Lines>0</Lines>
  <Paragraphs>0</Paragraphs>
  <TotalTime>26</TotalTime>
  <ScaleCrop>false</ScaleCrop>
  <LinksUpToDate>false</LinksUpToDate>
  <CharactersWithSpaces>6502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2020-06-04T01:07:00Z</dcterms:created>
  <dc:creator>Administrator</dc:creator>
  <cp:lastModifiedBy>练洁</cp:lastModifiedBy>
  <cp:lastPrinted>2023-07-14T07:32:04Z</cp:lastPrinted>
  <dcterms:modified xsi:type="dcterms:W3CDTF">2023-07-14T07:43:01Z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SaveFontToCloudKey">
    <vt:lpwstr>386772509_embed</vt:lpwstr>
  </property>
  <property fmtid="{D5CDD505-2E9C-101B-9397-08002B2CF9AE}" pid="4" name="ICV">
    <vt:lpwstr>28863B3B27C34803BC21E288EA7E614E</vt:lpwstr>
  </property>
</Properties>
</file>