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436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487.2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1.卫生健康支出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eastAsia="zh-CN"/>
        </w:rPr>
        <w:t>王玲</w:t>
      </w:r>
      <w:r>
        <w:rPr>
          <w:rFonts w:hint="default" w:ascii="Times New Roman" w:hAnsi="Times New Roman" w:eastAsia="仿宋_GB2312" w:cs="Times New Roman"/>
          <w:sz w:val="22"/>
        </w:rPr>
        <w:t xml:space="preserve">   填报日期：</w:t>
      </w:r>
      <w:r>
        <w:rPr>
          <w:rFonts w:hint="eastAsia" w:eastAsia="仿宋_GB2312" w:cs="Times New Roman"/>
          <w:sz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</w:rPr>
        <w:t xml:space="preserve">   联系电话：</w:t>
      </w:r>
      <w:r>
        <w:rPr>
          <w:rFonts w:hint="eastAsia" w:eastAsia="仿宋_GB2312" w:cs="Times New Roman"/>
          <w:sz w:val="22"/>
          <w:lang w:val="en-US" w:eastAsia="zh-CN"/>
        </w:rPr>
        <w:t>15773031719</w:t>
      </w:r>
      <w:r>
        <w:rPr>
          <w:rFonts w:hint="default" w:ascii="Times New Roman" w:hAnsi="Times New Roman" w:eastAsia="仿宋_GB2312" w:cs="Times New Roman"/>
          <w:sz w:val="22"/>
        </w:rPr>
        <w:t xml:space="preserve"> </w:t>
      </w:r>
      <w:r>
        <w:rPr>
          <w:rFonts w:hint="eastAsia" w:eastAsia="仿宋_GB2312" w:cs="Times New Roman"/>
          <w:sz w:val="2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2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867"/>
        <w:gridCol w:w="872"/>
        <w:gridCol w:w="1051"/>
        <w:gridCol w:w="1110"/>
        <w:gridCol w:w="1125"/>
        <w:gridCol w:w="587"/>
        <w:gridCol w:w="1012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1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华容县新建卫生院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8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288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487.2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487.2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487.2</w:t>
            </w: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487.2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283.4</w:t>
            </w: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397.2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203.8</w:t>
            </w:r>
          </w:p>
        </w:tc>
        <w:tc>
          <w:tcPr>
            <w:tcW w:w="231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目标1：</w:t>
            </w:r>
            <w:r>
              <w:rPr>
                <w:rFonts w:hint="eastAsia" w:eastAsia="仿宋_GB2312"/>
                <w:kern w:val="0"/>
                <w:szCs w:val="21"/>
              </w:rPr>
              <w:t>保障职工工资福利发放，“五险一金缴纳”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目标2：</w:t>
            </w:r>
            <w:r>
              <w:rPr>
                <w:rFonts w:hint="eastAsia" w:eastAsia="仿宋_GB2312"/>
                <w:kern w:val="0"/>
                <w:szCs w:val="21"/>
              </w:rPr>
              <w:t>公用经费确保工作正常运转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目标3：</w:t>
            </w:r>
            <w:r>
              <w:rPr>
                <w:rFonts w:hint="eastAsia" w:eastAsia="仿宋_GB2312"/>
                <w:kern w:val="0"/>
                <w:szCs w:val="21"/>
              </w:rPr>
              <w:t>医疗收入保障医院日常工作开展</w:t>
            </w:r>
          </w:p>
        </w:tc>
        <w:tc>
          <w:tcPr>
            <w:tcW w:w="231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职工工资福利发放，“五险一金缴纳”到位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医疗和公卫工作圆满完成预期目标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工资福利发放率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“五险一金”缴纳率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日常公用经费使用率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患者治愈率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加强专业技术培训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公卫管理率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加强公卫及乡村医生管理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年初计划门诊收入完成率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年初计划住院收入完成率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工资福利到位率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“五险一金”缴纳到位率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医院正常开展各项业务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患者治愈率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加强专业知识培训，提升水平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环境污染处理率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医废污染处理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污水污染处理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7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患者满意度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</w:rPr>
              <w:t>居民满意度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%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王玲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15773031719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 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华容县新建卫生院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华容县新建卫生院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shd w:val="solid" w:color="FFFFFF" w:fill="auto"/>
        <w:autoSpaceDN w:val="0"/>
        <w:spacing w:line="6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华容县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新建卫生院</w:t>
      </w:r>
      <w:r>
        <w:rPr>
          <w:rFonts w:hint="eastAsia" w:ascii="仿宋_GB2312" w:hAnsi="仿宋_GB2312" w:eastAsia="仿宋_GB2312" w:cs="仿宋_GB2312"/>
          <w:color w:val="auto"/>
          <w:sz w:val="32"/>
        </w:rPr>
        <w:t>系财政全额预算拨款单位。202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</w:rPr>
        <w:t>年编制部门核实华容县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新建卫生院事业</w:t>
      </w:r>
      <w:r>
        <w:rPr>
          <w:rFonts w:hint="eastAsia" w:ascii="仿宋_GB2312" w:hAnsi="仿宋_GB2312" w:eastAsia="仿宋_GB2312" w:cs="仿宋_GB2312"/>
          <w:color w:val="auto"/>
          <w:sz w:val="32"/>
        </w:rPr>
        <w:t>编制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</w:rPr>
        <w:t>名，实有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事业编制</w:t>
      </w:r>
      <w:r>
        <w:rPr>
          <w:rFonts w:hint="eastAsia" w:ascii="仿宋_GB2312" w:hAnsi="仿宋_GB2312" w:eastAsia="仿宋_GB2312" w:cs="仿宋_GB2312"/>
          <w:color w:val="auto"/>
          <w:sz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.临聘人员14人，华容县新建卫生院单位内设机构包括：3个职能科室。医疗组、防保组、行政后勤组。</w:t>
      </w:r>
    </w:p>
    <w:p>
      <w:pPr>
        <w:pStyle w:val="2"/>
        <w:numPr>
          <w:ilvl w:val="0"/>
          <w:numId w:val="0"/>
        </w:numPr>
        <w:rPr>
          <w:rFonts w:hint="default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基本支出情况</w:t>
      </w:r>
    </w:p>
    <w:p>
      <w:pPr>
        <w:spacing w:line="560" w:lineRule="exact"/>
        <w:ind w:firstLine="640" w:firstLineChars="200"/>
        <w:rPr>
          <w:rFonts w:hint="eastAsia" w:ascii="华文仿宋" w:hAnsi="华文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2022年华容县新建卫生院基本支出合计539.1万元，主要是用于人员工资、社会保障缴费、临时工工资以及为保障医疗卫生机构正常运转、完成日常工作任务而发生的商品和服务支出。其中：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工资福利支出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397</w:t>
      </w:r>
      <w:r>
        <w:rPr>
          <w:rFonts w:hint="eastAsia" w:ascii="仿宋_GB2312" w:hAnsi="仿宋_GB2312" w:eastAsia="仿宋_GB2312" w:cs="仿宋_GB2312"/>
          <w:sz w:val="32"/>
          <w:szCs w:val="28"/>
        </w:rPr>
        <w:t>万元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项目支出情况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1、项目资金安排落实、总投入等情况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我部门项目资金按照年初预算的安排，按照月度与进度等安排资金落实，2022年华容县新建卫生院整体年初项目资金合计申报90万元，主要是用于</w:t>
      </w:r>
      <w:r>
        <w:rPr>
          <w:rFonts w:hint="eastAsia" w:ascii="仿宋_GB2312" w:hAnsi="仿宋_GB2312" w:eastAsia="仿宋_GB2312" w:cs="仿宋_GB2312"/>
          <w:color w:val="auto"/>
          <w:sz w:val="32"/>
          <w:szCs w:val="28"/>
          <w:lang w:val="en-US" w:eastAsia="zh-CN"/>
        </w:rPr>
        <w:t>基本公共卫生服务、应急物质储备的支出。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、专项资金管理情况分析</w:t>
      </w:r>
    </w:p>
    <w:p>
      <w:pPr>
        <w:spacing w:line="600" w:lineRule="exact"/>
        <w:ind w:firstLine="470" w:firstLineChars="147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严格按项目资金进行管理，执行相关财务支出管理制度，资金管理制度。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加强项目资金专款专用管理，设立专账核算，各项目执行单位财务机构加强项目资金日常使用监督。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、部门整体支出绩效情况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2022年规范化居民电子健康档案已完成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17388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份，建档率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98 %；共完成接种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5555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针次，其中卡介苗、乙肝疫苗、脊灰疫苗、麻疹疫苗、百白破、流脑、乙脑、甲肝等免疫规划疫苗接种率均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99 %以上；0-6岁儿童健康管理人数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856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人，新生儿家庭访视率100%，儿童健康管理率100%；共管理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例孕产妇，早孕建册率96.1%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产后访视率100%；老年人健康管理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2389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人，健康管理率86 % ;糖尿病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人，规范管理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459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人，规范管理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率100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%；高血压管理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1577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人,规范管理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1577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人,规范管理率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%；严重精神障碍患者健康管理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人，规范管理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人，规范管理率100%；肺结核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人，已管理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人，管理率100%，规范服药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人，规范服药率100%；接受中医药健康管理服务老年人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2257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人，老年人中医药健康管理率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%，0-3岁儿童接受中医药健康管理服务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543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人，儿童中医药健康管理服务率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%；卫生院均实行了传染病和突发公共卫生事件预警应急机制，传染病疫情报告率100%，及时报告率100%；卫生计生监督协管信息报告率100%。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全乡家庭医生团队5个累计签约人数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15251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人，通过“卫宁家医平台”实现了应签尽签，签约率100%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、存在的问题及原因分析</w:t>
      </w:r>
    </w:p>
    <w:p>
      <w:pPr>
        <w:tabs>
          <w:tab w:val="center" w:pos="4153"/>
        </w:tabs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预算编制有待更严格执行。预算编制与实际支出项目有的存在差异。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有些工作未能找到适当的量化方式，对绩效管理量化评价方面略显不足。通过县财政局组织的预算绩效管理培训，逐步找到适合的方法对本单位的工作进行合理的分类量化，以便适应将来的预算绩效管理工作。</w:t>
      </w:r>
    </w:p>
    <w:p>
      <w:pPr>
        <w:tabs>
          <w:tab w:val="center" w:pos="4153"/>
        </w:tabs>
        <w:spacing w:line="540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2、</w:t>
      </w:r>
      <w:r>
        <w:rPr>
          <w:rFonts w:hint="eastAsia" w:eastAsia="仿宋_GB2312"/>
          <w:sz w:val="32"/>
          <w:szCs w:val="32"/>
          <w:lang w:eastAsia="zh-CN"/>
        </w:rPr>
        <w:t>加强对</w:t>
      </w:r>
      <w:r>
        <w:rPr>
          <w:rFonts w:eastAsia="仿宋_GB2312"/>
          <w:sz w:val="32"/>
          <w:szCs w:val="32"/>
        </w:rPr>
        <w:t>卫生院基础设施</w:t>
      </w:r>
      <w:r>
        <w:rPr>
          <w:rFonts w:hint="eastAsia" w:eastAsia="仿宋_GB2312"/>
          <w:sz w:val="32"/>
          <w:szCs w:val="32"/>
          <w:lang w:eastAsia="zh-CN"/>
        </w:rPr>
        <w:t>及</w:t>
      </w:r>
      <w:r>
        <w:rPr>
          <w:rFonts w:eastAsia="仿宋_GB2312"/>
          <w:sz w:val="32"/>
          <w:szCs w:val="32"/>
        </w:rPr>
        <w:t>能力建设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抓好医疗质量安全、医疗纠纷第三方调解机制、医疗机构布局、医疗废物集中处置等工作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、下一步改进措施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atLeas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1.强化宣传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。进一步加大宣传力度，让广大城乡居民更全面了解项目的益处，提高群众知晓率，鼓励群众积极参与，自愿配合医疗卫生服务工作的开展。</w:t>
      </w:r>
    </w:p>
    <w:p>
      <w:pPr>
        <w:tabs>
          <w:tab w:val="center" w:pos="4153"/>
        </w:tabs>
        <w:spacing w:line="540" w:lineRule="exact"/>
        <w:ind w:firstLine="630"/>
        <w:jc w:val="left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2.严格审核。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按照预算规定的项目和用途严格财务审核，经费支出严格按预算规定项目的财务支出内容进行财务核算，在预算金额内严格控制费用的支出。</w:t>
      </w:r>
    </w:p>
    <w:p>
      <w:pPr>
        <w:tabs>
          <w:tab w:val="center" w:pos="4153"/>
        </w:tabs>
        <w:spacing w:line="540" w:lineRule="exact"/>
        <w:ind w:firstLine="645"/>
        <w:jc w:val="left"/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3.分析常态化。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预算财务分析常态化，定期做好预算支出财务分析，做好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eastAsia="zh-CN"/>
        </w:rPr>
        <w:t>医院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整体支出预算评价工作。</w:t>
      </w:r>
    </w:p>
    <w:p>
      <w:pPr>
        <w:tabs>
          <w:tab w:val="center" w:pos="4153"/>
        </w:tabs>
        <w:spacing w:line="540" w:lineRule="exact"/>
        <w:ind w:firstLine="645"/>
        <w:jc w:val="lef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4.强化信息公开。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积极宣传和引导居民群众对医疗卫生服务的认知度和信任度，激发公众的参与度，从而积极献计献策、监督政府职能部门的各项工作。</w:t>
      </w:r>
      <w:r>
        <w:rPr>
          <w:rFonts w:hint="eastAsia" w:ascii="宋体" w:hAnsi="宋体" w:eastAsia="宋体" w:cs="宋体"/>
          <w:bCs/>
          <w:spacing w:val="-6"/>
          <w:sz w:val="32"/>
          <w:szCs w:val="32"/>
        </w:rPr>
        <w:t xml:space="preserve"> </w:t>
      </w:r>
    </w:p>
    <w:p>
      <w:pPr>
        <w:tabs>
          <w:tab w:val="center" w:pos="4153"/>
        </w:tabs>
        <w:spacing w:line="600" w:lineRule="exact"/>
        <w:ind w:firstLine="643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5.加大人才培养。</w:t>
      </w:r>
      <w:r>
        <w:rPr>
          <w:rFonts w:hint="eastAsia" w:eastAsia="仿宋_GB2312"/>
          <w:sz w:val="32"/>
          <w:szCs w:val="32"/>
          <w:lang w:eastAsia="zh-CN"/>
        </w:rPr>
        <w:t>由于基层医疗卫生机构医护人员总量不足且青黄不接的问题，希望财政能加大对医疗卫生本土化人才培养的投入，</w:t>
      </w:r>
    </w:p>
    <w:p>
      <w:pPr>
        <w:pStyle w:val="2"/>
        <w:ind w:firstLine="643" w:firstLineChars="200"/>
        <w:rPr>
          <w:rFonts w:hint="default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6.增强投入。</w:t>
      </w:r>
      <w:r>
        <w:rPr>
          <w:rFonts w:hint="eastAsia" w:eastAsia="仿宋_GB2312"/>
          <w:sz w:val="32"/>
          <w:szCs w:val="32"/>
          <w:lang w:eastAsia="zh-CN"/>
        </w:rPr>
        <w:t>疾病预防控制中相关经费短缺，预防性健康体检经费，疫情防控经费，建设等项目需要增强投入和建设。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  <w:r>
        <w:rPr>
          <w:rFonts w:hint="eastAsia" w:eastAsia="黑体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</w:p>
    <w:p>
      <w:pPr>
        <w:pStyle w:val="2"/>
        <w:rPr>
          <w:rFonts w:hint="eastAsia" w:eastAsia="黑体"/>
          <w:lang w:val="en-US" w:eastAsia="zh-CN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31A568"/>
    <w:multiLevelType w:val="singleLevel"/>
    <w:tmpl w:val="F131A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Y2YyMzgzODYwYjFlZTIwZDAwOTM0ZjYwNWMzMTIifQ=="/>
  </w:docVars>
  <w:rsids>
    <w:rsidRoot w:val="4D497642"/>
    <w:rsid w:val="002B06D1"/>
    <w:rsid w:val="00425A1B"/>
    <w:rsid w:val="00AD10E6"/>
    <w:rsid w:val="010B2DA4"/>
    <w:rsid w:val="08B5278D"/>
    <w:rsid w:val="0B713153"/>
    <w:rsid w:val="0FEB1C2B"/>
    <w:rsid w:val="121D1E44"/>
    <w:rsid w:val="130F3E82"/>
    <w:rsid w:val="13781A27"/>
    <w:rsid w:val="13F13588"/>
    <w:rsid w:val="187F5606"/>
    <w:rsid w:val="197B59DA"/>
    <w:rsid w:val="1B043BA1"/>
    <w:rsid w:val="1BC577D4"/>
    <w:rsid w:val="1FBA3FF2"/>
    <w:rsid w:val="204A7E6C"/>
    <w:rsid w:val="21313216"/>
    <w:rsid w:val="2504136D"/>
    <w:rsid w:val="252437BD"/>
    <w:rsid w:val="253D5BE5"/>
    <w:rsid w:val="25BA5ED0"/>
    <w:rsid w:val="2760299B"/>
    <w:rsid w:val="2C6523A7"/>
    <w:rsid w:val="2D720E3E"/>
    <w:rsid w:val="342040CC"/>
    <w:rsid w:val="39AB7BB1"/>
    <w:rsid w:val="3BC62A80"/>
    <w:rsid w:val="3D8727BA"/>
    <w:rsid w:val="3DEE2813"/>
    <w:rsid w:val="3FA15AA1"/>
    <w:rsid w:val="40041DC9"/>
    <w:rsid w:val="418A09F4"/>
    <w:rsid w:val="42052448"/>
    <w:rsid w:val="43650DD1"/>
    <w:rsid w:val="45717F01"/>
    <w:rsid w:val="46565E5C"/>
    <w:rsid w:val="47305B9A"/>
    <w:rsid w:val="493A3511"/>
    <w:rsid w:val="494554C3"/>
    <w:rsid w:val="4A0D3F70"/>
    <w:rsid w:val="4D497642"/>
    <w:rsid w:val="4E3917D8"/>
    <w:rsid w:val="51C70EA9"/>
    <w:rsid w:val="541E26DD"/>
    <w:rsid w:val="54BB0064"/>
    <w:rsid w:val="54DA0A47"/>
    <w:rsid w:val="557650C0"/>
    <w:rsid w:val="5650246B"/>
    <w:rsid w:val="593432C8"/>
    <w:rsid w:val="595E0345"/>
    <w:rsid w:val="59E940B2"/>
    <w:rsid w:val="5ADD34EB"/>
    <w:rsid w:val="5BDE576D"/>
    <w:rsid w:val="5C9E45E6"/>
    <w:rsid w:val="5E710B1A"/>
    <w:rsid w:val="5F9745B0"/>
    <w:rsid w:val="5F9E593F"/>
    <w:rsid w:val="639925CA"/>
    <w:rsid w:val="64CD74B9"/>
    <w:rsid w:val="65E25E59"/>
    <w:rsid w:val="68F24605"/>
    <w:rsid w:val="69C935B8"/>
    <w:rsid w:val="6C031C4E"/>
    <w:rsid w:val="6D88378A"/>
    <w:rsid w:val="6E4F6056"/>
    <w:rsid w:val="71791D68"/>
    <w:rsid w:val="71C54FAD"/>
    <w:rsid w:val="738A200A"/>
    <w:rsid w:val="76A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2456</Words>
  <Characters>2797</Characters>
  <Lines>0</Lines>
  <Paragraphs>0</Paragraphs>
  <TotalTime>37</TotalTime>
  <ScaleCrop>false</ScaleCrop>
  <LinksUpToDate>false</LinksUpToDate>
  <CharactersWithSpaces>2879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2023-07-10T03:05:00Z</dcterms:created>
  <dc:creator>WL</dc:creator>
  <cp:lastModifiedBy>WL</cp:lastModifiedBy>
  <dcterms:modified xsi:type="dcterms:W3CDTF">2023-07-12T00:58:23Z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9118077328B84939ADA5CE5C3DB3A890_11</vt:lpwstr>
  </property>
</Properties>
</file>