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after="120" w:afterLines="50" w:line="600" w:lineRule="exact"/>
        <w:jc w:val="both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eastAsia="zh-CN"/>
        </w:rPr>
        <w:t>附件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1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313" w:afterLines="100" w:line="60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202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2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年度部门整体支出绩效评价基础数据表</w:t>
      </w:r>
    </w:p>
    <w:tbl>
      <w:tblPr>
        <w:tblStyle w:val="7"/>
        <w:tblW w:w="4996" w:type="pct"/>
        <w:jc w:val="cente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17"/>
        <w:gridCol w:w="1955"/>
        <w:gridCol w:w="2436"/>
        <w:gridCol w:w="1673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财政供养人员情况（人）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  <w:t>编制数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  <w:t>202</w:t>
            </w: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  <w:lang w:val="en-US" w:eastAsia="zh-CN"/>
              </w:rPr>
              <w:t>2</w:t>
            </w: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  <w:t>年实际在职人数</w:t>
            </w: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  <w:t>控制率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17</w:t>
            </w:r>
            <w:bookmarkStart w:id="0" w:name="_GoBack"/>
            <w:bookmarkEnd w:id="0"/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17</w:t>
            </w: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100%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经费控制情况（万元）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  <w:lang w:val="en-US" w:eastAsia="zh-CN"/>
              </w:rPr>
              <w:t>2021年决算数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  <w:t>202</w:t>
            </w: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  <w:lang w:val="en-US" w:eastAsia="zh-CN"/>
              </w:rPr>
              <w:t>2</w:t>
            </w: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  <w:t>年预算数</w:t>
            </w: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  <w:t>202</w:t>
            </w: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  <w:lang w:val="en-US" w:eastAsia="zh-CN"/>
              </w:rPr>
              <w:t>2</w:t>
            </w:r>
            <w:r>
              <w:rPr>
                <w:rFonts w:hint="eastAsia" w:ascii="新宋体" w:hAnsi="新宋体" w:eastAsia="新宋体" w:cs="新宋体"/>
                <w:b/>
                <w:bCs/>
                <w:sz w:val="21"/>
                <w:szCs w:val="21"/>
              </w:rPr>
              <w:t>年决算数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eastAsia="zh-CN"/>
              </w:rPr>
              <w:t>一、基本支出：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507万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485.39万</w:t>
            </w: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485.39万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eastAsia="zh-CN"/>
              </w:rPr>
              <w:t>其中：</w:t>
            </w: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三公经费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1</w:t>
            </w: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.</w:t>
            </w: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公务用车购置和维护经费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其中：公车购置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公车运行维护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2</w:t>
            </w: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.</w:t>
            </w: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出国经费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3</w:t>
            </w: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.</w:t>
            </w: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公务接待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eastAsia="zh-CN"/>
              </w:rPr>
              <w:t>二、</w:t>
            </w: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项目支出：</w:t>
            </w: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114万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180万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</w:pP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</w:p>
        </w:tc>
        <w:tc>
          <w:tcPr>
            <w:tcW w:w="1053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</w:p>
        </w:tc>
        <w:tc>
          <w:tcPr>
            <w:tcW w:w="901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3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both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厉行节约保障措施</w:t>
            </w:r>
          </w:p>
        </w:tc>
        <w:tc>
          <w:tcPr>
            <w:tcW w:w="3266" w:type="pct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left="0" w:leftChars="0" w:right="0" w:rightChars="0" w:firstLine="0" w:firstLineChars="0"/>
              <w:jc w:val="center"/>
              <w:rPr>
                <w:rFonts w:hint="eastAsia" w:ascii="新宋体" w:hAnsi="新宋体" w:eastAsia="新宋体" w:cs="新宋体"/>
                <w:sz w:val="21"/>
                <w:szCs w:val="21"/>
              </w:rPr>
            </w:pPr>
          </w:p>
        </w:tc>
      </w:tr>
    </w:tbl>
    <w:p>
      <w:pPr>
        <w:widowControl/>
        <w:spacing w:afterLines="0" w:line="400" w:lineRule="exact"/>
        <w:jc w:val="left"/>
        <w:rPr>
          <w:rFonts w:hint="eastAsia" w:ascii="新宋体" w:hAnsi="新宋体" w:eastAsia="新宋体" w:cs="新宋体"/>
          <w:sz w:val="21"/>
          <w:szCs w:val="21"/>
          <w:lang w:eastAsia="zh-CN"/>
        </w:rPr>
      </w:pPr>
      <w:r>
        <w:rPr>
          <w:rFonts w:hint="eastAsia" w:ascii="新宋体" w:hAnsi="新宋体" w:eastAsia="新宋体" w:cs="新宋体"/>
          <w:sz w:val="21"/>
          <w:szCs w:val="21"/>
        </w:rPr>
        <w:t>说明：</w:t>
      </w:r>
      <w:r>
        <w:rPr>
          <w:rFonts w:hint="eastAsia" w:ascii="新宋体" w:hAnsi="新宋体" w:eastAsia="新宋体" w:cs="新宋体"/>
          <w:sz w:val="21"/>
          <w:szCs w:val="21"/>
          <w:lang w:eastAsia="zh-CN"/>
        </w:rPr>
        <w:t>以上数据均来源于</w:t>
      </w:r>
      <w:r>
        <w:rPr>
          <w:rFonts w:hint="eastAsia" w:ascii="新宋体" w:hAnsi="新宋体" w:eastAsia="新宋体" w:cs="新宋体"/>
          <w:sz w:val="21"/>
          <w:szCs w:val="21"/>
          <w:lang w:val="en-US" w:eastAsia="zh-CN"/>
        </w:rPr>
        <w:t>部门决算报表，其中</w:t>
      </w:r>
      <w:r>
        <w:rPr>
          <w:rFonts w:hint="eastAsia" w:ascii="新宋体" w:hAnsi="新宋体" w:eastAsia="新宋体" w:cs="新宋体"/>
          <w:sz w:val="21"/>
          <w:szCs w:val="21"/>
        </w:rPr>
        <w:t>“</w:t>
      </w:r>
      <w:r>
        <w:rPr>
          <w:rFonts w:hint="eastAsia" w:ascii="新宋体" w:hAnsi="新宋体" w:eastAsia="新宋体" w:cs="新宋体"/>
          <w:sz w:val="21"/>
          <w:szCs w:val="21"/>
          <w:lang w:eastAsia="zh-CN"/>
        </w:rPr>
        <w:t>基本支出</w:t>
      </w:r>
      <w:r>
        <w:rPr>
          <w:rFonts w:hint="eastAsia" w:ascii="新宋体" w:hAnsi="新宋体" w:eastAsia="新宋体" w:cs="新宋体"/>
          <w:sz w:val="21"/>
          <w:szCs w:val="21"/>
        </w:rPr>
        <w:t>”</w:t>
      </w:r>
      <w:r>
        <w:rPr>
          <w:rFonts w:hint="eastAsia" w:ascii="新宋体" w:hAnsi="新宋体" w:eastAsia="新宋体" w:cs="新宋体"/>
          <w:sz w:val="21"/>
          <w:szCs w:val="21"/>
          <w:lang w:eastAsia="zh-CN"/>
        </w:rPr>
        <w:t>数据参照基本支出决算明细表（财决</w:t>
      </w:r>
      <w:r>
        <w:rPr>
          <w:rFonts w:hint="eastAsia" w:ascii="新宋体" w:hAnsi="新宋体" w:eastAsia="新宋体" w:cs="新宋体"/>
          <w:sz w:val="21"/>
          <w:szCs w:val="21"/>
          <w:lang w:val="en-US" w:eastAsia="zh-CN"/>
        </w:rPr>
        <w:t>05-1表</w:t>
      </w:r>
      <w:r>
        <w:rPr>
          <w:rFonts w:hint="eastAsia" w:ascii="新宋体" w:hAnsi="新宋体" w:eastAsia="新宋体" w:cs="新宋体"/>
          <w:sz w:val="21"/>
          <w:szCs w:val="21"/>
          <w:lang w:eastAsia="zh-CN"/>
        </w:rPr>
        <w:t>）；“三公经费”数据参照机构运行信息表（财决附</w:t>
      </w:r>
      <w:r>
        <w:rPr>
          <w:rFonts w:hint="eastAsia" w:ascii="新宋体" w:hAnsi="新宋体" w:eastAsia="新宋体" w:cs="新宋体"/>
          <w:sz w:val="21"/>
          <w:szCs w:val="21"/>
          <w:lang w:val="en-US" w:eastAsia="zh-CN"/>
        </w:rPr>
        <w:t>03表</w:t>
      </w:r>
      <w:r>
        <w:rPr>
          <w:rFonts w:hint="eastAsia" w:ascii="新宋体" w:hAnsi="新宋体" w:eastAsia="新宋体" w:cs="新宋体"/>
          <w:sz w:val="21"/>
          <w:szCs w:val="21"/>
          <w:lang w:eastAsia="zh-CN"/>
        </w:rPr>
        <w:t>）；</w:t>
      </w:r>
      <w:r>
        <w:rPr>
          <w:rFonts w:hint="eastAsia" w:ascii="新宋体" w:hAnsi="新宋体" w:eastAsia="新宋体" w:cs="新宋体"/>
          <w:sz w:val="21"/>
          <w:szCs w:val="21"/>
        </w:rPr>
        <w:t>“项目支出”</w:t>
      </w:r>
      <w:r>
        <w:rPr>
          <w:rFonts w:hint="eastAsia" w:ascii="新宋体" w:hAnsi="新宋体" w:eastAsia="新宋体" w:cs="新宋体"/>
          <w:sz w:val="21"/>
          <w:szCs w:val="21"/>
          <w:lang w:eastAsia="zh-CN"/>
        </w:rPr>
        <w:t>数据参照项目支出决算明细表（财决</w:t>
      </w:r>
      <w:r>
        <w:rPr>
          <w:rFonts w:hint="eastAsia" w:ascii="新宋体" w:hAnsi="新宋体" w:eastAsia="新宋体" w:cs="新宋体"/>
          <w:sz w:val="21"/>
          <w:szCs w:val="21"/>
          <w:lang w:val="en-US" w:eastAsia="zh-CN"/>
        </w:rPr>
        <w:t>05-2表</w:t>
      </w:r>
      <w:r>
        <w:rPr>
          <w:rFonts w:hint="eastAsia" w:ascii="新宋体" w:hAnsi="新宋体" w:eastAsia="新宋体" w:cs="新宋体"/>
          <w:sz w:val="21"/>
          <w:szCs w:val="21"/>
          <w:lang w:eastAsia="zh-CN"/>
        </w:rPr>
        <w:t>）。</w:t>
      </w:r>
    </w:p>
    <w:p>
      <w:pPr>
        <w:widowControl/>
        <w:spacing w:after="0" w:afterLines="0" w:line="400" w:lineRule="exact"/>
        <w:jc w:val="left"/>
        <w:rPr>
          <w:rFonts w:hint="default" w:ascii="Times New Roman" w:hAnsi="Times New Roman" w:eastAsia="仿宋_GB2312" w:cs="Times New Roman"/>
          <w:sz w:val="22"/>
        </w:rPr>
      </w:pPr>
    </w:p>
    <w:p>
      <w:pPr>
        <w:widowControl/>
        <w:spacing w:after="0" w:afterLines="0" w:line="400" w:lineRule="exact"/>
        <w:jc w:val="left"/>
        <w:rPr>
          <w:rFonts w:hint="eastAsia" w:ascii="Times New Roman" w:hAnsi="Times New Roman" w:eastAsia="黑体" w:cs="Times New Roman"/>
          <w:sz w:val="32"/>
          <w:szCs w:val="32"/>
          <w:lang w:eastAsia="zh-CN"/>
        </w:rPr>
      </w:pPr>
      <w:r>
        <w:rPr>
          <w:rFonts w:hint="default" w:ascii="Times New Roman" w:hAnsi="Times New Roman" w:eastAsia="仿宋_GB2312" w:cs="Times New Roman"/>
          <w:sz w:val="22"/>
        </w:rPr>
        <w:t xml:space="preserve">填表人： </w:t>
      </w:r>
      <w:r>
        <w:rPr>
          <w:rFonts w:hint="eastAsia" w:eastAsia="仿宋_GB2312" w:cs="Times New Roman"/>
          <w:sz w:val="22"/>
          <w:lang w:val="en-US" w:eastAsia="zh-CN"/>
        </w:rPr>
        <w:t>袁晓凤</w:t>
      </w:r>
      <w:r>
        <w:rPr>
          <w:rFonts w:hint="default" w:ascii="Times New Roman" w:hAnsi="Times New Roman" w:eastAsia="仿宋_GB2312" w:cs="Times New Roman"/>
          <w:sz w:val="22"/>
        </w:rPr>
        <w:t xml:space="preserve">  填报日期： </w:t>
      </w:r>
      <w:r>
        <w:rPr>
          <w:rFonts w:hint="eastAsia" w:eastAsia="仿宋_GB2312" w:cs="Times New Roman"/>
          <w:sz w:val="22"/>
          <w:lang w:val="en-US" w:eastAsia="zh-CN"/>
        </w:rPr>
        <w:t>2023.7.13</w:t>
      </w:r>
      <w:r>
        <w:rPr>
          <w:rFonts w:hint="default" w:ascii="Times New Roman" w:hAnsi="Times New Roman" w:eastAsia="仿宋_GB2312" w:cs="Times New Roman"/>
          <w:sz w:val="22"/>
        </w:rPr>
        <w:t xml:space="preserve">  联系电话：</w:t>
      </w:r>
      <w:r>
        <w:rPr>
          <w:rFonts w:hint="eastAsia" w:eastAsia="仿宋_GB2312" w:cs="Times New Roman"/>
          <w:sz w:val="22"/>
          <w:lang w:val="en-US" w:eastAsia="zh-CN"/>
        </w:rPr>
        <w:t>18773077375</w:t>
      </w:r>
      <w:r>
        <w:rPr>
          <w:rFonts w:hint="default" w:ascii="Times New Roman" w:hAnsi="Times New Roman" w:eastAsia="仿宋_GB2312" w:cs="Times New Roman"/>
          <w:sz w:val="22"/>
        </w:rPr>
        <w:t xml:space="preserve"> 单位负责人签字：</w:t>
      </w:r>
      <w:r>
        <w:rPr>
          <w:rFonts w:hint="default" w:ascii="Times New Roman" w:hAnsi="Times New Roman" w:eastAsia="仿宋_GB2312" w:cs="Times New Roman"/>
          <w:sz w:val="22"/>
        </w:rPr>
        <w:br w:type="page"/>
      </w:r>
      <w:r>
        <w:rPr>
          <w:rFonts w:hint="default" w:ascii="黑体" w:hAnsi="黑体" w:eastAsia="黑体" w:cs="黑体"/>
          <w:sz w:val="32"/>
          <w:szCs w:val="32"/>
          <w:lang w:eastAsia="zh-CN"/>
        </w:rPr>
        <w:t>附件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2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313" w:afterLines="100" w:line="60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202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2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年度部门整体支出绩效自评表</w:t>
      </w:r>
    </w:p>
    <w:tbl>
      <w:tblPr>
        <w:tblStyle w:val="7"/>
        <w:tblW w:w="4996" w:type="pct"/>
        <w:jc w:val="cente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83"/>
        <w:gridCol w:w="867"/>
        <w:gridCol w:w="874"/>
        <w:gridCol w:w="1051"/>
        <w:gridCol w:w="1108"/>
        <w:gridCol w:w="1121"/>
        <w:gridCol w:w="587"/>
        <w:gridCol w:w="1012"/>
        <w:gridCol w:w="1578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3" w:hRule="atLeast"/>
          <w:jc w:val="center"/>
        </w:trPr>
        <w:tc>
          <w:tcPr>
            <w:tcW w:w="584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eastAsia="zh-CN"/>
              </w:rPr>
              <w:t>县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级预算部门名称</w:t>
            </w:r>
          </w:p>
        </w:tc>
        <w:tc>
          <w:tcPr>
            <w:tcW w:w="4415" w:type="pct"/>
            <w:gridSpan w:val="8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华容县新河乡卫生院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3" w:hRule="atLeast"/>
          <w:jc w:val="center"/>
        </w:trPr>
        <w:tc>
          <w:tcPr>
            <w:tcW w:w="584" w:type="pct"/>
            <w:vMerge w:val="restart"/>
            <w:tcBorders>
              <w:top w:val="nil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  <w:t>年度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  <w:t>预算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eastAsia="zh-CN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  <w:t>申请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  <w:t>（万元）</w:t>
            </w:r>
          </w:p>
        </w:tc>
        <w:tc>
          <w:tcPr>
            <w:tcW w:w="938" w:type="pct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</w:rPr>
            </w:pPr>
          </w:p>
        </w:tc>
        <w:tc>
          <w:tcPr>
            <w:tcW w:w="56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</w:rPr>
              <w:t>年初</w:t>
            </w:r>
          </w:p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</w:rPr>
              <w:t>预算数</w:t>
            </w:r>
          </w:p>
        </w:tc>
        <w:tc>
          <w:tcPr>
            <w:tcW w:w="59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</w:rPr>
              <w:t>全年</w:t>
            </w:r>
          </w:p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</w:rPr>
              <w:t>预算数</w:t>
            </w:r>
          </w:p>
        </w:tc>
        <w:tc>
          <w:tcPr>
            <w:tcW w:w="60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全年</w:t>
            </w:r>
          </w:p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执行数</w:t>
            </w:r>
          </w:p>
        </w:tc>
        <w:tc>
          <w:tcPr>
            <w:tcW w:w="31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分值</w:t>
            </w:r>
          </w:p>
        </w:tc>
        <w:tc>
          <w:tcPr>
            <w:tcW w:w="54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执行率</w:t>
            </w:r>
          </w:p>
        </w:tc>
        <w:tc>
          <w:tcPr>
            <w:tcW w:w="85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得分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top w:val="nil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</w:pPr>
          </w:p>
        </w:tc>
        <w:tc>
          <w:tcPr>
            <w:tcW w:w="938" w:type="pct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  <w:t>年度资金总额</w:t>
            </w:r>
          </w:p>
        </w:tc>
        <w:tc>
          <w:tcPr>
            <w:tcW w:w="56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新宋体" w:hAnsi="新宋体" w:eastAsia="新宋体" w:cs="新宋体"/>
                <w:i w:val="0"/>
                <w:i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  <w:lang w:val="en-US" w:eastAsia="zh-CN"/>
              </w:rPr>
              <w:t>112万</w:t>
            </w:r>
          </w:p>
        </w:tc>
        <w:tc>
          <w:tcPr>
            <w:tcW w:w="59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新宋体" w:hAnsi="新宋体" w:eastAsia="新宋体" w:cs="新宋体"/>
                <w:i w:val="0"/>
                <w:iCs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sz w:val="21"/>
                <w:szCs w:val="21"/>
                <w:lang w:val="en-US" w:eastAsia="zh-CN"/>
              </w:rPr>
              <w:t>787.39万</w:t>
            </w:r>
          </w:p>
        </w:tc>
        <w:tc>
          <w:tcPr>
            <w:tcW w:w="60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787.39万</w:t>
            </w:r>
          </w:p>
        </w:tc>
        <w:tc>
          <w:tcPr>
            <w:tcW w:w="31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</w:rPr>
              <w:t>10</w:t>
            </w:r>
          </w:p>
        </w:tc>
        <w:tc>
          <w:tcPr>
            <w:tcW w:w="54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100%</w:t>
            </w:r>
          </w:p>
        </w:tc>
        <w:tc>
          <w:tcPr>
            <w:tcW w:w="85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新宋体" w:hAnsi="新宋体" w:eastAsia="新宋体" w:cs="新宋体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sz w:val="21"/>
                <w:szCs w:val="21"/>
                <w:lang w:val="en-US" w:eastAsia="zh-CN"/>
              </w:rPr>
              <w:t>96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</w:pPr>
          </w:p>
        </w:tc>
        <w:tc>
          <w:tcPr>
            <w:tcW w:w="2101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  <w:t>按收入性质分：</w:t>
            </w:r>
          </w:p>
        </w:tc>
        <w:tc>
          <w:tcPr>
            <w:tcW w:w="2313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按支出性质分：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</w:pPr>
          </w:p>
        </w:tc>
        <w:tc>
          <w:tcPr>
            <w:tcW w:w="2101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  <w:t>其中：</w:t>
            </w: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  <w:t>一般公共预算：</w:t>
            </w: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  <w:t>610.62万</w:t>
            </w:r>
          </w:p>
        </w:tc>
        <w:tc>
          <w:tcPr>
            <w:tcW w:w="2313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其中：基本支出：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485.39万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</w:pPr>
          </w:p>
        </w:tc>
        <w:tc>
          <w:tcPr>
            <w:tcW w:w="2101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 w:firstLine="630" w:firstLineChars="300"/>
              <w:jc w:val="left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  <w:t>政府性基金拨款：</w:t>
            </w: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2313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 w:firstLine="630" w:firstLineChars="300"/>
              <w:jc w:val="left"/>
              <w:textAlignment w:val="auto"/>
              <w:rPr>
                <w:rFonts w:hint="default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项目支出：</w:t>
            </w: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  <w:lang w:val="en-US" w:eastAsia="zh-CN"/>
              </w:rPr>
              <w:t>180万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</w:pPr>
          </w:p>
        </w:tc>
        <w:tc>
          <w:tcPr>
            <w:tcW w:w="2101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  <w:t>纳入专户管理的非税收入拨款：</w:t>
            </w: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  <w:t>0</w:t>
            </w:r>
          </w:p>
        </w:tc>
        <w:tc>
          <w:tcPr>
            <w:tcW w:w="2313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</w:pPr>
          </w:p>
        </w:tc>
        <w:tc>
          <w:tcPr>
            <w:tcW w:w="2101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 w:firstLine="1260" w:firstLineChars="600"/>
              <w:jc w:val="left"/>
              <w:textAlignment w:val="auto"/>
              <w:rPr>
                <w:rFonts w:hint="default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</w:rPr>
              <w:t>其他资金：</w:t>
            </w:r>
            <w:r>
              <w:rPr>
                <w:rFonts w:hint="eastAsia" w:ascii="新宋体" w:hAnsi="新宋体" w:eastAsia="新宋体" w:cs="新宋体"/>
                <w:i w:val="0"/>
                <w:iCs w:val="0"/>
                <w:color w:val="000000"/>
                <w:sz w:val="21"/>
                <w:szCs w:val="21"/>
                <w:lang w:val="en-US" w:eastAsia="zh-CN"/>
              </w:rPr>
              <w:t>176.77万</w:t>
            </w:r>
          </w:p>
        </w:tc>
        <w:tc>
          <w:tcPr>
            <w:tcW w:w="2313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年度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总体目标</w:t>
            </w:r>
          </w:p>
        </w:tc>
        <w:tc>
          <w:tcPr>
            <w:tcW w:w="2101" w:type="pct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预期目标</w:t>
            </w:r>
          </w:p>
        </w:tc>
        <w:tc>
          <w:tcPr>
            <w:tcW w:w="2313" w:type="pct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实际完成情况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2101" w:type="pct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autoSpaceDN w:val="0"/>
              <w:spacing w:before="0" w:beforeAutospacing="0" w:after="0" w:afterAutospacing="0" w:line="320" w:lineRule="exact"/>
              <w:ind w:left="0" w:right="0"/>
              <w:jc w:val="left"/>
              <w:textAlignment w:val="center"/>
              <w:rPr>
                <w:rFonts w:hint="eastAsia" w:ascii="新宋体" w:hAnsi="新宋体" w:eastAsia="新宋体" w:cs="新宋体"/>
                <w:color w:val="000000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Cs w:val="21"/>
              </w:rPr>
              <w:t>目标1：</w:t>
            </w:r>
            <w:r>
              <w:rPr>
                <w:rFonts w:hint="eastAsia" w:ascii="新宋体" w:hAnsi="新宋体" w:eastAsia="新宋体" w:cs="新宋体"/>
                <w:kern w:val="0"/>
                <w:szCs w:val="21"/>
              </w:rPr>
              <w:t>保障职工工资福利发放，“五险一金缴纳”</w:t>
            </w:r>
          </w:p>
          <w:p>
            <w:pPr>
              <w:keepNext w:val="0"/>
              <w:keepLines w:val="0"/>
              <w:suppressLineNumbers w:val="0"/>
              <w:autoSpaceDN w:val="0"/>
              <w:spacing w:before="0" w:beforeAutospacing="0" w:after="0" w:afterAutospacing="0" w:line="320" w:lineRule="exact"/>
              <w:ind w:left="0" w:right="0"/>
              <w:jc w:val="left"/>
              <w:textAlignment w:val="center"/>
              <w:rPr>
                <w:rFonts w:hint="eastAsia" w:ascii="新宋体" w:hAnsi="新宋体" w:eastAsia="新宋体" w:cs="新宋体"/>
                <w:color w:val="000000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Cs w:val="21"/>
              </w:rPr>
              <w:t>目标2：</w:t>
            </w:r>
            <w:r>
              <w:rPr>
                <w:rFonts w:hint="eastAsia" w:ascii="新宋体" w:hAnsi="新宋体" w:eastAsia="新宋体" w:cs="新宋体"/>
                <w:kern w:val="0"/>
                <w:szCs w:val="21"/>
              </w:rPr>
              <w:t>公用经费确保工作正常运转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Cs w:val="21"/>
              </w:rPr>
              <w:t>目标3：</w:t>
            </w:r>
            <w:r>
              <w:rPr>
                <w:rFonts w:hint="eastAsia" w:ascii="新宋体" w:hAnsi="新宋体" w:eastAsia="新宋体" w:cs="新宋体"/>
                <w:kern w:val="0"/>
                <w:szCs w:val="21"/>
              </w:rPr>
              <w:t>医疗收入保障医院日常工作开展</w:t>
            </w:r>
          </w:p>
        </w:tc>
        <w:tc>
          <w:tcPr>
            <w:tcW w:w="2313" w:type="pct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autoSpaceDN w:val="0"/>
              <w:spacing w:before="0" w:beforeAutospacing="0" w:after="0" w:afterAutospacing="0" w:line="320" w:lineRule="exact"/>
              <w:ind w:left="0" w:right="0"/>
              <w:jc w:val="left"/>
              <w:textAlignment w:val="center"/>
              <w:rPr>
                <w:rFonts w:hint="eastAsia" w:ascii="新宋体" w:hAnsi="新宋体" w:eastAsia="新宋体" w:cs="新宋体"/>
                <w:color w:val="000000"/>
                <w:szCs w:val="21"/>
              </w:rPr>
            </w:pPr>
            <w:r>
              <w:rPr>
                <w:rFonts w:hint="eastAsia" w:ascii="新宋体" w:hAnsi="新宋体" w:eastAsia="新宋体" w:cs="新宋体"/>
                <w:kern w:val="0"/>
                <w:szCs w:val="21"/>
              </w:rPr>
              <w:t>职工工资福利发放，“五险一金缴纳”到位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kern w:val="0"/>
                <w:szCs w:val="21"/>
              </w:rPr>
              <w:t>医疗和公卫工作圆满完成预期目标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  <w:jc w:val="center"/>
        </w:trPr>
        <w:tc>
          <w:tcPr>
            <w:tcW w:w="584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绩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效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标</w:t>
            </w:r>
          </w:p>
        </w:tc>
        <w:tc>
          <w:tcPr>
            <w:tcW w:w="46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一级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</w:tc>
        <w:tc>
          <w:tcPr>
            <w:tcW w:w="47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二级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三级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</w:tc>
        <w:tc>
          <w:tcPr>
            <w:tcW w:w="59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年度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指标值</w:t>
            </w:r>
          </w:p>
        </w:tc>
        <w:tc>
          <w:tcPr>
            <w:tcW w:w="60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实际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完成值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分值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得分</w:t>
            </w:r>
          </w:p>
        </w:tc>
        <w:tc>
          <w:tcPr>
            <w:tcW w:w="8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偏差原因分析及改进措施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7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产出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(50分)</w:t>
            </w:r>
          </w:p>
        </w:tc>
        <w:tc>
          <w:tcPr>
            <w:tcW w:w="470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数量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kern w:val="0"/>
                <w:szCs w:val="21"/>
              </w:rPr>
              <w:t>工资福利发放率</w:t>
            </w:r>
          </w:p>
        </w:tc>
        <w:tc>
          <w:tcPr>
            <w:tcW w:w="59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100%</w:t>
            </w:r>
          </w:p>
        </w:tc>
        <w:tc>
          <w:tcPr>
            <w:tcW w:w="60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100%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8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7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70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kern w:val="0"/>
                <w:szCs w:val="21"/>
              </w:rPr>
              <w:t>“五险一金”缴纳率</w:t>
            </w:r>
          </w:p>
        </w:tc>
        <w:tc>
          <w:tcPr>
            <w:tcW w:w="59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100%</w:t>
            </w:r>
          </w:p>
        </w:tc>
        <w:tc>
          <w:tcPr>
            <w:tcW w:w="60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100%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8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7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70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kern w:val="0"/>
                <w:szCs w:val="21"/>
              </w:rPr>
              <w:t>日常公用经费使用率</w:t>
            </w:r>
          </w:p>
        </w:tc>
        <w:tc>
          <w:tcPr>
            <w:tcW w:w="59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100%</w:t>
            </w:r>
          </w:p>
        </w:tc>
        <w:tc>
          <w:tcPr>
            <w:tcW w:w="60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100%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10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10</w:t>
            </w:r>
          </w:p>
        </w:tc>
        <w:tc>
          <w:tcPr>
            <w:tcW w:w="8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7" w:hRule="atLeast"/>
          <w:jc w:val="center"/>
        </w:trPr>
        <w:tc>
          <w:tcPr>
            <w:tcW w:w="584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7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70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质量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kern w:val="0"/>
                <w:szCs w:val="21"/>
              </w:rPr>
              <w:t>患者治愈率</w:t>
            </w:r>
          </w:p>
        </w:tc>
        <w:tc>
          <w:tcPr>
            <w:tcW w:w="59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100%</w:t>
            </w:r>
          </w:p>
        </w:tc>
        <w:tc>
          <w:tcPr>
            <w:tcW w:w="60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95%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4</w:t>
            </w:r>
          </w:p>
        </w:tc>
        <w:tc>
          <w:tcPr>
            <w:tcW w:w="8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加强专业技术培训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25" w:hRule="atLeast"/>
          <w:jc w:val="center"/>
        </w:trPr>
        <w:tc>
          <w:tcPr>
            <w:tcW w:w="584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7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70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Cs w:val="21"/>
              </w:rPr>
              <w:t>公卫管理率</w:t>
            </w:r>
          </w:p>
        </w:tc>
        <w:tc>
          <w:tcPr>
            <w:tcW w:w="59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100%</w:t>
            </w:r>
          </w:p>
        </w:tc>
        <w:tc>
          <w:tcPr>
            <w:tcW w:w="60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95%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4</w:t>
            </w:r>
          </w:p>
        </w:tc>
        <w:tc>
          <w:tcPr>
            <w:tcW w:w="8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加强公卫及乡村医生管理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7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70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时效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kern w:val="0"/>
                <w:szCs w:val="21"/>
              </w:rPr>
              <w:t>年初计划门诊收入完成率</w:t>
            </w:r>
          </w:p>
        </w:tc>
        <w:tc>
          <w:tcPr>
            <w:tcW w:w="59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100%</w:t>
            </w:r>
          </w:p>
        </w:tc>
        <w:tc>
          <w:tcPr>
            <w:tcW w:w="60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100%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8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7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70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kern w:val="0"/>
                <w:szCs w:val="21"/>
              </w:rPr>
              <w:t>年初计划住院收入完成率</w:t>
            </w:r>
          </w:p>
        </w:tc>
        <w:tc>
          <w:tcPr>
            <w:tcW w:w="59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100%</w:t>
            </w:r>
          </w:p>
        </w:tc>
        <w:tc>
          <w:tcPr>
            <w:tcW w:w="60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100%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8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7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70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成本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kern w:val="0"/>
                <w:szCs w:val="21"/>
              </w:rPr>
              <w:t>工资福利到位率</w:t>
            </w:r>
          </w:p>
        </w:tc>
        <w:tc>
          <w:tcPr>
            <w:tcW w:w="59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100%</w:t>
            </w:r>
          </w:p>
        </w:tc>
        <w:tc>
          <w:tcPr>
            <w:tcW w:w="60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100%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8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7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70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kern w:val="0"/>
                <w:szCs w:val="21"/>
              </w:rPr>
              <w:t>“五险一金”缴纳到位率</w:t>
            </w:r>
          </w:p>
        </w:tc>
        <w:tc>
          <w:tcPr>
            <w:tcW w:w="59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100%</w:t>
            </w:r>
          </w:p>
        </w:tc>
        <w:tc>
          <w:tcPr>
            <w:tcW w:w="60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100%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8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  <w:jc w:val="center"/>
        </w:trPr>
        <w:tc>
          <w:tcPr>
            <w:tcW w:w="584" w:type="pct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绩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效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</w:t>
            </w:r>
          </w:p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标</w:t>
            </w:r>
          </w:p>
        </w:tc>
        <w:tc>
          <w:tcPr>
            <w:tcW w:w="46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一级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</w:tc>
        <w:tc>
          <w:tcPr>
            <w:tcW w:w="47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二级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三级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指标</w:t>
            </w:r>
          </w:p>
        </w:tc>
        <w:tc>
          <w:tcPr>
            <w:tcW w:w="59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年度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指标值</w:t>
            </w:r>
          </w:p>
        </w:tc>
        <w:tc>
          <w:tcPr>
            <w:tcW w:w="60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实际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完成值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分值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得分</w:t>
            </w:r>
          </w:p>
        </w:tc>
        <w:tc>
          <w:tcPr>
            <w:tcW w:w="8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偏差原因分析及改进措施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7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效益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（30分）</w:t>
            </w:r>
          </w:p>
        </w:tc>
        <w:tc>
          <w:tcPr>
            <w:tcW w:w="47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经济效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益指标</w:t>
            </w: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autoSpaceDN w:val="0"/>
              <w:spacing w:before="0" w:beforeAutospacing="0" w:after="0" w:afterAutospacing="0" w:line="320" w:lineRule="exact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kern w:val="0"/>
                <w:szCs w:val="21"/>
              </w:rPr>
              <w:t>医院正常开展各项业务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</w:p>
        </w:tc>
        <w:tc>
          <w:tcPr>
            <w:tcW w:w="59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100%</w:t>
            </w:r>
          </w:p>
        </w:tc>
        <w:tc>
          <w:tcPr>
            <w:tcW w:w="60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100%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6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6</w:t>
            </w:r>
          </w:p>
        </w:tc>
        <w:tc>
          <w:tcPr>
            <w:tcW w:w="8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47" w:hRule="atLeast"/>
          <w:jc w:val="center"/>
        </w:trPr>
        <w:tc>
          <w:tcPr>
            <w:tcW w:w="584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7" w:type="pct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7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社会效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益指标</w:t>
            </w:r>
          </w:p>
        </w:tc>
        <w:tc>
          <w:tcPr>
            <w:tcW w:w="56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autoSpaceDN w:val="0"/>
              <w:spacing w:before="0" w:beforeAutospacing="0" w:after="0" w:afterAutospacing="0" w:line="320" w:lineRule="exact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kern w:val="0"/>
                <w:szCs w:val="21"/>
              </w:rPr>
              <w:t>患者治愈率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</w:p>
        </w:tc>
        <w:tc>
          <w:tcPr>
            <w:tcW w:w="59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100%</w:t>
            </w:r>
          </w:p>
        </w:tc>
        <w:tc>
          <w:tcPr>
            <w:tcW w:w="60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95%</w:t>
            </w:r>
          </w:p>
        </w:tc>
        <w:tc>
          <w:tcPr>
            <w:tcW w:w="31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6</w:t>
            </w:r>
          </w:p>
        </w:tc>
        <w:tc>
          <w:tcPr>
            <w:tcW w:w="54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4</w:t>
            </w:r>
          </w:p>
        </w:tc>
        <w:tc>
          <w:tcPr>
            <w:tcW w:w="85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加强专业知识培训，提升水平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584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7" w:type="pct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7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生态效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益指标</w:t>
            </w:r>
          </w:p>
        </w:tc>
        <w:tc>
          <w:tcPr>
            <w:tcW w:w="56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suppressLineNumbers w:val="0"/>
              <w:autoSpaceDN w:val="0"/>
              <w:spacing w:before="0" w:beforeAutospacing="0" w:after="0" w:afterAutospacing="0" w:line="320" w:lineRule="exact"/>
              <w:ind w:left="0" w:right="0"/>
              <w:jc w:val="center"/>
              <w:textAlignment w:val="center"/>
              <w:rPr>
                <w:rFonts w:hint="eastAsia" w:ascii="仿宋" w:hAnsi="仿宋" w:eastAsia="仿宋" w:cs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kern w:val="0"/>
                <w:szCs w:val="21"/>
              </w:rPr>
              <w:t>环境污染处理率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</w:p>
        </w:tc>
        <w:tc>
          <w:tcPr>
            <w:tcW w:w="59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100%</w:t>
            </w:r>
          </w:p>
        </w:tc>
        <w:tc>
          <w:tcPr>
            <w:tcW w:w="60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100%</w:t>
            </w:r>
          </w:p>
        </w:tc>
        <w:tc>
          <w:tcPr>
            <w:tcW w:w="31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6</w:t>
            </w:r>
          </w:p>
        </w:tc>
        <w:tc>
          <w:tcPr>
            <w:tcW w:w="54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6</w:t>
            </w:r>
          </w:p>
        </w:tc>
        <w:tc>
          <w:tcPr>
            <w:tcW w:w="85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7" w:type="pct"/>
            <w:vMerge w:val="continue"/>
            <w:tcBorders>
              <w:left w:val="nil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70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可持续影响指标</w:t>
            </w:r>
          </w:p>
        </w:tc>
        <w:tc>
          <w:tcPr>
            <w:tcW w:w="56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医废污染处理</w:t>
            </w:r>
          </w:p>
        </w:tc>
        <w:tc>
          <w:tcPr>
            <w:tcW w:w="59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100%</w:t>
            </w:r>
          </w:p>
        </w:tc>
        <w:tc>
          <w:tcPr>
            <w:tcW w:w="60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100%</w:t>
            </w:r>
          </w:p>
        </w:tc>
        <w:tc>
          <w:tcPr>
            <w:tcW w:w="31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6</w:t>
            </w:r>
          </w:p>
        </w:tc>
        <w:tc>
          <w:tcPr>
            <w:tcW w:w="545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6</w:t>
            </w:r>
          </w:p>
        </w:tc>
        <w:tc>
          <w:tcPr>
            <w:tcW w:w="8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7" w:type="pct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70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56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污水污染处理</w:t>
            </w:r>
          </w:p>
        </w:tc>
        <w:tc>
          <w:tcPr>
            <w:tcW w:w="59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100%</w:t>
            </w:r>
          </w:p>
        </w:tc>
        <w:tc>
          <w:tcPr>
            <w:tcW w:w="601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100%</w:t>
            </w:r>
          </w:p>
        </w:tc>
        <w:tc>
          <w:tcPr>
            <w:tcW w:w="316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6</w:t>
            </w:r>
          </w:p>
        </w:tc>
        <w:tc>
          <w:tcPr>
            <w:tcW w:w="545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6</w:t>
            </w:r>
          </w:p>
        </w:tc>
        <w:tc>
          <w:tcPr>
            <w:tcW w:w="851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7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满意度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指标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（10分）</w:t>
            </w:r>
          </w:p>
        </w:tc>
        <w:tc>
          <w:tcPr>
            <w:tcW w:w="470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服务对象满意度指标</w:t>
            </w:r>
          </w:p>
        </w:tc>
        <w:tc>
          <w:tcPr>
            <w:tcW w:w="56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kern w:val="0"/>
                <w:szCs w:val="21"/>
              </w:rPr>
              <w:t>患者满意度</w:t>
            </w:r>
          </w:p>
        </w:tc>
        <w:tc>
          <w:tcPr>
            <w:tcW w:w="59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100%</w:t>
            </w:r>
          </w:p>
        </w:tc>
        <w:tc>
          <w:tcPr>
            <w:tcW w:w="60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100%</w:t>
            </w:r>
          </w:p>
        </w:tc>
        <w:tc>
          <w:tcPr>
            <w:tcW w:w="31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54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85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584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67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470" w:type="pct"/>
            <w:vMerge w:val="continue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</w:p>
        </w:tc>
        <w:tc>
          <w:tcPr>
            <w:tcW w:w="56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kern w:val="0"/>
                <w:szCs w:val="21"/>
              </w:rPr>
              <w:t>居民满意度</w:t>
            </w:r>
          </w:p>
        </w:tc>
        <w:tc>
          <w:tcPr>
            <w:tcW w:w="59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100%</w:t>
            </w:r>
          </w:p>
        </w:tc>
        <w:tc>
          <w:tcPr>
            <w:tcW w:w="60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100%</w:t>
            </w:r>
          </w:p>
        </w:tc>
        <w:tc>
          <w:tcPr>
            <w:tcW w:w="31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54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85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9" w:hRule="atLeast"/>
          <w:jc w:val="center"/>
        </w:trPr>
        <w:tc>
          <w:tcPr>
            <w:tcW w:w="3287" w:type="pct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leftChars="0" w:right="0" w:rightChars="0" w:firstLine="0" w:firstLineChars="0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总分</w:t>
            </w:r>
          </w:p>
        </w:tc>
        <w:tc>
          <w:tcPr>
            <w:tcW w:w="316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</w:rPr>
              <w:t>100</w:t>
            </w:r>
          </w:p>
        </w:tc>
        <w:tc>
          <w:tcPr>
            <w:tcW w:w="54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center"/>
              <w:textAlignment w:val="auto"/>
              <w:rPr>
                <w:rFonts w:hint="default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1"/>
                <w:szCs w:val="21"/>
                <w:lang w:val="en-US" w:eastAsia="zh-CN"/>
              </w:rPr>
              <w:t>96</w:t>
            </w:r>
          </w:p>
        </w:tc>
        <w:tc>
          <w:tcPr>
            <w:tcW w:w="85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0" w:lineRule="atLeast"/>
              <w:ind w:left="0" w:right="0"/>
              <w:jc w:val="left"/>
              <w:textAlignment w:val="auto"/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000000"/>
                <w:sz w:val="21"/>
                <w:szCs w:val="21"/>
              </w:rPr>
              <w:t>　</w:t>
            </w:r>
          </w:p>
        </w:tc>
      </w:tr>
    </w:tbl>
    <w:p>
      <w:pPr>
        <w:rPr>
          <w:rFonts w:hint="eastAsia" w:eastAsia="仿宋_GB2312" w:cs="Times New Roman"/>
          <w:sz w:val="22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22"/>
        </w:rPr>
        <w:t>说明：</w:t>
      </w:r>
      <w:r>
        <w:rPr>
          <w:rFonts w:hint="eastAsia" w:eastAsia="仿宋_GB2312" w:cs="Times New Roman"/>
          <w:sz w:val="22"/>
          <w:lang w:eastAsia="zh-CN"/>
        </w:rPr>
        <w:t>以上数据参照</w:t>
      </w:r>
      <w:r>
        <w:rPr>
          <w:rFonts w:hint="eastAsia" w:eastAsia="仿宋_GB2312" w:cs="Times New Roman"/>
          <w:sz w:val="22"/>
          <w:lang w:val="en-US" w:eastAsia="zh-CN"/>
        </w:rPr>
        <w:t>2022年部门决算报表中的“收入支出决算总表”(财决01表)。</w:t>
      </w:r>
    </w:p>
    <w:p>
      <w:pPr>
        <w:pStyle w:val="2"/>
        <w:rPr>
          <w:rFonts w:hint="default"/>
          <w:lang w:val="en-US" w:eastAsia="zh-CN"/>
        </w:rPr>
      </w:pPr>
    </w:p>
    <w:p>
      <w:pPr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22"/>
          <w:szCs w:val="22"/>
        </w:rPr>
        <w:t>填表人：</w:t>
      </w:r>
      <w:r>
        <w:rPr>
          <w:rFonts w:hint="eastAsia" w:eastAsia="仿宋_GB2312" w:cs="Times New Roman"/>
          <w:sz w:val="22"/>
          <w:szCs w:val="22"/>
          <w:lang w:val="en-US" w:eastAsia="zh-CN"/>
        </w:rPr>
        <w:t>袁晓凤</w:t>
      </w:r>
      <w:r>
        <w:rPr>
          <w:rFonts w:hint="default" w:ascii="Times New Roman" w:hAnsi="Times New Roman" w:eastAsia="仿宋_GB2312" w:cs="Times New Roman"/>
          <w:sz w:val="22"/>
          <w:szCs w:val="22"/>
        </w:rPr>
        <w:t xml:space="preserve">  填报日期：</w:t>
      </w:r>
      <w:r>
        <w:rPr>
          <w:rFonts w:hint="eastAsia" w:eastAsia="仿宋_GB2312" w:cs="Times New Roman"/>
          <w:sz w:val="22"/>
          <w:szCs w:val="22"/>
          <w:lang w:val="en-US" w:eastAsia="zh-CN"/>
        </w:rPr>
        <w:t>2023.7.13</w:t>
      </w:r>
      <w:r>
        <w:rPr>
          <w:rFonts w:hint="default" w:ascii="Times New Roman" w:hAnsi="Times New Roman" w:eastAsia="仿宋_GB2312" w:cs="Times New Roman"/>
          <w:sz w:val="22"/>
          <w:szCs w:val="22"/>
        </w:rPr>
        <w:t xml:space="preserve">   联系电话：</w:t>
      </w:r>
      <w:r>
        <w:rPr>
          <w:rFonts w:hint="eastAsia" w:eastAsia="仿宋_GB2312" w:cs="Times New Roman"/>
          <w:sz w:val="22"/>
          <w:szCs w:val="22"/>
          <w:lang w:val="en-US" w:eastAsia="zh-CN"/>
        </w:rPr>
        <w:t>18773077375</w:t>
      </w:r>
      <w:r>
        <w:rPr>
          <w:rFonts w:hint="default" w:ascii="Times New Roman" w:hAnsi="Times New Roman" w:eastAsia="仿宋_GB2312" w:cs="Times New Roman"/>
          <w:sz w:val="22"/>
          <w:szCs w:val="22"/>
        </w:rPr>
        <w:t xml:space="preserve">   </w:t>
      </w:r>
      <w:r>
        <w:rPr>
          <w:rFonts w:hint="eastAsia" w:eastAsia="仿宋_GB2312" w:cs="Times New Roman"/>
          <w:sz w:val="22"/>
          <w:szCs w:val="22"/>
          <w:lang w:val="en-US" w:eastAsia="zh-CN"/>
        </w:rPr>
        <w:t xml:space="preserve"> </w:t>
      </w:r>
      <w:r>
        <w:rPr>
          <w:rFonts w:hint="default" w:ascii="Times New Roman" w:hAnsi="Times New Roman" w:eastAsia="仿宋_GB2312" w:cs="Times New Roman"/>
          <w:sz w:val="22"/>
          <w:szCs w:val="22"/>
        </w:rPr>
        <w:t>单位负责人签字：</w:t>
      </w:r>
      <w:r>
        <w:rPr>
          <w:rFonts w:hint="default" w:ascii="Times New Roman" w:hAnsi="Times New Roman" w:eastAsia="仿宋_GB2312" w:cs="Times New Roman"/>
          <w:sz w:val="22"/>
          <w:szCs w:val="22"/>
        </w:rPr>
        <w:br w:type="page"/>
      </w:r>
      <w:r>
        <w:rPr>
          <w:rFonts w:hint="eastAsia" w:ascii="黑体" w:hAnsi="黑体" w:eastAsia="黑体" w:cs="黑体"/>
          <w:sz w:val="32"/>
          <w:szCs w:val="32"/>
        </w:rPr>
        <w:t>附件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3</w:t>
      </w:r>
    </w:p>
    <w:p>
      <w:pPr>
        <w:jc w:val="center"/>
        <w:rPr>
          <w:rFonts w:hint="default" w:ascii="Times New Roman" w:hAnsi="Times New Roman" w:eastAsia="方正小标宋_GBK" w:cs="Times New Roman"/>
          <w:sz w:val="52"/>
          <w:szCs w:val="52"/>
        </w:rPr>
      </w:pPr>
    </w:p>
    <w:p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202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2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年度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华容县新河乡卫生院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整体支出</w:t>
      </w:r>
    </w:p>
    <w:p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绩效自评报告</w:t>
      </w:r>
    </w:p>
    <w:p>
      <w:pPr>
        <w:jc w:val="center"/>
        <w:rPr>
          <w:rFonts w:hint="default" w:ascii="Times New Roman" w:hAnsi="Times New Roman" w:eastAsia="方正小标宋_GBK" w:cs="Times New Roman"/>
          <w:b/>
          <w:sz w:val="52"/>
          <w:szCs w:val="52"/>
        </w:rPr>
      </w:pPr>
    </w:p>
    <w:p>
      <w:pPr>
        <w:jc w:val="center"/>
        <w:rPr>
          <w:rFonts w:hint="default" w:ascii="Times New Roman" w:hAnsi="Times New Roman" w:eastAsia="楷体_GB2312" w:cs="Times New Roman"/>
          <w:b/>
          <w:sz w:val="32"/>
          <w:szCs w:val="32"/>
        </w:rPr>
      </w:pPr>
    </w:p>
    <w:p>
      <w:pPr>
        <w:jc w:val="center"/>
        <w:rPr>
          <w:rFonts w:hint="default" w:ascii="Times New Roman" w:hAnsi="Times New Roman" w:eastAsia="楷体_GB2312" w:cs="Times New Roman"/>
          <w:b/>
          <w:sz w:val="32"/>
          <w:szCs w:val="32"/>
        </w:rPr>
      </w:pPr>
    </w:p>
    <w:p>
      <w:pPr>
        <w:jc w:val="center"/>
        <w:rPr>
          <w:rFonts w:hint="default" w:ascii="Times New Roman" w:hAnsi="Times New Roman" w:eastAsia="楷体_GB2312" w:cs="Times New Roman"/>
          <w:b/>
          <w:sz w:val="32"/>
          <w:szCs w:val="32"/>
        </w:rPr>
      </w:pPr>
    </w:p>
    <w:p>
      <w:pPr>
        <w:jc w:val="center"/>
        <w:rPr>
          <w:rFonts w:hint="default" w:ascii="Times New Roman" w:hAnsi="Times New Roman" w:eastAsia="楷体_GB2312" w:cs="Times New Roman"/>
          <w:b/>
          <w:sz w:val="32"/>
          <w:szCs w:val="32"/>
        </w:rPr>
      </w:pPr>
    </w:p>
    <w:p>
      <w:pPr>
        <w:jc w:val="center"/>
        <w:rPr>
          <w:rFonts w:hint="default" w:ascii="Times New Roman" w:hAnsi="Times New Roman" w:eastAsia="楷体_GB2312" w:cs="Times New Roman"/>
          <w:b/>
          <w:sz w:val="32"/>
          <w:szCs w:val="32"/>
        </w:rPr>
      </w:pPr>
    </w:p>
    <w:p>
      <w:pPr>
        <w:jc w:val="center"/>
        <w:rPr>
          <w:rFonts w:hint="default" w:ascii="Times New Roman" w:hAnsi="Times New Roman" w:eastAsia="楷体_GB2312" w:cs="Times New Roman"/>
          <w:b/>
          <w:sz w:val="32"/>
          <w:szCs w:val="32"/>
        </w:rPr>
      </w:pPr>
    </w:p>
    <w:p>
      <w:pPr>
        <w:jc w:val="center"/>
        <w:rPr>
          <w:rFonts w:hint="default" w:ascii="Times New Roman" w:hAnsi="Times New Roman" w:eastAsia="黑体" w:cs="Times New Roman"/>
          <w:sz w:val="32"/>
          <w:szCs w:val="32"/>
        </w:rPr>
      </w:pPr>
    </w:p>
    <w:p>
      <w:pPr>
        <w:jc w:val="center"/>
        <w:rPr>
          <w:rFonts w:hint="default" w:ascii="Times New Roman" w:hAnsi="Times New Roman" w:eastAsia="黑体" w:cs="Times New Roman"/>
          <w:sz w:val="32"/>
          <w:szCs w:val="32"/>
        </w:rPr>
      </w:pPr>
    </w:p>
    <w:p>
      <w:pPr>
        <w:jc w:val="center"/>
        <w:rPr>
          <w:rFonts w:hint="default" w:ascii="Times New Roman" w:hAnsi="Times New Roman" w:eastAsia="黑体" w:cs="Times New Roman"/>
          <w:sz w:val="32"/>
          <w:szCs w:val="32"/>
        </w:rPr>
      </w:pPr>
    </w:p>
    <w:p>
      <w:pPr>
        <w:jc w:val="center"/>
        <w:rPr>
          <w:rFonts w:hint="default" w:ascii="Times New Roman" w:hAnsi="Times New Roman" w:eastAsia="黑体" w:cs="Times New Roman"/>
          <w:sz w:val="32"/>
          <w:szCs w:val="32"/>
        </w:rPr>
      </w:pPr>
    </w:p>
    <w:p>
      <w:pPr>
        <w:jc w:val="center"/>
        <w:rPr>
          <w:rFonts w:hint="default" w:ascii="Times New Roman" w:hAnsi="Times New Roman" w:eastAsia="黑体" w:cs="Times New Roman"/>
          <w:sz w:val="32"/>
          <w:szCs w:val="32"/>
        </w:rPr>
      </w:pPr>
    </w:p>
    <w:p>
      <w:pPr>
        <w:jc w:val="center"/>
        <w:rPr>
          <w:rFonts w:hint="default" w:ascii="Times New Roman" w:hAnsi="Times New Roman" w:eastAsia="黑体" w:cs="Times New Roman"/>
          <w:sz w:val="32"/>
          <w:szCs w:val="32"/>
        </w:rPr>
      </w:pPr>
    </w:p>
    <w:p>
      <w:pPr>
        <w:jc w:val="both"/>
        <w:rPr>
          <w:rFonts w:hint="default" w:ascii="Times New Roman" w:hAnsi="Times New Roman" w:eastAsia="黑体" w:cs="Times New Roman"/>
          <w:sz w:val="32"/>
          <w:szCs w:val="32"/>
        </w:rPr>
      </w:pPr>
    </w:p>
    <w:p>
      <w:pPr>
        <w:spacing w:line="600" w:lineRule="exact"/>
        <w:jc w:val="center"/>
        <w:rPr>
          <w:rFonts w:hint="default" w:ascii="Times New Roman" w:hAnsi="Times New Roman" w:eastAsia="仿宋_GB2312" w:cs="Times New Roman"/>
          <w:sz w:val="32"/>
          <w:szCs w:val="32"/>
          <w:u w:val="single"/>
        </w:rPr>
      </w:pPr>
      <w:r>
        <w:rPr>
          <w:rFonts w:hint="default" w:ascii="Times New Roman" w:hAnsi="Times New Roman" w:eastAsia="仿宋_GB2312" w:cs="Times New Roman"/>
          <w:sz w:val="32"/>
          <w:szCs w:val="32"/>
        </w:rPr>
        <w:t>部门（单位）名称：</w:t>
      </w:r>
      <w:r>
        <w:rPr>
          <w:rFonts w:hint="default" w:ascii="Times New Roman" w:hAnsi="Times New Roman" w:eastAsia="仿宋_GB2312" w:cs="Times New Roman"/>
          <w:sz w:val="32"/>
          <w:szCs w:val="32"/>
          <w:u w:val="single"/>
        </w:rPr>
        <w:t>（盖章）</w:t>
      </w:r>
    </w:p>
    <w:p>
      <w:pPr>
        <w:spacing w:line="600" w:lineRule="exact"/>
        <w:jc w:val="center"/>
        <w:rPr>
          <w:rFonts w:hint="default" w:ascii="Times New Roman" w:hAnsi="Times New Roman" w:eastAsia="楷体_GB2312" w:cs="Times New Roman"/>
          <w:sz w:val="32"/>
          <w:szCs w:val="32"/>
        </w:rPr>
      </w:pPr>
      <w:r>
        <w:rPr>
          <w:rFonts w:hint="default" w:ascii="Times New Roman" w:hAnsi="Times New Roman" w:eastAsia="楷体_GB2312" w:cs="Times New Roman"/>
          <w:sz w:val="32"/>
          <w:szCs w:val="32"/>
        </w:rPr>
        <w:t>年  月  日</w:t>
      </w:r>
    </w:p>
    <w:p>
      <w:pPr>
        <w:jc w:val="center"/>
        <w:rPr>
          <w:rFonts w:hint="default" w:ascii="Times New Roman" w:hAnsi="Times New Roman" w:eastAsia="仿宋_GB2312" w:cs="Times New Roman"/>
          <w:sz w:val="32"/>
          <w:szCs w:val="32"/>
        </w:rPr>
        <w:sectPr>
          <w:footerReference r:id="rId3" w:type="default"/>
          <w:pgSz w:w="11906" w:h="16838"/>
          <w:pgMar w:top="1701" w:right="1417" w:bottom="1417" w:left="1417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0" w:num="1"/>
          <w:rtlGutter w:val="0"/>
          <w:docGrid w:type="lines" w:linePitch="312" w:charSpace="0"/>
        </w:sectPr>
      </w:pPr>
      <w:r>
        <w:rPr>
          <w:rFonts w:hint="default" w:ascii="Times New Roman" w:hAnsi="Times New Roman" w:eastAsia="仿宋_GB2312" w:cs="Times New Roman"/>
          <w:sz w:val="32"/>
          <w:szCs w:val="32"/>
        </w:rPr>
        <w:t>（此页为封面）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202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2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年度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华容县新河乡卫生院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整体支出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绩效自评报告</w:t>
      </w:r>
    </w:p>
    <w:p>
      <w:pPr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40" w:firstLineChars="200"/>
        <w:jc w:val="both"/>
        <w:textAlignment w:val="auto"/>
        <w:rPr>
          <w:rFonts w:hint="default" w:ascii="Times New Roman" w:hAnsi="Times New Roman" w:eastAsia="黑体" w:cs="Times New Roman"/>
          <w:sz w:val="32"/>
          <w:szCs w:val="32"/>
        </w:rPr>
      </w:pPr>
      <w:r>
        <w:rPr>
          <w:rFonts w:hint="default" w:ascii="Times New Roman" w:hAnsi="Times New Roman" w:eastAsia="黑体" w:cs="Times New Roman"/>
          <w:sz w:val="32"/>
          <w:szCs w:val="32"/>
        </w:rPr>
        <w:t>部门（单位）基本情况</w:t>
      </w:r>
    </w:p>
    <w:p>
      <w:pPr>
        <w:spacing w:line="600" w:lineRule="exact"/>
        <w:ind w:firstLine="472" w:firstLineChars="147"/>
        <w:jc w:val="left"/>
        <w:rPr>
          <w:rFonts w:hint="eastAsia" w:ascii="楷体_GB2312" w:hAnsi="楷体_GB2312" w:eastAsia="楷体_GB2312" w:cs="楷体_GB2312"/>
          <w:b/>
          <w:bCs/>
          <w:color w:val="auto"/>
          <w:sz w:val="32"/>
          <w:szCs w:val="28"/>
        </w:rPr>
      </w:pPr>
      <w:r>
        <w:rPr>
          <w:rFonts w:hint="eastAsia" w:ascii="楷体_GB2312" w:hAnsi="楷体_GB2312" w:eastAsia="楷体_GB2312" w:cs="楷体_GB2312"/>
          <w:b/>
          <w:bCs/>
          <w:color w:val="auto"/>
          <w:sz w:val="32"/>
          <w:szCs w:val="28"/>
        </w:rPr>
        <w:t>（一）</w:t>
      </w:r>
      <w:r>
        <w:rPr>
          <w:rFonts w:hint="eastAsia" w:ascii="楷体_GB2312" w:hAnsi="楷体_GB2312" w:eastAsia="楷体_GB2312" w:cs="楷体_GB2312"/>
          <w:b/>
          <w:bCs/>
          <w:color w:val="auto"/>
          <w:sz w:val="32"/>
          <w:szCs w:val="28"/>
          <w:lang w:eastAsia="zh-CN"/>
        </w:rPr>
        <w:t>部门</w:t>
      </w:r>
      <w:r>
        <w:rPr>
          <w:rFonts w:hint="eastAsia" w:ascii="楷体_GB2312" w:hAnsi="楷体_GB2312" w:eastAsia="楷体_GB2312" w:cs="楷体_GB2312"/>
          <w:b/>
          <w:bCs/>
          <w:color w:val="auto"/>
          <w:sz w:val="32"/>
          <w:szCs w:val="28"/>
        </w:rPr>
        <w:t>基本概况</w:t>
      </w:r>
    </w:p>
    <w:p>
      <w:pPr>
        <w:shd w:val="solid" w:color="FFFFFF" w:fill="auto"/>
        <w:autoSpaceDN w:val="0"/>
        <w:spacing w:line="600" w:lineRule="exact"/>
        <w:ind w:firstLine="640" w:firstLineChars="200"/>
        <w:jc w:val="left"/>
        <w:rPr>
          <w:rFonts w:hint="eastAsia" w:ascii="仿宋" w:hAnsi="仿宋" w:eastAsia="仿宋" w:cs="仿宋"/>
          <w:color w:val="auto"/>
          <w:sz w:val="32"/>
          <w:lang w:val="en-US"/>
        </w:rPr>
      </w:pPr>
      <w:r>
        <w:rPr>
          <w:rFonts w:hint="eastAsia" w:ascii="仿宋" w:hAnsi="仿宋" w:eastAsia="仿宋" w:cs="仿宋"/>
          <w:color w:val="auto"/>
          <w:sz w:val="32"/>
        </w:rPr>
        <w:t>华容县</w:t>
      </w:r>
      <w:r>
        <w:rPr>
          <w:rFonts w:hint="eastAsia" w:ascii="仿宋" w:hAnsi="仿宋" w:eastAsia="仿宋" w:cs="仿宋"/>
          <w:color w:val="auto"/>
          <w:sz w:val="32"/>
          <w:lang w:eastAsia="zh-CN"/>
        </w:rPr>
        <w:t>新河乡</w:t>
      </w:r>
      <w:r>
        <w:rPr>
          <w:rFonts w:hint="eastAsia" w:ascii="仿宋" w:hAnsi="仿宋" w:eastAsia="仿宋" w:cs="仿宋"/>
          <w:color w:val="auto"/>
          <w:sz w:val="32"/>
        </w:rPr>
        <w:t>卫</w:t>
      </w:r>
      <w:r>
        <w:rPr>
          <w:rFonts w:hint="eastAsia" w:ascii="仿宋" w:hAnsi="仿宋" w:eastAsia="仿宋" w:cs="仿宋"/>
          <w:color w:val="auto"/>
          <w:sz w:val="32"/>
          <w:lang w:eastAsia="zh-CN"/>
        </w:rPr>
        <w:t>生院</w:t>
      </w:r>
      <w:r>
        <w:rPr>
          <w:rFonts w:hint="eastAsia" w:ascii="仿宋" w:hAnsi="仿宋" w:eastAsia="仿宋" w:cs="仿宋"/>
          <w:color w:val="auto"/>
          <w:sz w:val="32"/>
        </w:rPr>
        <w:t>系财政全额预算拨款单位。202</w:t>
      </w:r>
      <w:r>
        <w:rPr>
          <w:rFonts w:hint="eastAsia" w:ascii="仿宋" w:hAnsi="仿宋" w:eastAsia="仿宋" w:cs="仿宋"/>
          <w:color w:val="auto"/>
          <w:sz w:val="32"/>
          <w:lang w:val="en-US" w:eastAsia="zh-CN"/>
        </w:rPr>
        <w:t>2</w:t>
      </w:r>
      <w:r>
        <w:rPr>
          <w:rFonts w:hint="eastAsia" w:ascii="仿宋" w:hAnsi="仿宋" w:eastAsia="仿宋" w:cs="仿宋"/>
          <w:color w:val="auto"/>
          <w:sz w:val="32"/>
        </w:rPr>
        <w:t>年编制部门核实华容县</w:t>
      </w:r>
      <w:r>
        <w:rPr>
          <w:rFonts w:hint="eastAsia" w:ascii="仿宋" w:hAnsi="仿宋" w:eastAsia="仿宋" w:cs="仿宋"/>
          <w:color w:val="auto"/>
          <w:sz w:val="32"/>
          <w:lang w:eastAsia="zh-CN"/>
        </w:rPr>
        <w:t>新河乡卫生院</w:t>
      </w:r>
      <w:r>
        <w:rPr>
          <w:rFonts w:hint="eastAsia" w:ascii="仿宋" w:hAnsi="仿宋" w:eastAsia="仿宋" w:cs="仿宋"/>
          <w:color w:val="auto"/>
          <w:sz w:val="32"/>
        </w:rPr>
        <w:t>卫生</w:t>
      </w:r>
      <w:r>
        <w:rPr>
          <w:rFonts w:hint="eastAsia" w:ascii="仿宋" w:hAnsi="仿宋" w:eastAsia="仿宋" w:cs="仿宋"/>
          <w:color w:val="auto"/>
          <w:sz w:val="32"/>
          <w:lang w:eastAsia="zh-CN"/>
        </w:rPr>
        <w:t>院</w:t>
      </w:r>
      <w:r>
        <w:rPr>
          <w:rFonts w:hint="eastAsia" w:ascii="仿宋" w:hAnsi="仿宋" w:eastAsia="仿宋" w:cs="仿宋"/>
          <w:color w:val="auto"/>
          <w:sz w:val="32"/>
        </w:rPr>
        <w:t>编制</w:t>
      </w:r>
      <w:r>
        <w:rPr>
          <w:rFonts w:hint="eastAsia" w:ascii="仿宋" w:hAnsi="仿宋" w:eastAsia="仿宋" w:cs="仿宋"/>
          <w:color w:val="auto"/>
          <w:sz w:val="32"/>
          <w:lang w:val="en-US" w:eastAsia="zh-CN"/>
        </w:rPr>
        <w:t>35</w:t>
      </w:r>
      <w:r>
        <w:rPr>
          <w:rFonts w:hint="eastAsia" w:ascii="仿宋" w:hAnsi="仿宋" w:eastAsia="仿宋" w:cs="仿宋"/>
          <w:color w:val="auto"/>
          <w:sz w:val="32"/>
        </w:rPr>
        <w:t>名，其中：事业全额编制</w:t>
      </w:r>
      <w:r>
        <w:rPr>
          <w:rFonts w:hint="eastAsia" w:ascii="仿宋" w:hAnsi="仿宋" w:eastAsia="仿宋" w:cs="仿宋"/>
          <w:color w:val="auto"/>
          <w:sz w:val="32"/>
          <w:lang w:val="en-US" w:eastAsia="zh-CN"/>
        </w:rPr>
        <w:t>35</w:t>
      </w:r>
      <w:r>
        <w:rPr>
          <w:rFonts w:hint="eastAsia" w:ascii="仿宋" w:hAnsi="仿宋" w:eastAsia="仿宋" w:cs="仿宋"/>
          <w:color w:val="auto"/>
          <w:sz w:val="32"/>
        </w:rPr>
        <w:t>名</w:t>
      </w:r>
      <w:r>
        <w:rPr>
          <w:rFonts w:hint="eastAsia" w:ascii="仿宋" w:hAnsi="仿宋" w:eastAsia="仿宋" w:cs="仿宋"/>
          <w:color w:val="auto"/>
          <w:sz w:val="32"/>
          <w:lang w:val="en-US" w:eastAsia="zh-CN"/>
        </w:rPr>
        <w:t>，</w:t>
      </w:r>
      <w:r>
        <w:rPr>
          <w:rFonts w:hint="eastAsia" w:ascii="仿宋" w:hAnsi="仿宋" w:eastAsia="仿宋" w:cs="仿宋"/>
          <w:color w:val="auto"/>
          <w:sz w:val="32"/>
        </w:rPr>
        <w:t>实有人员</w:t>
      </w:r>
      <w:r>
        <w:rPr>
          <w:rFonts w:hint="eastAsia" w:ascii="仿宋" w:hAnsi="仿宋" w:eastAsia="仿宋" w:cs="仿宋"/>
          <w:color w:val="auto"/>
          <w:sz w:val="32"/>
          <w:lang w:val="en-US" w:eastAsia="zh-CN"/>
        </w:rPr>
        <w:t>17</w:t>
      </w:r>
      <w:r>
        <w:rPr>
          <w:rFonts w:hint="eastAsia" w:ascii="仿宋" w:hAnsi="仿宋" w:eastAsia="仿宋" w:cs="仿宋"/>
          <w:color w:val="auto"/>
          <w:sz w:val="32"/>
        </w:rPr>
        <w:t>人</w:t>
      </w:r>
      <w:r>
        <w:rPr>
          <w:rFonts w:hint="eastAsia" w:ascii="仿宋" w:hAnsi="仿宋" w:eastAsia="仿宋" w:cs="仿宋"/>
          <w:color w:val="auto"/>
          <w:sz w:val="32"/>
          <w:lang w:val="en-US" w:eastAsia="zh-CN"/>
        </w:rPr>
        <w:t>。华容县新河乡卫生院单位内设机构包括：3个职能科室。医疗组、防保组、行政后勤组。</w:t>
      </w:r>
    </w:p>
    <w:p>
      <w:pPr>
        <w:shd w:val="solid" w:color="FFFFFF" w:fill="auto"/>
        <w:autoSpaceDN w:val="0"/>
        <w:spacing w:line="600" w:lineRule="exact"/>
        <w:ind w:firstLine="469" w:firstLineChars="146"/>
        <w:jc w:val="left"/>
        <w:rPr>
          <w:rFonts w:hint="eastAsia" w:ascii="楷体_GB2312" w:hAnsi="楷体_GB2312" w:eastAsia="楷体_GB2312" w:cs="楷体_GB2312"/>
          <w:b/>
          <w:bCs/>
          <w:sz w:val="32"/>
          <w:lang w:eastAsia="zh-CN"/>
        </w:rPr>
      </w:pPr>
      <w:r>
        <w:rPr>
          <w:rFonts w:hint="eastAsia" w:ascii="楷体_GB2312" w:hAnsi="楷体_GB2312" w:eastAsia="楷体_GB2312" w:cs="楷体_GB2312"/>
          <w:b/>
          <w:bCs/>
          <w:sz w:val="32"/>
        </w:rPr>
        <w:t>（二）部门主要职能</w:t>
      </w:r>
      <w:r>
        <w:rPr>
          <w:rFonts w:hint="eastAsia" w:ascii="楷体_GB2312" w:hAnsi="楷体_GB2312" w:eastAsia="楷体_GB2312" w:cs="楷体_GB2312"/>
          <w:b/>
          <w:bCs/>
          <w:sz w:val="32"/>
          <w:lang w:eastAsia="zh-CN"/>
        </w:rPr>
        <w:t>及支出使用方向和内容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 w:val="0"/>
        <w:snapToGrid w:val="0"/>
        <w:spacing w:line="600" w:lineRule="atLeast"/>
        <w:ind w:firstLine="630"/>
        <w:jc w:val="both"/>
        <w:textAlignment w:val="auto"/>
        <w:rPr>
          <w:rFonts w:hint="eastAsia" w:ascii="仿宋" w:hAnsi="仿宋" w:eastAsia="仿宋" w:cs="仿宋"/>
          <w:sz w:val="32"/>
          <w:szCs w:val="24"/>
          <w:lang w:val="en-US" w:eastAsia="zh-CN"/>
        </w:rPr>
      </w:pPr>
      <w:r>
        <w:rPr>
          <w:rFonts w:hint="eastAsia" w:ascii="仿宋" w:hAnsi="仿宋" w:eastAsia="仿宋" w:cs="仿宋"/>
          <w:sz w:val="32"/>
          <w:szCs w:val="24"/>
        </w:rPr>
        <w:t>贯彻</w:t>
      </w:r>
      <w:r>
        <w:rPr>
          <w:rFonts w:hint="eastAsia" w:ascii="仿宋" w:hAnsi="仿宋" w:eastAsia="仿宋" w:cs="仿宋"/>
          <w:sz w:val="32"/>
          <w:szCs w:val="24"/>
          <w:lang w:eastAsia="zh-CN"/>
        </w:rPr>
        <w:t>落实国民健康政策、卫生健康和中医药事业发展的</w:t>
      </w:r>
      <w:r>
        <w:rPr>
          <w:rFonts w:hint="eastAsia" w:ascii="仿宋" w:hAnsi="仿宋" w:eastAsia="仿宋" w:cs="仿宋"/>
          <w:sz w:val="32"/>
          <w:szCs w:val="24"/>
        </w:rPr>
        <w:t>法律法规、</w:t>
      </w:r>
      <w:r>
        <w:rPr>
          <w:rFonts w:hint="eastAsia" w:ascii="仿宋" w:hAnsi="仿宋" w:eastAsia="仿宋" w:cs="仿宋"/>
          <w:sz w:val="32"/>
          <w:szCs w:val="24"/>
          <w:lang w:eastAsia="zh-CN"/>
        </w:rPr>
        <w:t>政策、措施，拟订我院相关政策、措施</w:t>
      </w:r>
      <w:r>
        <w:rPr>
          <w:rFonts w:hint="eastAsia" w:ascii="仿宋" w:hAnsi="仿宋" w:eastAsia="仿宋" w:cs="仿宋"/>
          <w:sz w:val="32"/>
          <w:szCs w:val="24"/>
          <w:lang w:val="en-US" w:eastAsia="zh-CN"/>
        </w:rPr>
        <w:t>.负责辖区内的基本医疗卫生工作，负责本乡镇预防保健工作，承担所在乡镇的公共卫生管理。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 w:val="0"/>
        <w:snapToGrid w:val="0"/>
        <w:spacing w:line="600" w:lineRule="atLeast"/>
        <w:ind w:firstLine="640" w:firstLineChars="200"/>
        <w:jc w:val="both"/>
        <w:textAlignment w:val="auto"/>
        <w:rPr>
          <w:rFonts w:hint="eastAsia" w:ascii="仿宋" w:hAnsi="仿宋" w:eastAsia="仿宋" w:cs="仿宋"/>
          <w:sz w:val="32"/>
          <w:szCs w:val="24"/>
          <w:lang w:val="en-US" w:eastAsia="zh-CN"/>
        </w:rPr>
      </w:pPr>
      <w:r>
        <w:rPr>
          <w:rFonts w:hint="eastAsia" w:ascii="仿宋" w:hAnsi="仿宋" w:eastAsia="仿宋" w:cs="仿宋"/>
          <w:sz w:val="32"/>
          <w:szCs w:val="24"/>
          <w:lang w:val="en-US" w:eastAsia="zh-CN"/>
        </w:rPr>
        <w:t>2022年，在县委、县政府的坚强领导下，华容县新河乡卫生院围绕“健康华容”建设目标，以“12345”的工作思路，着力推进疫情防控、深化医改、业务扩容、项目保质、健康惠民等各项工作，取得了预期成效。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 w:val="0"/>
        <w:snapToGrid w:val="0"/>
        <w:spacing w:line="600" w:lineRule="atLeast"/>
        <w:ind w:firstLine="630"/>
        <w:jc w:val="both"/>
        <w:textAlignment w:val="auto"/>
        <w:rPr>
          <w:rFonts w:hint="eastAsia" w:ascii="仿宋" w:hAnsi="仿宋" w:eastAsia="仿宋" w:cs="仿宋"/>
          <w:sz w:val="32"/>
          <w:szCs w:val="24"/>
          <w:lang w:val="en-US" w:eastAsia="zh-CN"/>
        </w:rPr>
      </w:pPr>
      <w:r>
        <w:rPr>
          <w:rFonts w:hint="eastAsia" w:ascii="仿宋" w:hAnsi="仿宋" w:eastAsia="仿宋" w:cs="仿宋"/>
          <w:sz w:val="32"/>
          <w:szCs w:val="24"/>
          <w:lang w:val="en-US" w:eastAsia="zh-CN"/>
        </w:rPr>
        <w:t>围绕一条主线，力促健康华容建设。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 w:val="0"/>
        <w:spacing w:line="520" w:lineRule="exact"/>
        <w:ind w:firstLine="640" w:firstLineChars="200"/>
        <w:jc w:val="left"/>
        <w:textAlignment w:val="auto"/>
        <w:rPr>
          <w:rFonts w:hint="eastAsia" w:ascii="仿宋" w:hAnsi="仿宋" w:eastAsia="仿宋" w:cs="仿宋"/>
          <w:sz w:val="32"/>
          <w:szCs w:val="24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将全面落实健康岳阳行动作为工作“主线”，全力落实各项健康政策，全方位构建“健康华容”</w:t>
      </w:r>
      <w:r>
        <w:rPr>
          <w:rFonts w:hint="eastAsia" w:ascii="仿宋" w:hAnsi="仿宋" w:eastAsia="仿宋" w:cs="仿宋"/>
          <w:sz w:val="32"/>
          <w:szCs w:val="24"/>
          <w:lang w:val="en-US" w:eastAsia="zh-CN"/>
        </w:rPr>
        <w:t>确保群众健康安全。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 w:val="0"/>
        <w:snapToGrid w:val="0"/>
        <w:spacing w:line="600" w:lineRule="atLeast"/>
        <w:ind w:firstLine="630"/>
        <w:jc w:val="both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24"/>
          <w:lang w:val="en-US" w:eastAsia="zh-CN"/>
        </w:rPr>
        <w:t>①巩固疫情防控成果。全院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上下坚决克服厌战情绪和松劲心态，持续抓好了各项常态化疫情防控工作，有力巩固疫情防控成果。</w:t>
      </w:r>
      <w:r>
        <w:rPr>
          <w:rFonts w:hint="eastAsia" w:ascii="仿宋" w:hAnsi="仿宋" w:eastAsia="仿宋" w:cs="仿宋"/>
          <w:sz w:val="32"/>
          <w:szCs w:val="24"/>
          <w:lang w:val="en-US" w:eastAsia="zh-CN"/>
        </w:rPr>
        <w:t>②巩固疾病预防成果。</w:t>
      </w:r>
      <w:r>
        <w:rPr>
          <w:rFonts w:hint="eastAsia" w:ascii="仿宋" w:hAnsi="仿宋" w:eastAsia="仿宋" w:cs="仿宋"/>
          <w:sz w:val="32"/>
          <w:szCs w:val="32"/>
        </w:rPr>
        <w:t>有效落实各类重点传染病防治措施，全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乡全年</w:t>
      </w:r>
      <w:r>
        <w:rPr>
          <w:rFonts w:hint="eastAsia" w:ascii="仿宋" w:hAnsi="仿宋" w:eastAsia="仿宋" w:cs="仿宋"/>
          <w:sz w:val="32"/>
          <w:szCs w:val="32"/>
        </w:rPr>
        <w:t>无甲类传染病报告，乙、丙类传染病发病率控制在国家标准以内，无重大传染病暴发流行。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 w:val="0"/>
        <w:snapToGrid w:val="0"/>
        <w:spacing w:line="600" w:lineRule="atLeast"/>
        <w:ind w:firstLine="630"/>
        <w:jc w:val="both"/>
        <w:textAlignment w:val="auto"/>
        <w:rPr>
          <w:rFonts w:hint="eastAsia" w:ascii="仿宋" w:hAnsi="仿宋" w:eastAsia="仿宋" w:cs="仿宋"/>
          <w:sz w:val="32"/>
          <w:szCs w:val="24"/>
          <w:lang w:val="en-US" w:eastAsia="zh-CN"/>
        </w:rPr>
      </w:pPr>
      <w:r>
        <w:rPr>
          <w:rFonts w:hint="eastAsia" w:ascii="仿宋" w:hAnsi="仿宋" w:eastAsia="仿宋" w:cs="仿宋"/>
          <w:sz w:val="32"/>
          <w:szCs w:val="24"/>
          <w:lang w:val="en-US" w:eastAsia="zh-CN"/>
        </w:rPr>
        <w:t>落实四大保障，助推民生事业发展。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600" w:lineRule="atLeast"/>
        <w:ind w:firstLine="64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24"/>
          <w:lang w:val="en-US" w:eastAsia="zh-CN"/>
        </w:rPr>
        <w:t>落实基本公共卫生服务。</w:t>
      </w:r>
      <w:r>
        <w:rPr>
          <w:rFonts w:hint="eastAsia" w:ascii="仿宋" w:hAnsi="仿宋" w:eastAsia="仿宋" w:cs="仿宋"/>
          <w:sz w:val="32"/>
          <w:szCs w:val="32"/>
        </w:rPr>
        <w:t>对十四大类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55</w:t>
      </w:r>
      <w:r>
        <w:rPr>
          <w:rFonts w:hint="eastAsia" w:ascii="仿宋" w:hAnsi="仿宋" w:eastAsia="仿宋" w:cs="仿宋"/>
          <w:sz w:val="32"/>
          <w:szCs w:val="32"/>
        </w:rPr>
        <w:t>小项基本公共卫生服务项目的目标任务、服务方式、考核标准、奖惩措施等进一步细化、量化，实施服务项目全过程监管和绩点制考核，促进了工作指标、工作质量双提升。</w:t>
      </w:r>
      <w:r>
        <w:rPr>
          <w:rFonts w:hint="eastAsia" w:ascii="仿宋" w:hAnsi="仿宋" w:eastAsia="仿宋" w:cs="仿宋"/>
          <w:sz w:val="32"/>
          <w:szCs w:val="24"/>
          <w:lang w:val="en-US" w:eastAsia="zh-CN"/>
        </w:rPr>
        <w:t>落实妇幼保健项目。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 w:val="0"/>
        <w:snapToGrid w:val="0"/>
        <w:spacing w:line="600" w:lineRule="atLeast"/>
        <w:ind w:firstLine="630"/>
        <w:jc w:val="both"/>
        <w:textAlignment w:val="auto"/>
        <w:rPr>
          <w:rFonts w:hint="eastAsia" w:ascii="仿宋" w:hAnsi="仿宋" w:eastAsia="仿宋" w:cs="仿宋"/>
          <w:sz w:val="32"/>
          <w:szCs w:val="24"/>
          <w:lang w:val="en-US" w:eastAsia="zh-CN"/>
        </w:rPr>
      </w:pPr>
      <w:r>
        <w:rPr>
          <w:rFonts w:hint="eastAsia" w:ascii="仿宋" w:hAnsi="仿宋" w:eastAsia="仿宋" w:cs="仿宋"/>
          <w:sz w:val="32"/>
          <w:szCs w:val="24"/>
          <w:lang w:val="en-US" w:eastAsia="zh-CN"/>
        </w:rPr>
        <w:t>抓好五项建设，提升健康服务水平。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600" w:lineRule="atLeast"/>
        <w:ind w:firstLine="630"/>
        <w:textAlignment w:val="auto"/>
        <w:rPr>
          <w:rFonts w:hint="default"/>
        </w:rPr>
      </w:pPr>
      <w:r>
        <w:rPr>
          <w:rFonts w:hint="eastAsia" w:ascii="仿宋" w:hAnsi="仿宋" w:eastAsia="仿宋" w:cs="仿宋"/>
          <w:sz w:val="32"/>
          <w:szCs w:val="24"/>
          <w:lang w:val="en-US" w:eastAsia="zh-CN"/>
        </w:rPr>
        <w:t>抓服务能力建设。</w:t>
      </w:r>
      <w:r>
        <w:rPr>
          <w:rFonts w:hint="eastAsia" w:ascii="仿宋" w:hAnsi="仿宋" w:eastAsia="仿宋" w:cs="仿宋"/>
          <w:sz w:val="32"/>
          <w:szCs w:val="32"/>
        </w:rPr>
        <w:t>卫生院依托远程诊断平台，着力提升诊断水平和医疗质量，整体服务水平不断增强。目前，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新河乡</w:t>
      </w:r>
      <w:r>
        <w:rPr>
          <w:rFonts w:hint="eastAsia" w:ascii="仿宋" w:hAnsi="仿宋" w:eastAsia="仿宋" w:cs="仿宋"/>
          <w:sz w:val="32"/>
          <w:szCs w:val="32"/>
        </w:rPr>
        <w:t>卫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院</w:t>
      </w:r>
      <w:r>
        <w:rPr>
          <w:rFonts w:hint="eastAsia" w:ascii="仿宋" w:hAnsi="仿宋" w:eastAsia="仿宋" w:cs="仿宋"/>
          <w:sz w:val="32"/>
          <w:szCs w:val="24"/>
          <w:lang w:val="en-US" w:eastAsia="zh-CN"/>
        </w:rPr>
        <w:t>抓人才队伍建设。</w:t>
      </w:r>
      <w:r>
        <w:rPr>
          <w:rFonts w:hint="eastAsia" w:ascii="仿宋" w:hAnsi="仿宋" w:eastAsia="仿宋" w:cs="仿宋"/>
          <w:sz w:val="32"/>
          <w:szCs w:val="32"/>
        </w:rPr>
        <w:t>202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</w:t>
      </w:r>
      <w:r>
        <w:rPr>
          <w:rFonts w:hint="eastAsia" w:ascii="仿宋" w:hAnsi="仿宋" w:eastAsia="仿宋" w:cs="仿宋"/>
          <w:sz w:val="32"/>
          <w:szCs w:val="32"/>
        </w:rPr>
        <w:t>年度定向医学生免费培养签约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生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</w:t>
      </w:r>
      <w:r>
        <w:rPr>
          <w:rFonts w:hint="eastAsia" w:ascii="仿宋" w:hAnsi="仿宋" w:eastAsia="仿宋" w:cs="仿宋"/>
          <w:sz w:val="32"/>
          <w:szCs w:val="32"/>
        </w:rPr>
        <w:t>人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来本院工作</w:t>
      </w:r>
      <w:r>
        <w:rPr>
          <w:rFonts w:hint="eastAsia" w:ascii="仿宋" w:hAnsi="仿宋" w:eastAsia="仿宋" w:cs="仿宋"/>
          <w:sz w:val="32"/>
          <w:szCs w:val="32"/>
        </w:rPr>
        <w:t>。此外，大力实施基层医疗卫生专业技术人员能力提升，累计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年度</w:t>
      </w:r>
      <w:r>
        <w:rPr>
          <w:rFonts w:hint="eastAsia" w:ascii="仿宋" w:hAnsi="仿宋" w:eastAsia="仿宋" w:cs="仿宋"/>
          <w:sz w:val="32"/>
          <w:szCs w:val="32"/>
        </w:rPr>
        <w:t>开展专病专科培训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5</w:t>
      </w:r>
      <w:r>
        <w:rPr>
          <w:rFonts w:hint="eastAsia" w:ascii="仿宋" w:hAnsi="仿宋" w:eastAsia="仿宋" w:cs="仿宋"/>
          <w:sz w:val="32"/>
          <w:szCs w:val="32"/>
        </w:rPr>
        <w:t>次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。</w:t>
      </w:r>
    </w:p>
    <w:p>
      <w:pPr>
        <w:pStyle w:val="13"/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left="0" w:leftChars="0" w:firstLine="640" w:firstLineChars="200"/>
        <w:jc w:val="both"/>
        <w:textAlignment w:val="auto"/>
        <w:rPr>
          <w:rFonts w:hint="default" w:ascii="Times New Roman" w:hAnsi="Times New Roman" w:eastAsia="黑体" w:cs="Times New Roman"/>
          <w:kern w:val="2"/>
          <w:sz w:val="32"/>
          <w:szCs w:val="32"/>
          <w:lang w:val="en-US" w:eastAsia="zh-CN" w:bidi="ar-SA"/>
        </w:rPr>
      </w:pPr>
      <w:r>
        <w:rPr>
          <w:rFonts w:hint="default" w:ascii="Times New Roman" w:hAnsi="Times New Roman" w:eastAsia="黑体" w:cs="Times New Roman"/>
          <w:kern w:val="2"/>
          <w:sz w:val="32"/>
          <w:szCs w:val="32"/>
          <w:lang w:val="en-US" w:eastAsia="zh-CN" w:bidi="ar-SA"/>
        </w:rPr>
        <w:t>基本支出情况</w:t>
      </w:r>
    </w:p>
    <w:p>
      <w:pPr>
        <w:spacing w:line="560" w:lineRule="exact"/>
        <w:ind w:firstLine="640" w:firstLineChars="200"/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="仿宋"/>
          <w:sz w:val="32"/>
          <w:szCs w:val="28"/>
          <w:lang w:val="en-US" w:eastAsia="zh-CN"/>
        </w:rPr>
        <w:t>2022年度华容县新河乡卫生院支出合计665.39万元，主要是用于人员工资、社会保障缴费、临时工工资以及为保障医疗卫生机构正常运转、完成日常工作任务而发生的商品和服务支出，其中：基本支出485.39万元，占72.94%，其中人员经费235.15万元，公用经费250.24万元。</w:t>
      </w:r>
    </w:p>
    <w:p>
      <w:pPr>
        <w:pStyle w:val="13"/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left="0" w:leftChars="0" w:firstLine="640" w:firstLineChars="200"/>
        <w:jc w:val="both"/>
        <w:textAlignment w:val="auto"/>
        <w:rPr>
          <w:rFonts w:hint="default" w:ascii="Times New Roman" w:hAnsi="Times New Roman" w:eastAsia="黑体" w:cs="Times New Roman"/>
          <w:kern w:val="2"/>
          <w:sz w:val="32"/>
          <w:szCs w:val="32"/>
          <w:lang w:val="en-US" w:eastAsia="zh-CN" w:bidi="ar-SA"/>
        </w:rPr>
      </w:pPr>
      <w:r>
        <w:rPr>
          <w:rFonts w:hint="default" w:ascii="Times New Roman" w:hAnsi="Times New Roman" w:eastAsia="黑体" w:cs="Times New Roman"/>
          <w:kern w:val="2"/>
          <w:sz w:val="32"/>
          <w:szCs w:val="32"/>
          <w:lang w:val="en-US" w:eastAsia="zh-CN" w:bidi="ar-SA"/>
        </w:rPr>
        <w:t>项目支出情况</w:t>
      </w:r>
    </w:p>
    <w:p>
      <w:pPr>
        <w:spacing w:line="560" w:lineRule="exact"/>
        <w:rPr>
          <w:rFonts w:hint="eastAsia" w:ascii="Times New Roman" w:hAnsi="Times New Roman" w:eastAsia="仿宋_GB2312" w:cs="Times New Roman"/>
          <w:b/>
          <w:bCs/>
          <w:color w:val="auto"/>
          <w:kern w:val="2"/>
          <w:sz w:val="32"/>
          <w:szCs w:val="32"/>
          <w:shd w:val="clear" w:color="auto" w:fill="FFFFFF"/>
          <w:lang w:val="en-US" w:eastAsia="zh-CN" w:bidi="ar-SA"/>
        </w:rPr>
      </w:pPr>
      <w:r>
        <w:rPr>
          <w:rFonts w:hint="eastAsia" w:ascii="Times New Roman" w:hAnsi="Times New Roman" w:eastAsia="仿宋_GB2312" w:cs="Times New Roman"/>
          <w:b/>
          <w:bCs/>
          <w:color w:val="auto"/>
          <w:kern w:val="2"/>
          <w:sz w:val="32"/>
          <w:szCs w:val="32"/>
          <w:shd w:val="clear" w:color="auto" w:fill="FFFFFF"/>
          <w:lang w:val="en-US" w:eastAsia="zh-CN" w:bidi="ar-SA"/>
        </w:rPr>
        <w:t>1、项目资金安排落实、总投入等情况</w:t>
      </w:r>
    </w:p>
    <w:p>
      <w:pPr>
        <w:spacing w:line="560" w:lineRule="exact"/>
        <w:ind w:firstLine="640" w:firstLineChars="200"/>
        <w:rPr>
          <w:rFonts w:hint="eastAsia" w:ascii="仿宋" w:hAnsi="仿宋" w:eastAsia="仿宋" w:cs="仿宋"/>
          <w:color w:val="auto"/>
          <w:sz w:val="32"/>
          <w:szCs w:val="28"/>
          <w:lang w:val="en-US" w:eastAsia="zh-CN"/>
        </w:rPr>
      </w:pPr>
      <w:r>
        <w:rPr>
          <w:rFonts w:hint="eastAsia" w:ascii="仿宋" w:hAnsi="仿宋" w:eastAsia="仿宋" w:cs="仿宋"/>
          <w:sz w:val="32"/>
          <w:szCs w:val="28"/>
          <w:lang w:val="en-US" w:eastAsia="zh-CN"/>
        </w:rPr>
        <w:t>我部门项目资金按照年初预算的安排，按照月度与进度等安排资金落实，2022年华容县新河乡卫生院整体年初项目资金合计申报180万元，主要是用于</w:t>
      </w:r>
      <w:r>
        <w:rPr>
          <w:rFonts w:hint="eastAsia" w:ascii="仿宋" w:hAnsi="仿宋" w:eastAsia="仿宋" w:cs="仿宋"/>
          <w:color w:val="auto"/>
          <w:sz w:val="32"/>
          <w:szCs w:val="28"/>
          <w:lang w:val="en-US" w:eastAsia="zh-CN"/>
        </w:rPr>
        <w:t>基本公共卫生服务、应急物质储备的支出。</w:t>
      </w:r>
    </w:p>
    <w:p>
      <w:pPr>
        <w:spacing w:line="560" w:lineRule="exact"/>
        <w:rPr>
          <w:rFonts w:hint="eastAsia" w:ascii="Times New Roman" w:hAnsi="Times New Roman" w:eastAsia="仿宋_GB2312" w:cs="Times New Roman"/>
          <w:b/>
          <w:bCs/>
          <w:color w:val="auto"/>
          <w:kern w:val="2"/>
          <w:sz w:val="32"/>
          <w:szCs w:val="32"/>
          <w:shd w:val="clear" w:color="auto" w:fill="FFFFFF"/>
          <w:lang w:val="en-US" w:eastAsia="zh-CN" w:bidi="ar-SA"/>
        </w:rPr>
      </w:pPr>
      <w:r>
        <w:rPr>
          <w:rFonts w:hint="eastAsia" w:eastAsia="仿宋_GB2312" w:cs="Times New Roman"/>
          <w:b/>
          <w:bCs/>
          <w:color w:val="auto"/>
          <w:kern w:val="2"/>
          <w:sz w:val="32"/>
          <w:szCs w:val="32"/>
          <w:shd w:val="clear" w:color="auto" w:fill="FFFFFF"/>
          <w:lang w:val="en-US" w:eastAsia="zh-CN" w:bidi="ar-SA"/>
        </w:rPr>
        <w:t>2</w:t>
      </w:r>
      <w:r>
        <w:rPr>
          <w:rFonts w:hint="eastAsia" w:ascii="Times New Roman" w:hAnsi="Times New Roman" w:eastAsia="仿宋_GB2312" w:cs="Times New Roman"/>
          <w:b/>
          <w:bCs/>
          <w:color w:val="auto"/>
          <w:kern w:val="2"/>
          <w:sz w:val="32"/>
          <w:szCs w:val="32"/>
          <w:shd w:val="clear" w:color="auto" w:fill="FFFFFF"/>
          <w:lang w:val="en-US" w:eastAsia="zh-CN" w:bidi="ar-SA"/>
        </w:rPr>
        <w:t>、专项资金管理情况分析</w:t>
      </w:r>
    </w:p>
    <w:p>
      <w:pPr>
        <w:spacing w:line="600" w:lineRule="exact"/>
        <w:ind w:firstLine="470" w:firstLineChars="147"/>
        <w:jc w:val="left"/>
        <w:rPr>
          <w:rFonts w:hint="eastAsia" w:ascii="Times New Roman" w:hAnsi="Times New Roman" w:eastAsia="仿宋_GB2312" w:cs="Times New Roman"/>
          <w:color w:val="auto"/>
          <w:kern w:val="2"/>
          <w:sz w:val="32"/>
          <w:szCs w:val="32"/>
          <w:shd w:val="clear" w:color="auto" w:fill="FFFFFF"/>
          <w:lang w:val="en-US" w:eastAsia="zh-CN" w:bidi="ar-SA"/>
        </w:rPr>
      </w:pPr>
      <w:r>
        <w:rPr>
          <w:rFonts w:hint="default" w:ascii="Times New Roman" w:hAnsi="Times New Roman" w:eastAsia="仿宋_GB2312" w:cs="Times New Roman"/>
          <w:color w:val="auto"/>
          <w:kern w:val="2"/>
          <w:sz w:val="32"/>
          <w:szCs w:val="32"/>
          <w:shd w:val="clear" w:color="auto" w:fill="FFFFFF"/>
          <w:lang w:val="en-US" w:eastAsia="zh-CN" w:bidi="ar-SA"/>
        </w:rPr>
        <w:t>严格按项目资金进行管理，执行相关财务支出管理制度，资金管理制度。</w:t>
      </w:r>
      <w:r>
        <w:rPr>
          <w:rFonts w:hint="eastAsia" w:ascii="Times New Roman" w:hAnsi="Times New Roman" w:eastAsia="仿宋_GB2312" w:cs="Times New Roman"/>
          <w:color w:val="auto"/>
          <w:kern w:val="2"/>
          <w:sz w:val="32"/>
          <w:szCs w:val="32"/>
          <w:shd w:val="clear" w:color="auto" w:fill="FFFFFF"/>
          <w:lang w:val="en-US" w:eastAsia="zh-CN" w:bidi="ar-SA"/>
        </w:rPr>
        <w:t>加强项目资金专款专用管理，设立专账核算，各项目执行单位财务机构加强项目资金日常使用监督。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40" w:firstLineChars="200"/>
        <w:jc w:val="both"/>
        <w:textAlignment w:val="auto"/>
        <w:rPr>
          <w:rFonts w:hint="default" w:ascii="Times New Roman" w:hAnsi="Times New Roman" w:eastAsia="黑体" w:cs="Times New Roman"/>
          <w:sz w:val="32"/>
          <w:szCs w:val="32"/>
        </w:rPr>
      </w:pPr>
      <w:r>
        <w:rPr>
          <w:rFonts w:hint="eastAsia" w:eastAsia="黑体" w:cs="Times New Roman"/>
          <w:sz w:val="32"/>
          <w:szCs w:val="32"/>
          <w:lang w:eastAsia="zh-CN"/>
        </w:rPr>
        <w:t>四</w:t>
      </w:r>
      <w:r>
        <w:rPr>
          <w:rFonts w:hint="default" w:ascii="Times New Roman" w:hAnsi="Times New Roman" w:eastAsia="黑体" w:cs="Times New Roman"/>
          <w:sz w:val="32"/>
          <w:szCs w:val="32"/>
        </w:rPr>
        <w:t>、部门整体支出绩效情况</w:t>
      </w:r>
    </w:p>
    <w:p>
      <w:pPr>
        <w:adjustRightInd w:val="0"/>
        <w:snapToGrid w:val="0"/>
        <w:spacing w:line="600" w:lineRule="exact"/>
        <w:jc w:val="left"/>
        <w:rPr>
          <w:rFonts w:hint="eastAsia" w:ascii="仿宋_GB2312" w:hAnsi="仿宋_GB2312" w:eastAsia="仿宋_GB2312" w:cs="仿宋_GB2312"/>
          <w:b/>
          <w:bCs/>
          <w:sz w:val="30"/>
          <w:szCs w:val="30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28"/>
          <w:lang w:val="en-US" w:eastAsia="zh-CN"/>
        </w:rPr>
        <w:t>1.</w:t>
      </w:r>
      <w:r>
        <w:rPr>
          <w:rFonts w:hint="eastAsia" w:ascii="仿宋_GB2312" w:hAnsi="仿宋_GB2312" w:eastAsia="仿宋_GB2312" w:cs="仿宋_GB2312"/>
          <w:b/>
          <w:bCs/>
          <w:sz w:val="32"/>
          <w:szCs w:val="28"/>
        </w:rPr>
        <w:t>部门整体收支情况：</w:t>
      </w:r>
    </w:p>
    <w:p>
      <w:pPr>
        <w:adjustRightInd w:val="0"/>
        <w:snapToGrid w:val="0"/>
        <w:spacing w:line="600" w:lineRule="atLeast"/>
        <w:ind w:firstLine="640" w:firstLineChars="200"/>
        <w:rPr>
          <w:rFonts w:hint="default" w:ascii="仿宋_GB2312" w:hAnsi="宋体" w:eastAsia="仿宋_GB2312" w:cs="宋体"/>
          <w:sz w:val="32"/>
          <w:szCs w:val="28"/>
          <w:lang w:val="en-US"/>
        </w:rPr>
      </w:pPr>
      <w:r>
        <w:rPr>
          <w:rFonts w:hint="eastAsia" w:ascii="仿宋_GB2312" w:hAnsi="仿宋_GB2312" w:eastAsia="仿宋_GB2312" w:cs="仿宋_GB2312"/>
          <w:sz w:val="32"/>
          <w:szCs w:val="28"/>
        </w:rPr>
        <w:t>（1）收入情况：全年</w:t>
      </w:r>
      <w:r>
        <w:rPr>
          <w:rFonts w:hint="eastAsia" w:ascii="仿宋_GB2312" w:hAnsi="仿宋_GB2312" w:eastAsia="仿宋_GB2312" w:cs="仿宋_GB2312"/>
          <w:sz w:val="32"/>
          <w:szCs w:val="28"/>
          <w:lang w:eastAsia="zh-CN"/>
        </w:rPr>
        <w:t>收入合计</w:t>
      </w:r>
      <w:r>
        <w:rPr>
          <w:rFonts w:hint="eastAsia" w:ascii="仿宋_GB2312" w:hAnsi="仿宋_GB2312" w:eastAsia="仿宋_GB2312" w:cs="仿宋_GB2312"/>
          <w:sz w:val="32"/>
          <w:szCs w:val="28"/>
          <w:lang w:val="en-US" w:eastAsia="zh-CN"/>
        </w:rPr>
        <w:t>787.39</w:t>
      </w:r>
      <w:r>
        <w:rPr>
          <w:rFonts w:hint="eastAsia" w:ascii="仿宋_GB2312" w:hAnsi="仿宋_GB2312" w:eastAsia="仿宋_GB2312" w:cs="仿宋_GB2312"/>
          <w:color w:val="auto"/>
          <w:sz w:val="32"/>
          <w:szCs w:val="28"/>
          <w:lang w:val="en-US" w:eastAsia="zh-CN"/>
        </w:rPr>
        <w:t>万</w:t>
      </w:r>
      <w:r>
        <w:rPr>
          <w:rFonts w:hint="eastAsia" w:ascii="仿宋_GB2312" w:hAnsi="仿宋_GB2312" w:eastAsia="仿宋_GB2312" w:cs="仿宋_GB2312"/>
          <w:sz w:val="32"/>
          <w:szCs w:val="28"/>
          <w:lang w:val="en-US" w:eastAsia="zh-CN"/>
        </w:rPr>
        <w:t>元，其中：一般公共预算</w:t>
      </w:r>
      <w:r>
        <w:rPr>
          <w:rFonts w:hint="eastAsia" w:ascii="仿宋_GB2312" w:hAnsi="仿宋_GB2312" w:eastAsia="仿宋_GB2312" w:cs="仿宋_GB2312"/>
          <w:sz w:val="32"/>
          <w:szCs w:val="28"/>
        </w:rPr>
        <w:t>财政拨款收入</w:t>
      </w:r>
      <w:r>
        <w:rPr>
          <w:rFonts w:hint="eastAsia" w:ascii="仿宋_GB2312" w:hAnsi="仿宋_GB2312" w:eastAsia="仿宋_GB2312" w:cs="仿宋_GB2312"/>
          <w:sz w:val="32"/>
          <w:szCs w:val="28"/>
          <w:lang w:val="en-US" w:eastAsia="zh-CN"/>
        </w:rPr>
        <w:t>610.62</w:t>
      </w:r>
      <w:r>
        <w:rPr>
          <w:rFonts w:hint="eastAsia" w:ascii="仿宋_GB2312" w:hAnsi="仿宋_GB2312" w:eastAsia="仿宋_GB2312" w:cs="仿宋_GB2312"/>
          <w:sz w:val="32"/>
          <w:szCs w:val="28"/>
        </w:rPr>
        <w:t>万元</w:t>
      </w:r>
      <w:r>
        <w:rPr>
          <w:rFonts w:hint="eastAsia" w:ascii="仿宋_GB2312" w:hAnsi="仿宋_GB2312" w:eastAsia="仿宋_GB2312" w:cs="仿宋_GB2312"/>
          <w:sz w:val="32"/>
          <w:szCs w:val="28"/>
          <w:lang w:eastAsia="zh-CN"/>
        </w:rPr>
        <w:t>，</w:t>
      </w:r>
      <w:r>
        <w:rPr>
          <w:rFonts w:hint="eastAsia" w:ascii="仿宋_GB2312" w:hAnsi="仿宋_GB2312" w:eastAsia="仿宋_GB2312" w:cs="仿宋_GB2312"/>
          <w:sz w:val="32"/>
          <w:szCs w:val="28"/>
          <w:lang w:val="en-US" w:eastAsia="zh-CN"/>
        </w:rPr>
        <w:t>事业收入140.72万元，其他收入36.05万元。</w:t>
      </w:r>
    </w:p>
    <w:p>
      <w:pPr>
        <w:adjustRightInd w:val="0"/>
        <w:snapToGrid w:val="0"/>
        <w:spacing w:line="600" w:lineRule="atLeast"/>
        <w:ind w:firstLine="640" w:firstLineChars="200"/>
        <w:rPr>
          <w:rFonts w:hint="eastAsia" w:ascii="仿宋_GB2312" w:hAnsi="宋体" w:eastAsia="仿宋_GB2312" w:cs="宋体"/>
          <w:sz w:val="32"/>
          <w:szCs w:val="28"/>
          <w:lang w:val="en-US" w:eastAsia="zh-CN"/>
        </w:rPr>
      </w:pPr>
      <w:r>
        <w:rPr>
          <w:rFonts w:hint="eastAsia" w:ascii="仿宋_GB2312" w:hAnsi="宋体" w:eastAsia="仿宋_GB2312" w:cs="宋体"/>
          <w:sz w:val="32"/>
          <w:szCs w:val="28"/>
        </w:rPr>
        <w:t>（2）支出情况:全年</w:t>
      </w:r>
      <w:r>
        <w:rPr>
          <w:rFonts w:hint="eastAsia" w:ascii="仿宋_GB2312" w:hAnsi="宋体" w:eastAsia="仿宋_GB2312" w:cs="宋体"/>
          <w:sz w:val="32"/>
          <w:szCs w:val="28"/>
          <w:lang w:eastAsia="zh-CN"/>
        </w:rPr>
        <w:t>支出合计</w:t>
      </w:r>
      <w:r>
        <w:rPr>
          <w:rFonts w:hint="eastAsia" w:ascii="仿宋_GB2312" w:hAnsi="宋体" w:eastAsia="仿宋_GB2312" w:cs="宋体"/>
          <w:sz w:val="32"/>
          <w:szCs w:val="28"/>
          <w:lang w:val="en-US" w:eastAsia="zh-CN"/>
        </w:rPr>
        <w:t>665.39万元，其中：基本支出485.39万元，项目支出180万元。</w:t>
      </w:r>
    </w:p>
    <w:p>
      <w:pPr>
        <w:adjustRightInd w:val="0"/>
        <w:snapToGrid w:val="0"/>
        <w:spacing w:line="600" w:lineRule="exact"/>
        <w:jc w:val="both"/>
        <w:rPr>
          <w:rFonts w:hint="eastAsia" w:ascii="仿宋_GB2312" w:hAnsi="宋体" w:eastAsia="仿宋_GB2312" w:cs="宋体"/>
          <w:b/>
          <w:bCs/>
          <w:sz w:val="32"/>
          <w:szCs w:val="28"/>
        </w:rPr>
      </w:pPr>
      <w:r>
        <w:rPr>
          <w:rFonts w:hint="eastAsia" w:ascii="仿宋_GB2312" w:hAnsi="宋体" w:eastAsia="仿宋_GB2312" w:cs="宋体"/>
          <w:b/>
          <w:bCs/>
          <w:sz w:val="32"/>
          <w:szCs w:val="28"/>
          <w:lang w:val="en-US" w:eastAsia="zh-CN"/>
        </w:rPr>
        <w:t>2.</w:t>
      </w:r>
      <w:r>
        <w:rPr>
          <w:rFonts w:hint="eastAsia" w:ascii="仿宋_GB2312" w:hAnsi="宋体" w:eastAsia="仿宋_GB2312" w:cs="宋体"/>
          <w:b/>
          <w:bCs/>
          <w:sz w:val="32"/>
          <w:szCs w:val="28"/>
        </w:rPr>
        <w:t>三公经费支出情况：</w:t>
      </w:r>
    </w:p>
    <w:p>
      <w:pPr>
        <w:adjustRightInd w:val="0"/>
        <w:snapToGrid w:val="0"/>
        <w:spacing w:line="600" w:lineRule="exact"/>
        <w:ind w:firstLine="640" w:firstLineChars="200"/>
        <w:jc w:val="both"/>
        <w:rPr>
          <w:rFonts w:hint="eastAsia" w:ascii="仿宋" w:hAnsi="仿宋" w:eastAsia="仿宋" w:cs="仿宋"/>
          <w:color w:val="000000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t>20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22</w:t>
      </w:r>
      <w:r>
        <w:rPr>
          <w:rFonts w:hint="eastAsia" w:ascii="仿宋" w:hAnsi="仿宋" w:eastAsia="仿宋" w:cs="仿宋"/>
          <w:sz w:val="32"/>
          <w:szCs w:val="32"/>
        </w:rPr>
        <w:t>年部门预算安排“三公”经费”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0</w:t>
      </w:r>
      <w:r>
        <w:rPr>
          <w:rFonts w:hint="eastAsia" w:ascii="仿宋" w:hAnsi="仿宋" w:eastAsia="仿宋" w:cs="仿宋"/>
          <w:sz w:val="32"/>
          <w:szCs w:val="32"/>
        </w:rPr>
        <w:t>万元，实际支出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0</w:t>
      </w:r>
      <w:r>
        <w:rPr>
          <w:rFonts w:hint="eastAsia" w:ascii="仿宋" w:hAnsi="仿宋" w:eastAsia="仿宋" w:cs="仿宋"/>
          <w:sz w:val="32"/>
          <w:szCs w:val="32"/>
        </w:rPr>
        <w:t>万元。其中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公务用车运行维护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0万元，</w:t>
      </w:r>
      <w:r>
        <w:rPr>
          <w:rFonts w:hint="eastAsia" w:ascii="仿宋" w:hAnsi="仿宋" w:eastAsia="仿宋" w:cs="仿宋"/>
          <w:sz w:val="32"/>
          <w:szCs w:val="32"/>
        </w:rPr>
        <w:t>公务接待费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0</w:t>
      </w:r>
      <w:r>
        <w:rPr>
          <w:rFonts w:hint="eastAsia" w:ascii="仿宋" w:hAnsi="仿宋" w:eastAsia="仿宋" w:cs="仿宋"/>
          <w:sz w:val="32"/>
          <w:szCs w:val="32"/>
        </w:rPr>
        <w:t>万元。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600" w:lineRule="atLeast"/>
        <w:jc w:val="both"/>
        <w:textAlignment w:val="auto"/>
        <w:rPr>
          <w:rFonts w:hint="eastAsia" w:ascii="仿宋_GB2312" w:hAnsi="宋体" w:eastAsia="仿宋_GB2312" w:cs="宋体"/>
          <w:b/>
          <w:bCs/>
          <w:sz w:val="32"/>
          <w:szCs w:val="28"/>
        </w:rPr>
      </w:pPr>
      <w:r>
        <w:rPr>
          <w:rFonts w:hint="eastAsia" w:ascii="仿宋_GB2312" w:hAnsi="宋体" w:eastAsia="仿宋_GB2312" w:cs="宋体"/>
          <w:b/>
          <w:bCs/>
          <w:sz w:val="32"/>
          <w:szCs w:val="28"/>
          <w:lang w:val="en-US" w:eastAsia="zh-CN"/>
        </w:rPr>
        <w:t>3.政府性基金预算</w:t>
      </w:r>
      <w:r>
        <w:rPr>
          <w:rFonts w:hint="eastAsia" w:ascii="仿宋_GB2312" w:hAnsi="宋体" w:eastAsia="仿宋_GB2312" w:cs="宋体"/>
          <w:b/>
          <w:bCs/>
          <w:sz w:val="32"/>
          <w:szCs w:val="28"/>
        </w:rPr>
        <w:t>财政拨款</w:t>
      </w:r>
      <w:r>
        <w:rPr>
          <w:rFonts w:hint="eastAsia" w:ascii="仿宋_GB2312" w:hAnsi="宋体" w:eastAsia="仿宋_GB2312" w:cs="宋体"/>
          <w:b/>
          <w:bCs/>
          <w:sz w:val="32"/>
          <w:szCs w:val="28"/>
          <w:lang w:eastAsia="zh-CN"/>
        </w:rPr>
        <w:t>项目支出</w:t>
      </w:r>
      <w:r>
        <w:rPr>
          <w:rFonts w:hint="eastAsia" w:ascii="仿宋_GB2312" w:hAnsi="宋体" w:eastAsia="仿宋_GB2312" w:cs="宋体"/>
          <w:b/>
          <w:bCs/>
          <w:sz w:val="32"/>
          <w:szCs w:val="28"/>
        </w:rPr>
        <w:t>情况：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600" w:lineRule="atLeast"/>
        <w:ind w:left="321" w:leftChars="0" w:firstLine="320" w:firstLineChars="100"/>
        <w:jc w:val="both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eastAsia="zh-CN"/>
        </w:rPr>
        <w:t>20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22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</w:rPr>
        <w:t>年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lang w:eastAsia="zh-CN"/>
        </w:rPr>
        <w:t>华容县新河乡卫院没有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政府性基金预算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</w:rPr>
        <w:t>财政拨款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lang w:eastAsia="zh-CN"/>
        </w:rPr>
        <w:t>项目收入和支出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600" w:lineRule="atLeast"/>
        <w:jc w:val="both"/>
        <w:textAlignment w:val="auto"/>
        <w:rPr>
          <w:rFonts w:hint="eastAsia" w:ascii="仿宋_GB2312" w:hAnsi="宋体" w:eastAsia="仿宋_GB2312" w:cs="宋体"/>
          <w:b/>
          <w:bCs/>
          <w:sz w:val="32"/>
          <w:szCs w:val="28"/>
          <w:lang w:val="en-US" w:eastAsia="zh-CN"/>
        </w:rPr>
      </w:pPr>
      <w:r>
        <w:rPr>
          <w:rFonts w:hint="eastAsia" w:ascii="仿宋_GB2312" w:hAnsi="宋体" w:eastAsia="仿宋_GB2312" w:cs="宋体"/>
          <w:b/>
          <w:bCs/>
          <w:sz w:val="32"/>
          <w:szCs w:val="28"/>
          <w:lang w:val="en-US" w:eastAsia="zh-CN"/>
        </w:rPr>
        <w:t>4.</w:t>
      </w:r>
      <w:r>
        <w:rPr>
          <w:rFonts w:hint="eastAsia" w:ascii="仿宋_GB2312" w:hAnsi="宋体" w:eastAsia="仿宋_GB2312" w:cs="宋体"/>
          <w:b/>
          <w:bCs/>
          <w:sz w:val="32"/>
          <w:szCs w:val="28"/>
          <w:lang w:eastAsia="zh-CN"/>
        </w:rPr>
        <w:t>部门整体</w:t>
      </w:r>
      <w:r>
        <w:rPr>
          <w:rFonts w:hint="eastAsia" w:ascii="仿宋_GB2312" w:hAnsi="宋体" w:eastAsia="仿宋_GB2312" w:cs="宋体"/>
          <w:b/>
          <w:bCs/>
          <w:sz w:val="32"/>
          <w:szCs w:val="28"/>
          <w:lang w:val="en-US" w:eastAsia="zh-CN"/>
        </w:rPr>
        <w:t>绩效目标完成情况：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 w:val="0"/>
        <w:snapToGrid w:val="0"/>
        <w:spacing w:line="600" w:lineRule="atLeast"/>
        <w:ind w:firstLine="960" w:firstLineChars="300"/>
        <w:jc w:val="both"/>
        <w:textAlignment w:val="auto"/>
        <w:rPr>
          <w:rFonts w:hint="eastAsia" w:ascii="Times New Roman" w:hAnsi="Times New Roman" w:eastAsia="黑体" w:cs="Times New Roman"/>
          <w:sz w:val="32"/>
          <w:szCs w:val="32"/>
          <w:lang w:eastAsia="zh-CN"/>
        </w:rPr>
      </w:pPr>
      <w:r>
        <w:rPr>
          <w:rFonts w:hint="eastAsia" w:ascii="华文仿宋" w:hAnsi="华文仿宋" w:eastAsia="华文仿宋" w:cs="Times New Roman"/>
          <w:sz w:val="32"/>
          <w:szCs w:val="32"/>
          <w:lang w:val="en-US" w:eastAsia="zh-CN"/>
        </w:rPr>
        <w:t>2022年</w:t>
      </w:r>
      <w:r>
        <w:rPr>
          <w:rFonts w:hint="eastAsia" w:ascii="华文仿宋" w:hAnsi="华文仿宋" w:eastAsia="华文仿宋" w:cs="Times New Roman"/>
          <w:sz w:val="32"/>
          <w:szCs w:val="32"/>
        </w:rPr>
        <w:t>规范化居民电子健康档案</w:t>
      </w:r>
      <w:r>
        <w:rPr>
          <w:rFonts w:hint="eastAsia" w:ascii="华文仿宋" w:hAnsi="华文仿宋" w:eastAsia="华文仿宋" w:cs="Times New Roman"/>
          <w:sz w:val="32"/>
          <w:szCs w:val="32"/>
          <w:lang w:val="en-US" w:eastAsia="zh-CN"/>
        </w:rPr>
        <w:t>28667</w:t>
      </w:r>
      <w:r>
        <w:rPr>
          <w:rFonts w:hint="eastAsia" w:ascii="华文仿宋" w:hAnsi="华文仿宋" w:eastAsia="华文仿宋" w:cs="Times New Roman"/>
          <w:sz w:val="32"/>
          <w:szCs w:val="32"/>
        </w:rPr>
        <w:t>份，0-6岁儿童健康管理人数</w:t>
      </w:r>
      <w:r>
        <w:rPr>
          <w:rFonts w:hint="eastAsia" w:ascii="华文仿宋" w:hAnsi="华文仿宋" w:eastAsia="华文仿宋" w:cs="Times New Roman"/>
          <w:sz w:val="32"/>
          <w:szCs w:val="32"/>
          <w:lang w:val="en-US" w:eastAsia="zh-CN"/>
        </w:rPr>
        <w:t>2048</w:t>
      </w:r>
      <w:r>
        <w:rPr>
          <w:rFonts w:hint="eastAsia" w:ascii="华文仿宋" w:hAnsi="华文仿宋" w:eastAsia="华文仿宋" w:cs="Times New Roman"/>
          <w:sz w:val="32"/>
          <w:szCs w:val="32"/>
        </w:rPr>
        <w:t>人，管理</w:t>
      </w:r>
      <w:r>
        <w:rPr>
          <w:rFonts w:hint="eastAsia" w:ascii="华文仿宋" w:hAnsi="华文仿宋" w:eastAsia="华文仿宋" w:cs="Times New Roman"/>
          <w:sz w:val="32"/>
          <w:szCs w:val="32"/>
          <w:lang w:val="en-US" w:eastAsia="zh-CN"/>
        </w:rPr>
        <w:t>292</w:t>
      </w:r>
      <w:r>
        <w:rPr>
          <w:rFonts w:hint="eastAsia" w:ascii="华文仿宋" w:hAnsi="华文仿宋" w:eastAsia="华文仿宋" w:cs="Times New Roman"/>
          <w:sz w:val="32"/>
          <w:szCs w:val="32"/>
        </w:rPr>
        <w:t>例孕产妇，产妇管理数</w:t>
      </w:r>
      <w:r>
        <w:rPr>
          <w:rFonts w:hint="eastAsia" w:ascii="华文仿宋" w:hAnsi="华文仿宋" w:eastAsia="华文仿宋" w:cs="Times New Roman"/>
          <w:sz w:val="32"/>
          <w:szCs w:val="32"/>
          <w:lang w:val="en-US" w:eastAsia="zh-CN"/>
        </w:rPr>
        <w:t>196</w:t>
      </w:r>
      <w:r>
        <w:rPr>
          <w:rFonts w:hint="eastAsia" w:ascii="华文仿宋" w:hAnsi="华文仿宋" w:eastAsia="华文仿宋" w:cs="Times New Roman"/>
          <w:sz w:val="32"/>
          <w:szCs w:val="32"/>
        </w:rPr>
        <w:t>人，老年人健康管理</w:t>
      </w:r>
      <w:r>
        <w:rPr>
          <w:rFonts w:hint="eastAsia" w:ascii="华文仿宋" w:hAnsi="华文仿宋" w:eastAsia="华文仿宋" w:cs="Times New Roman"/>
          <w:sz w:val="32"/>
          <w:szCs w:val="32"/>
          <w:lang w:val="en-US" w:eastAsia="zh-CN"/>
        </w:rPr>
        <w:t>4733</w:t>
      </w:r>
      <w:r>
        <w:rPr>
          <w:rFonts w:hint="eastAsia" w:ascii="华文仿宋" w:hAnsi="华文仿宋" w:eastAsia="华文仿宋" w:cs="Times New Roman"/>
          <w:sz w:val="32"/>
          <w:szCs w:val="32"/>
        </w:rPr>
        <w:t>人,糖尿病</w:t>
      </w:r>
      <w:r>
        <w:rPr>
          <w:rFonts w:hint="eastAsia" w:ascii="华文仿宋" w:hAnsi="华文仿宋" w:eastAsia="华文仿宋" w:cs="Times New Roman"/>
          <w:sz w:val="32"/>
          <w:szCs w:val="32"/>
          <w:lang w:val="en-US" w:eastAsia="zh-CN"/>
        </w:rPr>
        <w:t>918</w:t>
      </w:r>
      <w:r>
        <w:rPr>
          <w:rFonts w:hint="eastAsia" w:ascii="华文仿宋" w:hAnsi="华文仿宋" w:eastAsia="华文仿宋" w:cs="Times New Roman"/>
          <w:sz w:val="32"/>
          <w:szCs w:val="32"/>
        </w:rPr>
        <w:t>人，规范管理</w:t>
      </w:r>
      <w:r>
        <w:rPr>
          <w:rFonts w:hint="eastAsia" w:ascii="华文仿宋" w:hAnsi="华文仿宋" w:eastAsia="华文仿宋" w:cs="Times New Roman"/>
          <w:sz w:val="32"/>
          <w:szCs w:val="32"/>
          <w:lang w:val="en-US" w:eastAsia="zh-CN"/>
        </w:rPr>
        <w:t>735</w:t>
      </w:r>
      <w:r>
        <w:rPr>
          <w:rFonts w:hint="eastAsia" w:ascii="华文仿宋" w:hAnsi="华文仿宋" w:eastAsia="华文仿宋" w:cs="Times New Roman"/>
          <w:sz w:val="32"/>
          <w:szCs w:val="32"/>
        </w:rPr>
        <w:t>人，高血压管理</w:t>
      </w:r>
      <w:r>
        <w:rPr>
          <w:rFonts w:hint="eastAsia" w:ascii="华文仿宋" w:hAnsi="华文仿宋" w:eastAsia="华文仿宋" w:cs="Times New Roman"/>
          <w:sz w:val="32"/>
          <w:szCs w:val="32"/>
          <w:lang w:val="en-US" w:eastAsia="zh-CN"/>
        </w:rPr>
        <w:t>2671</w:t>
      </w:r>
      <w:r>
        <w:rPr>
          <w:rFonts w:hint="eastAsia" w:ascii="华文仿宋" w:hAnsi="华文仿宋" w:eastAsia="华文仿宋" w:cs="Times New Roman"/>
          <w:sz w:val="32"/>
          <w:szCs w:val="32"/>
        </w:rPr>
        <w:t>人,规范管理</w:t>
      </w:r>
      <w:r>
        <w:rPr>
          <w:rFonts w:hint="eastAsia" w:ascii="华文仿宋" w:hAnsi="华文仿宋" w:eastAsia="华文仿宋" w:cs="Times New Roman"/>
          <w:sz w:val="32"/>
          <w:szCs w:val="32"/>
          <w:lang w:val="en-US" w:eastAsia="zh-CN"/>
        </w:rPr>
        <w:t>2136</w:t>
      </w:r>
      <w:r>
        <w:rPr>
          <w:rFonts w:hint="eastAsia" w:ascii="华文仿宋" w:hAnsi="华文仿宋" w:eastAsia="华文仿宋" w:cs="Times New Roman"/>
          <w:sz w:val="32"/>
          <w:szCs w:val="32"/>
        </w:rPr>
        <w:t>人,严重精神障碍患者健康管理</w:t>
      </w:r>
      <w:r>
        <w:rPr>
          <w:rFonts w:hint="eastAsia" w:ascii="华文仿宋" w:hAnsi="华文仿宋" w:eastAsia="华文仿宋" w:cs="Times New Roman"/>
          <w:sz w:val="32"/>
          <w:szCs w:val="32"/>
          <w:lang w:val="en-US" w:eastAsia="zh-CN"/>
        </w:rPr>
        <w:t>183</w:t>
      </w:r>
      <w:r>
        <w:rPr>
          <w:rFonts w:hint="eastAsia" w:ascii="华文仿宋" w:hAnsi="华文仿宋" w:eastAsia="华文仿宋" w:cs="Times New Roman"/>
          <w:sz w:val="32"/>
          <w:szCs w:val="32"/>
        </w:rPr>
        <w:t>人，肺结核</w:t>
      </w:r>
      <w:r>
        <w:rPr>
          <w:rFonts w:hint="eastAsia" w:ascii="华文仿宋" w:hAnsi="华文仿宋" w:eastAsia="华文仿宋" w:cs="Times New Roman"/>
          <w:sz w:val="32"/>
          <w:szCs w:val="32"/>
          <w:lang w:val="en-US" w:eastAsia="zh-CN"/>
        </w:rPr>
        <w:t>5</w:t>
      </w:r>
      <w:r>
        <w:rPr>
          <w:rFonts w:hint="eastAsia" w:ascii="华文仿宋" w:hAnsi="华文仿宋" w:eastAsia="华文仿宋" w:cs="Times New Roman"/>
          <w:sz w:val="32"/>
          <w:szCs w:val="32"/>
        </w:rPr>
        <w:t>人，接受中医药健康管理服务老年人</w:t>
      </w:r>
      <w:r>
        <w:rPr>
          <w:rFonts w:hint="eastAsia" w:ascii="华文仿宋" w:hAnsi="华文仿宋" w:eastAsia="华文仿宋" w:cs="Times New Roman"/>
          <w:sz w:val="32"/>
          <w:szCs w:val="32"/>
          <w:lang w:val="en-US" w:eastAsia="zh-CN"/>
        </w:rPr>
        <w:t>3455</w:t>
      </w:r>
      <w:r>
        <w:rPr>
          <w:rFonts w:hint="eastAsia" w:ascii="华文仿宋" w:hAnsi="华文仿宋" w:eastAsia="华文仿宋" w:cs="Times New Roman"/>
          <w:sz w:val="32"/>
          <w:szCs w:val="32"/>
        </w:rPr>
        <w:t>人,0-3岁儿童接受中医药健康管理服务</w:t>
      </w:r>
      <w:r>
        <w:rPr>
          <w:rFonts w:hint="eastAsia" w:ascii="华文仿宋" w:hAnsi="华文仿宋" w:eastAsia="华文仿宋" w:cs="Times New Roman"/>
          <w:sz w:val="32"/>
          <w:szCs w:val="32"/>
          <w:lang w:val="en-US" w:eastAsia="zh-CN"/>
        </w:rPr>
        <w:t>550</w:t>
      </w:r>
      <w:r>
        <w:rPr>
          <w:rFonts w:hint="eastAsia" w:ascii="华文仿宋" w:hAnsi="华文仿宋" w:eastAsia="华文仿宋" w:cs="Times New Roman"/>
          <w:sz w:val="32"/>
          <w:szCs w:val="32"/>
        </w:rPr>
        <w:t>人。健康教育覆盖人数约</w:t>
      </w:r>
      <w:r>
        <w:rPr>
          <w:rFonts w:hint="eastAsia" w:ascii="华文仿宋" w:hAnsi="华文仿宋" w:eastAsia="华文仿宋" w:cs="Times New Roman"/>
          <w:sz w:val="32"/>
          <w:szCs w:val="32"/>
          <w:lang w:val="en-US" w:eastAsia="zh-CN"/>
        </w:rPr>
        <w:t>9556</w:t>
      </w:r>
      <w:r>
        <w:rPr>
          <w:rFonts w:hint="eastAsia" w:ascii="华文仿宋" w:hAnsi="华文仿宋" w:eastAsia="华文仿宋" w:cs="Times New Roman"/>
          <w:sz w:val="32"/>
          <w:szCs w:val="32"/>
        </w:rPr>
        <w:t>人次，区域间联防联控取得较好成绩；乡村医生月例会定时召开，举办公卫培训6次。通过以上工作，使辖区内人群身体健康，社会和谐，促进经济稳定发展。</w:t>
      </w:r>
      <w:r>
        <w:rPr>
          <w:rFonts w:hint="eastAsia" w:ascii="华文仿宋" w:hAnsi="华文仿宋" w:eastAsia="华文仿宋" w:cs="Times New Roman"/>
          <w:sz w:val="32"/>
          <w:szCs w:val="32"/>
          <w:lang w:val="en-US" w:eastAsia="zh-CN"/>
        </w:rPr>
        <w:t>健康教育知识全面普及，人民群众健康意识普遍增强，群众满意度提高。</w:t>
      </w:r>
    </w:p>
    <w:p>
      <w:pPr>
        <w:pStyle w:val="13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40" w:firstLineChars="200"/>
        <w:jc w:val="both"/>
        <w:textAlignment w:val="auto"/>
        <w:rPr>
          <w:rFonts w:hint="default" w:ascii="Times New Roman" w:hAnsi="Times New Roman" w:eastAsia="黑体" w:cs="Times New Roman"/>
          <w:sz w:val="32"/>
          <w:szCs w:val="32"/>
        </w:rPr>
      </w:pPr>
      <w:r>
        <w:rPr>
          <w:rFonts w:hint="eastAsia" w:ascii="Times New Roman" w:hAnsi="Times New Roman" w:eastAsia="黑体" w:cs="Times New Roman"/>
          <w:sz w:val="32"/>
          <w:szCs w:val="32"/>
          <w:lang w:eastAsia="zh-CN"/>
        </w:rPr>
        <w:t>五</w:t>
      </w:r>
      <w:r>
        <w:rPr>
          <w:rFonts w:hint="default" w:ascii="Times New Roman" w:hAnsi="Times New Roman" w:eastAsia="黑体" w:cs="Times New Roman"/>
          <w:sz w:val="32"/>
          <w:szCs w:val="32"/>
        </w:rPr>
        <w:t>、存在的问题及原因分析</w:t>
      </w:r>
    </w:p>
    <w:p>
      <w:pPr>
        <w:tabs>
          <w:tab w:val="center" w:pos="4153"/>
        </w:tabs>
        <w:spacing w:line="600" w:lineRule="exact"/>
        <w:ind w:firstLine="640" w:firstLineChars="200"/>
        <w:jc w:val="left"/>
        <w:rPr>
          <w:rFonts w:hint="eastAsia" w:ascii="仿宋" w:hAnsi="仿宋" w:eastAsia="仿宋" w:cs="仿宋"/>
          <w:bCs/>
          <w:sz w:val="32"/>
          <w:szCs w:val="32"/>
        </w:rPr>
      </w:pPr>
      <w:r>
        <w:rPr>
          <w:rFonts w:hint="eastAsia" w:ascii="仿宋" w:hAnsi="仿宋" w:eastAsia="仿宋" w:cs="仿宋"/>
          <w:bCs/>
          <w:sz w:val="32"/>
          <w:szCs w:val="32"/>
          <w:lang w:val="en-US" w:eastAsia="zh-CN"/>
        </w:rPr>
        <w:t>1、</w:t>
      </w:r>
      <w:r>
        <w:rPr>
          <w:rFonts w:hint="eastAsia" w:ascii="仿宋" w:hAnsi="仿宋" w:eastAsia="仿宋" w:cs="仿宋"/>
          <w:bCs/>
          <w:sz w:val="32"/>
          <w:szCs w:val="32"/>
        </w:rPr>
        <w:t>预算编制有待更严格执行。预算编制与实际支出项目有的存在差异。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有些工作未能找到适当的量化方式，对绩效管理量化评价方面略显不足。通过县财政局组织的预算绩效管理培训，逐步找到适合的方法对本单位的工作进行合理的分类量化，以便适应将来的预算绩效管理工作。</w:t>
      </w:r>
    </w:p>
    <w:p>
      <w:pPr>
        <w:tabs>
          <w:tab w:val="center" w:pos="4153"/>
        </w:tabs>
        <w:spacing w:line="540" w:lineRule="exact"/>
        <w:ind w:firstLine="640" w:firstLineChars="200"/>
        <w:rPr>
          <w:rFonts w:hint="eastAsia" w:ascii="仿宋" w:hAnsi="仿宋" w:eastAsia="仿宋" w:cs="仿宋"/>
          <w:bCs/>
          <w:sz w:val="32"/>
          <w:szCs w:val="32"/>
        </w:rPr>
      </w:pPr>
      <w:r>
        <w:rPr>
          <w:rFonts w:hint="eastAsia" w:ascii="仿宋" w:hAnsi="仿宋" w:eastAsia="仿宋" w:cs="仿宋"/>
          <w:bCs/>
          <w:sz w:val="32"/>
          <w:szCs w:val="32"/>
          <w:lang w:val="en-US" w:eastAsia="zh-CN"/>
        </w:rPr>
        <w:t>2、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加强对</w:t>
      </w:r>
      <w:r>
        <w:rPr>
          <w:rFonts w:hint="eastAsia" w:ascii="仿宋" w:hAnsi="仿宋" w:eastAsia="仿宋" w:cs="仿宋"/>
          <w:sz w:val="32"/>
          <w:szCs w:val="32"/>
        </w:rPr>
        <w:t>卫生院基础设施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及</w:t>
      </w:r>
      <w:r>
        <w:rPr>
          <w:rFonts w:hint="eastAsia" w:ascii="仿宋" w:hAnsi="仿宋" w:eastAsia="仿宋" w:cs="仿宋"/>
          <w:sz w:val="32"/>
          <w:szCs w:val="32"/>
        </w:rPr>
        <w:t>能力建设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，</w:t>
      </w:r>
      <w:r>
        <w:rPr>
          <w:rFonts w:hint="eastAsia" w:ascii="仿宋" w:hAnsi="仿宋" w:eastAsia="仿宋" w:cs="仿宋"/>
          <w:sz w:val="32"/>
          <w:szCs w:val="32"/>
        </w:rPr>
        <w:t>抓好医疗质量安全、医疗纠纷第三方调解机制、医疗机构布局、医疗废物集中处置等工作</w:t>
      </w:r>
      <w:r>
        <w:rPr>
          <w:rFonts w:hint="eastAsia" w:ascii="仿宋" w:hAnsi="仿宋" w:eastAsia="仿宋" w:cs="仿宋"/>
          <w:bCs/>
          <w:sz w:val="32"/>
          <w:szCs w:val="32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40" w:firstLineChars="200"/>
        <w:jc w:val="both"/>
        <w:textAlignment w:val="auto"/>
        <w:rPr>
          <w:rFonts w:hint="default" w:ascii="Times New Roman" w:hAnsi="Times New Roman" w:eastAsia="黑体" w:cs="Times New Roman"/>
          <w:sz w:val="32"/>
          <w:szCs w:val="32"/>
        </w:rPr>
      </w:pPr>
      <w:r>
        <w:rPr>
          <w:rFonts w:hint="eastAsia" w:eastAsia="黑体" w:cs="Times New Roman"/>
          <w:sz w:val="32"/>
          <w:szCs w:val="32"/>
          <w:lang w:eastAsia="zh-CN"/>
        </w:rPr>
        <w:t>六</w:t>
      </w:r>
      <w:r>
        <w:rPr>
          <w:rFonts w:hint="default" w:ascii="Times New Roman" w:hAnsi="Times New Roman" w:eastAsia="黑体" w:cs="Times New Roman"/>
          <w:sz w:val="32"/>
          <w:szCs w:val="32"/>
        </w:rPr>
        <w:t>、下一步改进措施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Autospacing="0" w:line="600" w:lineRule="atLeast"/>
        <w:ind w:firstLine="643" w:firstLineChars="200"/>
        <w:textAlignment w:val="auto"/>
        <w:rPr>
          <w:rFonts w:hint="eastAsia" w:ascii="仿宋" w:hAnsi="仿宋" w:eastAsia="仿宋" w:cs="仿宋"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="仿宋"/>
          <w:b/>
          <w:bCs/>
          <w:color w:val="auto"/>
          <w:kern w:val="2"/>
          <w:sz w:val="32"/>
          <w:szCs w:val="32"/>
          <w:lang w:val="en-US" w:eastAsia="zh-CN" w:bidi="ar-SA"/>
        </w:rPr>
        <w:t>1.强化宣传</w:t>
      </w:r>
      <w:r>
        <w:rPr>
          <w:rFonts w:hint="eastAsia" w:ascii="仿宋" w:hAnsi="仿宋" w:eastAsia="仿宋" w:cs="仿宋"/>
          <w:color w:val="auto"/>
          <w:kern w:val="2"/>
          <w:sz w:val="32"/>
          <w:szCs w:val="32"/>
          <w:lang w:val="en-US" w:eastAsia="zh-CN" w:bidi="ar-SA"/>
        </w:rPr>
        <w:t>。进一步加大宣传力度，让广大城乡居民更全面了解项目的益处，提高群众知晓率，鼓励群众积极参与，自愿配合医疗卫生服务工作的开展。</w:t>
      </w:r>
    </w:p>
    <w:p>
      <w:pPr>
        <w:tabs>
          <w:tab w:val="center" w:pos="4153"/>
        </w:tabs>
        <w:spacing w:line="540" w:lineRule="exact"/>
        <w:ind w:firstLine="630"/>
        <w:jc w:val="left"/>
        <w:rPr>
          <w:rFonts w:hint="eastAsia" w:ascii="仿宋" w:hAnsi="仿宋" w:eastAsia="仿宋" w:cs="仿宋"/>
          <w:b/>
          <w:sz w:val="32"/>
          <w:szCs w:val="32"/>
        </w:rPr>
      </w:pPr>
      <w:r>
        <w:rPr>
          <w:rFonts w:hint="eastAsia" w:ascii="仿宋" w:hAnsi="仿宋" w:eastAsia="仿宋" w:cs="仿宋"/>
          <w:b/>
          <w:bCs w:val="0"/>
          <w:sz w:val="32"/>
          <w:szCs w:val="32"/>
          <w:lang w:val="en-US" w:eastAsia="zh-CN"/>
        </w:rPr>
        <w:t>2.严格审核。</w:t>
      </w:r>
      <w:r>
        <w:rPr>
          <w:rFonts w:hint="eastAsia" w:ascii="仿宋" w:hAnsi="仿宋" w:eastAsia="仿宋" w:cs="仿宋"/>
          <w:color w:val="auto"/>
          <w:kern w:val="2"/>
          <w:sz w:val="32"/>
          <w:szCs w:val="32"/>
          <w:lang w:val="en-US" w:eastAsia="zh-CN" w:bidi="ar-SA"/>
        </w:rPr>
        <w:t>按照预算规定的项目和用途严格财务审核，经费支出严格按预算规定项目的财务支出内容进行财务核算，在预算金额内严格控制费用的支出。</w:t>
      </w:r>
    </w:p>
    <w:p>
      <w:pPr>
        <w:tabs>
          <w:tab w:val="center" w:pos="4153"/>
        </w:tabs>
        <w:spacing w:line="540" w:lineRule="exact"/>
        <w:ind w:firstLine="645"/>
        <w:jc w:val="left"/>
        <w:rPr>
          <w:rFonts w:hint="eastAsia" w:ascii="仿宋" w:hAnsi="仿宋" w:eastAsia="仿宋" w:cs="仿宋"/>
          <w:sz w:val="32"/>
          <w:szCs w:val="32"/>
          <w:shd w:val="clear" w:color="auto" w:fill="FFFFFF"/>
        </w:rPr>
      </w:pPr>
      <w:r>
        <w:rPr>
          <w:rFonts w:hint="eastAsia" w:ascii="仿宋" w:hAnsi="仿宋" w:eastAsia="仿宋" w:cs="仿宋"/>
          <w:b/>
          <w:bCs w:val="0"/>
          <w:sz w:val="32"/>
          <w:szCs w:val="32"/>
          <w:lang w:val="en-US" w:eastAsia="zh-CN"/>
        </w:rPr>
        <w:t>3.分析常态化。</w:t>
      </w:r>
      <w:r>
        <w:rPr>
          <w:rFonts w:hint="eastAsia" w:ascii="仿宋" w:hAnsi="仿宋" w:eastAsia="仿宋" w:cs="仿宋"/>
          <w:sz w:val="32"/>
          <w:szCs w:val="32"/>
          <w:shd w:val="clear" w:color="auto" w:fill="FFFFFF"/>
          <w:lang w:eastAsia="zh-CN"/>
        </w:rPr>
        <w:t>将</w:t>
      </w:r>
      <w:r>
        <w:rPr>
          <w:rFonts w:hint="eastAsia" w:ascii="仿宋" w:hAnsi="仿宋" w:eastAsia="仿宋" w:cs="仿宋"/>
          <w:sz w:val="32"/>
          <w:szCs w:val="32"/>
          <w:shd w:val="clear" w:color="auto" w:fill="FFFFFF"/>
        </w:rPr>
        <w:t>预算财务分析常态化，定期做好预算支出财务分析，做好</w:t>
      </w:r>
      <w:r>
        <w:rPr>
          <w:rFonts w:hint="eastAsia" w:ascii="仿宋" w:hAnsi="仿宋" w:eastAsia="仿宋" w:cs="仿宋"/>
          <w:sz w:val="32"/>
          <w:szCs w:val="32"/>
          <w:shd w:val="clear" w:color="auto" w:fill="FFFFFF"/>
          <w:lang w:eastAsia="zh-CN"/>
        </w:rPr>
        <w:t>医院</w:t>
      </w:r>
      <w:r>
        <w:rPr>
          <w:rFonts w:hint="eastAsia" w:ascii="仿宋" w:hAnsi="仿宋" w:eastAsia="仿宋" w:cs="仿宋"/>
          <w:sz w:val="32"/>
          <w:szCs w:val="32"/>
          <w:shd w:val="clear" w:color="auto" w:fill="FFFFFF"/>
        </w:rPr>
        <w:t>整体支出预算评价工作。</w:t>
      </w:r>
    </w:p>
    <w:p>
      <w:pPr>
        <w:tabs>
          <w:tab w:val="center" w:pos="4153"/>
        </w:tabs>
        <w:spacing w:line="540" w:lineRule="exact"/>
        <w:ind w:firstLine="645"/>
        <w:jc w:val="left"/>
        <w:rPr>
          <w:rFonts w:hint="eastAsia" w:ascii="仿宋" w:hAnsi="仿宋" w:eastAsia="仿宋" w:cs="仿宋"/>
          <w:bCs/>
          <w:sz w:val="32"/>
          <w:szCs w:val="32"/>
        </w:rPr>
      </w:pPr>
      <w:r>
        <w:rPr>
          <w:rFonts w:hint="eastAsia" w:ascii="仿宋" w:hAnsi="仿宋" w:eastAsia="仿宋" w:cs="仿宋"/>
          <w:b/>
          <w:bCs w:val="0"/>
          <w:sz w:val="32"/>
          <w:szCs w:val="32"/>
          <w:lang w:val="en-US" w:eastAsia="zh-CN"/>
        </w:rPr>
        <w:t>4.强化信息公开。</w:t>
      </w:r>
      <w:r>
        <w:rPr>
          <w:rFonts w:hint="eastAsia" w:ascii="仿宋" w:hAnsi="仿宋" w:eastAsia="仿宋" w:cs="仿宋"/>
          <w:color w:val="auto"/>
          <w:kern w:val="2"/>
          <w:sz w:val="32"/>
          <w:szCs w:val="32"/>
          <w:lang w:val="en-US" w:eastAsia="zh-CN" w:bidi="ar-SA"/>
        </w:rPr>
        <w:t>积极宣传和引导居民群众对医疗卫生服务的认知度和信任度，激发公众的参与度，从而积极献计献策、监督政府职能部门的各项工作。</w:t>
      </w:r>
      <w:r>
        <w:rPr>
          <w:rFonts w:hint="eastAsia" w:ascii="仿宋" w:hAnsi="仿宋" w:eastAsia="仿宋" w:cs="仿宋"/>
          <w:bCs/>
          <w:spacing w:val="-6"/>
          <w:sz w:val="32"/>
          <w:szCs w:val="32"/>
        </w:rPr>
        <w:t xml:space="preserve"> </w:t>
      </w:r>
    </w:p>
    <w:p>
      <w:pPr>
        <w:tabs>
          <w:tab w:val="center" w:pos="4153"/>
        </w:tabs>
        <w:spacing w:line="600" w:lineRule="exact"/>
        <w:ind w:firstLine="643" w:firstLineChars="200"/>
        <w:jc w:val="left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b/>
          <w:bCs w:val="0"/>
          <w:kern w:val="0"/>
          <w:sz w:val="32"/>
          <w:szCs w:val="32"/>
          <w:lang w:val="en-US" w:eastAsia="zh-CN" w:bidi="ar"/>
        </w:rPr>
        <w:t>5.加大人才培养。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由于基层医疗卫生机构医护人员总量不足且青黄不接的问题，希望财政能加大对医疗卫生本土化人才培养的投入，</w:t>
      </w:r>
    </w:p>
    <w:p>
      <w:pPr>
        <w:pStyle w:val="2"/>
        <w:ind w:firstLine="643" w:firstLineChars="20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b/>
          <w:bCs w:val="0"/>
          <w:kern w:val="0"/>
          <w:sz w:val="32"/>
          <w:szCs w:val="32"/>
          <w:lang w:val="en-US" w:eastAsia="zh-CN" w:bidi="ar"/>
        </w:rPr>
        <w:t>6.增强投入。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疾病预防控制中相关经费短缺，预防性健康体检经费，疫情防控经费，建设等项目需要增强投入和建设。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610" w:lineRule="exact"/>
        <w:ind w:firstLine="640" w:firstLineChars="200"/>
        <w:jc w:val="both"/>
        <w:textAlignment w:val="auto"/>
        <w:rPr>
          <w:rFonts w:hint="eastAsia" w:eastAsia="黑体" w:cs="Times New Roman"/>
          <w:sz w:val="32"/>
          <w:szCs w:val="32"/>
          <w:lang w:val="en-US" w:eastAsia="zh-CN"/>
        </w:rPr>
      </w:pPr>
      <w:r>
        <w:rPr>
          <w:rFonts w:hint="eastAsia" w:eastAsia="黑体" w:cs="Times New Roman"/>
          <w:sz w:val="32"/>
          <w:szCs w:val="32"/>
          <w:lang w:eastAsia="zh-CN"/>
        </w:rPr>
        <w:t>七</w:t>
      </w:r>
      <w:r>
        <w:rPr>
          <w:rFonts w:hint="default" w:ascii="Times New Roman" w:hAnsi="Times New Roman" w:eastAsia="黑体" w:cs="Times New Roman"/>
          <w:sz w:val="32"/>
          <w:szCs w:val="32"/>
        </w:rPr>
        <w:t>、其他需要说明的情况</w:t>
      </w:r>
      <w:r>
        <w:rPr>
          <w:rFonts w:hint="eastAsia" w:eastAsia="黑体" w:cs="Times New Roman"/>
          <w:sz w:val="32"/>
          <w:szCs w:val="32"/>
          <w:lang w:val="en-US" w:eastAsia="zh-CN"/>
        </w:rPr>
        <w:t xml:space="preserve"> </w:t>
      </w:r>
    </w:p>
    <w:p>
      <w:pPr>
        <w:pStyle w:val="2"/>
        <w:rPr>
          <w:rFonts w:hint="eastAsia" w:ascii="仿宋" w:hAnsi="仿宋" w:eastAsia="仿宋" w:cs="仿宋"/>
          <w:b w:val="0"/>
          <w:bCs w:val="0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无</w:t>
      </w:r>
    </w:p>
    <w:sectPr>
      <w:pgSz w:w="11906" w:h="16838"/>
      <w:pgMar w:top="1984" w:right="1701" w:bottom="1984" w:left="1701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58EE9AC2-8C1F-4062-97A7-DCBA40F1FCF4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DCAA7816-C139-4376-BD00-288B714AF8F7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A261D5F1-D7A2-4F21-AFAE-ED2609C6D081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4" w:fontKey="{631FB2C7-8F60-4D97-8A5A-B6C55CCB2178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BED1D0F2-043F-4831-9CEB-D21A0366BD29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6" w:fontKey="{A9A6F101-6142-4F68-A313-C5FB200600AA}"/>
  </w:font>
  <w:font w:name="方正小标宋简体">
    <w:altName w:val="仿宋_GB2312"/>
    <w:panose1 w:val="02010601030101010101"/>
    <w:charset w:val="86"/>
    <w:family w:val="auto"/>
    <w:pitch w:val="default"/>
    <w:sig w:usb0="00000000" w:usb1="00000000" w:usb2="00000000" w:usb3="00000000" w:csb0="00040000" w:csb1="00000000"/>
    <w:embedRegular r:id="rId7" w:fontKey="{7B239799-D1A4-4DF0-B3EA-1E6419D07C82}"/>
  </w:font>
  <w:font w:name="新宋体">
    <w:panose1 w:val="02010609030101010101"/>
    <w:charset w:val="86"/>
    <w:family w:val="auto"/>
    <w:pitch w:val="default"/>
    <w:sig w:usb0="00000003" w:usb1="288F0000" w:usb2="00000006" w:usb3="00000000" w:csb0="00040001" w:csb1="00000000"/>
    <w:embedRegular r:id="rId8" w:fontKey="{CDF69BB6-D03A-479B-A63F-600DE39AEA09}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9" w:fontKey="{A30A6B82-ECA8-4D78-A622-6959322E3910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0" w:fontKey="{A1FA84E4-8B2E-470E-9B12-9ADB88E681C2}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11" w:fontKey="{3CEAE10C-6B4F-4002-B8AB-D2BAD8903FB0}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12" w:fontKey="{0AD6A55D-8BE3-4666-8A8D-93125E55FA97}"/>
  </w:font>
  <w:font w:name="华文仿宋">
    <w:altName w:val="仿宋"/>
    <w:panose1 w:val="02010600040101010101"/>
    <w:charset w:val="86"/>
    <w:family w:val="auto"/>
    <w:pitch w:val="default"/>
    <w:sig w:usb0="00000000" w:usb1="00000000" w:usb2="00000000" w:usb3="00000000" w:csb0="0004009F" w:csb1="DFD70000"/>
    <w:embedRegular r:id="rId13" w:fontKey="{6F5E582B-9537-4590-91CC-813EADF1EB3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jc w:val="right"/>
      <w:rPr>
        <w:rFonts w:ascii="仿宋_GB2312" w:eastAsia="仿宋_GB2312"/>
        <w:sz w:val="28"/>
        <w:szCs w:val="28"/>
      </w:rPr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4"/>
                            <w:jc w:val="right"/>
                          </w:pPr>
                          <w:r>
                            <w:rPr>
                              <w:rFonts w:ascii="仿宋_GB2312" w:eastAsia="仿宋_GB2312"/>
                              <w:sz w:val="28"/>
                              <w:szCs w:val="28"/>
                            </w:rPr>
                            <w:t>-</w:t>
                          </w:r>
                          <w:r>
                            <w:rPr>
                              <w:rFonts w:ascii="仿宋_GB2312" w:eastAsia="仿宋_GB2312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ascii="仿宋_GB2312" w:eastAsia="仿宋_GB2312"/>
                              <w:sz w:val="28"/>
                              <w:szCs w:val="28"/>
                            </w:rPr>
                            <w:instrText xml:space="preserve"> PAGE   \* MERGEFORMAT </w:instrText>
                          </w:r>
                          <w:r>
                            <w:rPr>
                              <w:rFonts w:ascii="仿宋_GB2312" w:eastAsia="仿宋_GB2312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ascii="仿宋_GB2312" w:eastAsia="仿宋_GB2312"/>
                              <w:sz w:val="28"/>
                              <w:szCs w:val="28"/>
                              <w:lang w:val="zh-CN"/>
                            </w:rPr>
                            <w:t>1</w:t>
                          </w:r>
                          <w:r>
                            <w:rPr>
                              <w:rFonts w:ascii="仿宋_GB2312" w:eastAsia="仿宋_GB2312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ascii="仿宋_GB2312" w:eastAsia="仿宋_GB2312"/>
                              <w:sz w:val="28"/>
                              <w:szCs w:val="28"/>
                            </w:rPr>
                            <w:t>-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  <w:jc w:val="right"/>
                    </w:pPr>
                    <w:r>
                      <w:rPr>
                        <w:rFonts w:ascii="仿宋_GB2312" w:eastAsia="仿宋_GB2312"/>
                        <w:sz w:val="28"/>
                        <w:szCs w:val="28"/>
                      </w:rPr>
                      <w:t>-</w:t>
                    </w:r>
                    <w:r>
                      <w:rPr>
                        <w:rFonts w:ascii="仿宋_GB2312" w:eastAsia="仿宋_GB2312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ascii="仿宋_GB2312" w:eastAsia="仿宋_GB2312"/>
                        <w:sz w:val="28"/>
                        <w:szCs w:val="28"/>
                      </w:rPr>
                      <w:instrText xml:space="preserve"> PAGE   \* MERGEFORMAT </w:instrText>
                    </w:r>
                    <w:r>
                      <w:rPr>
                        <w:rFonts w:ascii="仿宋_GB2312" w:eastAsia="仿宋_GB2312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ascii="仿宋_GB2312" w:eastAsia="仿宋_GB2312"/>
                        <w:sz w:val="28"/>
                        <w:szCs w:val="28"/>
                        <w:lang w:val="zh-CN"/>
                      </w:rPr>
                      <w:t>1</w:t>
                    </w:r>
                    <w:r>
                      <w:rPr>
                        <w:rFonts w:ascii="仿宋_GB2312" w:eastAsia="仿宋_GB2312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ascii="仿宋_GB2312" w:eastAsia="仿宋_GB2312"/>
                        <w:sz w:val="28"/>
                        <w:szCs w:val="28"/>
                      </w:rPr>
                      <w:t>-</w:t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E07616C"/>
    <w:multiLevelType w:val="singleLevel"/>
    <w:tmpl w:val="5E07616C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view w:val="normal"/>
  <w:zoom w:percent="10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layout v:ext="edit">
      <o:idmap v:ext="edit" data="3,4"/>
    </o:shapelayout>
  </w:hdrShapeDefaults>
  <w:compat>
    <w:spaceForUL/>
    <w:balanceSingleByteDoubleByteWidth/>
    <w:doNotLeaveBackslashAlone/>
    <w:ulTrailSpace/>
    <w:doNotExpandShiftReturn/>
    <w:adjustLineHeightInTable/>
    <w:useFELayout/>
    <w:underlineTabInNumLis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MyZDNjYThlYmExMWNhNzcxY2EyNmVjYzQzOTRkYmYifQ=="/>
  </w:docVars>
  <w:rsids>
    <w:rsidRoot w:val="0CCB7736"/>
    <w:rsid w:val="00047FEF"/>
    <w:rsid w:val="000A3906"/>
    <w:rsid w:val="001776F1"/>
    <w:rsid w:val="006B0239"/>
    <w:rsid w:val="006F0A16"/>
    <w:rsid w:val="00773328"/>
    <w:rsid w:val="00821883"/>
    <w:rsid w:val="00917857"/>
    <w:rsid w:val="00A755C2"/>
    <w:rsid w:val="016A347B"/>
    <w:rsid w:val="02B50488"/>
    <w:rsid w:val="031276A6"/>
    <w:rsid w:val="0338470A"/>
    <w:rsid w:val="034822A9"/>
    <w:rsid w:val="03D86621"/>
    <w:rsid w:val="04EE6171"/>
    <w:rsid w:val="05395EA9"/>
    <w:rsid w:val="0ABD557B"/>
    <w:rsid w:val="0B766AA4"/>
    <w:rsid w:val="0BBB5A8D"/>
    <w:rsid w:val="0C104906"/>
    <w:rsid w:val="0CCB7736"/>
    <w:rsid w:val="0CFF53BF"/>
    <w:rsid w:val="0D0D0FD6"/>
    <w:rsid w:val="0D9E0E8D"/>
    <w:rsid w:val="0EAB7397"/>
    <w:rsid w:val="0EF64C2F"/>
    <w:rsid w:val="0EF755B3"/>
    <w:rsid w:val="0F17035E"/>
    <w:rsid w:val="0F4E168D"/>
    <w:rsid w:val="11404466"/>
    <w:rsid w:val="1167461D"/>
    <w:rsid w:val="11963ADD"/>
    <w:rsid w:val="11EB0F5C"/>
    <w:rsid w:val="11F20483"/>
    <w:rsid w:val="136F31F8"/>
    <w:rsid w:val="138750E0"/>
    <w:rsid w:val="14F47DE6"/>
    <w:rsid w:val="15A620D3"/>
    <w:rsid w:val="16154968"/>
    <w:rsid w:val="16A3369E"/>
    <w:rsid w:val="178536BD"/>
    <w:rsid w:val="18A95694"/>
    <w:rsid w:val="19516372"/>
    <w:rsid w:val="19575CC2"/>
    <w:rsid w:val="1997072D"/>
    <w:rsid w:val="19A80228"/>
    <w:rsid w:val="1A101464"/>
    <w:rsid w:val="1AB74849"/>
    <w:rsid w:val="1AB83F48"/>
    <w:rsid w:val="1AC52FF2"/>
    <w:rsid w:val="1AC67B6D"/>
    <w:rsid w:val="1AE6175D"/>
    <w:rsid w:val="1B742AA7"/>
    <w:rsid w:val="1CA34935"/>
    <w:rsid w:val="1CF42E6E"/>
    <w:rsid w:val="1D5A640E"/>
    <w:rsid w:val="1E9B78ED"/>
    <w:rsid w:val="1F7640EC"/>
    <w:rsid w:val="20D76C5F"/>
    <w:rsid w:val="21057490"/>
    <w:rsid w:val="21482F3E"/>
    <w:rsid w:val="214A230E"/>
    <w:rsid w:val="21B052C4"/>
    <w:rsid w:val="22FF5445"/>
    <w:rsid w:val="238D0E57"/>
    <w:rsid w:val="24256710"/>
    <w:rsid w:val="251E7983"/>
    <w:rsid w:val="260D5D83"/>
    <w:rsid w:val="269244DE"/>
    <w:rsid w:val="284A2254"/>
    <w:rsid w:val="292F1467"/>
    <w:rsid w:val="29786927"/>
    <w:rsid w:val="297B51B4"/>
    <w:rsid w:val="29E40467"/>
    <w:rsid w:val="29F527E2"/>
    <w:rsid w:val="2AE337D3"/>
    <w:rsid w:val="2BF35971"/>
    <w:rsid w:val="2C487650"/>
    <w:rsid w:val="2CE94AA7"/>
    <w:rsid w:val="2E4F43C0"/>
    <w:rsid w:val="2EC7368E"/>
    <w:rsid w:val="2ECA2C26"/>
    <w:rsid w:val="2EE61893"/>
    <w:rsid w:val="2F595293"/>
    <w:rsid w:val="2FC333BB"/>
    <w:rsid w:val="30FB4B41"/>
    <w:rsid w:val="31621165"/>
    <w:rsid w:val="323C5548"/>
    <w:rsid w:val="37450F88"/>
    <w:rsid w:val="374925ED"/>
    <w:rsid w:val="37AE0D7A"/>
    <w:rsid w:val="37D6106F"/>
    <w:rsid w:val="38AF15A1"/>
    <w:rsid w:val="38F862EB"/>
    <w:rsid w:val="39343807"/>
    <w:rsid w:val="39887BBC"/>
    <w:rsid w:val="3A53023B"/>
    <w:rsid w:val="3AF42D2D"/>
    <w:rsid w:val="3B3A041F"/>
    <w:rsid w:val="3BAE6BF9"/>
    <w:rsid w:val="3CCA47F2"/>
    <w:rsid w:val="3CDE0708"/>
    <w:rsid w:val="3D5877DF"/>
    <w:rsid w:val="3DC55CAA"/>
    <w:rsid w:val="3DD556CA"/>
    <w:rsid w:val="3F450429"/>
    <w:rsid w:val="40226C80"/>
    <w:rsid w:val="40C451A5"/>
    <w:rsid w:val="40FD1849"/>
    <w:rsid w:val="4156470B"/>
    <w:rsid w:val="41943ACE"/>
    <w:rsid w:val="42487D6E"/>
    <w:rsid w:val="425D4066"/>
    <w:rsid w:val="42A40CA1"/>
    <w:rsid w:val="43173FD4"/>
    <w:rsid w:val="44143822"/>
    <w:rsid w:val="44654A12"/>
    <w:rsid w:val="457C5F26"/>
    <w:rsid w:val="490231AB"/>
    <w:rsid w:val="49CF255F"/>
    <w:rsid w:val="4B2C5DCD"/>
    <w:rsid w:val="4B7D1173"/>
    <w:rsid w:val="4C150E22"/>
    <w:rsid w:val="4C6A38FC"/>
    <w:rsid w:val="4CE74BC3"/>
    <w:rsid w:val="4CF5000E"/>
    <w:rsid w:val="4D652181"/>
    <w:rsid w:val="4DB17672"/>
    <w:rsid w:val="50AC44C4"/>
    <w:rsid w:val="50EA6DB9"/>
    <w:rsid w:val="51CA7471"/>
    <w:rsid w:val="521C2FA3"/>
    <w:rsid w:val="522529B2"/>
    <w:rsid w:val="53910AF4"/>
    <w:rsid w:val="546537FE"/>
    <w:rsid w:val="54C13EBA"/>
    <w:rsid w:val="555952B3"/>
    <w:rsid w:val="556B5A36"/>
    <w:rsid w:val="55AF40BB"/>
    <w:rsid w:val="56F72F7C"/>
    <w:rsid w:val="586243BF"/>
    <w:rsid w:val="58FD3402"/>
    <w:rsid w:val="5AAF7799"/>
    <w:rsid w:val="5B0E1468"/>
    <w:rsid w:val="5B5C1753"/>
    <w:rsid w:val="5B9B5880"/>
    <w:rsid w:val="5C7C71CB"/>
    <w:rsid w:val="5D544D6E"/>
    <w:rsid w:val="5E134100"/>
    <w:rsid w:val="5F7A1C50"/>
    <w:rsid w:val="5FE60B6B"/>
    <w:rsid w:val="601C4AB5"/>
    <w:rsid w:val="60BE691E"/>
    <w:rsid w:val="61444403"/>
    <w:rsid w:val="62265BDF"/>
    <w:rsid w:val="62E1699A"/>
    <w:rsid w:val="64147F0D"/>
    <w:rsid w:val="64D66362"/>
    <w:rsid w:val="6548460C"/>
    <w:rsid w:val="65860217"/>
    <w:rsid w:val="66691FE5"/>
    <w:rsid w:val="667E0AA1"/>
    <w:rsid w:val="68FB17C3"/>
    <w:rsid w:val="695F12F9"/>
    <w:rsid w:val="69636C3A"/>
    <w:rsid w:val="69CF7B2C"/>
    <w:rsid w:val="69EB7DC0"/>
    <w:rsid w:val="6A0B0004"/>
    <w:rsid w:val="6BA1010E"/>
    <w:rsid w:val="6CE47E41"/>
    <w:rsid w:val="6CED5810"/>
    <w:rsid w:val="6CF92413"/>
    <w:rsid w:val="6DFE5E04"/>
    <w:rsid w:val="6E87203D"/>
    <w:rsid w:val="6F9278BB"/>
    <w:rsid w:val="6FB957CF"/>
    <w:rsid w:val="70F85BCB"/>
    <w:rsid w:val="711A1C9E"/>
    <w:rsid w:val="71514F00"/>
    <w:rsid w:val="71572F19"/>
    <w:rsid w:val="719B7427"/>
    <w:rsid w:val="724A6793"/>
    <w:rsid w:val="73F46F6A"/>
    <w:rsid w:val="741F26FA"/>
    <w:rsid w:val="74470DF8"/>
    <w:rsid w:val="74F9420D"/>
    <w:rsid w:val="75AE1909"/>
    <w:rsid w:val="75FD1676"/>
    <w:rsid w:val="799536BA"/>
    <w:rsid w:val="7B170752"/>
    <w:rsid w:val="7B8F681B"/>
    <w:rsid w:val="7DD96C0E"/>
    <w:rsid w:val="7E474F7B"/>
    <w:rsid w:val="7E7944BF"/>
    <w:rsid w:val="7E8F7AC1"/>
    <w:rsid w:val="7EC172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Times New Roma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iPriority="0" w:name="heading 2" w:locked="1"/>
    <w:lsdException w:qFormat="1" w:uiPriority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qFormat="1" w:unhideWhenUsed="0" w:uiPriority="0" w:semiHidden="0" w:name="footnote text"/>
    <w:lsdException w:uiPriority="99" w:name="annotation text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99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qFormat="1" w:unhideWhenUsed="0" w:uiPriority="99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9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3">
    <w:name w:val="heading 1"/>
    <w:basedOn w:val="1"/>
    <w:next w:val="1"/>
    <w:qFormat/>
    <w:locked/>
    <w:uiPriority w:val="0"/>
    <w:pPr>
      <w:keepNext/>
      <w:keepLines/>
      <w:outlineLvl w:val="0"/>
    </w:pPr>
    <w:rPr>
      <w:rFonts w:eastAsia="黑体"/>
      <w:bCs/>
      <w:kern w:val="44"/>
      <w:szCs w:val="44"/>
    </w:rPr>
  </w:style>
  <w:style w:type="character" w:default="1" w:styleId="9">
    <w:name w:val="Default Paragraph Font"/>
    <w:semiHidden/>
    <w:qFormat/>
    <w:uiPriority w:val="99"/>
  </w:style>
  <w:style w:type="table" w:default="1" w:styleId="7">
    <w:name w:val="Normal Table"/>
    <w:semiHidden/>
    <w:unhideWhenUsed/>
    <w:qFormat/>
    <w:uiPriority w:val="99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Times New Roman" w:hAnsi="Times New Roman" w:eastAsia="Times New Roman" w:cs="Times New Roman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note text"/>
    <w:basedOn w:val="1"/>
    <w:next w:val="1"/>
    <w:qFormat/>
    <w:uiPriority w:val="0"/>
    <w:pPr>
      <w:snapToGrid w:val="0"/>
      <w:jc w:val="left"/>
    </w:pPr>
    <w:rPr>
      <w:sz w:val="18"/>
      <w:szCs w:val="18"/>
    </w:rPr>
  </w:style>
  <w:style w:type="paragraph" w:styleId="4">
    <w:name w:val="footer"/>
    <w:basedOn w:val="1"/>
    <w:link w:val="11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2"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6">
    <w:name w:val="Normal (Web)"/>
    <w:basedOn w:val="1"/>
    <w:qFormat/>
    <w:uiPriority w:val="0"/>
    <w:pPr>
      <w:spacing w:before="100" w:beforeAutospacing="1" w:after="10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8">
    <w:name w:val="Table Grid"/>
    <w:basedOn w:val="7"/>
    <w:qFormat/>
    <w:uiPriority w:val="99"/>
    <w:pPr>
      <w:widowControl w:val="0"/>
      <w:jc w:val="both"/>
    </w:pPr>
    <w:rPr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0">
    <w:name w:val="page number"/>
    <w:basedOn w:val="9"/>
    <w:qFormat/>
    <w:uiPriority w:val="99"/>
    <w:rPr>
      <w:rFonts w:cs="Times New Roman"/>
    </w:rPr>
  </w:style>
  <w:style w:type="character" w:customStyle="1" w:styleId="11">
    <w:name w:val="Footer Char"/>
    <w:basedOn w:val="9"/>
    <w:link w:val="4"/>
    <w:semiHidden/>
    <w:qFormat/>
    <w:uiPriority w:val="99"/>
    <w:rPr>
      <w:sz w:val="18"/>
      <w:szCs w:val="18"/>
    </w:rPr>
  </w:style>
  <w:style w:type="character" w:customStyle="1" w:styleId="12">
    <w:name w:val="Header Char"/>
    <w:basedOn w:val="9"/>
    <w:link w:val="5"/>
    <w:semiHidden/>
    <w:qFormat/>
    <w:uiPriority w:val="99"/>
    <w:rPr>
      <w:sz w:val="18"/>
      <w:szCs w:val="18"/>
    </w:rPr>
  </w:style>
  <w:style w:type="paragraph" w:styleId="13">
    <w:name w:val="List Paragraph"/>
    <w:basedOn w:val="1"/>
    <w:qFormat/>
    <w:uiPriority w:val="99"/>
    <w:pPr>
      <w:ind w:firstLine="420" w:firstLineChars="200"/>
    </w:pPr>
    <w:rPr>
      <w:rFonts w:ascii="Calibri" w:hAnsi="Calibri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numbering" Target="numbering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3" Type="http://schemas.openxmlformats.org/officeDocument/2006/relationships/font" Target="fonts/font13.odttf"/><Relationship Id="rId12" Type="http://schemas.openxmlformats.org/officeDocument/2006/relationships/font" Target="fonts/font1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Pages>9</Pages>
  <Words>3199</Words>
  <Characters>3544</Characters>
  <Lines>0</Lines>
  <Paragraphs>0</Paragraphs>
  <TotalTime>117</TotalTime>
  <ScaleCrop>false</ScaleCrop>
  <LinksUpToDate>false</LinksUpToDate>
  <CharactersWithSpaces>3649</CharactersWithSpaces>
  <Application>WPS Office_11.8.2.11978_F1E327BC-269C-435d-A152-05C5408002CA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2020-06-04T01:07:00Z</dcterms:created>
  <dc:creator>Administrator</dc:creator>
  <cp:lastModifiedBy>Administrator</cp:lastModifiedBy>
  <cp:lastPrinted>2023-06-29T01:04:00Z</cp:lastPrinted>
  <dcterms:modified xsi:type="dcterms:W3CDTF">2023-07-14T03:15:17Z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2052-11.8.2.11978</vt:lpwstr>
  </property>
  <property fmtid="{D5CDD505-2E9C-101B-9397-08002B2CF9AE}" pid="3" name="KSOSaveFontToCloudKey">
    <vt:lpwstr>386772509_embed</vt:lpwstr>
  </property>
  <property fmtid="{D5CDD505-2E9C-101B-9397-08002B2CF9AE}" pid="4" name="ICV">
    <vt:lpwstr>BCEA63DAF624456AADE85B6B06C14A45_13</vt:lpwstr>
  </property>
</Properties>
</file>