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7"/>
        <w:tblW w:w="4996" w:type="pct"/>
        <w:jc w:val="center"/>
        <w:tblLayout w:type="autofit"/>
        <w:tblCellMar>
          <w:top w:w="0" w:type="dxa"/>
          <w:left w:w="108" w:type="dxa"/>
          <w:bottom w:w="0" w:type="dxa"/>
          <w:right w:w="108" w:type="dxa"/>
        </w:tblCellMar>
      </w:tblPr>
      <w:tblGrid>
        <w:gridCol w:w="3217"/>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41</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41</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1129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1240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1240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622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622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基本公共卫生项目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114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122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122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.基建项目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500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500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kern w:val="2"/>
                <w:sz w:val="21"/>
                <w:szCs w:val="21"/>
                <w:lang w:val="en-US" w:eastAsia="zh-CN" w:bidi="ar-SA"/>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kern w:val="2"/>
                <w:sz w:val="21"/>
                <w:szCs w:val="21"/>
                <w:lang w:val="en-US" w:eastAsia="zh-CN" w:bidi="ar-SA"/>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杨丽</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2023.7.10</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18711299708</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7"/>
        <w:tblW w:w="4996" w:type="pct"/>
        <w:jc w:val="center"/>
        <w:tblLayout w:type="autofit"/>
        <w:tblCellMar>
          <w:top w:w="0" w:type="dxa"/>
          <w:left w:w="108" w:type="dxa"/>
          <w:bottom w:w="0" w:type="dxa"/>
          <w:right w:w="108" w:type="dxa"/>
        </w:tblCellMar>
      </w:tblPr>
      <w:tblGrid>
        <w:gridCol w:w="1079"/>
        <w:gridCol w:w="866"/>
        <w:gridCol w:w="871"/>
        <w:gridCol w:w="1051"/>
        <w:gridCol w:w="1112"/>
        <w:gridCol w:w="1129"/>
        <w:gridCol w:w="587"/>
        <w:gridCol w:w="1012"/>
        <w:gridCol w:w="1574"/>
      </w:tblGrid>
      <w:tr>
        <w:tblPrEx>
          <w:tblCellMar>
            <w:top w:w="0" w:type="dxa"/>
            <w:left w:w="108" w:type="dxa"/>
            <w:bottom w:w="0" w:type="dxa"/>
            <w:right w:w="108" w:type="dxa"/>
          </w:tblCellMar>
        </w:tblPrEx>
        <w:trPr>
          <w:trHeight w:val="1003" w:hRule="atLeast"/>
          <w:jc w:val="center"/>
        </w:trPr>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华容县治河渡镇卫生院</w:t>
            </w:r>
          </w:p>
        </w:tc>
      </w:tr>
      <w:tr>
        <w:tblPrEx>
          <w:tblCellMar>
            <w:top w:w="0" w:type="dxa"/>
            <w:left w:w="108" w:type="dxa"/>
            <w:bottom w:w="0" w:type="dxa"/>
            <w:right w:w="108" w:type="dxa"/>
          </w:tblCellMar>
        </w:tblPrEx>
        <w:trPr>
          <w:trHeight w:val="863" w:hRule="atLeast"/>
          <w:jc w:val="center"/>
        </w:trPr>
        <w:tc>
          <w:tcPr>
            <w:tcW w:w="58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1002</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1862</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1862</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1121</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sz w:val="21"/>
                <w:szCs w:val="21"/>
                <w:lang w:val="en-US" w:eastAsia="zh-CN"/>
              </w:rPr>
              <w:t>1240</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622</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741</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szCs w:val="21"/>
              </w:rPr>
              <w:t>目标1：</w:t>
            </w:r>
            <w:r>
              <w:rPr>
                <w:rFonts w:hint="eastAsia" w:eastAsia="仿宋_GB2312"/>
                <w:kern w:val="0"/>
                <w:szCs w:val="21"/>
              </w:rPr>
              <w:t>保障职工工资福利发放，“五险一金缴纳”</w:t>
            </w:r>
          </w:p>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szCs w:val="21"/>
              </w:rPr>
              <w:t>目标2：</w:t>
            </w:r>
            <w:r>
              <w:rPr>
                <w:rFonts w:hint="eastAsia" w:eastAsia="仿宋_GB2312"/>
                <w:kern w:val="0"/>
                <w:szCs w:val="21"/>
              </w:rPr>
              <w:t>公用经费确保工作正常运转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仿宋_GB2312" w:hAnsi="仿宋_GB2312" w:eastAsia="仿宋_GB2312" w:cs="仿宋_GB2312"/>
                <w:color w:val="000000"/>
                <w:szCs w:val="21"/>
              </w:rPr>
              <w:t>目标3：</w:t>
            </w:r>
            <w:r>
              <w:rPr>
                <w:rFonts w:hint="eastAsia" w:eastAsia="仿宋_GB2312"/>
                <w:kern w:val="0"/>
                <w:szCs w:val="21"/>
              </w:rPr>
              <w:t>医疗收入保障医院日常工作开展</w:t>
            </w: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职工工资福利发放，“五险一金缴纳”到位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eastAsia="仿宋_GB2312"/>
                <w:kern w:val="0"/>
                <w:szCs w:val="21"/>
              </w:rPr>
              <w:t>医疗和公卫工作圆满完成预期目标</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工资福利发放率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73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“五险一金”缴纳率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日常公用经费使用率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患者治愈率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80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rightChars="0" w:firstLine="210" w:firstLineChars="10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70%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4.4</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加强专业技术培训，提升业务能力</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仿宋_GB2312" w:hAnsi="仿宋_GB2312" w:eastAsia="仿宋_GB2312" w:cs="仿宋_GB2312"/>
                <w:color w:val="000000"/>
                <w:szCs w:val="21"/>
              </w:rPr>
              <w:t>公卫管理率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加强公卫及乡村医生管理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年初计划门诊收入完成率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年初计划收入完成率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工资福利到位率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“五险一金”缴纳到位率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1337"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医院正常开展各项业务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患者治愈率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59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80%</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70%</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5.25</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加强专业技术培训，提升业务能力</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环境污染处理率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59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医废污染处理</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污水污染处理</w:t>
            </w:r>
          </w:p>
        </w:tc>
        <w:tc>
          <w:tcPr>
            <w:tcW w:w="59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54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w:t>
            </w:r>
          </w:p>
        </w:tc>
        <w:tc>
          <w:tcPr>
            <w:tcW w:w="84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9"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患者满意度</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居民满意度</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89"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97.65</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杨丽</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2023.7.10</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18711299708</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华容县治河渡镇卫生院</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华容县治河渡镇卫生院</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shd w:val="solid" w:color="FFFFFF" w:fill="auto"/>
        <w:autoSpaceDN w:val="0"/>
        <w:spacing w:line="600" w:lineRule="exact"/>
        <w:ind w:firstLine="420" w:firstLineChars="200"/>
        <w:jc w:val="left"/>
        <w:rPr>
          <w:rFonts w:hint="default" w:ascii="仿宋_GB2312" w:hAnsi="仿宋_GB2312" w:eastAsia="仿宋_GB2312" w:cs="仿宋_GB2312"/>
          <w:color w:val="auto"/>
          <w:sz w:val="32"/>
          <w:lang w:val="en-US"/>
        </w:rPr>
      </w:pPr>
      <w:r>
        <w:rPr>
          <w:rFonts w:hint="eastAsia"/>
          <w:lang w:val="en-US" w:eastAsia="zh-CN"/>
        </w:rPr>
        <w:t xml:space="preserve">             </w:t>
      </w:r>
      <w:r>
        <w:rPr>
          <w:rFonts w:hint="eastAsia" w:ascii="仿宋_GB2312" w:hAnsi="仿宋_GB2312" w:eastAsia="仿宋_GB2312" w:cs="仿宋_GB2312"/>
          <w:color w:val="auto"/>
          <w:sz w:val="32"/>
        </w:rPr>
        <w:t>华容县</w:t>
      </w:r>
      <w:r>
        <w:rPr>
          <w:rFonts w:hint="eastAsia" w:ascii="仿宋_GB2312" w:hAnsi="仿宋_GB2312" w:eastAsia="仿宋_GB2312" w:cs="仿宋_GB2312"/>
          <w:color w:val="auto"/>
          <w:sz w:val="32"/>
          <w:lang w:eastAsia="zh-CN"/>
        </w:rPr>
        <w:t>治河渡镇卫生院</w:t>
      </w:r>
      <w:r>
        <w:rPr>
          <w:rFonts w:hint="eastAsia" w:ascii="仿宋_GB2312" w:hAnsi="仿宋_GB2312" w:eastAsia="仿宋_GB2312" w:cs="仿宋_GB2312"/>
          <w:color w:val="auto"/>
          <w:sz w:val="32"/>
        </w:rPr>
        <w:t>系财政全额预算拨款单位。202</w:t>
      </w:r>
      <w:r>
        <w:rPr>
          <w:rFonts w:hint="eastAsia" w:ascii="仿宋_GB2312" w:hAnsi="仿宋_GB2312" w:eastAsia="仿宋_GB2312" w:cs="仿宋_GB2312"/>
          <w:color w:val="auto"/>
          <w:sz w:val="32"/>
          <w:lang w:val="en-US" w:eastAsia="zh-CN"/>
        </w:rPr>
        <w:t>2</w:t>
      </w:r>
      <w:r>
        <w:rPr>
          <w:rFonts w:hint="eastAsia" w:ascii="仿宋_GB2312" w:hAnsi="仿宋_GB2312" w:eastAsia="仿宋_GB2312" w:cs="仿宋_GB2312"/>
          <w:color w:val="auto"/>
          <w:sz w:val="32"/>
        </w:rPr>
        <w:t>年编制部门核实</w:t>
      </w:r>
      <w:r>
        <w:rPr>
          <w:rFonts w:hint="eastAsia" w:ascii="仿宋_GB2312" w:hAnsi="仿宋_GB2312" w:eastAsia="仿宋_GB2312" w:cs="仿宋_GB2312"/>
          <w:color w:val="auto"/>
          <w:sz w:val="32"/>
          <w:lang w:eastAsia="zh-CN"/>
        </w:rPr>
        <w:t>我院</w:t>
      </w:r>
      <w:r>
        <w:rPr>
          <w:rFonts w:hint="eastAsia" w:ascii="仿宋_GB2312" w:hAnsi="仿宋_GB2312" w:eastAsia="仿宋_GB2312" w:cs="仿宋_GB2312"/>
          <w:color w:val="auto"/>
          <w:sz w:val="32"/>
        </w:rPr>
        <w:t>编制</w:t>
      </w:r>
      <w:r>
        <w:rPr>
          <w:rFonts w:hint="eastAsia" w:ascii="仿宋_GB2312" w:hAnsi="仿宋_GB2312" w:eastAsia="仿宋_GB2312" w:cs="仿宋_GB2312"/>
          <w:color w:val="auto"/>
          <w:sz w:val="32"/>
          <w:lang w:val="en-US" w:eastAsia="zh-CN"/>
        </w:rPr>
        <w:t>50</w:t>
      </w:r>
      <w:r>
        <w:rPr>
          <w:rFonts w:hint="eastAsia" w:ascii="仿宋_GB2312" w:hAnsi="仿宋_GB2312" w:eastAsia="仿宋_GB2312" w:cs="仿宋_GB2312"/>
          <w:color w:val="auto"/>
          <w:sz w:val="32"/>
        </w:rPr>
        <w:t>名，实有编制人员</w:t>
      </w:r>
      <w:r>
        <w:rPr>
          <w:rFonts w:hint="eastAsia" w:ascii="仿宋_GB2312" w:hAnsi="仿宋_GB2312" w:eastAsia="仿宋_GB2312" w:cs="仿宋_GB2312"/>
          <w:color w:val="auto"/>
          <w:sz w:val="32"/>
          <w:lang w:val="en-US" w:eastAsia="zh-CN"/>
        </w:rPr>
        <w:t>41</w:t>
      </w:r>
      <w:r>
        <w:rPr>
          <w:rFonts w:hint="eastAsia" w:ascii="仿宋_GB2312" w:hAnsi="仿宋_GB2312" w:eastAsia="仿宋_GB2312" w:cs="仿宋_GB2312"/>
          <w:color w:val="auto"/>
          <w:sz w:val="32"/>
        </w:rPr>
        <w:t>人</w:t>
      </w:r>
      <w:r>
        <w:rPr>
          <w:rFonts w:hint="eastAsia" w:ascii="仿宋_GB2312" w:hAnsi="仿宋_GB2312" w:eastAsia="仿宋_GB2312" w:cs="仿宋_GB2312"/>
          <w:color w:val="auto"/>
          <w:sz w:val="32"/>
          <w:lang w:eastAsia="zh-CN"/>
        </w:rPr>
        <w:t>。编制床位80张，实际开放床位</w:t>
      </w:r>
      <w:r>
        <w:rPr>
          <w:rFonts w:hint="eastAsia" w:ascii="仿宋_GB2312" w:hAnsi="仿宋_GB2312" w:eastAsia="仿宋_GB2312" w:cs="仿宋_GB2312"/>
          <w:color w:val="auto"/>
          <w:sz w:val="32"/>
          <w:lang w:val="en-US" w:eastAsia="zh-CN"/>
        </w:rPr>
        <w:t>6</w:t>
      </w:r>
      <w:r>
        <w:rPr>
          <w:rFonts w:hint="eastAsia" w:ascii="仿宋_GB2312" w:hAnsi="仿宋_GB2312" w:eastAsia="仿宋_GB2312" w:cs="仿宋_GB2312"/>
          <w:color w:val="auto"/>
          <w:sz w:val="32"/>
          <w:lang w:eastAsia="zh-CN"/>
        </w:rPr>
        <w:t>5张。卫生院主要以公共卫生服务为主，综合提供预防、保健和基本医疗服务。承担所在乡(镇)的公共卫生管理。</w:t>
      </w:r>
      <w:r>
        <w:rPr>
          <w:rFonts w:hint="eastAsia" w:ascii="仿宋_GB2312" w:hAnsi="仿宋_GB2312" w:eastAsia="仿宋_GB2312" w:cs="仿宋_GB2312"/>
          <w:color w:val="auto"/>
          <w:sz w:val="32"/>
        </w:rPr>
        <w:t>全</w:t>
      </w:r>
      <w:r>
        <w:rPr>
          <w:rFonts w:hint="eastAsia" w:ascii="仿宋_GB2312" w:hAnsi="仿宋_GB2312" w:eastAsia="仿宋_GB2312" w:cs="仿宋_GB2312"/>
          <w:color w:val="auto"/>
          <w:sz w:val="32"/>
          <w:lang w:eastAsia="zh-CN"/>
        </w:rPr>
        <w:t>院</w:t>
      </w:r>
      <w:r>
        <w:rPr>
          <w:rFonts w:hint="eastAsia" w:ascii="仿宋_GB2312" w:hAnsi="仿宋_GB2312" w:eastAsia="仿宋_GB2312" w:cs="仿宋_GB2312"/>
          <w:color w:val="auto"/>
          <w:sz w:val="32"/>
        </w:rPr>
        <w:t>开设有内外儿妇中医及中医理疗等临床科室，开设B超、检验、放射、心电图、脑功能、肺功能等辅助科室</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lang w:val="en-US" w:eastAsia="zh-CN"/>
        </w:rPr>
        <w:t>2</w:t>
      </w:r>
      <w:r>
        <w:rPr>
          <w:rFonts w:hint="eastAsia" w:ascii="仿宋_GB2312" w:hAnsi="仿宋_GB2312" w:eastAsia="仿宋_GB2312" w:cs="仿宋_GB2312"/>
          <w:color w:val="auto"/>
          <w:sz w:val="32"/>
        </w:rPr>
        <w:t>016年被中国农村卫生协会评为“群众满意的乡镇卫生院”，2017年被中国农村卫生协会评为“全国百佳乡镇卫生院”，2019年顺利通过“优质服务基层行基本标准”,2020年顺利通过“优质服务基层行推荐标准”，并被省卫健委评定为“社区医院”。</w:t>
      </w:r>
    </w:p>
    <w:p>
      <w:pPr>
        <w:pStyle w:val="2"/>
        <w:numPr>
          <w:ilvl w:val="0"/>
          <w:numId w:val="0"/>
        </w:numPr>
        <w:rPr>
          <w:rFonts w:hint="default" w:eastAsia="宋体"/>
          <w:lang w:val="en-US" w:eastAsia="zh-CN"/>
        </w:rPr>
      </w:pP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spacing w:line="560" w:lineRule="exact"/>
        <w:ind w:firstLine="640" w:firstLineChars="200"/>
        <w:rPr>
          <w:rFonts w:hint="eastAsia" w:ascii="仿宋_GB2312" w:hAnsi="仿宋_GB2312" w:eastAsia="仿宋_GB2312" w:cs="仿宋_GB2312"/>
          <w:b/>
          <w:bCs/>
          <w:sz w:val="32"/>
          <w:szCs w:val="28"/>
          <w:lang w:val="en-US" w:eastAsia="zh-CN"/>
        </w:rPr>
      </w:pPr>
      <w:r>
        <w:rPr>
          <w:rFonts w:hint="eastAsia" w:ascii="仿宋_GB2312" w:hAnsi="仿宋_GB2312" w:eastAsia="仿宋_GB2312" w:cs="仿宋_GB2312"/>
          <w:sz w:val="32"/>
          <w:szCs w:val="28"/>
          <w:lang w:val="en-US" w:eastAsia="zh-CN"/>
        </w:rPr>
        <w:t>2022年华容县治河渡镇卫生院整体基本支出</w:t>
      </w:r>
      <w:r>
        <w:rPr>
          <w:rFonts w:hint="eastAsia" w:ascii="新宋体" w:hAnsi="新宋体" w:eastAsia="新宋体" w:cs="新宋体"/>
          <w:sz w:val="32"/>
          <w:szCs w:val="32"/>
          <w:lang w:val="en-US" w:eastAsia="zh-CN"/>
        </w:rPr>
        <w:t>1240</w:t>
      </w:r>
      <w:r>
        <w:rPr>
          <w:rFonts w:hint="eastAsia" w:ascii="仿宋_GB2312" w:hAnsi="仿宋_GB2312" w:eastAsia="仿宋_GB2312" w:cs="仿宋_GB2312"/>
          <w:sz w:val="32"/>
          <w:szCs w:val="28"/>
          <w:lang w:val="en-US" w:eastAsia="zh-CN"/>
        </w:rPr>
        <w:t>万元，主要是用于人员工资、社会保障缴费、临时工工资以及为保障医疗卫生机构正常运转、完成日常工作任务而发生的商品和服务支出。其中：工资福利支出670万元、商品和服务支出570万元。</w:t>
      </w: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eastAsia" w:ascii="仿宋_GB2312" w:hAnsi="仿宋_GB2312" w:eastAsia="仿宋_GB2312" w:cs="仿宋_GB2312"/>
          <w:sz w:val="32"/>
          <w:szCs w:val="28"/>
          <w:lang w:val="en-US" w:eastAsia="zh-CN"/>
        </w:rPr>
      </w:pPr>
      <w:r>
        <w:rPr>
          <w:rFonts w:hint="default" w:ascii="Times New Roman" w:hAnsi="Times New Roman" w:eastAsia="黑体" w:cs="Times New Roman"/>
          <w:kern w:val="2"/>
          <w:sz w:val="32"/>
          <w:szCs w:val="32"/>
          <w:lang w:val="en-US" w:eastAsia="zh-CN" w:bidi="ar-SA"/>
        </w:rPr>
        <w:t>项目支出情况</w:t>
      </w:r>
    </w:p>
    <w:p>
      <w:pPr>
        <w:pStyle w:val="13"/>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eastAsia" w:ascii="仿宋_GB2312" w:hAnsi="仿宋_GB2312" w:eastAsia="仿宋_GB2312" w:cs="仿宋_GB2312"/>
          <w:sz w:val="32"/>
          <w:szCs w:val="28"/>
          <w:lang w:val="en-US" w:eastAsia="zh-CN"/>
        </w:rPr>
        <w:t>我院项目资金按照年初预算的安排，按照月度与项目建设资金的建设进度等安排资金落实，2022年华容县治河渡镇卫生院项目支出622万元，主要用于公共卫生专用材料支出、突发公共卫生疫情防控物质支出及应急接诊点项目支出</w:t>
      </w:r>
      <w:r>
        <w:rPr>
          <w:rFonts w:hint="eastAsia" w:ascii="仿宋_GB2312" w:hAnsi="仿宋_GB2312" w:eastAsia="仿宋_GB2312" w:cs="仿宋_GB2312"/>
          <w:color w:val="auto"/>
          <w:sz w:val="32"/>
          <w:szCs w:val="28"/>
          <w:lang w:val="en-US" w:eastAsia="zh-CN"/>
        </w:rPr>
        <w:t>。</w:t>
      </w:r>
    </w:p>
    <w:p>
      <w:pPr>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部门整体支出绩效情况</w:t>
      </w:r>
    </w:p>
    <w:p>
      <w:pPr>
        <w:numPr>
          <w:ilvl w:val="0"/>
          <w:numId w:val="2"/>
        </w:numPr>
        <w:adjustRightInd w:val="0"/>
        <w:snapToGrid w:val="0"/>
        <w:spacing w:line="600" w:lineRule="atLeast"/>
        <w:ind w:firstLine="643" w:firstLineChars="200"/>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部门整体收支情况：</w:t>
      </w:r>
    </w:p>
    <w:p>
      <w:pPr>
        <w:numPr>
          <w:ilvl w:val="0"/>
          <w:numId w:val="0"/>
        </w:numPr>
        <w:adjustRightInd w:val="0"/>
        <w:snapToGrid w:val="0"/>
        <w:spacing w:line="600" w:lineRule="atLeast"/>
        <w:ind w:firstLine="640" w:firstLineChars="200"/>
        <w:rPr>
          <w:rFonts w:hint="eastAsia" w:ascii="仿宋_GB2312" w:hAnsi="宋体" w:eastAsia="仿宋_GB2312" w:cs="宋体"/>
          <w:sz w:val="32"/>
          <w:szCs w:val="28"/>
        </w:rPr>
      </w:pPr>
      <w:r>
        <w:rPr>
          <w:rFonts w:hint="eastAsia" w:ascii="仿宋_GB2312" w:hAnsi="仿宋_GB2312" w:eastAsia="仿宋_GB2312" w:cs="仿宋_GB2312"/>
          <w:sz w:val="32"/>
          <w:szCs w:val="28"/>
        </w:rPr>
        <w:t>（1）收入情况：全年</w:t>
      </w:r>
      <w:r>
        <w:rPr>
          <w:rFonts w:hint="eastAsia" w:ascii="仿宋_GB2312" w:hAnsi="仿宋_GB2312" w:eastAsia="仿宋_GB2312" w:cs="仿宋_GB2312"/>
          <w:sz w:val="32"/>
          <w:szCs w:val="28"/>
          <w:lang w:eastAsia="zh-CN"/>
        </w:rPr>
        <w:t>收入合计</w:t>
      </w:r>
      <w:r>
        <w:rPr>
          <w:rFonts w:hint="eastAsia" w:ascii="新宋体" w:hAnsi="新宋体" w:eastAsia="新宋体" w:cs="新宋体"/>
          <w:i w:val="0"/>
          <w:iCs w:val="0"/>
          <w:sz w:val="32"/>
          <w:szCs w:val="32"/>
          <w:lang w:val="en-US" w:eastAsia="zh-CN"/>
        </w:rPr>
        <w:t>1862</w:t>
      </w:r>
      <w:r>
        <w:rPr>
          <w:rFonts w:hint="eastAsia" w:ascii="仿宋_GB2312" w:hAnsi="仿宋_GB2312" w:eastAsia="仿宋_GB2312" w:cs="仿宋_GB2312"/>
          <w:color w:val="auto"/>
          <w:sz w:val="32"/>
          <w:szCs w:val="28"/>
          <w:lang w:val="en-US" w:eastAsia="zh-CN"/>
        </w:rPr>
        <w:t>万</w:t>
      </w:r>
      <w:r>
        <w:rPr>
          <w:rFonts w:hint="eastAsia" w:ascii="仿宋_GB2312" w:hAnsi="仿宋_GB2312" w:eastAsia="仿宋_GB2312" w:cs="仿宋_GB2312"/>
          <w:sz w:val="32"/>
          <w:szCs w:val="28"/>
          <w:lang w:val="en-US" w:eastAsia="zh-CN"/>
        </w:rPr>
        <w:t>元，其中：一般公共预算</w:t>
      </w:r>
      <w:r>
        <w:rPr>
          <w:rFonts w:hint="eastAsia" w:ascii="仿宋_GB2312" w:hAnsi="仿宋_GB2312" w:eastAsia="仿宋_GB2312" w:cs="仿宋_GB2312"/>
          <w:sz w:val="32"/>
          <w:szCs w:val="28"/>
        </w:rPr>
        <w:t>财政拨款收入</w:t>
      </w:r>
      <w:r>
        <w:rPr>
          <w:rFonts w:hint="eastAsia" w:ascii="新宋体" w:hAnsi="新宋体" w:eastAsia="新宋体" w:cs="新宋体"/>
          <w:i w:val="0"/>
          <w:iCs w:val="0"/>
          <w:color w:val="000000"/>
          <w:sz w:val="32"/>
          <w:szCs w:val="32"/>
          <w:lang w:val="en-US" w:eastAsia="zh-CN"/>
        </w:rPr>
        <w:t>1121</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lang w:val="en-US" w:eastAsia="zh-CN"/>
        </w:rPr>
        <w:t>事业收入</w:t>
      </w:r>
      <w:r>
        <w:rPr>
          <w:rFonts w:hint="eastAsia" w:ascii="新宋体" w:hAnsi="新宋体" w:eastAsia="新宋体" w:cs="新宋体"/>
          <w:i w:val="0"/>
          <w:iCs w:val="0"/>
          <w:color w:val="000000"/>
          <w:sz w:val="32"/>
          <w:szCs w:val="32"/>
          <w:lang w:val="en-US" w:eastAsia="zh-CN"/>
        </w:rPr>
        <w:t>703</w:t>
      </w:r>
      <w:r>
        <w:rPr>
          <w:rFonts w:hint="eastAsia" w:ascii="仿宋_GB2312" w:hAnsi="仿宋_GB2312" w:eastAsia="仿宋_GB2312" w:cs="仿宋_GB2312"/>
          <w:sz w:val="32"/>
          <w:szCs w:val="28"/>
          <w:lang w:val="en-US" w:eastAsia="zh-CN"/>
        </w:rPr>
        <w:t>万元，其他收入38万元</w:t>
      </w:r>
      <w:r>
        <w:rPr>
          <w:rFonts w:hint="eastAsia" w:ascii="仿宋_GB2312" w:hAnsi="宋体" w:eastAsia="仿宋_GB2312" w:cs="宋体"/>
          <w:sz w:val="32"/>
          <w:szCs w:val="28"/>
        </w:rPr>
        <w:t>。</w:t>
      </w:r>
    </w:p>
    <w:p>
      <w:pPr>
        <w:adjustRightInd w:val="0"/>
        <w:snapToGrid w:val="0"/>
        <w:spacing w:line="600" w:lineRule="atLeast"/>
        <w:ind w:firstLine="640" w:firstLineChars="200"/>
        <w:rPr>
          <w:rFonts w:hint="eastAsia" w:ascii="仿宋_GB2312" w:hAnsi="宋体" w:eastAsia="仿宋_GB2312" w:cs="宋体"/>
          <w:sz w:val="32"/>
          <w:szCs w:val="28"/>
          <w:lang w:val="en-US" w:eastAsia="zh-CN"/>
        </w:rPr>
      </w:pPr>
      <w:r>
        <w:rPr>
          <w:rFonts w:hint="eastAsia" w:ascii="仿宋_GB2312" w:hAnsi="宋体" w:eastAsia="仿宋_GB2312" w:cs="宋体"/>
          <w:sz w:val="32"/>
          <w:szCs w:val="28"/>
        </w:rPr>
        <w:t>（2）支出情况:全年</w:t>
      </w:r>
      <w:r>
        <w:rPr>
          <w:rFonts w:hint="eastAsia" w:ascii="仿宋_GB2312" w:hAnsi="宋体" w:eastAsia="仿宋_GB2312" w:cs="宋体"/>
          <w:sz w:val="32"/>
          <w:szCs w:val="28"/>
          <w:lang w:eastAsia="zh-CN"/>
        </w:rPr>
        <w:t>支出合计</w:t>
      </w:r>
      <w:r>
        <w:rPr>
          <w:rFonts w:hint="eastAsia" w:ascii="新宋体" w:hAnsi="新宋体" w:eastAsia="新宋体" w:cs="新宋体"/>
          <w:i w:val="0"/>
          <w:iCs w:val="0"/>
          <w:sz w:val="32"/>
          <w:szCs w:val="32"/>
          <w:lang w:val="en-US" w:eastAsia="zh-CN"/>
        </w:rPr>
        <w:t>1862</w:t>
      </w:r>
      <w:r>
        <w:rPr>
          <w:rFonts w:hint="eastAsia" w:ascii="仿宋_GB2312" w:hAnsi="宋体" w:eastAsia="仿宋_GB2312" w:cs="宋体"/>
          <w:sz w:val="32"/>
          <w:szCs w:val="28"/>
          <w:lang w:val="en-US" w:eastAsia="zh-CN"/>
        </w:rPr>
        <w:t>万元，其中：</w:t>
      </w:r>
      <w:r>
        <w:rPr>
          <w:rFonts w:hint="eastAsia" w:ascii="仿宋_GB2312" w:hAnsi="宋体" w:eastAsia="仿宋_GB2312" w:cs="宋体"/>
          <w:sz w:val="32"/>
          <w:szCs w:val="28"/>
        </w:rPr>
        <w:t>基本支出</w:t>
      </w:r>
      <w:r>
        <w:rPr>
          <w:rFonts w:hint="eastAsia" w:ascii="新宋体" w:hAnsi="新宋体" w:eastAsia="新宋体" w:cs="新宋体"/>
          <w:i w:val="0"/>
          <w:iCs w:val="0"/>
          <w:color w:val="000000"/>
          <w:sz w:val="32"/>
          <w:szCs w:val="32"/>
          <w:lang w:val="en-US" w:eastAsia="zh-CN"/>
        </w:rPr>
        <w:t>703</w:t>
      </w:r>
      <w:r>
        <w:rPr>
          <w:rFonts w:hint="eastAsia" w:ascii="仿宋_GB2312" w:hAnsi="宋体" w:eastAsia="仿宋_GB2312" w:cs="宋体"/>
          <w:sz w:val="32"/>
          <w:szCs w:val="28"/>
        </w:rPr>
        <w:t>万元（</w:t>
      </w:r>
      <w:r>
        <w:rPr>
          <w:rFonts w:hint="eastAsia" w:ascii="仿宋_GB2312" w:hAnsi="宋体" w:eastAsia="仿宋_GB2312" w:cs="宋体"/>
          <w:sz w:val="32"/>
          <w:szCs w:val="28"/>
          <w:lang w:eastAsia="zh-CN"/>
        </w:rPr>
        <w:t>工</w:t>
      </w:r>
      <w:r>
        <w:rPr>
          <w:rFonts w:hint="eastAsia" w:ascii="仿宋_GB2312" w:hAnsi="仿宋_GB2312" w:eastAsia="仿宋_GB2312" w:cs="仿宋_GB2312"/>
          <w:sz w:val="32"/>
          <w:szCs w:val="28"/>
          <w:lang w:eastAsia="zh-CN"/>
        </w:rPr>
        <w:t>资福利支出</w:t>
      </w:r>
      <w:r>
        <w:rPr>
          <w:rFonts w:hint="eastAsia" w:ascii="仿宋_GB2312" w:hAnsi="仿宋_GB2312" w:eastAsia="仿宋_GB2312" w:cs="仿宋_GB2312"/>
          <w:sz w:val="32"/>
          <w:szCs w:val="28"/>
          <w:lang w:val="en-US" w:eastAsia="zh-CN"/>
        </w:rPr>
        <w:t>670</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；商品和服务支出</w:t>
      </w:r>
      <w:r>
        <w:rPr>
          <w:rFonts w:hint="eastAsia" w:ascii="仿宋_GB2312" w:hAnsi="仿宋_GB2312" w:eastAsia="仿宋_GB2312" w:cs="仿宋_GB2312"/>
          <w:sz w:val="32"/>
          <w:szCs w:val="28"/>
          <w:lang w:val="en-US" w:eastAsia="zh-CN"/>
        </w:rPr>
        <w:t>570万元</w:t>
      </w:r>
      <w:r>
        <w:rPr>
          <w:rFonts w:hint="eastAsia" w:ascii="仿宋_GB2312" w:hAnsi="宋体" w:eastAsia="仿宋_GB2312" w:cs="宋体"/>
          <w:sz w:val="32"/>
          <w:szCs w:val="28"/>
        </w:rPr>
        <w:t>）</w:t>
      </w:r>
      <w:r>
        <w:rPr>
          <w:rFonts w:hint="eastAsia" w:ascii="仿宋_GB2312" w:hAnsi="宋体" w:eastAsia="仿宋_GB2312" w:cs="宋体"/>
          <w:sz w:val="32"/>
          <w:szCs w:val="28"/>
          <w:lang w:val="en-US" w:eastAsia="zh-CN"/>
        </w:rPr>
        <w:t>。</w:t>
      </w:r>
    </w:p>
    <w:p>
      <w:pPr>
        <w:pStyle w:val="13"/>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firstLine="640" w:firstLineChars="200"/>
        <w:jc w:val="both"/>
        <w:textAlignment w:val="auto"/>
        <w:rPr>
          <w:rFonts w:hint="eastAsia" w:ascii="仿宋_GB2312" w:hAnsi="宋体" w:eastAsia="仿宋_GB2312" w:cs="宋体"/>
          <w:sz w:val="32"/>
          <w:szCs w:val="28"/>
        </w:rPr>
      </w:pPr>
      <w:r>
        <w:rPr>
          <w:rFonts w:hint="eastAsia" w:ascii="仿宋_GB2312" w:hAnsi="宋体" w:eastAsia="仿宋_GB2312" w:cs="宋体"/>
          <w:sz w:val="32"/>
          <w:szCs w:val="28"/>
        </w:rPr>
        <w:t>项目支出</w:t>
      </w:r>
      <w:r>
        <w:rPr>
          <w:rFonts w:hint="eastAsia" w:ascii="仿宋_GB2312" w:hAnsi="仿宋_GB2312" w:eastAsia="仿宋_GB2312" w:cs="仿宋_GB2312"/>
          <w:sz w:val="32"/>
          <w:szCs w:val="28"/>
          <w:lang w:val="en-US" w:eastAsia="zh-CN"/>
        </w:rPr>
        <w:t>622万元，主要是</w:t>
      </w:r>
      <w:r>
        <w:rPr>
          <w:rFonts w:hint="eastAsia" w:ascii="仿宋_GB2312" w:hAnsi="仿宋_GB2312" w:eastAsia="仿宋_GB2312" w:cs="仿宋_GB2312"/>
          <w:sz w:val="32"/>
          <w:szCs w:val="28"/>
          <w:lang w:eastAsia="zh-CN"/>
        </w:rPr>
        <w:t>商品和服务支出</w:t>
      </w:r>
      <w:r>
        <w:rPr>
          <w:rFonts w:hint="eastAsia" w:ascii="仿宋_GB2312" w:hAnsi="仿宋_GB2312" w:eastAsia="仿宋_GB2312" w:cs="仿宋_GB2312"/>
          <w:sz w:val="32"/>
          <w:szCs w:val="28"/>
          <w:lang w:val="en-US" w:eastAsia="zh-CN"/>
        </w:rPr>
        <w:t>122</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和基础建设项目</w:t>
      </w:r>
      <w:r>
        <w:rPr>
          <w:rFonts w:hint="eastAsia" w:ascii="仿宋_GB2312" w:hAnsi="仿宋_GB2312" w:eastAsia="仿宋_GB2312" w:cs="仿宋_GB2312"/>
          <w:sz w:val="32"/>
          <w:szCs w:val="28"/>
          <w:lang w:val="en-US" w:eastAsia="zh-CN"/>
        </w:rPr>
        <w:t>500万元</w:t>
      </w:r>
      <w:r>
        <w:rPr>
          <w:rFonts w:hint="eastAsia" w:ascii="仿宋_GB2312" w:hAnsi="宋体" w:eastAsia="仿宋_GB2312" w:cs="宋体"/>
          <w:sz w:val="32"/>
          <w:szCs w:val="28"/>
        </w:rPr>
        <w:t>。</w:t>
      </w:r>
    </w:p>
    <w:p>
      <w:pPr>
        <w:adjustRightInd w:val="0"/>
        <w:snapToGrid w:val="0"/>
        <w:spacing w:line="600" w:lineRule="exact"/>
        <w:ind w:firstLine="421" w:firstLineChars="131"/>
        <w:jc w:val="left"/>
        <w:rPr>
          <w:rFonts w:hint="eastAsia" w:ascii="仿宋_GB2312" w:hAnsi="宋体" w:eastAsia="仿宋_GB2312" w:cs="宋体"/>
          <w:color w:val="000000"/>
          <w:sz w:val="32"/>
          <w:szCs w:val="28"/>
        </w:rPr>
      </w:pPr>
      <w:r>
        <w:rPr>
          <w:rFonts w:hint="eastAsia" w:ascii="仿宋_GB2312" w:hAnsi="宋体" w:eastAsia="仿宋_GB2312" w:cs="宋体"/>
          <w:b/>
          <w:bCs/>
          <w:sz w:val="32"/>
          <w:szCs w:val="28"/>
        </w:rPr>
        <w:t>2</w:t>
      </w:r>
      <w:r>
        <w:rPr>
          <w:rFonts w:hint="eastAsia" w:ascii="仿宋_GB2312" w:hAnsi="宋体" w:eastAsia="仿宋_GB2312" w:cs="宋体"/>
          <w:sz w:val="32"/>
          <w:szCs w:val="28"/>
        </w:rPr>
        <w:t>.</w:t>
      </w:r>
      <w:r>
        <w:rPr>
          <w:rFonts w:hint="eastAsia" w:ascii="仿宋_GB2312" w:hAnsi="宋体" w:eastAsia="仿宋_GB2312" w:cs="宋体"/>
          <w:b/>
          <w:bCs/>
          <w:sz w:val="32"/>
          <w:szCs w:val="28"/>
        </w:rPr>
        <w:t>三公经费支出情况：</w:t>
      </w:r>
      <w:r>
        <w:rPr>
          <w:rFonts w:hint="eastAsia" w:ascii="仿宋_GB2312" w:eastAsia="仿宋_GB2312" w:cs="宋体"/>
          <w:sz w:val="32"/>
          <w:szCs w:val="28"/>
          <w:lang w:eastAsia="zh-CN"/>
        </w:rPr>
        <w:t>20</w:t>
      </w:r>
      <w:r>
        <w:rPr>
          <w:rFonts w:hint="eastAsia" w:ascii="仿宋_GB2312" w:eastAsia="仿宋_GB2312" w:cs="宋体"/>
          <w:sz w:val="32"/>
          <w:szCs w:val="28"/>
          <w:lang w:val="en-US" w:eastAsia="zh-CN"/>
        </w:rPr>
        <w:t>22</w:t>
      </w:r>
      <w:r>
        <w:rPr>
          <w:rFonts w:hint="eastAsia" w:ascii="仿宋_GB2312" w:eastAsia="仿宋_GB2312" w:cs="宋体"/>
          <w:sz w:val="32"/>
          <w:szCs w:val="28"/>
        </w:rPr>
        <w:t>年部门预算安排“三公”经费”</w:t>
      </w:r>
      <w:r>
        <w:rPr>
          <w:rFonts w:hint="eastAsia" w:ascii="仿宋_GB2312" w:hAnsi="楷体" w:eastAsia="仿宋_GB2312"/>
          <w:sz w:val="24"/>
          <w:szCs w:val="24"/>
        </w:rPr>
        <w:t xml:space="preserve"> </w:t>
      </w:r>
      <w:r>
        <w:rPr>
          <w:rFonts w:hint="eastAsia" w:ascii="仿宋_GB2312" w:hAnsi="楷体" w:eastAsia="仿宋_GB2312"/>
          <w:sz w:val="24"/>
          <w:szCs w:val="24"/>
          <w:lang w:val="en-US" w:eastAsia="zh-CN"/>
        </w:rPr>
        <w:t>0</w:t>
      </w:r>
      <w:r>
        <w:rPr>
          <w:rFonts w:hint="eastAsia" w:ascii="仿宋_GB2312" w:eastAsia="仿宋_GB2312" w:cs="宋体"/>
          <w:sz w:val="32"/>
          <w:szCs w:val="28"/>
        </w:rPr>
        <w:t>万元，实际支出</w:t>
      </w:r>
      <w:r>
        <w:rPr>
          <w:rFonts w:hint="eastAsia" w:ascii="仿宋_GB2312" w:eastAsia="仿宋_GB2312" w:cs="宋体"/>
          <w:sz w:val="32"/>
          <w:szCs w:val="28"/>
          <w:lang w:val="en-US" w:eastAsia="zh-CN"/>
        </w:rPr>
        <w:t>0</w:t>
      </w:r>
      <w:r>
        <w:rPr>
          <w:rFonts w:hint="eastAsia" w:ascii="仿宋_GB2312" w:eastAsia="仿宋_GB2312" w:cs="宋体"/>
          <w:sz w:val="32"/>
          <w:szCs w:val="28"/>
        </w:rPr>
        <w:t>万元。其中</w:t>
      </w:r>
      <w:r>
        <w:rPr>
          <w:rFonts w:hint="eastAsia" w:ascii="仿宋_GB2312" w:eastAsia="仿宋_GB2312" w:cs="宋体"/>
          <w:sz w:val="32"/>
          <w:szCs w:val="28"/>
          <w:lang w:eastAsia="zh-CN"/>
        </w:rPr>
        <w:t>公务用车运行维护</w:t>
      </w:r>
      <w:r>
        <w:rPr>
          <w:rFonts w:hint="eastAsia" w:ascii="仿宋_GB2312" w:eastAsia="仿宋_GB2312" w:cs="宋体"/>
          <w:sz w:val="32"/>
          <w:szCs w:val="28"/>
          <w:lang w:val="en-US" w:eastAsia="zh-CN"/>
        </w:rPr>
        <w:t>0万元，</w:t>
      </w:r>
      <w:r>
        <w:rPr>
          <w:rFonts w:hint="eastAsia" w:ascii="仿宋_GB2312" w:eastAsia="仿宋_GB2312" w:cs="宋体"/>
          <w:sz w:val="32"/>
          <w:szCs w:val="28"/>
        </w:rPr>
        <w:t>公务接待费</w:t>
      </w:r>
      <w:r>
        <w:rPr>
          <w:rFonts w:hint="eastAsia" w:ascii="仿宋_GB2312" w:eastAsia="仿宋_GB2312" w:cs="宋体"/>
          <w:sz w:val="32"/>
          <w:szCs w:val="28"/>
          <w:lang w:val="en-US" w:eastAsia="zh-CN"/>
        </w:rPr>
        <w:t>0</w:t>
      </w:r>
      <w:r>
        <w:rPr>
          <w:rFonts w:hint="eastAsia" w:ascii="仿宋_GB2312" w:eastAsia="仿宋_GB2312" w:cs="宋体"/>
          <w:sz w:val="32"/>
          <w:szCs w:val="28"/>
        </w:rPr>
        <w:t>万元。</w:t>
      </w:r>
    </w:p>
    <w:p>
      <w:pPr>
        <w:keepNext w:val="0"/>
        <w:keepLines w:val="0"/>
        <w:pageBreakBefore w:val="0"/>
        <w:widowControl w:val="0"/>
        <w:kinsoku/>
        <w:wordWrap/>
        <w:overflowPunct/>
        <w:topLinePunct w:val="0"/>
        <w:autoSpaceDE/>
        <w:autoSpaceDN/>
        <w:bidi w:val="0"/>
        <w:adjustRightInd w:val="0"/>
        <w:snapToGrid w:val="0"/>
        <w:spacing w:line="600" w:lineRule="atLeast"/>
        <w:jc w:val="both"/>
        <w:textAlignment w:val="auto"/>
        <w:rPr>
          <w:rFonts w:hint="eastAsia" w:ascii="仿宋_GB2312" w:hAnsi="宋体" w:eastAsia="仿宋_GB2312" w:cs="宋体"/>
          <w:b/>
          <w:bCs/>
          <w:sz w:val="32"/>
          <w:szCs w:val="28"/>
          <w:lang w:val="en-US" w:eastAsia="zh-CN"/>
        </w:rPr>
      </w:pPr>
      <w:r>
        <w:rPr>
          <w:rFonts w:hint="eastAsia" w:ascii="仿宋_GB2312" w:hAnsi="宋体" w:eastAsia="仿宋_GB2312" w:cs="宋体"/>
          <w:b/>
          <w:bCs/>
          <w:sz w:val="32"/>
          <w:szCs w:val="28"/>
          <w:lang w:val="en-US" w:eastAsia="zh-CN"/>
        </w:rPr>
        <w:t>3</w:t>
      </w:r>
      <w:r>
        <w:rPr>
          <w:rFonts w:hint="eastAsia" w:ascii="仿宋_GB2312" w:hAnsi="宋体" w:eastAsia="仿宋_GB2312" w:cs="宋体"/>
          <w:b/>
          <w:bCs/>
          <w:sz w:val="32"/>
          <w:szCs w:val="28"/>
        </w:rPr>
        <w:t>.</w:t>
      </w:r>
      <w:r>
        <w:rPr>
          <w:rFonts w:hint="eastAsia" w:ascii="仿宋_GB2312" w:hAnsi="宋体" w:eastAsia="仿宋_GB2312" w:cs="宋体"/>
          <w:b/>
          <w:bCs/>
          <w:sz w:val="32"/>
          <w:szCs w:val="28"/>
          <w:lang w:val="en-US" w:eastAsia="zh-CN"/>
        </w:rPr>
        <w:t>政府性基金预算</w:t>
      </w:r>
      <w:r>
        <w:rPr>
          <w:rFonts w:hint="eastAsia" w:ascii="仿宋_GB2312" w:hAnsi="宋体" w:eastAsia="仿宋_GB2312" w:cs="宋体"/>
          <w:b/>
          <w:bCs/>
          <w:sz w:val="32"/>
          <w:szCs w:val="28"/>
        </w:rPr>
        <w:t>财政拨款</w:t>
      </w:r>
      <w:r>
        <w:rPr>
          <w:rFonts w:hint="eastAsia" w:ascii="仿宋_GB2312" w:hAnsi="宋体" w:eastAsia="仿宋_GB2312" w:cs="宋体"/>
          <w:b/>
          <w:bCs/>
          <w:sz w:val="32"/>
          <w:szCs w:val="28"/>
          <w:lang w:eastAsia="zh-CN"/>
        </w:rPr>
        <w:t>项目支出</w:t>
      </w:r>
      <w:r>
        <w:rPr>
          <w:rFonts w:hint="eastAsia" w:ascii="仿宋_GB2312" w:hAnsi="宋体" w:eastAsia="仿宋_GB2312" w:cs="宋体"/>
          <w:b/>
          <w:bCs/>
          <w:sz w:val="32"/>
          <w:szCs w:val="28"/>
        </w:rPr>
        <w:t>情况：</w:t>
      </w:r>
      <w:r>
        <w:rPr>
          <w:rFonts w:hint="eastAsia" w:ascii="仿宋_GB2312" w:hAnsi="宋体" w:eastAsia="仿宋_GB2312" w:cs="宋体"/>
          <w:b/>
          <w:bCs/>
          <w:sz w:val="32"/>
          <w:szCs w:val="28"/>
          <w:lang w:eastAsia="zh-CN"/>
        </w:rPr>
        <w:t>2</w:t>
      </w:r>
      <w:r>
        <w:rPr>
          <w:rFonts w:hint="eastAsia" w:ascii="仿宋_GB2312" w:hAnsi="宋体" w:eastAsia="仿宋_GB2312" w:cs="宋体"/>
          <w:sz w:val="32"/>
          <w:szCs w:val="32"/>
          <w:lang w:eastAsia="zh-CN"/>
        </w:rPr>
        <w:t>0</w:t>
      </w:r>
      <w:r>
        <w:rPr>
          <w:rFonts w:hint="eastAsia" w:ascii="仿宋_GB2312" w:hAnsi="宋体" w:eastAsia="仿宋_GB2312" w:cs="宋体"/>
          <w:sz w:val="32"/>
          <w:szCs w:val="32"/>
          <w:lang w:val="en-US" w:eastAsia="zh-CN"/>
        </w:rPr>
        <w:t>22</w:t>
      </w:r>
      <w:r>
        <w:rPr>
          <w:rFonts w:hint="eastAsia" w:ascii="仿宋_GB2312" w:hAnsi="宋体" w:eastAsia="仿宋_GB2312" w:cs="宋体"/>
          <w:sz w:val="32"/>
          <w:szCs w:val="32"/>
        </w:rPr>
        <w:t>年</w:t>
      </w:r>
      <w:r>
        <w:rPr>
          <w:rFonts w:hint="eastAsia" w:ascii="仿宋_GB2312" w:hAnsi="宋体" w:eastAsia="仿宋_GB2312" w:cs="宋体"/>
          <w:sz w:val="32"/>
          <w:szCs w:val="32"/>
          <w:lang w:eastAsia="zh-CN"/>
        </w:rPr>
        <w:t>华容县治河渡镇卫生院没有</w:t>
      </w:r>
      <w:r>
        <w:rPr>
          <w:rFonts w:hint="eastAsia" w:ascii="仿宋_GB2312" w:hAnsi="仿宋_GB2312" w:eastAsia="仿宋_GB2312" w:cs="仿宋_GB2312"/>
          <w:sz w:val="32"/>
          <w:szCs w:val="28"/>
          <w:lang w:val="en-US" w:eastAsia="zh-CN"/>
        </w:rPr>
        <w:t>政府性基金预算</w:t>
      </w:r>
      <w:r>
        <w:rPr>
          <w:rFonts w:hint="eastAsia" w:ascii="仿宋_GB2312" w:hAnsi="仿宋_GB2312" w:eastAsia="仿宋_GB2312" w:cs="仿宋_GB2312"/>
          <w:sz w:val="32"/>
          <w:szCs w:val="28"/>
        </w:rPr>
        <w:t>财政拨款</w:t>
      </w:r>
      <w:r>
        <w:rPr>
          <w:rFonts w:hint="eastAsia" w:ascii="仿宋_GB2312" w:hAnsi="仿宋_GB2312" w:eastAsia="仿宋_GB2312" w:cs="仿宋_GB2312"/>
          <w:sz w:val="32"/>
          <w:szCs w:val="28"/>
          <w:lang w:eastAsia="zh-CN"/>
        </w:rPr>
        <w:t>项目收入和支出</w:t>
      </w:r>
      <w:r>
        <w:rPr>
          <w:rFonts w:hint="eastAsia" w:ascii="仿宋_GB2312" w:hAnsi="仿宋_GB2312" w:eastAsia="仿宋_GB2312" w:cs="仿宋_GB2312"/>
          <w:sz w:val="32"/>
          <w:szCs w:val="28"/>
          <w:lang w:val="en-US" w:eastAsia="zh-CN"/>
        </w:rPr>
        <w:t>。</w:t>
      </w:r>
      <w:r>
        <w:rPr>
          <w:rFonts w:hint="eastAsia" w:ascii="仿宋_GB2312" w:eastAsia="仿宋_GB2312"/>
          <w:b/>
          <w:bCs/>
          <w:sz w:val="32"/>
          <w:szCs w:val="32"/>
          <w:lang w:val="en-US" w:eastAsia="zh-CN"/>
        </w:rPr>
        <w:t>4</w:t>
      </w:r>
      <w:r>
        <w:rPr>
          <w:rFonts w:hint="eastAsia" w:ascii="仿宋_GB2312" w:hAnsi="宋体" w:eastAsia="仿宋_GB2312" w:cs="宋体"/>
          <w:b/>
          <w:bCs/>
          <w:sz w:val="32"/>
          <w:szCs w:val="28"/>
        </w:rPr>
        <w:t>.</w:t>
      </w:r>
      <w:r>
        <w:rPr>
          <w:rFonts w:hint="eastAsia" w:ascii="仿宋_GB2312" w:hAnsi="宋体" w:eastAsia="仿宋_GB2312" w:cs="宋体"/>
          <w:b/>
          <w:bCs/>
          <w:sz w:val="32"/>
          <w:szCs w:val="28"/>
          <w:lang w:eastAsia="zh-CN"/>
        </w:rPr>
        <w:t>部门整体</w:t>
      </w:r>
      <w:r>
        <w:rPr>
          <w:rFonts w:hint="eastAsia" w:ascii="仿宋_GB2312" w:hAnsi="宋体" w:eastAsia="仿宋_GB2312" w:cs="宋体"/>
          <w:b/>
          <w:bCs/>
          <w:sz w:val="32"/>
          <w:szCs w:val="28"/>
          <w:lang w:val="en-US" w:eastAsia="zh-CN"/>
        </w:rPr>
        <w:t>绩效目标完成情况：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华文仿宋" w:hAnsi="华文仿宋" w:eastAsia="华文仿宋" w:cs="Times New Roman"/>
          <w:sz w:val="32"/>
          <w:szCs w:val="32"/>
        </w:rPr>
      </w:pPr>
      <w:r>
        <w:rPr>
          <w:rFonts w:hint="eastAsia" w:ascii="华文仿宋" w:hAnsi="华文仿宋" w:eastAsia="华文仿宋" w:cs="Times New Roman"/>
          <w:sz w:val="32"/>
          <w:szCs w:val="32"/>
          <w:lang w:val="en-US" w:eastAsia="zh-CN"/>
        </w:rPr>
        <w:t>2022年</w:t>
      </w:r>
      <w:r>
        <w:rPr>
          <w:rFonts w:hint="eastAsia" w:ascii="华文仿宋" w:hAnsi="华文仿宋" w:eastAsia="华文仿宋" w:cs="Times New Roman"/>
          <w:sz w:val="32"/>
          <w:szCs w:val="32"/>
        </w:rPr>
        <w:t>规范化居民电子</w:t>
      </w:r>
      <w:r>
        <w:rPr>
          <w:rFonts w:hint="eastAsia" w:ascii="华文仿宋" w:hAnsi="华文仿宋" w:eastAsia="华文仿宋" w:cs="Times New Roman"/>
          <w:sz w:val="32"/>
          <w:szCs w:val="32"/>
          <w:lang w:eastAsia="zh-CN"/>
        </w:rPr>
        <w:t>健康</w:t>
      </w:r>
      <w:r>
        <w:rPr>
          <w:rFonts w:hint="eastAsia" w:ascii="华文仿宋" w:hAnsi="华文仿宋" w:eastAsia="华文仿宋" w:cs="Times New Roman"/>
          <w:sz w:val="32"/>
          <w:szCs w:val="32"/>
        </w:rPr>
        <w:t>档案</w:t>
      </w:r>
      <w:r>
        <w:rPr>
          <w:rFonts w:hint="eastAsia" w:ascii="华文仿宋" w:hAnsi="华文仿宋" w:eastAsia="华文仿宋" w:cs="Times New Roman"/>
          <w:sz w:val="32"/>
          <w:szCs w:val="32"/>
          <w:lang w:val="en-US" w:eastAsia="zh-CN"/>
        </w:rPr>
        <w:t>已完成22257</w:t>
      </w:r>
      <w:r>
        <w:rPr>
          <w:rFonts w:hint="eastAsia" w:ascii="华文仿宋" w:hAnsi="华文仿宋" w:eastAsia="华文仿宋" w:cs="Times New Roman"/>
          <w:sz w:val="32"/>
          <w:szCs w:val="32"/>
        </w:rPr>
        <w:t>份，建档率达</w:t>
      </w:r>
      <w:r>
        <w:rPr>
          <w:rFonts w:hint="eastAsia" w:ascii="华文仿宋" w:hAnsi="华文仿宋" w:eastAsia="华文仿宋" w:cs="Times New Roman"/>
          <w:sz w:val="32"/>
          <w:szCs w:val="32"/>
          <w:lang w:val="en-US" w:eastAsia="zh-CN"/>
        </w:rPr>
        <w:t>102</w:t>
      </w:r>
      <w:r>
        <w:rPr>
          <w:rFonts w:hint="eastAsia" w:ascii="华文仿宋" w:hAnsi="华文仿宋" w:eastAsia="华文仿宋" w:cs="Times New Roman"/>
          <w:sz w:val="32"/>
          <w:szCs w:val="32"/>
        </w:rPr>
        <w:t>%；共完成接种</w:t>
      </w:r>
      <w:r>
        <w:rPr>
          <w:rFonts w:hint="eastAsia" w:ascii="华文仿宋" w:hAnsi="华文仿宋" w:eastAsia="华文仿宋" w:cs="Times New Roman"/>
          <w:sz w:val="32"/>
          <w:szCs w:val="32"/>
          <w:lang w:val="en-US" w:eastAsia="zh-CN"/>
        </w:rPr>
        <w:t>9854</w:t>
      </w:r>
      <w:r>
        <w:rPr>
          <w:rFonts w:hint="eastAsia" w:ascii="华文仿宋" w:hAnsi="华文仿宋" w:eastAsia="华文仿宋" w:cs="Times New Roman"/>
          <w:sz w:val="32"/>
          <w:szCs w:val="32"/>
        </w:rPr>
        <w:t>针次，其中卡介苗、乙肝疫苗、脊灰疫苗、麻疹疫苗、百白破、流脑、乙脑、甲肝</w:t>
      </w:r>
      <w:r>
        <w:rPr>
          <w:rFonts w:hint="eastAsia" w:ascii="华文仿宋" w:hAnsi="华文仿宋" w:eastAsia="华文仿宋" w:cs="Times New Roman"/>
          <w:sz w:val="32"/>
          <w:szCs w:val="32"/>
          <w:lang w:eastAsia="zh-CN"/>
        </w:rPr>
        <w:t>、新冠疫苗</w:t>
      </w:r>
      <w:r>
        <w:rPr>
          <w:rFonts w:hint="eastAsia" w:ascii="华文仿宋" w:hAnsi="华文仿宋" w:eastAsia="华文仿宋" w:cs="Times New Roman"/>
          <w:sz w:val="32"/>
          <w:szCs w:val="32"/>
        </w:rPr>
        <w:t>等免疫规划疫苗接种率均达9</w:t>
      </w:r>
      <w:r>
        <w:rPr>
          <w:rFonts w:hint="eastAsia" w:ascii="华文仿宋" w:hAnsi="华文仿宋" w:eastAsia="华文仿宋" w:cs="Times New Roman"/>
          <w:sz w:val="32"/>
          <w:szCs w:val="32"/>
          <w:lang w:val="en-US" w:eastAsia="zh-CN"/>
        </w:rPr>
        <w:t>7</w:t>
      </w:r>
      <w:r>
        <w:rPr>
          <w:rFonts w:hint="eastAsia" w:ascii="华文仿宋" w:hAnsi="华文仿宋" w:eastAsia="华文仿宋" w:cs="Times New Roman"/>
          <w:sz w:val="32"/>
          <w:szCs w:val="32"/>
        </w:rPr>
        <w:t>%以上；0-6岁儿童健康管理人数</w:t>
      </w:r>
      <w:r>
        <w:rPr>
          <w:rFonts w:hint="eastAsia" w:ascii="华文仿宋" w:hAnsi="华文仿宋" w:eastAsia="华文仿宋" w:cs="Times New Roman"/>
          <w:sz w:val="32"/>
          <w:szCs w:val="32"/>
          <w:lang w:val="en-US" w:eastAsia="zh-CN"/>
        </w:rPr>
        <w:t>1583</w:t>
      </w:r>
      <w:r>
        <w:rPr>
          <w:rFonts w:hint="eastAsia" w:ascii="华文仿宋" w:hAnsi="华文仿宋" w:eastAsia="华文仿宋" w:cs="Times New Roman"/>
          <w:sz w:val="32"/>
          <w:szCs w:val="32"/>
        </w:rPr>
        <w:t>人，新生儿家庭访视率</w:t>
      </w:r>
      <w:r>
        <w:rPr>
          <w:rFonts w:hint="eastAsia" w:ascii="华文仿宋" w:hAnsi="华文仿宋" w:eastAsia="华文仿宋" w:cs="Times New Roman"/>
          <w:sz w:val="32"/>
          <w:szCs w:val="32"/>
          <w:lang w:val="en-US" w:eastAsia="zh-CN"/>
        </w:rPr>
        <w:t>100</w:t>
      </w:r>
      <w:r>
        <w:rPr>
          <w:rFonts w:hint="eastAsia" w:ascii="华文仿宋" w:hAnsi="华文仿宋" w:eastAsia="华文仿宋" w:cs="Times New Roman"/>
          <w:sz w:val="32"/>
          <w:szCs w:val="32"/>
        </w:rPr>
        <w:t>%，儿童健康管理率</w:t>
      </w:r>
      <w:r>
        <w:rPr>
          <w:rFonts w:hint="eastAsia" w:ascii="华文仿宋" w:hAnsi="华文仿宋" w:eastAsia="华文仿宋" w:cs="Times New Roman"/>
          <w:sz w:val="32"/>
          <w:szCs w:val="32"/>
          <w:lang w:val="en-US" w:eastAsia="zh-CN"/>
        </w:rPr>
        <w:t>95.56</w:t>
      </w:r>
      <w:r>
        <w:rPr>
          <w:rFonts w:hint="eastAsia" w:ascii="华文仿宋" w:hAnsi="华文仿宋" w:eastAsia="华文仿宋" w:cs="Times New Roman"/>
          <w:sz w:val="32"/>
          <w:szCs w:val="32"/>
        </w:rPr>
        <w:t>%；共管理</w:t>
      </w:r>
      <w:r>
        <w:rPr>
          <w:rFonts w:hint="eastAsia" w:ascii="华文仿宋" w:hAnsi="华文仿宋" w:eastAsia="华文仿宋" w:cs="Times New Roman"/>
          <w:sz w:val="32"/>
          <w:szCs w:val="32"/>
          <w:lang w:val="en-US" w:eastAsia="zh-CN"/>
        </w:rPr>
        <w:t>116</w:t>
      </w:r>
      <w:r>
        <w:rPr>
          <w:rFonts w:hint="eastAsia" w:ascii="华文仿宋" w:hAnsi="华文仿宋" w:eastAsia="华文仿宋" w:cs="Times New Roman"/>
          <w:sz w:val="32"/>
          <w:szCs w:val="32"/>
        </w:rPr>
        <w:t>例孕产妇，早孕建册率9</w:t>
      </w:r>
      <w:r>
        <w:rPr>
          <w:rFonts w:hint="eastAsia" w:ascii="华文仿宋" w:hAnsi="华文仿宋" w:eastAsia="华文仿宋" w:cs="Times New Roman"/>
          <w:sz w:val="32"/>
          <w:szCs w:val="32"/>
          <w:lang w:val="en-US" w:eastAsia="zh-CN"/>
        </w:rPr>
        <w:t>8.4</w:t>
      </w:r>
      <w:r>
        <w:rPr>
          <w:rFonts w:hint="eastAsia" w:ascii="华文仿宋" w:hAnsi="华文仿宋" w:eastAsia="华文仿宋" w:cs="Times New Roman"/>
          <w:sz w:val="32"/>
          <w:szCs w:val="32"/>
        </w:rPr>
        <w:t>%，产后访视率</w:t>
      </w:r>
      <w:r>
        <w:rPr>
          <w:rFonts w:hint="eastAsia" w:ascii="华文仿宋" w:hAnsi="华文仿宋" w:eastAsia="华文仿宋" w:cs="Times New Roman"/>
          <w:sz w:val="32"/>
          <w:szCs w:val="32"/>
          <w:lang w:val="en-US" w:eastAsia="zh-CN"/>
        </w:rPr>
        <w:t>100</w:t>
      </w:r>
      <w:r>
        <w:rPr>
          <w:rFonts w:hint="eastAsia" w:ascii="华文仿宋" w:hAnsi="华文仿宋" w:eastAsia="华文仿宋" w:cs="Times New Roman"/>
          <w:sz w:val="32"/>
          <w:szCs w:val="32"/>
        </w:rPr>
        <w:t>%；老年人健康管理</w:t>
      </w:r>
      <w:r>
        <w:rPr>
          <w:rFonts w:hint="eastAsia" w:ascii="华文仿宋" w:hAnsi="华文仿宋" w:eastAsia="华文仿宋" w:cs="Times New Roman"/>
          <w:sz w:val="32"/>
          <w:szCs w:val="32"/>
          <w:lang w:val="en-US" w:eastAsia="zh-CN"/>
        </w:rPr>
        <w:t>3152</w:t>
      </w:r>
      <w:r>
        <w:rPr>
          <w:rFonts w:hint="eastAsia" w:ascii="华文仿宋" w:hAnsi="华文仿宋" w:eastAsia="华文仿宋" w:cs="Times New Roman"/>
          <w:sz w:val="32"/>
          <w:szCs w:val="32"/>
        </w:rPr>
        <w:t>人，健康管理率</w:t>
      </w:r>
      <w:r>
        <w:rPr>
          <w:rFonts w:hint="eastAsia" w:ascii="华文仿宋" w:hAnsi="华文仿宋" w:eastAsia="华文仿宋" w:cs="Times New Roman"/>
          <w:sz w:val="32"/>
          <w:szCs w:val="32"/>
          <w:lang w:val="en-US" w:eastAsia="zh-CN"/>
        </w:rPr>
        <w:t>76</w:t>
      </w:r>
      <w:r>
        <w:rPr>
          <w:rFonts w:hint="eastAsia" w:ascii="华文仿宋" w:hAnsi="华文仿宋" w:eastAsia="华文仿宋" w:cs="Times New Roman"/>
          <w:sz w:val="32"/>
          <w:szCs w:val="32"/>
        </w:rPr>
        <w:t>% ;糖尿病</w:t>
      </w:r>
      <w:r>
        <w:rPr>
          <w:rFonts w:hint="eastAsia" w:ascii="华文仿宋" w:hAnsi="华文仿宋" w:eastAsia="华文仿宋" w:cs="Times New Roman"/>
          <w:sz w:val="32"/>
          <w:szCs w:val="32"/>
          <w:lang w:val="en-US" w:eastAsia="zh-CN"/>
        </w:rPr>
        <w:t>638</w:t>
      </w:r>
      <w:r>
        <w:rPr>
          <w:rFonts w:hint="eastAsia" w:ascii="华文仿宋" w:hAnsi="华文仿宋" w:eastAsia="华文仿宋" w:cs="Times New Roman"/>
          <w:sz w:val="32"/>
          <w:szCs w:val="32"/>
        </w:rPr>
        <w:t>人，规范管理</w:t>
      </w:r>
      <w:r>
        <w:rPr>
          <w:rFonts w:hint="eastAsia" w:ascii="华文仿宋" w:hAnsi="华文仿宋" w:eastAsia="华文仿宋" w:cs="Times New Roman"/>
          <w:sz w:val="32"/>
          <w:szCs w:val="32"/>
          <w:lang w:val="en-US" w:eastAsia="zh-CN"/>
        </w:rPr>
        <w:t>510</w:t>
      </w:r>
      <w:r>
        <w:rPr>
          <w:rFonts w:hint="eastAsia" w:ascii="华文仿宋" w:hAnsi="华文仿宋" w:eastAsia="华文仿宋" w:cs="Times New Roman"/>
          <w:sz w:val="32"/>
          <w:szCs w:val="32"/>
        </w:rPr>
        <w:t>人，规范管理率</w:t>
      </w:r>
      <w:r>
        <w:rPr>
          <w:rFonts w:hint="eastAsia" w:ascii="华文仿宋" w:hAnsi="华文仿宋" w:eastAsia="华文仿宋" w:cs="Times New Roman"/>
          <w:sz w:val="32"/>
          <w:szCs w:val="32"/>
          <w:lang w:val="en-US" w:eastAsia="zh-CN"/>
        </w:rPr>
        <w:t>80</w:t>
      </w:r>
      <w:r>
        <w:rPr>
          <w:rFonts w:hint="eastAsia" w:ascii="华文仿宋" w:hAnsi="华文仿宋" w:eastAsia="华文仿宋" w:cs="Times New Roman"/>
          <w:sz w:val="32"/>
          <w:szCs w:val="32"/>
        </w:rPr>
        <w:t>%；高血压管</w:t>
      </w:r>
      <w:r>
        <w:rPr>
          <w:rFonts w:hint="eastAsia" w:ascii="华文仿宋" w:hAnsi="华文仿宋" w:eastAsia="华文仿宋" w:cs="Times New Roman"/>
          <w:sz w:val="32"/>
          <w:szCs w:val="32"/>
          <w:lang w:eastAsia="zh-CN"/>
        </w:rPr>
        <w:t>理</w:t>
      </w:r>
      <w:r>
        <w:rPr>
          <w:rFonts w:hint="eastAsia" w:ascii="华文仿宋" w:hAnsi="华文仿宋" w:eastAsia="华文仿宋" w:cs="Times New Roman"/>
          <w:sz w:val="32"/>
          <w:szCs w:val="32"/>
          <w:lang w:val="en-US" w:eastAsia="zh-CN"/>
        </w:rPr>
        <w:t>2021</w:t>
      </w:r>
      <w:r>
        <w:rPr>
          <w:rFonts w:hint="eastAsia" w:ascii="华文仿宋" w:hAnsi="华文仿宋" w:eastAsia="华文仿宋" w:cs="Times New Roman"/>
          <w:sz w:val="32"/>
          <w:szCs w:val="32"/>
        </w:rPr>
        <w:t>人,规范管理</w:t>
      </w:r>
      <w:r>
        <w:rPr>
          <w:rFonts w:hint="eastAsia" w:ascii="华文仿宋" w:hAnsi="华文仿宋" w:eastAsia="华文仿宋" w:cs="Times New Roman"/>
          <w:sz w:val="32"/>
          <w:szCs w:val="32"/>
          <w:lang w:val="en-US" w:eastAsia="zh-CN"/>
        </w:rPr>
        <w:t>1536</w:t>
      </w:r>
      <w:r>
        <w:rPr>
          <w:rFonts w:hint="eastAsia" w:ascii="华文仿宋" w:hAnsi="华文仿宋" w:eastAsia="华文仿宋" w:cs="Times New Roman"/>
          <w:sz w:val="32"/>
          <w:szCs w:val="32"/>
        </w:rPr>
        <w:t>人,规范管理率</w:t>
      </w:r>
      <w:r>
        <w:rPr>
          <w:rFonts w:hint="eastAsia" w:ascii="华文仿宋" w:hAnsi="华文仿宋" w:eastAsia="华文仿宋" w:cs="Times New Roman"/>
          <w:sz w:val="32"/>
          <w:szCs w:val="32"/>
          <w:lang w:val="en-US" w:eastAsia="zh-CN"/>
        </w:rPr>
        <w:t>76</w:t>
      </w:r>
      <w:r>
        <w:rPr>
          <w:rFonts w:hint="eastAsia" w:ascii="华文仿宋" w:hAnsi="华文仿宋" w:eastAsia="华文仿宋" w:cs="Times New Roman"/>
          <w:sz w:val="32"/>
          <w:szCs w:val="32"/>
        </w:rPr>
        <w:t>%</w:t>
      </w:r>
      <w:r>
        <w:rPr>
          <w:rFonts w:hint="eastAsia" w:ascii="华文仿宋" w:hAnsi="华文仿宋" w:eastAsia="华文仿宋" w:cs="Times New Roman"/>
          <w:sz w:val="32"/>
          <w:szCs w:val="32"/>
          <w:lang w:eastAsia="zh-CN"/>
        </w:rPr>
        <w:t>；</w:t>
      </w:r>
      <w:r>
        <w:rPr>
          <w:rFonts w:hint="eastAsia" w:ascii="华文仿宋" w:hAnsi="华文仿宋" w:eastAsia="华文仿宋" w:cs="Times New Roman"/>
          <w:sz w:val="32"/>
          <w:szCs w:val="32"/>
        </w:rPr>
        <w:t>严重精神障碍患者健康管理</w:t>
      </w:r>
      <w:r>
        <w:rPr>
          <w:rFonts w:hint="eastAsia" w:ascii="华文仿宋" w:hAnsi="华文仿宋" w:eastAsia="华文仿宋" w:cs="Times New Roman"/>
          <w:sz w:val="32"/>
          <w:szCs w:val="32"/>
          <w:lang w:val="en-US" w:eastAsia="zh-CN"/>
        </w:rPr>
        <w:t>128</w:t>
      </w:r>
      <w:r>
        <w:rPr>
          <w:rFonts w:hint="eastAsia" w:ascii="华文仿宋" w:hAnsi="华文仿宋" w:eastAsia="华文仿宋" w:cs="Times New Roman"/>
          <w:sz w:val="32"/>
          <w:szCs w:val="32"/>
        </w:rPr>
        <w:t>人，规范管理</w:t>
      </w:r>
      <w:r>
        <w:rPr>
          <w:rFonts w:hint="eastAsia" w:ascii="华文仿宋" w:hAnsi="华文仿宋" w:eastAsia="华文仿宋" w:cs="Times New Roman"/>
          <w:sz w:val="32"/>
          <w:szCs w:val="32"/>
          <w:lang w:val="en-US" w:eastAsia="zh-CN"/>
        </w:rPr>
        <w:t>128</w:t>
      </w:r>
      <w:r>
        <w:rPr>
          <w:rFonts w:hint="eastAsia" w:ascii="华文仿宋" w:hAnsi="华文仿宋" w:eastAsia="华文仿宋" w:cs="Times New Roman"/>
          <w:sz w:val="32"/>
          <w:szCs w:val="32"/>
        </w:rPr>
        <w:t>人，规范管理率</w:t>
      </w:r>
      <w:r>
        <w:rPr>
          <w:rFonts w:hint="eastAsia" w:ascii="华文仿宋" w:hAnsi="华文仿宋" w:eastAsia="华文仿宋" w:cs="Times New Roman"/>
          <w:sz w:val="32"/>
          <w:szCs w:val="32"/>
          <w:lang w:val="en-US" w:eastAsia="zh-CN"/>
        </w:rPr>
        <w:t>100</w:t>
      </w:r>
      <w:r>
        <w:rPr>
          <w:rFonts w:hint="eastAsia" w:ascii="华文仿宋" w:hAnsi="华文仿宋" w:eastAsia="华文仿宋" w:cs="Times New Roman"/>
          <w:sz w:val="32"/>
          <w:szCs w:val="32"/>
        </w:rPr>
        <w:t>%；肺结核</w:t>
      </w:r>
      <w:r>
        <w:rPr>
          <w:rFonts w:hint="eastAsia" w:ascii="华文仿宋" w:hAnsi="华文仿宋" w:eastAsia="华文仿宋" w:cs="Times New Roman"/>
          <w:sz w:val="32"/>
          <w:szCs w:val="32"/>
          <w:lang w:val="en-US" w:eastAsia="zh-CN"/>
        </w:rPr>
        <w:t>16</w:t>
      </w:r>
      <w:r>
        <w:rPr>
          <w:rFonts w:hint="eastAsia" w:ascii="华文仿宋" w:hAnsi="华文仿宋" w:eastAsia="华文仿宋" w:cs="Times New Roman"/>
          <w:sz w:val="32"/>
          <w:szCs w:val="32"/>
        </w:rPr>
        <w:t>人，已管理</w:t>
      </w:r>
      <w:r>
        <w:rPr>
          <w:rFonts w:hint="eastAsia" w:ascii="华文仿宋" w:hAnsi="华文仿宋" w:eastAsia="华文仿宋" w:cs="Times New Roman"/>
          <w:sz w:val="32"/>
          <w:szCs w:val="32"/>
          <w:lang w:val="en-US" w:eastAsia="zh-CN"/>
        </w:rPr>
        <w:t>16</w:t>
      </w:r>
      <w:r>
        <w:rPr>
          <w:rFonts w:hint="eastAsia" w:ascii="华文仿宋" w:hAnsi="华文仿宋" w:eastAsia="华文仿宋" w:cs="Times New Roman"/>
          <w:sz w:val="32"/>
          <w:szCs w:val="32"/>
        </w:rPr>
        <w:t>人，管理率100%，规范服药</w:t>
      </w:r>
      <w:r>
        <w:rPr>
          <w:rFonts w:hint="eastAsia" w:ascii="华文仿宋" w:hAnsi="华文仿宋" w:eastAsia="华文仿宋" w:cs="Times New Roman"/>
          <w:sz w:val="32"/>
          <w:szCs w:val="32"/>
          <w:lang w:val="en-US" w:eastAsia="zh-CN"/>
        </w:rPr>
        <w:t>16</w:t>
      </w:r>
      <w:r>
        <w:rPr>
          <w:rFonts w:hint="eastAsia" w:ascii="华文仿宋" w:hAnsi="华文仿宋" w:eastAsia="华文仿宋" w:cs="Times New Roman"/>
          <w:sz w:val="32"/>
          <w:szCs w:val="32"/>
        </w:rPr>
        <w:t>人，规范服药率</w:t>
      </w:r>
      <w:r>
        <w:rPr>
          <w:rFonts w:hint="eastAsia" w:ascii="华文仿宋" w:hAnsi="华文仿宋" w:eastAsia="华文仿宋" w:cs="Times New Roman"/>
          <w:sz w:val="32"/>
          <w:szCs w:val="32"/>
          <w:lang w:val="en-US" w:eastAsia="zh-CN"/>
        </w:rPr>
        <w:t>100</w:t>
      </w:r>
      <w:r>
        <w:rPr>
          <w:rFonts w:hint="eastAsia" w:ascii="华文仿宋" w:hAnsi="华文仿宋" w:eastAsia="华文仿宋" w:cs="Times New Roman"/>
          <w:sz w:val="32"/>
          <w:szCs w:val="32"/>
        </w:rPr>
        <w:t>%；接受中医药健康管理服务老年人</w:t>
      </w:r>
      <w:r>
        <w:rPr>
          <w:rFonts w:hint="eastAsia" w:ascii="华文仿宋" w:hAnsi="华文仿宋" w:eastAsia="华文仿宋" w:cs="Times New Roman"/>
          <w:sz w:val="32"/>
          <w:szCs w:val="32"/>
          <w:lang w:val="en-US" w:eastAsia="zh-CN"/>
        </w:rPr>
        <w:t>2237</w:t>
      </w:r>
      <w:r>
        <w:rPr>
          <w:rFonts w:hint="eastAsia" w:ascii="华文仿宋" w:hAnsi="华文仿宋" w:eastAsia="华文仿宋" w:cs="Times New Roman"/>
          <w:sz w:val="32"/>
          <w:szCs w:val="32"/>
        </w:rPr>
        <w:t>人，老年人中医药健康管理率</w:t>
      </w:r>
      <w:r>
        <w:rPr>
          <w:rFonts w:hint="eastAsia" w:ascii="华文仿宋" w:hAnsi="华文仿宋" w:eastAsia="华文仿宋" w:cs="Times New Roman"/>
          <w:sz w:val="32"/>
          <w:szCs w:val="32"/>
          <w:lang w:val="en-US" w:eastAsia="zh-CN"/>
        </w:rPr>
        <w:t>72</w:t>
      </w:r>
      <w:r>
        <w:rPr>
          <w:rFonts w:hint="eastAsia" w:ascii="华文仿宋" w:hAnsi="华文仿宋" w:eastAsia="华文仿宋" w:cs="Times New Roman"/>
          <w:sz w:val="32"/>
          <w:szCs w:val="32"/>
        </w:rPr>
        <w:t>%，0-3岁儿童接受中医药健康管理服务</w:t>
      </w:r>
      <w:r>
        <w:rPr>
          <w:rFonts w:hint="eastAsia" w:ascii="华文仿宋" w:hAnsi="华文仿宋" w:eastAsia="华文仿宋" w:cs="Times New Roman"/>
          <w:sz w:val="32"/>
          <w:szCs w:val="32"/>
          <w:lang w:val="en-US" w:eastAsia="zh-CN"/>
        </w:rPr>
        <w:t>592</w:t>
      </w:r>
      <w:r>
        <w:rPr>
          <w:rFonts w:hint="eastAsia" w:ascii="华文仿宋" w:hAnsi="华文仿宋" w:eastAsia="华文仿宋" w:cs="Times New Roman"/>
          <w:sz w:val="32"/>
          <w:szCs w:val="32"/>
        </w:rPr>
        <w:t>人，儿童中医药健康管理服务率</w:t>
      </w:r>
      <w:r>
        <w:rPr>
          <w:rFonts w:hint="eastAsia" w:ascii="华文仿宋" w:hAnsi="华文仿宋" w:eastAsia="华文仿宋" w:cs="Times New Roman"/>
          <w:sz w:val="32"/>
          <w:szCs w:val="32"/>
          <w:lang w:val="en-US" w:eastAsia="zh-CN"/>
        </w:rPr>
        <w:t>90.2</w:t>
      </w:r>
      <w:r>
        <w:rPr>
          <w:rFonts w:hint="eastAsia" w:ascii="华文仿宋" w:hAnsi="华文仿宋" w:eastAsia="华文仿宋" w:cs="Times New Roman"/>
          <w:sz w:val="32"/>
          <w:szCs w:val="32"/>
        </w:rPr>
        <w:t>%；卫生院均实行了传染病和突发公共卫生事件预警应急机制，传染病疫情报告率100%，及时报告率</w:t>
      </w:r>
      <w:r>
        <w:rPr>
          <w:rFonts w:hint="eastAsia" w:ascii="华文仿宋" w:hAnsi="华文仿宋" w:eastAsia="华文仿宋" w:cs="Times New Roman"/>
          <w:sz w:val="32"/>
          <w:szCs w:val="32"/>
          <w:lang w:val="en-US" w:eastAsia="zh-CN"/>
        </w:rPr>
        <w:t>100</w:t>
      </w:r>
      <w:r>
        <w:rPr>
          <w:rFonts w:hint="eastAsia" w:ascii="华文仿宋" w:hAnsi="华文仿宋" w:eastAsia="华文仿宋" w:cs="Times New Roman"/>
          <w:sz w:val="32"/>
          <w:szCs w:val="32"/>
        </w:rPr>
        <w:t>%；卫生计生监督协管信息报告率100%。</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华文仿宋" w:hAnsi="华文仿宋" w:eastAsia="华文仿宋" w:cs="Times New Roman"/>
          <w:sz w:val="32"/>
          <w:szCs w:val="32"/>
        </w:rPr>
      </w:pPr>
      <w:r>
        <w:rPr>
          <w:rFonts w:hint="eastAsia" w:ascii="华文仿宋" w:hAnsi="华文仿宋" w:eastAsia="华文仿宋" w:cs="Times New Roman"/>
          <w:sz w:val="32"/>
          <w:szCs w:val="32"/>
          <w:lang w:val="en-US" w:eastAsia="zh-CN"/>
        </w:rPr>
        <w:t>全乡家庭医生团队8个累计签约人数8860人，通过“卫宁家医平台”实现了应签尽签，</w:t>
      </w:r>
      <w:r>
        <w:rPr>
          <w:rFonts w:hint="eastAsia" w:ascii="华文仿宋" w:hAnsi="华文仿宋" w:eastAsia="华文仿宋" w:cs="Times New Roman"/>
          <w:sz w:val="32"/>
          <w:szCs w:val="32"/>
        </w:rPr>
        <w:t>签约率100%；</w:t>
      </w:r>
    </w:p>
    <w:p>
      <w:pPr>
        <w:keepNext w:val="0"/>
        <w:keepLines w:val="0"/>
        <w:pageBreakBefore w:val="0"/>
        <w:widowControl w:val="0"/>
        <w:kinsoku/>
        <w:wordWrap/>
        <w:overflowPunct/>
        <w:topLinePunct w:val="0"/>
        <w:bidi w:val="0"/>
        <w:adjustRightInd w:val="0"/>
        <w:snapToGrid w:val="0"/>
        <w:spacing w:line="600" w:lineRule="atLeast"/>
        <w:ind w:firstLine="640" w:firstLineChars="200"/>
        <w:jc w:val="both"/>
        <w:textAlignment w:val="auto"/>
        <w:rPr>
          <w:rFonts w:hint="eastAsia" w:ascii="华文仿宋" w:hAnsi="华文仿宋" w:eastAsia="华文仿宋" w:cs="Times New Roman"/>
          <w:sz w:val="32"/>
          <w:szCs w:val="32"/>
          <w:lang w:val="en-US" w:eastAsia="zh-CN"/>
        </w:rPr>
      </w:pPr>
      <w:r>
        <w:rPr>
          <w:rFonts w:hint="eastAsia" w:ascii="华文仿宋" w:hAnsi="华文仿宋" w:eastAsia="华文仿宋" w:cs="Times New Roman"/>
          <w:sz w:val="32"/>
          <w:szCs w:val="32"/>
          <w:lang w:val="en-US" w:eastAsia="zh-CN"/>
        </w:rPr>
        <w:t>2022年</w:t>
      </w:r>
      <w:r>
        <w:rPr>
          <w:rFonts w:hint="eastAsia" w:ascii="华文仿宋" w:hAnsi="华文仿宋" w:eastAsia="华文仿宋" w:cs="Times New Roman"/>
          <w:sz w:val="32"/>
          <w:szCs w:val="32"/>
        </w:rPr>
        <w:t>共发放健康教育应刷资料种类</w:t>
      </w:r>
      <w:r>
        <w:rPr>
          <w:rFonts w:hint="eastAsia" w:ascii="华文仿宋" w:hAnsi="华文仿宋" w:eastAsia="华文仿宋" w:cs="Times New Roman"/>
          <w:sz w:val="32"/>
          <w:szCs w:val="32"/>
          <w:lang w:val="en-US" w:eastAsia="zh-CN"/>
        </w:rPr>
        <w:t>12</w:t>
      </w:r>
      <w:r>
        <w:rPr>
          <w:rFonts w:hint="eastAsia" w:ascii="华文仿宋" w:hAnsi="华文仿宋" w:eastAsia="华文仿宋" w:cs="Times New Roman"/>
          <w:sz w:val="32"/>
          <w:szCs w:val="32"/>
        </w:rPr>
        <w:t>种,发放健康教育印刷资料</w:t>
      </w:r>
      <w:r>
        <w:rPr>
          <w:rFonts w:hint="eastAsia" w:ascii="华文仿宋" w:hAnsi="华文仿宋" w:eastAsia="华文仿宋" w:cs="Times New Roman"/>
          <w:sz w:val="32"/>
          <w:szCs w:val="32"/>
          <w:lang w:val="en-US" w:eastAsia="zh-CN"/>
        </w:rPr>
        <w:t>2400</w:t>
      </w:r>
      <w:r>
        <w:rPr>
          <w:rFonts w:hint="eastAsia" w:ascii="华文仿宋" w:hAnsi="华文仿宋" w:eastAsia="华文仿宋" w:cs="Times New Roman"/>
          <w:sz w:val="32"/>
          <w:szCs w:val="32"/>
        </w:rPr>
        <w:t>本,设置</w:t>
      </w:r>
      <w:r>
        <w:rPr>
          <w:rFonts w:hint="eastAsia" w:ascii="华文仿宋" w:hAnsi="华文仿宋" w:eastAsia="华文仿宋" w:cs="Times New Roman"/>
          <w:sz w:val="32"/>
          <w:szCs w:val="32"/>
          <w:lang w:val="en-US" w:eastAsia="zh-CN"/>
        </w:rPr>
        <w:t>8</w:t>
      </w:r>
      <w:r>
        <w:rPr>
          <w:rFonts w:hint="eastAsia" w:ascii="华文仿宋" w:hAnsi="华文仿宋" w:eastAsia="华文仿宋" w:cs="Times New Roman"/>
          <w:sz w:val="32"/>
          <w:szCs w:val="32"/>
        </w:rPr>
        <w:t>个健康教育宣传栏,健康教育宣传栏内容更新次数</w:t>
      </w:r>
      <w:r>
        <w:rPr>
          <w:rFonts w:hint="eastAsia" w:ascii="华文仿宋" w:hAnsi="华文仿宋" w:eastAsia="华文仿宋" w:cs="Times New Roman"/>
          <w:sz w:val="32"/>
          <w:szCs w:val="32"/>
          <w:lang w:val="en-US" w:eastAsia="zh-CN"/>
        </w:rPr>
        <w:t>12</w:t>
      </w:r>
      <w:r>
        <w:rPr>
          <w:rFonts w:hint="eastAsia" w:ascii="华文仿宋" w:hAnsi="华文仿宋" w:eastAsia="华文仿宋" w:cs="Times New Roman"/>
          <w:sz w:val="32"/>
          <w:szCs w:val="32"/>
        </w:rPr>
        <w:t>次；共举办</w:t>
      </w:r>
      <w:r>
        <w:rPr>
          <w:rFonts w:hint="eastAsia" w:ascii="华文仿宋" w:hAnsi="华文仿宋" w:eastAsia="华文仿宋" w:cs="Times New Roman"/>
          <w:sz w:val="32"/>
          <w:szCs w:val="32"/>
          <w:lang w:val="en-US" w:eastAsia="zh-CN"/>
        </w:rPr>
        <w:t>12</w:t>
      </w:r>
      <w:r>
        <w:rPr>
          <w:rFonts w:hint="eastAsia" w:ascii="华文仿宋" w:hAnsi="华文仿宋" w:eastAsia="华文仿宋" w:cs="Times New Roman"/>
          <w:sz w:val="32"/>
          <w:szCs w:val="32"/>
        </w:rPr>
        <w:t xml:space="preserve">次健康教育讲座, </w:t>
      </w:r>
      <w:r>
        <w:rPr>
          <w:rFonts w:hint="eastAsia" w:ascii="华文仿宋" w:hAnsi="华文仿宋" w:eastAsia="华文仿宋" w:cs="Times New Roman"/>
          <w:sz w:val="32"/>
          <w:szCs w:val="32"/>
          <w:lang w:val="en-US" w:eastAsia="zh-CN"/>
        </w:rPr>
        <w:t>487</w:t>
      </w:r>
      <w:r>
        <w:rPr>
          <w:rFonts w:hint="eastAsia" w:ascii="华文仿宋" w:hAnsi="华文仿宋" w:eastAsia="华文仿宋" w:cs="Times New Roman"/>
          <w:sz w:val="32"/>
          <w:szCs w:val="32"/>
        </w:rPr>
        <w:t>人参加健康教育讲座,共举办健康教育咨询活动</w:t>
      </w:r>
      <w:r>
        <w:rPr>
          <w:rFonts w:hint="eastAsia" w:ascii="华文仿宋" w:hAnsi="华文仿宋" w:eastAsia="华文仿宋" w:cs="Times New Roman"/>
          <w:sz w:val="32"/>
          <w:szCs w:val="32"/>
          <w:lang w:val="en-US" w:eastAsia="zh-CN"/>
        </w:rPr>
        <w:t>9</w:t>
      </w:r>
      <w:r>
        <w:rPr>
          <w:rFonts w:hint="eastAsia" w:ascii="华文仿宋" w:hAnsi="华文仿宋" w:eastAsia="华文仿宋" w:cs="Times New Roman"/>
          <w:sz w:val="32"/>
          <w:szCs w:val="32"/>
        </w:rPr>
        <w:t>次,</w:t>
      </w:r>
      <w:r>
        <w:rPr>
          <w:rFonts w:hint="eastAsia" w:ascii="华文仿宋" w:hAnsi="华文仿宋" w:eastAsia="华文仿宋" w:cs="Times New Roman"/>
          <w:sz w:val="32"/>
          <w:szCs w:val="32"/>
          <w:lang w:val="en-US" w:eastAsia="zh-CN"/>
        </w:rPr>
        <w:t>487</w:t>
      </w:r>
      <w:r>
        <w:rPr>
          <w:rFonts w:hint="eastAsia" w:ascii="华文仿宋" w:hAnsi="华文仿宋" w:eastAsia="华文仿宋" w:cs="Times New Roman"/>
          <w:sz w:val="32"/>
          <w:szCs w:val="32"/>
        </w:rPr>
        <w:t>人参加健康教育咨询;</w:t>
      </w:r>
      <w:r>
        <w:rPr>
          <w:rFonts w:hint="eastAsia" w:ascii="华文仿宋" w:hAnsi="华文仿宋" w:eastAsia="华文仿宋" w:cs="Times New Roman"/>
          <w:sz w:val="32"/>
          <w:szCs w:val="32"/>
          <w:lang w:val="en-US" w:eastAsia="zh-CN"/>
        </w:rPr>
        <w:t>健康教育知识全面普及，人民群众健康意识普遍增强，群众满意度达90%以上。</w:t>
      </w:r>
    </w:p>
    <w:p>
      <w:pPr>
        <w:pStyle w:val="13"/>
        <w:keepNext w:val="0"/>
        <w:keepLines w:val="0"/>
        <w:pageBreakBefore w:val="0"/>
        <w:widowControl/>
        <w:numPr>
          <w:ilvl w:val="0"/>
          <w:numId w:val="0"/>
        </w:numPr>
        <w:kinsoku/>
        <w:wordWrap/>
        <w:overflowPunct/>
        <w:topLinePunct w:val="0"/>
        <w:autoSpaceDE/>
        <w:autoSpaceDN/>
        <w:bidi w:val="0"/>
        <w:adjustRightInd/>
        <w:snapToGrid/>
        <w:spacing w:line="610" w:lineRule="exact"/>
        <w:ind w:firstLine="320" w:firstLineChars="100"/>
        <w:jc w:val="both"/>
        <w:textAlignment w:val="auto"/>
        <w:rPr>
          <w:rFonts w:hint="eastAsia" w:ascii="仿宋_GB2312" w:hAnsi="宋体" w:eastAsia="仿宋_GB2312" w:cs="宋体"/>
          <w:sz w:val="32"/>
          <w:szCs w:val="28"/>
        </w:rPr>
      </w:pP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存在的问题及原因分析</w:t>
      </w:r>
    </w:p>
    <w:p>
      <w:pPr>
        <w:spacing w:line="620" w:lineRule="exact"/>
        <w:ind w:firstLine="640" w:firstLineChars="200"/>
        <w:rPr>
          <w:rFonts w:hint="eastAsia" w:ascii="黑体" w:hAnsi="宋体" w:eastAsia="黑体" w:cs="宋体"/>
          <w:sz w:val="32"/>
          <w:szCs w:val="32"/>
        </w:rPr>
      </w:pPr>
      <w:r>
        <w:rPr>
          <w:rFonts w:hint="eastAsia" w:ascii="黑体" w:hAnsi="宋体" w:eastAsia="黑体" w:cs="宋体"/>
          <w:sz w:val="32"/>
          <w:szCs w:val="32"/>
          <w:lang w:eastAsia="zh-CN"/>
        </w:rPr>
        <w:t>（一）</w:t>
      </w:r>
      <w:r>
        <w:rPr>
          <w:rFonts w:hint="eastAsia" w:ascii="黑体" w:hAnsi="宋体" w:eastAsia="黑体" w:cs="宋体"/>
          <w:sz w:val="32"/>
          <w:szCs w:val="32"/>
        </w:rPr>
        <w:t>、存在的问题</w:t>
      </w:r>
    </w:p>
    <w:p>
      <w:pPr>
        <w:tabs>
          <w:tab w:val="center" w:pos="4153"/>
        </w:tabs>
        <w:spacing w:line="600" w:lineRule="exact"/>
        <w:ind w:firstLine="640" w:firstLineChars="200"/>
        <w:jc w:val="left"/>
        <w:rPr>
          <w:rFonts w:hint="eastAsia" w:ascii="仿宋_GB2312" w:hAnsi="宋体" w:eastAsia="仿宋_GB2312" w:cs="宋体"/>
          <w:bCs/>
          <w:sz w:val="32"/>
          <w:szCs w:val="32"/>
        </w:rPr>
      </w:pPr>
      <w:r>
        <w:rPr>
          <w:rFonts w:hint="eastAsia" w:ascii="仿宋_GB2312" w:hAnsi="宋体" w:eastAsia="仿宋_GB2312" w:cs="宋体"/>
          <w:bCs/>
          <w:sz w:val="32"/>
          <w:szCs w:val="32"/>
          <w:lang w:val="en-US" w:eastAsia="zh-CN"/>
        </w:rPr>
        <w:t>1、</w:t>
      </w:r>
      <w:r>
        <w:rPr>
          <w:rFonts w:hint="eastAsia" w:ascii="仿宋_GB2312" w:hAnsi="宋体" w:eastAsia="仿宋_GB2312" w:cs="宋体"/>
          <w:bCs/>
          <w:sz w:val="32"/>
          <w:szCs w:val="32"/>
        </w:rPr>
        <w:t>预算编制有待更严格执行。预算编制与实际支出项目有的存在差异。</w:t>
      </w:r>
      <w:r>
        <w:rPr>
          <w:rFonts w:hint="eastAsia" w:ascii="仿宋_GB2312" w:hAnsi="仿宋" w:eastAsia="仿宋_GB2312"/>
          <w:sz w:val="32"/>
          <w:szCs w:val="32"/>
          <w:lang w:val="en-US" w:eastAsia="zh-CN"/>
        </w:rPr>
        <w:t>有些工作未能找到适当的量化方式，对绩效管理量化评价方面略显不足。通过县财政局组织的预算绩效管理培训，逐步找到适合的方法对本单位的工作进行合理的分类量化，以便适应将来的预算绩效管理工作。</w:t>
      </w:r>
    </w:p>
    <w:p>
      <w:pPr>
        <w:tabs>
          <w:tab w:val="center" w:pos="4153"/>
        </w:tabs>
        <w:spacing w:line="540" w:lineRule="exact"/>
        <w:ind w:firstLine="640" w:firstLineChars="200"/>
        <w:rPr>
          <w:rFonts w:hint="eastAsia" w:ascii="仿宋_GB2312" w:hAnsi="宋体" w:eastAsia="仿宋_GB2312" w:cs="宋体"/>
          <w:bCs/>
          <w:sz w:val="32"/>
          <w:szCs w:val="32"/>
        </w:rPr>
      </w:pPr>
      <w:r>
        <w:rPr>
          <w:rFonts w:hint="eastAsia" w:ascii="仿宋_GB2312" w:hAnsi="宋体" w:eastAsia="仿宋_GB2312" w:cs="宋体"/>
          <w:bCs/>
          <w:sz w:val="32"/>
          <w:szCs w:val="32"/>
          <w:lang w:val="en-US" w:eastAsia="zh-CN"/>
        </w:rPr>
        <w:t>2、</w:t>
      </w:r>
      <w:r>
        <w:rPr>
          <w:rFonts w:hint="eastAsia" w:eastAsia="仿宋_GB2312"/>
          <w:sz w:val="32"/>
          <w:szCs w:val="32"/>
          <w:lang w:eastAsia="zh-CN"/>
        </w:rPr>
        <w:t>加强</w:t>
      </w:r>
      <w:r>
        <w:rPr>
          <w:rFonts w:eastAsia="仿宋_GB2312"/>
          <w:sz w:val="32"/>
          <w:szCs w:val="32"/>
        </w:rPr>
        <w:t>卫生院基础设施</w:t>
      </w:r>
      <w:r>
        <w:rPr>
          <w:rFonts w:hint="eastAsia" w:eastAsia="仿宋_GB2312"/>
          <w:sz w:val="32"/>
          <w:szCs w:val="32"/>
          <w:lang w:eastAsia="zh-CN"/>
        </w:rPr>
        <w:t>及</w:t>
      </w:r>
      <w:r>
        <w:rPr>
          <w:rFonts w:eastAsia="仿宋_GB2312"/>
          <w:sz w:val="32"/>
          <w:szCs w:val="32"/>
        </w:rPr>
        <w:t>能力建设</w:t>
      </w:r>
      <w:r>
        <w:rPr>
          <w:rFonts w:hint="eastAsia" w:eastAsia="仿宋_GB2312"/>
          <w:sz w:val="32"/>
          <w:szCs w:val="32"/>
          <w:lang w:eastAsia="zh-CN"/>
        </w:rPr>
        <w:t>，</w:t>
      </w:r>
      <w:r>
        <w:rPr>
          <w:rFonts w:eastAsia="仿宋_GB2312"/>
          <w:sz w:val="32"/>
          <w:szCs w:val="32"/>
        </w:rPr>
        <w:t>抓好医疗质量安全、医疗纠纷第三方调解机制、医疗机构布局、医疗废物集中处置等工作</w:t>
      </w:r>
      <w:r>
        <w:rPr>
          <w:rFonts w:hint="eastAsia" w:ascii="仿宋_GB2312" w:hAnsi="宋体" w:eastAsia="仿宋_GB2312" w:cs="宋体"/>
          <w:bCs/>
          <w:sz w:val="32"/>
          <w:szCs w:val="32"/>
        </w:rPr>
        <w:t>。</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可以从预算和预算绩效管理，部门履职效能，资金分配、使用和管理，资产和财务管理、政府采购等方面归纳存在的问</w:t>
      </w:r>
      <w:r>
        <w:rPr>
          <w:rFonts w:hint="default" w:ascii="Times New Roman" w:hAnsi="Times New Roman" w:eastAsia="仿宋_GB2312" w:cs="Times New Roman"/>
          <w:spacing w:val="11"/>
          <w:sz w:val="32"/>
          <w:szCs w:val="32"/>
        </w:rPr>
        <w:t>题；反映各种</w:t>
      </w:r>
      <w:r>
        <w:rPr>
          <w:rFonts w:hint="default" w:ascii="Times New Roman" w:hAnsi="Times New Roman" w:eastAsia="仿宋_GB2312" w:cs="Times New Roman"/>
          <w:color w:val="000000"/>
          <w:spacing w:val="11"/>
          <w:sz w:val="32"/>
          <w:szCs w:val="32"/>
        </w:rPr>
        <w:t>预算支出执行偏离绩效目标的情况，</w:t>
      </w:r>
      <w:r>
        <w:rPr>
          <w:rFonts w:hint="default" w:ascii="Times New Roman" w:hAnsi="Times New Roman" w:eastAsia="仿宋_GB2312" w:cs="Times New Roman"/>
          <w:spacing w:val="11"/>
          <w:sz w:val="32"/>
          <w:szCs w:val="32"/>
        </w:rPr>
        <w:t>并分析其原因</w:t>
      </w:r>
      <w:r>
        <w:rPr>
          <w:rFonts w:hint="default" w:ascii="Times New Roman" w:hAnsi="Times New Roman" w:eastAsia="仿宋_GB2312" w:cs="Times New Roman"/>
          <w:sz w:val="32"/>
          <w:szCs w:val="32"/>
        </w:rPr>
        <w:t>。</w:t>
      </w:r>
    </w:p>
    <w:p>
      <w:pPr>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en-US" w:eastAsia="zh-CN" w:bidi="ar-SA"/>
        </w:rPr>
        <w:t>进一步加大宣传力度，让广大城乡居民更全面了解项目的益处，提高群众知晓率，鼓励群众积极参与，自愿配合医疗卫生服务工作的开展。</w:t>
      </w:r>
    </w:p>
    <w:p>
      <w:pPr>
        <w:tabs>
          <w:tab w:val="center" w:pos="4153"/>
        </w:tabs>
        <w:spacing w:line="540" w:lineRule="exact"/>
        <w:ind w:firstLine="630"/>
        <w:jc w:val="left"/>
        <w:rPr>
          <w:rFonts w:hint="eastAsia" w:ascii="仿宋_GB2312" w:hAnsi="宋体" w:eastAsia="仿宋_GB2312" w:cs="宋体"/>
          <w:b/>
          <w:sz w:val="32"/>
          <w:szCs w:val="32"/>
        </w:rPr>
      </w:pPr>
      <w:r>
        <w:rPr>
          <w:rFonts w:hint="eastAsia" w:ascii="宋体" w:hAnsi="宋体" w:eastAsia="宋体" w:cs="宋体"/>
          <w:b/>
          <w:bCs w:val="0"/>
          <w:sz w:val="32"/>
          <w:szCs w:val="32"/>
          <w:lang w:val="en-US" w:eastAsia="zh-CN"/>
        </w:rPr>
        <w:t>2.</w:t>
      </w:r>
      <w:r>
        <w:rPr>
          <w:rFonts w:hint="eastAsia" w:ascii="Times New Roman" w:hAnsi="Times New Roman" w:eastAsia="仿宋_GB2312" w:cs="Times New Roman"/>
          <w:color w:val="auto"/>
          <w:kern w:val="2"/>
          <w:sz w:val="32"/>
          <w:szCs w:val="32"/>
          <w:lang w:val="en-US" w:eastAsia="zh-CN" w:bidi="ar-SA"/>
        </w:rPr>
        <w:t>按照预算规定的项目和用途严格财务审核，经费支出严格按预算规定项目的财务支出内容进行财务核算，在预算金额内严格控制费用的支出。</w:t>
      </w:r>
    </w:p>
    <w:p>
      <w:pPr>
        <w:tabs>
          <w:tab w:val="center" w:pos="4153"/>
        </w:tabs>
        <w:spacing w:line="540" w:lineRule="exact"/>
        <w:ind w:firstLine="645"/>
        <w:jc w:val="left"/>
        <w:rPr>
          <w:rFonts w:hint="eastAsia" w:ascii="仿宋_GB2312" w:hAnsi="宋体" w:eastAsia="仿宋_GB2312" w:cs="宋体"/>
          <w:sz w:val="32"/>
          <w:szCs w:val="32"/>
          <w:shd w:val="clear" w:color="auto" w:fill="FFFFFF"/>
        </w:rPr>
      </w:pPr>
      <w:r>
        <w:rPr>
          <w:rFonts w:hint="eastAsia" w:ascii="宋体" w:hAnsi="宋体" w:eastAsia="宋体" w:cs="宋体"/>
          <w:b/>
          <w:bCs w:val="0"/>
          <w:sz w:val="32"/>
          <w:szCs w:val="32"/>
          <w:lang w:val="en-US" w:eastAsia="zh-CN"/>
        </w:rPr>
        <w:t>3.</w:t>
      </w:r>
      <w:r>
        <w:rPr>
          <w:rFonts w:hint="eastAsia" w:ascii="仿宋_GB2312" w:hAnsi="宋体" w:eastAsia="仿宋_GB2312" w:cs="宋体"/>
          <w:sz w:val="32"/>
          <w:szCs w:val="32"/>
          <w:shd w:val="clear" w:color="auto" w:fill="FFFFFF"/>
          <w:lang w:eastAsia="zh-CN"/>
        </w:rPr>
        <w:t>将</w:t>
      </w:r>
      <w:r>
        <w:rPr>
          <w:rFonts w:hint="eastAsia" w:ascii="仿宋_GB2312" w:hAnsi="宋体" w:eastAsia="仿宋_GB2312" w:cs="宋体"/>
          <w:sz w:val="32"/>
          <w:szCs w:val="32"/>
          <w:shd w:val="clear" w:color="auto" w:fill="FFFFFF"/>
        </w:rPr>
        <w:t>预算财务分析常态化，定期做好预算支出财务分析，做好部门整体支出预算评价工作。</w:t>
      </w:r>
    </w:p>
    <w:p>
      <w:pPr>
        <w:tabs>
          <w:tab w:val="center" w:pos="4153"/>
        </w:tabs>
        <w:spacing w:line="540" w:lineRule="exact"/>
        <w:ind w:firstLine="645"/>
        <w:jc w:val="left"/>
        <w:rPr>
          <w:rFonts w:hint="eastAsia" w:ascii="宋体" w:hAnsi="宋体" w:eastAsia="宋体" w:cs="宋体"/>
          <w:bCs/>
          <w:spacing w:val="-6"/>
          <w:sz w:val="32"/>
          <w:szCs w:val="32"/>
        </w:rPr>
      </w:pPr>
      <w:r>
        <w:rPr>
          <w:rFonts w:hint="eastAsia" w:ascii="宋体" w:hAnsi="宋体" w:eastAsia="宋体" w:cs="宋体"/>
          <w:b/>
          <w:bCs w:val="0"/>
          <w:sz w:val="32"/>
          <w:szCs w:val="32"/>
          <w:lang w:val="en-US" w:eastAsia="zh-CN"/>
        </w:rPr>
        <w:t>4.</w:t>
      </w:r>
      <w:r>
        <w:rPr>
          <w:rFonts w:hint="eastAsia" w:ascii="Times New Roman" w:hAnsi="Times New Roman" w:eastAsia="仿宋_GB2312" w:cs="Times New Roman"/>
          <w:color w:val="auto"/>
          <w:kern w:val="2"/>
          <w:sz w:val="32"/>
          <w:szCs w:val="32"/>
          <w:lang w:val="en-US" w:eastAsia="zh-CN" w:bidi="ar-SA"/>
        </w:rPr>
        <w:t>积极宣传和引导居民群众对医疗卫生服务的认知度和信任度，激发公众的参与度，从而积极献计献策。</w:t>
      </w:r>
      <w:r>
        <w:rPr>
          <w:rFonts w:hint="eastAsia" w:ascii="宋体" w:hAnsi="宋体" w:eastAsia="宋体" w:cs="宋体"/>
          <w:bCs/>
          <w:spacing w:val="-6"/>
          <w:sz w:val="32"/>
          <w:szCs w:val="32"/>
        </w:rPr>
        <w:t xml:space="preserve"> </w:t>
      </w:r>
    </w:p>
    <w:p>
      <w:pPr>
        <w:tabs>
          <w:tab w:val="center" w:pos="4153"/>
        </w:tabs>
        <w:spacing w:line="540" w:lineRule="exact"/>
        <w:ind w:firstLine="645"/>
        <w:jc w:val="left"/>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5、继续巩固“全国百佳乡镇卫生院”成果，加强医疗安全服务意识与医德医风行风建设。</w:t>
      </w:r>
    </w:p>
    <w:p>
      <w:pPr>
        <w:tabs>
          <w:tab w:val="center" w:pos="4153"/>
        </w:tabs>
        <w:spacing w:line="540" w:lineRule="exact"/>
        <w:ind w:firstLine="645"/>
        <w:jc w:val="left"/>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6、加强公共卫生工作管理力度，提高群众满意度，力争我院的公共卫生工作再上新台阶。</w:t>
      </w:r>
    </w:p>
    <w:p>
      <w:pPr>
        <w:tabs>
          <w:tab w:val="center" w:pos="4153"/>
        </w:tabs>
        <w:spacing w:line="540" w:lineRule="exact"/>
        <w:ind w:firstLine="645"/>
        <w:jc w:val="left"/>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7、加强我院全体医务人员的教育管理，大力提倡医务人员微笑式服务、视病友为亲人，争取把每项工作做细做实做精。</w:t>
      </w:r>
    </w:p>
    <w:p>
      <w:pPr>
        <w:tabs>
          <w:tab w:val="center" w:pos="4153"/>
        </w:tabs>
        <w:spacing w:line="540" w:lineRule="exact"/>
        <w:ind w:firstLine="645"/>
        <w:jc w:val="left"/>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8、下大力抓好卫生院服务功能建设，改善和优化就医环境。</w:t>
      </w:r>
    </w:p>
    <w:p>
      <w:pPr>
        <w:pStyle w:val="2"/>
        <w:numPr>
          <w:ilvl w:val="0"/>
          <w:numId w:val="0"/>
        </w:numPr>
        <w:ind w:leftChars="200"/>
        <w:rPr>
          <w:rFonts w:hint="default"/>
        </w:rPr>
      </w:pPr>
      <w:r>
        <w:rPr>
          <w:rFonts w:hint="eastAsia" w:ascii="Times New Roman" w:hAnsi="Times New Roman" w:eastAsia="仿宋_GB2312" w:cs="Times New Roman"/>
          <w:color w:val="auto"/>
          <w:kern w:val="2"/>
          <w:sz w:val="32"/>
          <w:szCs w:val="32"/>
          <w:lang w:val="en-US" w:eastAsia="zh-CN" w:bidi="ar-SA"/>
        </w:rPr>
        <w:t>9、继续发展壮大中医药服务能力建设。</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pPr>
    </w:p>
    <w:p>
      <w:pPr>
        <w:pStyle w:val="2"/>
        <w:ind w:firstLine="1280" w:firstLineChars="400"/>
        <w:rPr>
          <w:rFonts w:hint="eastAsia"/>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6</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华容县治河渡镇卫生院应急接诊点项目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华容县卫生健康局</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华容县治河渡镇卫生院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用于卫生院新建业务用房</w:t>
            </w:r>
            <w:r>
              <w:rPr>
                <w:rFonts w:hint="eastAsia" w:eastAsia="仿宋_GB2312" w:cs="Times New Roman"/>
                <w:color w:val="000000"/>
                <w:sz w:val="20"/>
                <w:szCs w:val="20"/>
                <w:lang w:val="en-US" w:eastAsia="zh-CN"/>
              </w:rPr>
              <w:t>3300多平方米，解决医院业务用房不足的问题，完善医疗卫生服务功能，提升服务水平，满足农村居民不断增长的医疗服务需求</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已按预期目标完成</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应急接诊点综合楼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3300平方米</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3300平方米</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服务质量合格率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验收合格率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完成时间</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成本</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500万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500万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业务收入增长</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提高</w:t>
            </w:r>
            <w:r>
              <w:rPr>
                <w:rFonts w:hint="eastAsia" w:eastAsia="仿宋_GB2312" w:cs="Times New Roman"/>
                <w:color w:val="000000"/>
                <w:sz w:val="20"/>
                <w:szCs w:val="20"/>
                <w:lang w:val="en-US" w:eastAsia="zh-CN"/>
              </w:rPr>
              <w:t>10%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提高</w:t>
            </w:r>
            <w:r>
              <w:rPr>
                <w:rFonts w:hint="eastAsia" w:eastAsia="仿宋_GB2312" w:cs="Times New Roman"/>
                <w:color w:val="000000"/>
                <w:sz w:val="20"/>
                <w:szCs w:val="20"/>
                <w:lang w:val="en-US" w:eastAsia="zh-CN"/>
              </w:rPr>
              <w:t>10%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病人对就医环境满意度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改善就医环境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项目对于社会可持续效果良好程度</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群众满意度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90%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99.5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华容县治河渡镇卫生院应急接诊点新建项目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华容县治河渡镇卫生院应急接诊点新建项目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eastAsia="zh-CN"/>
        </w:rPr>
        <w:t>为加大支持公共卫生、重大疫情防控救助体系补短板力度，进一步做了医疗机构医疗救治和发热门诊管理</w:t>
      </w:r>
      <w:r>
        <w:rPr>
          <w:rFonts w:hint="eastAsia" w:eastAsia="仿宋_GB2312"/>
          <w:sz w:val="30"/>
          <w:szCs w:val="30"/>
          <w:lang w:val="en-US" w:eastAsia="zh-CN"/>
        </w:rPr>
        <w:t xml:space="preserve"> 、院感防控等工作，提升基层医疗卫生保障疾控事业的硬件设施条件和服务水平，</w:t>
      </w:r>
      <w:r>
        <w:rPr>
          <w:rFonts w:hint="eastAsia" w:eastAsia="仿宋_GB2312"/>
          <w:sz w:val="30"/>
          <w:szCs w:val="30"/>
        </w:rPr>
        <w:t>满足我</w:t>
      </w:r>
      <w:r>
        <w:rPr>
          <w:rFonts w:hint="eastAsia" w:eastAsia="仿宋_GB2312"/>
          <w:sz w:val="30"/>
          <w:szCs w:val="30"/>
          <w:lang w:eastAsia="zh-CN"/>
        </w:rPr>
        <w:t>镇广大人民群众医疗卫生需求。抗疫特别国债资金</w:t>
      </w:r>
      <w:r>
        <w:rPr>
          <w:rFonts w:hint="eastAsia" w:eastAsia="仿宋_GB2312"/>
          <w:sz w:val="30"/>
          <w:szCs w:val="30"/>
          <w:lang w:val="en-US" w:eastAsia="zh-CN"/>
        </w:rPr>
        <w:t>1000万元</w:t>
      </w:r>
      <w:r>
        <w:rPr>
          <w:rFonts w:hint="eastAsia" w:eastAsia="仿宋_GB2312"/>
          <w:sz w:val="30"/>
          <w:szCs w:val="30"/>
          <w:lang w:eastAsia="zh-CN"/>
        </w:rPr>
        <w:t>用于支持地方基础建设，建设一栋三层综合楼，总建筑面积</w:t>
      </w:r>
      <w:r>
        <w:rPr>
          <w:rFonts w:hint="eastAsia" w:eastAsia="仿宋_GB2312"/>
          <w:sz w:val="30"/>
          <w:szCs w:val="30"/>
          <w:lang w:val="en-US" w:eastAsia="zh-CN"/>
        </w:rPr>
        <w:t>3300平方米，设置床位85张，并配套绿化、排水、供配电、消防等其他附属设施。</w:t>
      </w:r>
    </w:p>
    <w:p>
      <w:pPr>
        <w:keepNext w:val="0"/>
        <w:keepLines w:val="0"/>
        <w:pageBreakBefore w:val="0"/>
        <w:numPr>
          <w:ilvl w:val="0"/>
          <w:numId w:val="3"/>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项目绩效目标。</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增加医疗卫生资源，提高医疗卫生事业发展。</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满足</w:t>
      </w:r>
      <w:r>
        <w:rPr>
          <w:rFonts w:hint="eastAsia" w:eastAsia="仿宋_GB2312"/>
          <w:sz w:val="30"/>
          <w:szCs w:val="30"/>
          <w:lang w:eastAsia="zh-CN"/>
        </w:rPr>
        <w:t>治河镇镇</w:t>
      </w:r>
      <w:r>
        <w:rPr>
          <w:rFonts w:hint="eastAsia" w:eastAsia="仿宋_GB2312"/>
          <w:sz w:val="30"/>
          <w:szCs w:val="30"/>
        </w:rPr>
        <w:t>及周边居民医疗服务需求，提高居民生活质量。</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合理布局医疗机构，改善当地公共医疗卫生条件。</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提供就业岗位，增加就业机会。</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健全应急医疗事业发展，完善重大疫情防控体制机制。</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一、项目执行情况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 资金投入情况分析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1</w:t>
      </w:r>
      <w:r>
        <w:rPr>
          <w:rFonts w:hint="eastAsia" w:eastAsia="仿宋_GB2312"/>
          <w:sz w:val="30"/>
          <w:szCs w:val="30"/>
          <w:lang w:eastAsia="zh-CN"/>
        </w:rPr>
        <w:t>、</w:t>
      </w:r>
      <w:r>
        <w:rPr>
          <w:rFonts w:hint="eastAsia" w:eastAsia="仿宋_GB2312"/>
          <w:sz w:val="30"/>
          <w:szCs w:val="30"/>
        </w:rPr>
        <w:t>项目资金执行情况分析202</w:t>
      </w:r>
      <w:r>
        <w:rPr>
          <w:rFonts w:hint="eastAsia" w:eastAsia="仿宋_GB2312"/>
          <w:sz w:val="30"/>
          <w:szCs w:val="30"/>
          <w:lang w:val="en-US" w:eastAsia="zh-CN"/>
        </w:rPr>
        <w:t>2</w:t>
      </w:r>
      <w:r>
        <w:rPr>
          <w:rFonts w:hint="eastAsia" w:eastAsia="仿宋_GB2312"/>
          <w:sz w:val="30"/>
          <w:szCs w:val="30"/>
        </w:rPr>
        <w:t>年度</w:t>
      </w:r>
      <w:r>
        <w:rPr>
          <w:rFonts w:hint="eastAsia" w:eastAsia="仿宋_GB2312"/>
          <w:sz w:val="30"/>
          <w:szCs w:val="30"/>
          <w:lang w:eastAsia="zh-CN"/>
        </w:rPr>
        <w:t>应急接诊点综合楼</w:t>
      </w:r>
      <w:r>
        <w:rPr>
          <w:rFonts w:hint="eastAsia" w:eastAsia="仿宋_GB2312"/>
          <w:sz w:val="30"/>
          <w:szCs w:val="30"/>
        </w:rPr>
        <w:t>建设项目共收到县财政拨款资金</w:t>
      </w:r>
      <w:r>
        <w:rPr>
          <w:rFonts w:hint="eastAsia" w:eastAsia="仿宋_GB2312"/>
          <w:sz w:val="30"/>
          <w:szCs w:val="30"/>
          <w:lang w:val="en-US" w:eastAsia="zh-CN"/>
        </w:rPr>
        <w:t>500</w:t>
      </w:r>
      <w:r>
        <w:rPr>
          <w:rFonts w:hint="eastAsia" w:eastAsia="仿宋_GB2312"/>
          <w:sz w:val="30"/>
          <w:szCs w:val="30"/>
        </w:rPr>
        <w:t xml:space="preserve"> 万元，</w:t>
      </w:r>
      <w:r>
        <w:rPr>
          <w:rFonts w:hint="eastAsia" w:eastAsia="仿宋_GB2312"/>
          <w:sz w:val="30"/>
          <w:szCs w:val="30"/>
          <w:lang w:eastAsia="zh-CN"/>
        </w:rPr>
        <w:t>应急接诊点综合楼</w:t>
      </w:r>
      <w:r>
        <w:rPr>
          <w:rFonts w:hint="eastAsia" w:eastAsia="仿宋_GB2312"/>
          <w:sz w:val="30"/>
          <w:szCs w:val="30"/>
        </w:rPr>
        <w:t>建设项目财政资金实际支出</w:t>
      </w:r>
      <w:r>
        <w:rPr>
          <w:rFonts w:hint="eastAsia" w:eastAsia="仿宋_GB2312"/>
          <w:sz w:val="30"/>
          <w:szCs w:val="30"/>
          <w:lang w:val="en-US" w:eastAsia="zh-CN"/>
        </w:rPr>
        <w:t>500</w:t>
      </w:r>
      <w:r>
        <w:rPr>
          <w:rFonts w:hint="eastAsia" w:eastAsia="仿宋_GB2312"/>
          <w:sz w:val="30"/>
          <w:szCs w:val="30"/>
        </w:rPr>
        <w:t xml:space="preserve"> 万元，执行率 100%。</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2</w:t>
      </w:r>
      <w:r>
        <w:rPr>
          <w:rFonts w:hint="eastAsia" w:eastAsia="仿宋_GB2312"/>
          <w:sz w:val="30"/>
          <w:szCs w:val="30"/>
          <w:lang w:eastAsia="zh-CN"/>
        </w:rPr>
        <w:t>、</w:t>
      </w:r>
      <w:r>
        <w:rPr>
          <w:rFonts w:hint="eastAsia" w:eastAsia="仿宋_GB2312"/>
          <w:sz w:val="30"/>
          <w:szCs w:val="30"/>
        </w:rPr>
        <w:t>项目资金管理情况分析强化专项资金项目管理，严格按照财政相关文件及工程项目进度等执行，实行专款专用。</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 总体绩效目标完成情况分析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eastAsia="zh-CN"/>
        </w:rPr>
        <w:t>应急接诊点综合楼</w:t>
      </w:r>
      <w:r>
        <w:rPr>
          <w:rFonts w:hint="eastAsia" w:eastAsia="仿宋_GB2312"/>
          <w:sz w:val="30"/>
          <w:szCs w:val="30"/>
        </w:rPr>
        <w:t>建设项目建成将取得良好的社会效益，将增加医疗卫生资源</w:t>
      </w:r>
      <w:r>
        <w:rPr>
          <w:rFonts w:hint="eastAsia" w:eastAsia="仿宋_GB2312"/>
          <w:sz w:val="30"/>
          <w:szCs w:val="30"/>
          <w:lang w:eastAsia="zh-CN"/>
        </w:rPr>
        <w:t>；</w:t>
      </w:r>
      <w:r>
        <w:rPr>
          <w:rFonts w:hint="eastAsia" w:eastAsia="仿宋_GB2312"/>
          <w:sz w:val="30"/>
          <w:szCs w:val="30"/>
        </w:rPr>
        <w:t>提高医疗卫生事业发展，满足居民医疗服务需求</w:t>
      </w:r>
      <w:r>
        <w:rPr>
          <w:rFonts w:hint="eastAsia" w:eastAsia="仿宋_GB2312"/>
          <w:sz w:val="30"/>
          <w:szCs w:val="30"/>
          <w:lang w:eastAsia="zh-CN"/>
        </w:rPr>
        <w:t>；</w:t>
      </w:r>
      <w:r>
        <w:rPr>
          <w:rFonts w:hint="eastAsia" w:eastAsia="仿宋_GB2312"/>
          <w:sz w:val="30"/>
          <w:szCs w:val="30"/>
        </w:rPr>
        <w:t xml:space="preserve"> 健全应急医疗事业发展，完善重大疫情防控体制机制</w:t>
      </w:r>
      <w:r>
        <w:rPr>
          <w:rFonts w:hint="eastAsia" w:eastAsia="仿宋_GB2312"/>
          <w:sz w:val="30"/>
          <w:szCs w:val="30"/>
          <w:lang w:eastAsia="zh-CN"/>
        </w:rPr>
        <w:t>。</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textAlignment w:val="auto"/>
        <w:rPr>
          <w:rFonts w:hint="eastAsia" w:eastAsia="仿宋_GB2312"/>
          <w:sz w:val="30"/>
          <w:szCs w:val="30"/>
        </w:rPr>
      </w:pPr>
      <w:r>
        <w:rPr>
          <w:rFonts w:hint="eastAsia" w:eastAsia="仿宋_GB2312"/>
          <w:sz w:val="30"/>
          <w:szCs w:val="30"/>
          <w:lang w:eastAsia="zh-CN"/>
        </w:rPr>
        <w:t>（三）</w:t>
      </w:r>
      <w:r>
        <w:rPr>
          <w:rFonts w:hint="eastAsia" w:eastAsia="仿宋_GB2312"/>
          <w:sz w:val="30"/>
          <w:szCs w:val="30"/>
        </w:rPr>
        <w:t>绩效指标完成情况分析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eastAsia="zh-CN"/>
        </w:rPr>
        <w:t>应急接诊点综合楼</w:t>
      </w:r>
      <w:r>
        <w:rPr>
          <w:rFonts w:hint="eastAsia" w:eastAsia="仿宋_GB2312"/>
          <w:sz w:val="30"/>
          <w:szCs w:val="30"/>
        </w:rPr>
        <w:t>建设项目</w:t>
      </w:r>
      <w:r>
        <w:rPr>
          <w:rFonts w:hint="eastAsia" w:eastAsia="仿宋_GB2312"/>
          <w:sz w:val="30"/>
          <w:szCs w:val="30"/>
          <w:lang w:eastAsia="zh-CN"/>
        </w:rPr>
        <w:t>已竣工完成投入使用</w:t>
      </w:r>
      <w:r>
        <w:rPr>
          <w:rFonts w:hint="eastAsia" w:eastAsia="仿宋_GB2312"/>
          <w:sz w:val="30"/>
          <w:szCs w:val="30"/>
        </w:rPr>
        <w:t>。</w:t>
      </w:r>
    </w:p>
    <w:p>
      <w:pPr>
        <w:keepNext w:val="0"/>
        <w:keepLines w:val="0"/>
        <w:pageBreakBefore w:val="0"/>
        <w:numPr>
          <w:ilvl w:val="0"/>
          <w:numId w:val="5"/>
        </w:numPr>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综合评价情况及评价结论 </w:t>
      </w:r>
    </w:p>
    <w:p>
      <w:pPr>
        <w:pStyle w:val="2"/>
        <w:keepNext w:val="0"/>
        <w:keepLines w:val="0"/>
        <w:pageBreakBefore w:val="0"/>
        <w:widowControl w:val="0"/>
        <w:numPr>
          <w:ilvl w:val="0"/>
          <w:numId w:val="0"/>
        </w:numPr>
        <w:kinsoku/>
        <w:wordWrap/>
        <w:overflowPunct/>
        <w:topLinePunct w:val="0"/>
        <w:autoSpaceDE/>
        <w:autoSpaceDN/>
        <w:bidi w:val="0"/>
        <w:adjustRightInd/>
        <w:spacing w:line="520" w:lineRule="exact"/>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通过国家抗疫国债资金项目的实施和资金的投入进一步提高整体医疗水平，提升人才队伍的技术和水平，使病人有更好的医疗救治和更舒适的康复环境，病人的满意度不断提高。</w:t>
      </w:r>
    </w:p>
    <w:p>
      <w:pPr>
        <w:keepNext w:val="0"/>
        <w:keepLines w:val="0"/>
        <w:pageBreakBefore w:val="0"/>
        <w:widowControl w:val="0"/>
        <w:kinsoku/>
        <w:wordWrap/>
        <w:overflowPunct/>
        <w:topLinePunct w:val="0"/>
        <w:autoSpaceDE/>
        <w:autoSpaceDN/>
        <w:bidi w:val="0"/>
        <w:adjustRightInd/>
        <w:spacing w:line="520" w:lineRule="exact"/>
        <w:ind w:firstLine="600" w:firstLineChars="200"/>
        <w:textAlignment w:val="auto"/>
        <w:rPr>
          <w:rFonts w:hint="default"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项目资金使用不存在支出依据不合规的情况，也不存在截留、挤占、挪用资金资金情况。严格执行各项财务管理规定，支付流程合法合规。</w:t>
      </w:r>
    </w:p>
    <w:p>
      <w:pPr>
        <w:keepNext w:val="0"/>
        <w:keepLines w:val="0"/>
        <w:pageBreakBefore w:val="0"/>
        <w:numPr>
          <w:ilvl w:val="0"/>
          <w:numId w:val="5"/>
        </w:numPr>
        <w:kinsoku/>
        <w:wordWrap/>
        <w:overflowPunct/>
        <w:topLinePunct w:val="0"/>
        <w:autoSpaceDE/>
        <w:autoSpaceDN/>
        <w:bidi w:val="0"/>
        <w:adjustRightInd/>
        <w:snapToGrid/>
        <w:spacing w:line="61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绩效评价指标分析</w:t>
      </w:r>
    </w:p>
    <w:p>
      <w:pPr>
        <w:pStyle w:val="2"/>
        <w:numPr>
          <w:ilvl w:val="0"/>
          <w:numId w:val="0"/>
        </w:numPr>
        <w:ind w:leftChars="200"/>
        <w:rPr>
          <w:rFonts w:hint="eastAsia"/>
        </w:rPr>
      </w:pPr>
    </w:p>
    <w:p>
      <w:pPr>
        <w:keepNext w:val="0"/>
        <w:keepLines w:val="0"/>
        <w:pageBreakBefore w:val="0"/>
        <w:numPr>
          <w:ilvl w:val="0"/>
          <w:numId w:val="6"/>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项目决策情况。</w:t>
      </w:r>
    </w:p>
    <w:p>
      <w:pPr>
        <w:pStyle w:val="2"/>
        <w:keepNext w:val="0"/>
        <w:keepLines w:val="0"/>
        <w:pageBreakBefore w:val="0"/>
        <w:widowControl w:val="0"/>
        <w:kinsoku/>
        <w:wordWrap/>
        <w:overflowPunct/>
        <w:topLinePunct w:val="0"/>
        <w:autoSpaceDE/>
        <w:autoSpaceDN/>
        <w:bidi w:val="0"/>
        <w:adjustRightInd/>
        <w:snapToGrid w:val="0"/>
        <w:spacing w:line="520" w:lineRule="exact"/>
        <w:ind w:firstLine="600" w:firstLineChars="200"/>
        <w:textAlignment w:val="auto"/>
        <w:rPr>
          <w:rFonts w:hint="default"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项目的实施严格遵守政府采购的相关管理制度，按照政府采购的程序实施，项目完成后实行验收制度，项目资金付款前严格通过验收小组的验收，并且经过院领导班子讨论后，按照合同规定付款。</w:t>
      </w:r>
    </w:p>
    <w:p>
      <w:pPr>
        <w:pStyle w:val="2"/>
        <w:rPr>
          <w:rFonts w:hint="eastAsia"/>
        </w:rPr>
      </w:pPr>
    </w:p>
    <w:p>
      <w:pPr>
        <w:keepNext w:val="0"/>
        <w:keepLines w:val="0"/>
        <w:pageBreakBefore w:val="0"/>
        <w:numPr>
          <w:ilvl w:val="0"/>
          <w:numId w:val="6"/>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项目过程情况。</w:t>
      </w:r>
    </w:p>
    <w:p>
      <w:pPr>
        <w:pStyle w:val="2"/>
        <w:numPr>
          <w:ilvl w:val="0"/>
          <w:numId w:val="0"/>
        </w:numPr>
        <w:ind w:leftChars="200" w:firstLine="600" w:firstLineChars="200"/>
        <w:rPr>
          <w:rFonts w:hint="eastAsia"/>
          <w:sz w:val="30"/>
          <w:szCs w:val="30"/>
        </w:rPr>
      </w:pPr>
      <w:r>
        <w:rPr>
          <w:rFonts w:hint="eastAsia" w:eastAsia="仿宋_GB2312"/>
          <w:sz w:val="30"/>
          <w:szCs w:val="30"/>
          <w:lang w:val="en-US" w:eastAsia="zh-CN"/>
        </w:rPr>
        <w:t>2021年2月主体动工，按完工进度支付工程款。2022年4月搬迁投入使用。</w:t>
      </w:r>
    </w:p>
    <w:p>
      <w:pPr>
        <w:keepNext w:val="0"/>
        <w:keepLines w:val="0"/>
        <w:pageBreakBefore w:val="0"/>
        <w:numPr>
          <w:ilvl w:val="0"/>
          <w:numId w:val="6"/>
        </w:numPr>
        <w:kinsoku/>
        <w:wordWrap/>
        <w:overflowPunct/>
        <w:topLinePunct w:val="0"/>
        <w:autoSpaceDE/>
        <w:autoSpaceDN/>
        <w:bidi w:val="0"/>
        <w:adjustRightInd/>
        <w:snapToGrid/>
        <w:spacing w:line="610" w:lineRule="exact"/>
        <w:ind w:left="0" w:leftChars="0" w:firstLine="600" w:firstLineChars="200"/>
        <w:textAlignment w:val="auto"/>
        <w:rPr>
          <w:rFonts w:hint="eastAsia"/>
          <w:sz w:val="30"/>
          <w:szCs w:val="30"/>
        </w:rPr>
      </w:pPr>
      <w:r>
        <w:rPr>
          <w:rFonts w:hint="eastAsia" w:eastAsia="仿宋_GB2312"/>
          <w:sz w:val="30"/>
          <w:szCs w:val="30"/>
        </w:rPr>
        <w:t>项目产出情况。</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firstLine="600" w:firstLineChars="200"/>
        <w:textAlignment w:val="auto"/>
        <w:rPr>
          <w:rFonts w:hint="eastAsia"/>
          <w:sz w:val="30"/>
          <w:szCs w:val="30"/>
        </w:rPr>
      </w:pPr>
      <w:r>
        <w:rPr>
          <w:rFonts w:hint="eastAsia" w:eastAsia="仿宋_GB2312"/>
          <w:sz w:val="30"/>
          <w:szCs w:val="30"/>
        </w:rPr>
        <w:t>提高医疗技术，更新医疗设备，使患者得到及时、准确的救治</w:t>
      </w:r>
      <w:r>
        <w:rPr>
          <w:rFonts w:hint="eastAsia" w:eastAsia="仿宋_GB2312"/>
          <w:sz w:val="30"/>
          <w:szCs w:val="30"/>
          <w:lang w:eastAsia="zh-CN"/>
        </w:rPr>
        <w:t>。</w:t>
      </w:r>
    </w:p>
    <w:p>
      <w:pPr>
        <w:keepNext w:val="0"/>
        <w:keepLines w:val="0"/>
        <w:pageBreakBefore w:val="0"/>
        <w:numPr>
          <w:ilvl w:val="0"/>
          <w:numId w:val="6"/>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项目效益情况。</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leftChars="200" w:firstLine="600" w:firstLineChars="200"/>
        <w:textAlignment w:val="auto"/>
        <w:rPr>
          <w:rFonts w:hint="default" w:eastAsia="宋体"/>
          <w:lang w:val="en-US" w:eastAsia="zh-CN"/>
        </w:rPr>
      </w:pPr>
      <w:r>
        <w:rPr>
          <w:rFonts w:hint="eastAsia" w:ascii="Times New Roman" w:hAnsi="Times New Roman" w:eastAsia="仿宋_GB2312" w:cs="Times New Roman"/>
          <w:kern w:val="2"/>
          <w:sz w:val="30"/>
          <w:szCs w:val="30"/>
          <w:lang w:val="en-US" w:eastAsia="zh-CN" w:bidi="ar-SA"/>
        </w:rPr>
        <w:t>通过项目资金投入，加强固定资产和基础设施的建设，提高医院救治和康复工作，进一步提升医院的整体医疗水平</w:t>
      </w:r>
      <w:r>
        <w:rPr>
          <w:rFonts w:hint="eastAsia"/>
          <w:lang w:val="en-US" w:eastAsia="zh-CN"/>
        </w:rPr>
        <w:t>。</w:t>
      </w:r>
    </w:p>
    <w:p>
      <w:pPr>
        <w:pStyle w:val="2"/>
        <w:numPr>
          <w:ilvl w:val="0"/>
          <w:numId w:val="0"/>
        </w:numPr>
        <w:ind w:leftChars="200"/>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2"/>
        <w:ind w:firstLine="600" w:firstLineChars="200"/>
        <w:rPr>
          <w:rFonts w:hint="eastAsia" w:ascii="Times New Roman" w:hAnsi="Times New Roman" w:eastAsia="仿宋_GB2312" w:cs="Times New Roman"/>
          <w:kern w:val="2"/>
          <w:sz w:val="30"/>
          <w:szCs w:val="30"/>
          <w:lang w:val="en-US" w:eastAsia="zh-CN" w:bidi="ar-SA"/>
        </w:rPr>
      </w:pPr>
      <w:r>
        <w:rPr>
          <w:rFonts w:hint="eastAsia" w:eastAsia="仿宋_GB2312" w:cs="Times New Roman"/>
          <w:kern w:val="2"/>
          <w:sz w:val="30"/>
          <w:szCs w:val="30"/>
          <w:lang w:val="en-US" w:eastAsia="zh-CN" w:bidi="ar-SA"/>
        </w:rPr>
        <w:t>1.安全管理：</w:t>
      </w:r>
      <w:r>
        <w:rPr>
          <w:rFonts w:hint="eastAsia" w:ascii="Times New Roman" w:hAnsi="Times New Roman" w:eastAsia="仿宋_GB2312" w:cs="Times New Roman"/>
          <w:kern w:val="2"/>
          <w:sz w:val="30"/>
          <w:szCs w:val="30"/>
          <w:lang w:val="en-US" w:eastAsia="zh-CN" w:bidi="ar-SA"/>
        </w:rPr>
        <w:t>工程施工阶段</w:t>
      </w:r>
      <w:r>
        <w:rPr>
          <w:rFonts w:hint="eastAsia" w:eastAsia="仿宋_GB2312" w:cs="Times New Roman"/>
          <w:kern w:val="2"/>
          <w:sz w:val="30"/>
          <w:szCs w:val="30"/>
          <w:lang w:val="en-US" w:eastAsia="zh-CN" w:bidi="ar-SA"/>
        </w:rPr>
        <w:t>委托</w:t>
      </w:r>
      <w:r>
        <w:rPr>
          <w:rFonts w:hint="eastAsia" w:ascii="Times New Roman" w:hAnsi="Times New Roman" w:eastAsia="仿宋_GB2312" w:cs="Times New Roman"/>
          <w:kern w:val="2"/>
          <w:sz w:val="30"/>
          <w:szCs w:val="30"/>
          <w:lang w:val="en-US" w:eastAsia="zh-CN" w:bidi="ar-SA"/>
        </w:rPr>
        <w:t>监理公司全程监督工程质量，卫生院安排专人督导、确保工程按质按时交付，并及时发现安全隐患杜绝安全事故的发生。</w:t>
      </w:r>
    </w:p>
    <w:p>
      <w:pPr>
        <w:rPr>
          <w:rFonts w:hint="eastAsia" w:eastAsia="仿宋_GB2312"/>
          <w:sz w:val="30"/>
          <w:szCs w:val="30"/>
          <w:lang w:val="en-US" w:eastAsia="zh-CN"/>
        </w:rPr>
      </w:pPr>
      <w:r>
        <w:rPr>
          <w:rFonts w:hint="eastAsia" w:eastAsia="仿宋_GB2312" w:cs="Times New Roman"/>
          <w:kern w:val="2"/>
          <w:sz w:val="30"/>
          <w:szCs w:val="30"/>
          <w:lang w:val="en-US" w:eastAsia="zh-CN" w:bidi="ar-SA"/>
        </w:rPr>
        <w:t>2、资金管理：严格按合同付款，</w:t>
      </w:r>
      <w:r>
        <w:rPr>
          <w:rFonts w:hint="eastAsia" w:ascii="仿宋_GB2312" w:hAnsi="宋体" w:eastAsia="仿宋_GB2312" w:cs="宋体"/>
          <w:kern w:val="0"/>
          <w:sz w:val="30"/>
          <w:szCs w:val="30"/>
        </w:rPr>
        <w:t>支出依据合规，</w:t>
      </w:r>
      <w:r>
        <w:rPr>
          <w:rFonts w:hint="eastAsia" w:ascii="仿宋_GB2312" w:hAnsi="宋体" w:eastAsia="仿宋_GB2312" w:cs="宋体"/>
          <w:kern w:val="0"/>
          <w:sz w:val="30"/>
          <w:szCs w:val="30"/>
          <w:lang w:eastAsia="zh-CN"/>
        </w:rPr>
        <w:t>不</w:t>
      </w:r>
      <w:r>
        <w:rPr>
          <w:rFonts w:hint="eastAsia" w:ascii="仿宋_GB2312" w:hAnsi="宋体" w:eastAsia="仿宋_GB2312" w:cs="宋体"/>
          <w:kern w:val="0"/>
          <w:sz w:val="30"/>
          <w:szCs w:val="30"/>
        </w:rPr>
        <w:t>虚列项目支出；</w:t>
      </w:r>
      <w:r>
        <w:rPr>
          <w:rFonts w:hint="eastAsia" w:ascii="仿宋_GB2312" w:hAnsi="宋体" w:eastAsia="仿宋_GB2312" w:cs="宋体"/>
          <w:kern w:val="0"/>
          <w:sz w:val="30"/>
          <w:szCs w:val="30"/>
          <w:lang w:eastAsia="zh-CN"/>
        </w:rPr>
        <w:t>不</w:t>
      </w:r>
      <w:r>
        <w:rPr>
          <w:rFonts w:hint="eastAsia" w:ascii="仿宋_GB2312" w:hAnsi="宋体" w:eastAsia="仿宋_GB2312" w:cs="宋体"/>
          <w:kern w:val="0"/>
          <w:sz w:val="30"/>
          <w:szCs w:val="30"/>
        </w:rPr>
        <w:t>截留挤占挪用；</w:t>
      </w:r>
      <w:r>
        <w:rPr>
          <w:rFonts w:hint="eastAsia" w:ascii="仿宋_GB2312" w:hAnsi="宋体" w:eastAsia="仿宋_GB2312" w:cs="宋体"/>
          <w:kern w:val="0"/>
          <w:sz w:val="30"/>
          <w:szCs w:val="30"/>
          <w:lang w:eastAsia="zh-CN"/>
        </w:rPr>
        <w:t>不</w:t>
      </w:r>
      <w:r>
        <w:rPr>
          <w:rFonts w:hint="eastAsia" w:ascii="仿宋_GB2312" w:hAnsi="宋体" w:eastAsia="仿宋_GB2312" w:cs="宋体"/>
          <w:kern w:val="0"/>
          <w:sz w:val="30"/>
          <w:szCs w:val="30"/>
        </w:rPr>
        <w:t>超标准开支；</w:t>
      </w:r>
      <w:r>
        <w:rPr>
          <w:rFonts w:hint="eastAsia" w:ascii="仿宋_GB2312" w:hAnsi="宋体" w:eastAsia="仿宋_GB2312" w:cs="宋体"/>
          <w:kern w:val="0"/>
          <w:sz w:val="30"/>
          <w:szCs w:val="30"/>
          <w:lang w:eastAsia="zh-CN"/>
        </w:rPr>
        <w:t>不</w:t>
      </w:r>
      <w:r>
        <w:rPr>
          <w:rFonts w:hint="eastAsia" w:ascii="仿宋_GB2312" w:hAnsi="宋体" w:eastAsia="仿宋_GB2312" w:cs="宋体"/>
          <w:kern w:val="0"/>
          <w:sz w:val="30"/>
          <w:szCs w:val="30"/>
        </w:rPr>
        <w:t>超预算</w:t>
      </w:r>
      <w:r>
        <w:rPr>
          <w:rFonts w:hint="eastAsia" w:ascii="仿宋_GB2312" w:hAnsi="宋体" w:eastAsia="仿宋_GB2312" w:cs="宋体"/>
          <w:kern w:val="0"/>
          <w:sz w:val="30"/>
          <w:szCs w:val="30"/>
          <w:lang w:eastAsia="zh-CN"/>
        </w:rPr>
        <w:t>。</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p>
      <w:pPr>
        <w:keepNext w:val="0"/>
        <w:keepLines w:val="0"/>
        <w:pageBreakBefore w:val="0"/>
        <w:widowControl/>
        <w:kinsoku/>
        <w:wordWrap/>
        <w:overflowPunct/>
        <w:topLinePunct w:val="0"/>
        <w:autoSpaceDE/>
        <w:autoSpaceDN/>
        <w:bidi w:val="0"/>
        <w:adjustRightInd/>
        <w:snapToGrid/>
        <w:spacing w:line="610" w:lineRule="exact"/>
        <w:ind w:firstLine="960" w:firstLineChars="300"/>
        <w:jc w:val="both"/>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无</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CB112C-B438-4143-8D5D-D13CC8BAEDD7}"/>
  </w:font>
  <w:font w:name="Arial">
    <w:panose1 w:val="020B0604020202020204"/>
    <w:charset w:val="01"/>
    <w:family w:val="swiss"/>
    <w:pitch w:val="default"/>
    <w:sig w:usb0="E0002AFF" w:usb1="C0007843" w:usb2="00000009" w:usb3="00000000" w:csb0="400001FF" w:csb1="FFFF0000"/>
    <w:embedRegular r:id="rId2" w:fontKey="{99BBF0F8-A004-4EA4-B341-3EE136F1F152}"/>
  </w:font>
  <w:font w:name="黑体">
    <w:panose1 w:val="02010609060101010101"/>
    <w:charset w:val="86"/>
    <w:family w:val="auto"/>
    <w:pitch w:val="default"/>
    <w:sig w:usb0="800002BF" w:usb1="38CF7CFA" w:usb2="00000016" w:usb3="00000000" w:csb0="00040001" w:csb1="00000000"/>
    <w:embedRegular r:id="rId3" w:fontKey="{F3255879-A119-48D2-A821-CBB8763FCE3C}"/>
  </w:font>
  <w:font w:name="Courier New">
    <w:panose1 w:val="02070309020205020404"/>
    <w:charset w:val="01"/>
    <w:family w:val="modern"/>
    <w:pitch w:val="default"/>
    <w:sig w:usb0="E0002AFF" w:usb1="C0007843" w:usb2="00000009" w:usb3="00000000" w:csb0="400001FF" w:csb1="FFFF0000"/>
    <w:embedRegular r:id="rId4" w:fontKey="{2AA4E6B5-A5FF-43B7-8E8C-532B2CC1A660}"/>
  </w:font>
  <w:font w:name="Symbol">
    <w:panose1 w:val="05050102010706020507"/>
    <w:charset w:val="02"/>
    <w:family w:val="roman"/>
    <w:pitch w:val="default"/>
    <w:sig w:usb0="00000000" w:usb1="00000000" w:usb2="00000000" w:usb3="00000000" w:csb0="80000000" w:csb1="00000000"/>
    <w:embedRegular r:id="rId5" w:fontKey="{D2CEA5C2-8C9D-412E-B5A2-D1EEC944975D}"/>
  </w:font>
  <w:font w:name="Calibri">
    <w:panose1 w:val="020F0502020204030204"/>
    <w:charset w:val="00"/>
    <w:family w:val="swiss"/>
    <w:pitch w:val="default"/>
    <w:sig w:usb0="E00002FF" w:usb1="4000ACFF" w:usb2="00000001" w:usb3="00000000" w:csb0="2000019F" w:csb1="00000000"/>
    <w:embedRegular r:id="rId6" w:fontKey="{E2453FB9-F936-466C-8DC6-9856D99A8D80}"/>
  </w:font>
  <w:font w:name="方正小标宋简体">
    <w:altName w:val="仿宋_GB2312"/>
    <w:panose1 w:val="02010601030101010101"/>
    <w:charset w:val="86"/>
    <w:family w:val="auto"/>
    <w:pitch w:val="default"/>
    <w:sig w:usb0="00000000" w:usb1="00000000" w:usb2="00000000" w:usb3="00000000" w:csb0="00040000" w:csb1="00000000"/>
    <w:embedRegular r:id="rId7" w:fontKey="{E8D2C2DF-EDEE-4200-815D-8EADFB9FDF0F}"/>
  </w:font>
  <w:font w:name="新宋体">
    <w:panose1 w:val="02010609030101010101"/>
    <w:charset w:val="86"/>
    <w:family w:val="auto"/>
    <w:pitch w:val="default"/>
    <w:sig w:usb0="00000003" w:usb1="288F0000" w:usb2="00000006" w:usb3="00000000" w:csb0="00040001" w:csb1="00000000"/>
    <w:embedRegular r:id="rId8" w:fontKey="{5381044B-4BE7-4C45-BCC6-0155728EB783}"/>
  </w:font>
  <w:font w:name="仿宋_GB2312">
    <w:panose1 w:val="02010609030101010101"/>
    <w:charset w:val="86"/>
    <w:family w:val="auto"/>
    <w:pitch w:val="default"/>
    <w:sig w:usb0="00000001" w:usb1="080E0000" w:usb2="00000000" w:usb3="00000000" w:csb0="00040000" w:csb1="00000000"/>
    <w:embedRegular r:id="rId9" w:fontKey="{E60A1465-4A5A-4E77-BEC1-68796A23B4D4}"/>
  </w:font>
  <w:font w:name="方正小标宋_GBK">
    <w:panose1 w:val="03000509000000000000"/>
    <w:charset w:val="86"/>
    <w:family w:val="script"/>
    <w:pitch w:val="default"/>
    <w:sig w:usb0="00000001" w:usb1="080E0000" w:usb2="00000000" w:usb3="00000000" w:csb0="00040000" w:csb1="00000000"/>
    <w:embedRegular r:id="rId10" w:fontKey="{DFEF7C11-8C85-4BC5-ACEB-D5F6F17019A9}"/>
  </w:font>
  <w:font w:name="楷体_GB2312">
    <w:panose1 w:val="02010609030101010101"/>
    <w:charset w:val="86"/>
    <w:family w:val="auto"/>
    <w:pitch w:val="default"/>
    <w:sig w:usb0="00000001" w:usb1="080E0000" w:usb2="00000000" w:usb3="00000000" w:csb0="00040000" w:csb1="00000000"/>
    <w:embedRegular r:id="rId11" w:fontKey="{BBC9F68A-5315-40D9-B654-C9C178C51F8E}"/>
  </w:font>
  <w:font w:name="楷体">
    <w:panose1 w:val="02010609060101010101"/>
    <w:charset w:val="86"/>
    <w:family w:val="auto"/>
    <w:pitch w:val="default"/>
    <w:sig w:usb0="800002BF" w:usb1="38CF7CFA" w:usb2="00000016" w:usb3="00000000" w:csb0="00040001" w:csb1="00000000"/>
    <w:embedRegular r:id="rId12" w:fontKey="{F6F4C1C1-69C7-43D4-8F2A-43A479DA0A91}"/>
  </w:font>
  <w:font w:name="华文仿宋">
    <w:panose1 w:val="02010600040101010101"/>
    <w:charset w:val="86"/>
    <w:family w:val="auto"/>
    <w:pitch w:val="default"/>
    <w:sig w:usb0="00000287" w:usb1="080F0000" w:usb2="00000000" w:usb3="00000000" w:csb0="0004009F" w:csb1="DFD70000"/>
    <w:embedRegular r:id="rId13" w:fontKey="{F3DF8134-4BB8-4A9D-8618-16D126F7A7DE}"/>
  </w:font>
  <w:font w:name="仿宋">
    <w:panose1 w:val="02010609060101010101"/>
    <w:charset w:val="86"/>
    <w:family w:val="auto"/>
    <w:pitch w:val="default"/>
    <w:sig w:usb0="800002BF" w:usb1="38CF7CFA" w:usb2="00000016" w:usb3="00000000" w:csb0="00040001" w:csb1="00000000"/>
    <w:embedRegular r:id="rId14" w:fontKey="{013C2345-98D1-4987-8C82-D8C05F6C5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2F4F8"/>
    <w:multiLevelType w:val="singleLevel"/>
    <w:tmpl w:val="9412F4F8"/>
    <w:lvl w:ilvl="0" w:tentative="0">
      <w:start w:val="2"/>
      <w:numFmt w:val="chineseCounting"/>
      <w:lvlText w:val="(%1)"/>
      <w:lvlJc w:val="left"/>
      <w:pPr>
        <w:tabs>
          <w:tab w:val="left" w:pos="312"/>
        </w:tabs>
      </w:pPr>
      <w:rPr>
        <w:rFonts w:hint="eastAsia"/>
      </w:rPr>
    </w:lvl>
  </w:abstractNum>
  <w:abstractNum w:abstractNumId="1">
    <w:nsid w:val="DD94F1EC"/>
    <w:multiLevelType w:val="singleLevel"/>
    <w:tmpl w:val="DD94F1EC"/>
    <w:lvl w:ilvl="0" w:tentative="0">
      <w:start w:val="1"/>
      <w:numFmt w:val="decimal"/>
      <w:suff w:val="nothing"/>
      <w:lvlText w:val="%1、"/>
      <w:lvlJc w:val="left"/>
    </w:lvl>
  </w:abstractNum>
  <w:abstractNum w:abstractNumId="2">
    <w:nsid w:val="DF80B755"/>
    <w:multiLevelType w:val="singleLevel"/>
    <w:tmpl w:val="DF80B755"/>
    <w:lvl w:ilvl="0" w:tentative="0">
      <w:start w:val="3"/>
      <w:numFmt w:val="chineseCounting"/>
      <w:suff w:val="nothing"/>
      <w:lvlText w:val="%1、"/>
      <w:lvlJc w:val="left"/>
      <w:rPr>
        <w:rFonts w:hint="eastAsia"/>
      </w:rPr>
    </w:lvl>
  </w:abstractNum>
  <w:abstractNum w:abstractNumId="3">
    <w:nsid w:val="09C38408"/>
    <w:multiLevelType w:val="singleLevel"/>
    <w:tmpl w:val="09C38408"/>
    <w:lvl w:ilvl="0" w:tentative="0">
      <w:start w:val="1"/>
      <w:numFmt w:val="decimal"/>
      <w:lvlText w:val="%1."/>
      <w:lvlJc w:val="left"/>
      <w:pPr>
        <w:tabs>
          <w:tab w:val="left" w:pos="312"/>
        </w:tabs>
      </w:pPr>
    </w:lvl>
  </w:abstractNum>
  <w:abstractNum w:abstractNumId="4">
    <w:nsid w:val="25CEB631"/>
    <w:multiLevelType w:val="singleLevel"/>
    <w:tmpl w:val="25CEB631"/>
    <w:lvl w:ilvl="0" w:tentative="0">
      <w:start w:val="1"/>
      <w:numFmt w:val="chineseCounting"/>
      <w:suff w:val="nothing"/>
      <w:lvlText w:val="%1、"/>
      <w:lvlJc w:val="left"/>
      <w:rPr>
        <w:rFonts w:hint="eastAsia"/>
      </w:rPr>
    </w:lvl>
  </w:abstractNum>
  <w:abstractNum w:abstractNumId="5">
    <w:nsid w:val="718EFDD0"/>
    <w:multiLevelType w:val="singleLevel"/>
    <w:tmpl w:val="718EFDD0"/>
    <w:lvl w:ilvl="0" w:tentative="0">
      <w:start w:val="1"/>
      <w:numFmt w:val="chineseCounting"/>
      <w:lvlText w:val="(%1)"/>
      <w:lvlJc w:val="left"/>
      <w:pPr>
        <w:tabs>
          <w:tab w:val="left" w:pos="312"/>
        </w:tabs>
      </w:pPr>
      <w:rPr>
        <w:rFonts w:hint="eastAsia"/>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wY2I2MWMyZjIzOThiNzlmZjZkNzUzYjQwYWI4MjIifQ=="/>
  </w:docVars>
  <w:rsids>
    <w:rsidRoot w:val="0CCB7736"/>
    <w:rsid w:val="00047FEF"/>
    <w:rsid w:val="000A3906"/>
    <w:rsid w:val="001776F1"/>
    <w:rsid w:val="006F0A16"/>
    <w:rsid w:val="00773328"/>
    <w:rsid w:val="00821883"/>
    <w:rsid w:val="00917857"/>
    <w:rsid w:val="00A755C2"/>
    <w:rsid w:val="016A347B"/>
    <w:rsid w:val="01787C30"/>
    <w:rsid w:val="024504DC"/>
    <w:rsid w:val="025802B1"/>
    <w:rsid w:val="02B50488"/>
    <w:rsid w:val="0338470A"/>
    <w:rsid w:val="034822A9"/>
    <w:rsid w:val="03D86621"/>
    <w:rsid w:val="04EE6171"/>
    <w:rsid w:val="05395EA9"/>
    <w:rsid w:val="05D14557"/>
    <w:rsid w:val="07F13FAE"/>
    <w:rsid w:val="08295563"/>
    <w:rsid w:val="0ABD557B"/>
    <w:rsid w:val="0BBB5A8D"/>
    <w:rsid w:val="0C104906"/>
    <w:rsid w:val="0C3C43DB"/>
    <w:rsid w:val="0CCB7736"/>
    <w:rsid w:val="0D9E0E8D"/>
    <w:rsid w:val="0EAB7397"/>
    <w:rsid w:val="0EF755B3"/>
    <w:rsid w:val="0F17035E"/>
    <w:rsid w:val="0F3C44F9"/>
    <w:rsid w:val="0F4E168D"/>
    <w:rsid w:val="0FCE07E7"/>
    <w:rsid w:val="11404466"/>
    <w:rsid w:val="116C255F"/>
    <w:rsid w:val="11963ADD"/>
    <w:rsid w:val="11EB0F5C"/>
    <w:rsid w:val="11F20483"/>
    <w:rsid w:val="129710D5"/>
    <w:rsid w:val="136F31F8"/>
    <w:rsid w:val="138750E0"/>
    <w:rsid w:val="149A3C1F"/>
    <w:rsid w:val="158C165B"/>
    <w:rsid w:val="15A620D3"/>
    <w:rsid w:val="15DE4303"/>
    <w:rsid w:val="16A3369E"/>
    <w:rsid w:val="178536BD"/>
    <w:rsid w:val="19516372"/>
    <w:rsid w:val="19575CC2"/>
    <w:rsid w:val="1968518A"/>
    <w:rsid w:val="19A80228"/>
    <w:rsid w:val="1A101464"/>
    <w:rsid w:val="1AB74849"/>
    <w:rsid w:val="1AC52FF2"/>
    <w:rsid w:val="1AE6175D"/>
    <w:rsid w:val="1B2863F0"/>
    <w:rsid w:val="1B742AA7"/>
    <w:rsid w:val="1B9413C8"/>
    <w:rsid w:val="1CA34935"/>
    <w:rsid w:val="1D5A640E"/>
    <w:rsid w:val="1D7E0C83"/>
    <w:rsid w:val="1DB7292E"/>
    <w:rsid w:val="1EDD6BE3"/>
    <w:rsid w:val="1F7640EC"/>
    <w:rsid w:val="20005D65"/>
    <w:rsid w:val="20535782"/>
    <w:rsid w:val="20D76C5F"/>
    <w:rsid w:val="21057490"/>
    <w:rsid w:val="214A230E"/>
    <w:rsid w:val="21B052C4"/>
    <w:rsid w:val="21F030D1"/>
    <w:rsid w:val="2218073B"/>
    <w:rsid w:val="226D4BDE"/>
    <w:rsid w:val="22FF5445"/>
    <w:rsid w:val="238D0E57"/>
    <w:rsid w:val="24256710"/>
    <w:rsid w:val="245F009A"/>
    <w:rsid w:val="251E7983"/>
    <w:rsid w:val="25750BE1"/>
    <w:rsid w:val="260D5D83"/>
    <w:rsid w:val="284A2254"/>
    <w:rsid w:val="292F1467"/>
    <w:rsid w:val="29786927"/>
    <w:rsid w:val="297B51B4"/>
    <w:rsid w:val="29E40467"/>
    <w:rsid w:val="29F527E2"/>
    <w:rsid w:val="2BF35971"/>
    <w:rsid w:val="2C210A56"/>
    <w:rsid w:val="2C487650"/>
    <w:rsid w:val="2E4F43C0"/>
    <w:rsid w:val="2EC7368E"/>
    <w:rsid w:val="2EFF0FAA"/>
    <w:rsid w:val="2F6573B9"/>
    <w:rsid w:val="2F7B6523"/>
    <w:rsid w:val="30E31FB7"/>
    <w:rsid w:val="30FB4B41"/>
    <w:rsid w:val="31621165"/>
    <w:rsid w:val="3181717C"/>
    <w:rsid w:val="31F91B2E"/>
    <w:rsid w:val="323C5548"/>
    <w:rsid w:val="33150500"/>
    <w:rsid w:val="337E3D50"/>
    <w:rsid w:val="34052A0C"/>
    <w:rsid w:val="344E31C4"/>
    <w:rsid w:val="37450F88"/>
    <w:rsid w:val="37D6106F"/>
    <w:rsid w:val="37EF4D75"/>
    <w:rsid w:val="381B1E3E"/>
    <w:rsid w:val="38F862EB"/>
    <w:rsid w:val="39343807"/>
    <w:rsid w:val="39887BBC"/>
    <w:rsid w:val="39C91141"/>
    <w:rsid w:val="3A0D6176"/>
    <w:rsid w:val="3A53023B"/>
    <w:rsid w:val="3AF42D2D"/>
    <w:rsid w:val="3B097910"/>
    <w:rsid w:val="3B3A041F"/>
    <w:rsid w:val="3B4E1BB1"/>
    <w:rsid w:val="3BAE6BF9"/>
    <w:rsid w:val="3C721FC7"/>
    <w:rsid w:val="3CCA47F2"/>
    <w:rsid w:val="3CDE0708"/>
    <w:rsid w:val="3D5877DF"/>
    <w:rsid w:val="3DC55CAA"/>
    <w:rsid w:val="3DD556CA"/>
    <w:rsid w:val="3F450429"/>
    <w:rsid w:val="3FC96EB0"/>
    <w:rsid w:val="40226C80"/>
    <w:rsid w:val="40381A73"/>
    <w:rsid w:val="40C451A5"/>
    <w:rsid w:val="414B67C3"/>
    <w:rsid w:val="4156470B"/>
    <w:rsid w:val="41943ACE"/>
    <w:rsid w:val="425D4066"/>
    <w:rsid w:val="426D5F6E"/>
    <w:rsid w:val="43173FD4"/>
    <w:rsid w:val="44035E30"/>
    <w:rsid w:val="44143822"/>
    <w:rsid w:val="445F72D5"/>
    <w:rsid w:val="44654A12"/>
    <w:rsid w:val="457C5F26"/>
    <w:rsid w:val="45A02594"/>
    <w:rsid w:val="4605689B"/>
    <w:rsid w:val="475F1FDB"/>
    <w:rsid w:val="49CF255F"/>
    <w:rsid w:val="49E9073D"/>
    <w:rsid w:val="4B2C5DCD"/>
    <w:rsid w:val="4B7D1173"/>
    <w:rsid w:val="4BB11E0C"/>
    <w:rsid w:val="4C150E22"/>
    <w:rsid w:val="4C6A38FC"/>
    <w:rsid w:val="4CE74BC3"/>
    <w:rsid w:val="4CF5000E"/>
    <w:rsid w:val="4DB17672"/>
    <w:rsid w:val="50805F50"/>
    <w:rsid w:val="50AC44C4"/>
    <w:rsid w:val="50EA6DB9"/>
    <w:rsid w:val="51587E79"/>
    <w:rsid w:val="51CA7471"/>
    <w:rsid w:val="521C2FA3"/>
    <w:rsid w:val="522529B2"/>
    <w:rsid w:val="53910AF4"/>
    <w:rsid w:val="545E206C"/>
    <w:rsid w:val="54EF6649"/>
    <w:rsid w:val="555952B3"/>
    <w:rsid w:val="556B5A36"/>
    <w:rsid w:val="55AF40BB"/>
    <w:rsid w:val="56F72F7C"/>
    <w:rsid w:val="586243BF"/>
    <w:rsid w:val="58FD3402"/>
    <w:rsid w:val="5A305967"/>
    <w:rsid w:val="5A4C388A"/>
    <w:rsid w:val="5AAF7799"/>
    <w:rsid w:val="5B4256B7"/>
    <w:rsid w:val="5B5C1753"/>
    <w:rsid w:val="5BE82D82"/>
    <w:rsid w:val="5E134100"/>
    <w:rsid w:val="5F7A1C50"/>
    <w:rsid w:val="601C4AB5"/>
    <w:rsid w:val="60BE691E"/>
    <w:rsid w:val="61444403"/>
    <w:rsid w:val="6200400E"/>
    <w:rsid w:val="62265BDF"/>
    <w:rsid w:val="62E1699A"/>
    <w:rsid w:val="635B20F4"/>
    <w:rsid w:val="63BA086D"/>
    <w:rsid w:val="64147F0D"/>
    <w:rsid w:val="64216B3E"/>
    <w:rsid w:val="64606C20"/>
    <w:rsid w:val="64D66362"/>
    <w:rsid w:val="65860217"/>
    <w:rsid w:val="667E0AA1"/>
    <w:rsid w:val="66A95AA6"/>
    <w:rsid w:val="67550FD9"/>
    <w:rsid w:val="68311F66"/>
    <w:rsid w:val="68E15DF7"/>
    <w:rsid w:val="68FB17C3"/>
    <w:rsid w:val="695F12F9"/>
    <w:rsid w:val="69636C3A"/>
    <w:rsid w:val="69CF7B2C"/>
    <w:rsid w:val="6A0B0004"/>
    <w:rsid w:val="6ACC6E9F"/>
    <w:rsid w:val="6B3E7FD6"/>
    <w:rsid w:val="6B8A115B"/>
    <w:rsid w:val="6BA1010E"/>
    <w:rsid w:val="6C5C439A"/>
    <w:rsid w:val="6CE47E41"/>
    <w:rsid w:val="6CED5810"/>
    <w:rsid w:val="6CF92413"/>
    <w:rsid w:val="6DFE5E04"/>
    <w:rsid w:val="6E556CDB"/>
    <w:rsid w:val="6E87203D"/>
    <w:rsid w:val="6F9278BB"/>
    <w:rsid w:val="71572F19"/>
    <w:rsid w:val="719B7427"/>
    <w:rsid w:val="724A6793"/>
    <w:rsid w:val="72B41AE1"/>
    <w:rsid w:val="73532145"/>
    <w:rsid w:val="73835951"/>
    <w:rsid w:val="741F26FA"/>
    <w:rsid w:val="74470DF8"/>
    <w:rsid w:val="74A03F97"/>
    <w:rsid w:val="75FD1676"/>
    <w:rsid w:val="763430CB"/>
    <w:rsid w:val="771E7554"/>
    <w:rsid w:val="78306EF8"/>
    <w:rsid w:val="78A1455F"/>
    <w:rsid w:val="791E3361"/>
    <w:rsid w:val="79414B42"/>
    <w:rsid w:val="799536BA"/>
    <w:rsid w:val="7A1A0194"/>
    <w:rsid w:val="7A4F2DB3"/>
    <w:rsid w:val="7B170752"/>
    <w:rsid w:val="7B8F681B"/>
    <w:rsid w:val="7C0861C2"/>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qFormat/>
    <w:uiPriority w:val="99"/>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Footer Char"/>
    <w:basedOn w:val="9"/>
    <w:link w:val="4"/>
    <w:semiHidden/>
    <w:qFormat/>
    <w:uiPriority w:val="99"/>
    <w:rPr>
      <w:sz w:val="18"/>
      <w:szCs w:val="18"/>
    </w:rPr>
  </w:style>
  <w:style w:type="character" w:customStyle="1" w:styleId="12">
    <w:name w:val="Header Char"/>
    <w:basedOn w:val="9"/>
    <w:link w:val="5"/>
    <w:semiHidden/>
    <w:qFormat/>
    <w:uiPriority w:val="99"/>
    <w:rPr>
      <w:sz w:val="18"/>
      <w:szCs w:val="18"/>
    </w:rPr>
  </w:style>
  <w:style w:type="paragraph" w:styleId="13">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16</Pages>
  <Words>6444</Words>
  <Characters>7072</Characters>
  <Lines>0</Lines>
  <Paragraphs>0</Paragraphs>
  <TotalTime>34</TotalTime>
  <ScaleCrop>false</ScaleCrop>
  <LinksUpToDate>false</LinksUpToDate>
  <CharactersWithSpaces>7238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杨丽</cp:lastModifiedBy>
  <cp:lastPrinted>2023-07-16T23:50:00Z</cp:lastPrinted>
  <dcterms:modified xsi:type="dcterms:W3CDTF">2023-07-17T00:41:57Z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