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both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174.32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218.71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0.50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3.XX项目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付又兰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2023.7.6</w:t>
      </w:r>
      <w:r>
        <w:rPr>
          <w:rFonts w:hint="default" w:ascii="Times New Roman" w:hAnsi="Times New Roman" w:eastAsia="仿宋_GB2312" w:cs="Times New Roman"/>
          <w:sz w:val="22"/>
        </w:rPr>
        <w:t xml:space="preserve">   联系电话：</w:t>
      </w:r>
      <w:r>
        <w:rPr>
          <w:rFonts w:hint="eastAsia" w:eastAsia="仿宋_GB2312" w:cs="Times New Roman"/>
          <w:sz w:val="22"/>
          <w:lang w:val="en-US" w:eastAsia="zh-CN"/>
        </w:rPr>
        <w:t>15700828555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874"/>
        <w:gridCol w:w="869"/>
        <w:gridCol w:w="1054"/>
        <w:gridCol w:w="1108"/>
        <w:gridCol w:w="1088"/>
        <w:gridCol w:w="588"/>
        <w:gridCol w:w="1017"/>
        <w:gridCol w:w="15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0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华容县文化市场综合执法大队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9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139.00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218.71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230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890" w:firstLineChars="9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218.71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日常巡查次数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1000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1150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案件办结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网吧未成年人减少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暑假网吧检查发现未成年人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2022年年底前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财政补助收入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218.71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三公经费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0.48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节能减支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工资增加预算增加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丰富文化生活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疫情影响文化活动减少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文化生活环境改善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疫情影响文化活动减少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bookmarkStart w:id="0" w:name="_GoBack"/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bookmarkEnd w:id="0"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群众满意度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网吧未成年人管理要加强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9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7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91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6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付又兰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2023.7.6</w:t>
      </w:r>
      <w:r>
        <w:rPr>
          <w:rFonts w:hint="default" w:ascii="Times New Roman" w:hAnsi="Times New Roman" w:eastAsia="仿宋_GB2312" w:cs="Times New Roman"/>
          <w:sz w:val="22"/>
        </w:rPr>
        <w:t xml:space="preserve">   联系电话：</w:t>
      </w:r>
      <w:r>
        <w:rPr>
          <w:rFonts w:hint="eastAsia" w:eastAsia="仿宋_GB2312" w:cs="Times New Roman"/>
          <w:sz w:val="22"/>
          <w:lang w:val="en-US" w:eastAsia="zh-CN"/>
        </w:rPr>
        <w:t>15700828555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华容县文化市场综合执法大队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 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华容县文化市场综合执法大队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pStyle w:val="6"/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2022年本单位有内设4个机构，由综合办公室、执法一中队、执法二中队、执法三中队组成。编制19人，在职在编14人。</w:t>
      </w:r>
    </w:p>
    <w:p>
      <w:pPr>
        <w:spacing w:line="486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 本单位</w:t>
      </w:r>
      <w:r>
        <w:rPr>
          <w:rFonts w:hint="eastAsia" w:ascii="宋体" w:hAnsi="宋体" w:cs="Times New Roman"/>
          <w:color w:val="000000"/>
          <w:kern w:val="0"/>
          <w:sz w:val="28"/>
          <w:szCs w:val="24"/>
          <w:highlight w:val="white"/>
          <w:lang w:val="en-US"/>
        </w:rPr>
        <w:t>贯</w:t>
      </w:r>
      <w:r>
        <w:rPr>
          <w:rFonts w:hint="eastAsia" w:ascii="仿宋" w:hAnsi="仿宋" w:eastAsia="仿宋" w:cs="仿宋"/>
          <w:sz w:val="32"/>
          <w:szCs w:val="32"/>
          <w:lang w:val="en-US"/>
        </w:rPr>
        <w:t>彻执行国家文化旅游法律法规，负责查处演出、娱乐、互联网上网服务营业场所、信息网络文化、广播电视活动、艺术品经营展览、艺术培训、印刷复制、图书报刊、新闻采编、音响制品、非物质文化遗产保护、公共服务保障等活动中的违法行为，负责对辖区内经管场所从业人员进行管理教育培训，负责对文化行政执法人员业务培训、考核评比，负责受理文化市场违法行为的投诉、举报，承担“扫黄打非”的工作任务等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rPr>
          <w:rFonts w:hint="default"/>
          <w:lang w:val="en-US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3" w:firstLineChars="200"/>
        <w:rPr>
          <w:rFonts w:hint="eastAsia" w:ascii="楷体" w:hAnsi="楷体" w:eastAsia="楷体" w:cs="仿宋"/>
          <w:b/>
          <w:bCs/>
          <w:sz w:val="32"/>
          <w:szCs w:val="32"/>
        </w:rPr>
      </w:pPr>
      <w:r>
        <w:rPr>
          <w:rFonts w:hint="eastAsia" w:ascii="楷体" w:hAnsi="楷体" w:eastAsia="楷体" w:cs="仿宋"/>
          <w:b/>
          <w:bCs/>
          <w:sz w:val="32"/>
          <w:szCs w:val="32"/>
        </w:rPr>
        <w:t>（一）基本支出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收入情况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年预算总收入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218.71</w:t>
      </w:r>
      <w:r>
        <w:rPr>
          <w:rFonts w:hint="eastAsia" w:ascii="仿宋" w:hAnsi="仿宋" w:eastAsia="仿宋" w:cs="仿宋"/>
          <w:sz w:val="32"/>
          <w:szCs w:val="32"/>
        </w:rPr>
        <w:t>万元。其中：经费拨款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218.71</w:t>
      </w:r>
      <w:r>
        <w:rPr>
          <w:rFonts w:hint="eastAsia" w:ascii="仿宋" w:hAnsi="仿宋" w:eastAsia="仿宋" w:cs="仿宋"/>
          <w:sz w:val="32"/>
          <w:szCs w:val="32"/>
        </w:rPr>
        <w:t>万元。预算总支出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218.71</w:t>
      </w:r>
      <w:r>
        <w:rPr>
          <w:rFonts w:hint="eastAsia" w:ascii="仿宋" w:hAnsi="仿宋" w:eastAsia="仿宋" w:cs="仿宋"/>
          <w:sz w:val="32"/>
          <w:szCs w:val="32"/>
        </w:rPr>
        <w:t>万元。预算收支平衡。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支出情况</w:t>
      </w:r>
      <w:r>
        <w:rPr>
          <w:rFonts w:hint="eastAsia" w:ascii="仿宋" w:hAnsi="仿宋" w:eastAsia="仿宋" w:cs="仿宋"/>
          <w:sz w:val="32"/>
          <w:szCs w:val="32"/>
        </w:rPr>
        <w:t>：2021年预算总支出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218.71</w:t>
      </w:r>
      <w:r>
        <w:rPr>
          <w:rFonts w:hint="eastAsia" w:ascii="仿宋" w:hAnsi="仿宋" w:eastAsia="仿宋" w:cs="仿宋"/>
          <w:sz w:val="32"/>
          <w:szCs w:val="32"/>
        </w:rPr>
        <w:t>万元。其中：工资福利支出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142.32</w:t>
      </w:r>
      <w:r>
        <w:rPr>
          <w:rFonts w:hint="eastAsia" w:ascii="仿宋" w:hAnsi="仿宋" w:eastAsia="仿宋" w:cs="仿宋"/>
          <w:sz w:val="32"/>
          <w:szCs w:val="32"/>
        </w:rPr>
        <w:t>万元，一般商品和服务支出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32.01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“三公经费”支出情况分析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年“三公经费”实际开支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0.48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其中公务接待费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0.48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固定资产管理情况分析</w:t>
      </w:r>
      <w:r>
        <w:rPr>
          <w:rFonts w:hint="eastAsia" w:ascii="仿宋" w:hAnsi="仿宋" w:eastAsia="仿宋" w:cs="仿宋"/>
          <w:sz w:val="32"/>
          <w:szCs w:val="32"/>
        </w:rPr>
        <w:t>：按照例行节约，物尽其用的原则，文化广电新闻出版旅游系统资产管理采取统一建账，统一核算管理，对每件固定资产使用明确保管职责，闲置的资产，由办公室统一调整，合理流动，发挥其效益；至202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年12月有固定资产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7.04</w:t>
      </w:r>
      <w:r>
        <w:rPr>
          <w:rFonts w:hint="eastAsia" w:ascii="仿宋" w:hAnsi="仿宋" w:eastAsia="仿宋" w:cs="仿宋"/>
          <w:sz w:val="32"/>
          <w:szCs w:val="32"/>
        </w:rPr>
        <w:t>万元，全部在用，保证了资产的安全高效，防止资产流失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 w:firstLine="320" w:firstLineChars="1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spacing w:line="470" w:lineRule="exact"/>
        <w:ind w:firstLine="643" w:firstLineChars="200"/>
        <w:rPr>
          <w:rFonts w:hint="eastAsia" w:ascii="楷体" w:hAnsi="楷体" w:eastAsia="楷体" w:cs="??_GB2312"/>
          <w:b/>
          <w:sz w:val="32"/>
          <w:szCs w:val="32"/>
        </w:rPr>
      </w:pPr>
      <w:r>
        <w:rPr>
          <w:rFonts w:hint="eastAsia" w:ascii="楷体" w:hAnsi="楷体" w:eastAsia="楷体" w:cs="??_GB2312"/>
          <w:b/>
          <w:sz w:val="32"/>
          <w:szCs w:val="32"/>
        </w:rPr>
        <w:t>文旅广电市场监管得到新提升：</w:t>
      </w:r>
    </w:p>
    <w:p>
      <w:pPr>
        <w:spacing w:line="470" w:lineRule="exact"/>
        <w:ind w:firstLine="643" w:firstLineChars="20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一是突出问题专项整治。</w:t>
      </w:r>
    </w:p>
    <w:p>
      <w:pPr>
        <w:spacing w:line="470" w:lineRule="exact"/>
        <w:ind w:firstLine="640" w:firstLineChars="200"/>
        <w:rPr>
          <w:rFonts w:hint="eastAsia"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针对学校及周边文化市场重点区域，非法旅游车辆运营、非法卫星电视接收设施、娱乐场所无证经营等突出问题开展集中整治。</w:t>
      </w:r>
    </w:p>
    <w:p>
      <w:pPr>
        <w:spacing w:line="470" w:lineRule="exact"/>
        <w:ind w:firstLine="643" w:firstLineChars="200"/>
        <w:rPr>
          <w:rFonts w:hint="eastAsia"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  <w:szCs w:val="32"/>
        </w:rPr>
        <w:t>二是扫</w:t>
      </w:r>
      <w:r>
        <w:rPr>
          <w:rFonts w:hint="eastAsia" w:ascii="仿宋" w:hAnsi="仿宋" w:eastAsia="仿宋"/>
          <w:b/>
          <w:sz w:val="32"/>
        </w:rPr>
        <w:t>黄打非方面。</w:t>
      </w:r>
    </w:p>
    <w:p>
      <w:pPr>
        <w:spacing w:line="470" w:lineRule="exact"/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2022年共办结案件11件，其中网吧市场7件，出版版权1件，电子游艺1件，旅游市场2件。全年文化市场开展日常巡查1150余次。</w:t>
      </w:r>
    </w:p>
    <w:p>
      <w:pPr>
        <w:spacing w:line="47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存在的问题及原因分析</w:t>
      </w:r>
    </w:p>
    <w:p>
      <w:pPr>
        <w:spacing w:line="47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一是财务管理和财务规范有待进一步加强。在实施内部监督制度和内部控制制度时，还未能完全达到新《会计法》规定要求。需要进一步修订财务管理制度和各项财务规章制度，加强财务监督。 </w:t>
      </w:r>
    </w:p>
    <w:p>
      <w:pPr>
        <w:spacing w:line="47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二预算编制有待更严格执行。预算编制与实际支出项目有的存在差异。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下一步改进措施</w:t>
      </w:r>
    </w:p>
    <w:p>
      <w:pPr>
        <w:pStyle w:val="2"/>
        <w:numPr>
          <w:ilvl w:val="0"/>
          <w:numId w:val="0"/>
        </w:numPr>
        <w:ind w:leftChars="200"/>
        <w:rPr>
          <w:rFonts w:hint="default"/>
        </w:rPr>
      </w:pPr>
    </w:p>
    <w:p>
      <w:pPr>
        <w:spacing w:line="47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强化预算执行，提高预算完成率。严格按项目和进度执行预算，合理安排资金支出，增强预算执行的规范性和严肃性；完善项目责任制，业务科室为项目实施责任单位，应加强与财务部门的沟通协调和项目实施，定期做好预算执行分析，及时了解预算执行差异，合理调整、纠正预算执行偏差，加快预算的执行进度，减少存量资金，切实提高预算完成率及资金使用效益。</w:t>
      </w:r>
    </w:p>
    <w:p>
      <w:pPr>
        <w:spacing w:line="47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2.科学合理编制政府采购预算，强化政府采购预算执行，确保政府采购预算切合单位实际。</w:t>
      </w:r>
    </w:p>
    <w:p>
      <w:pPr>
        <w:spacing w:line="47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3.根据年初的绩效考核指标及预算绩效目标，扎实推进相关工作，确保考核指标及预算绩效目标按时、优质完成。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eastAsia="黑体"/>
          <w:lang w:eastAsia="zh-CN"/>
        </w:rPr>
      </w:pPr>
      <w:r>
        <w:rPr>
          <w:rFonts w:hint="eastAsia" w:eastAsia="黑体" w:cs="Times New Roman"/>
          <w:sz w:val="32"/>
          <w:szCs w:val="32"/>
          <w:lang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outlineLvl w:val="0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7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宋体" w:hAnsi="宋体" w:cs="宋体"/>
                <w:b/>
                <w:bCs/>
                <w:kern w:val="0"/>
                <w:sz w:val="24"/>
              </w:rPr>
            </w:pPr>
          </w:p>
        </w:tc>
      </w:tr>
    </w:tbl>
    <w:p>
      <w:pPr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/>
    <w:p>
      <w:pPr>
        <w:pStyle w:val="6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7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……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6"/>
        <w:rPr>
          <w:rFonts w:hint="eastAsia"/>
        </w:rPr>
      </w:pPr>
    </w:p>
    <w:p>
      <w:pPr>
        <w:rPr>
          <w:rFonts w:hint="eastAsia"/>
        </w:rPr>
      </w:pPr>
    </w:p>
    <w:p>
      <w:pPr>
        <w:jc w:val="left"/>
        <w:rPr>
          <w:rFonts w:hint="eastAsia" w:ascii="新宋体" w:hAnsi="新宋体" w:eastAsia="新宋体" w:cs="新宋体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</w:rPr>
        <w:t xml:space="preserve">填表人：   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填报日期： 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联系电话：   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      </w:t>
      </w:r>
      <w:r>
        <w:rPr>
          <w:rFonts w:hint="eastAsia" w:ascii="新宋体" w:hAnsi="新宋体" w:eastAsia="新宋体" w:cs="新宋体"/>
          <w:sz w:val="21"/>
          <w:szCs w:val="21"/>
        </w:rPr>
        <w:t xml:space="preserve"> 单位负责人签字：</w:t>
      </w:r>
    </w:p>
    <w:p>
      <w:pPr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年度××部门（单位）××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(一)项目概况。包括项目背景、主要内容及实施情况、资金投入和使用情况等。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(二)项目绩效目标。包括总体目标和阶段性目标。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(一)绩效评价目的、对象和范围。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(三)绩效评价工作过程。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三、综合评价情况及评价结论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(二)项目过程情况。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(三)项目产出情况。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(四)项目效益情况。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五、主要经验及做法、存在的问题及原因分析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F245C2-802B-4557-ABA5-BAE141CAC27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AD00B94-FABF-4E86-9FA8-EF59638EA9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F8DAC86-E553-4547-9B82-D2CA20841A6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DC5C1AB-76B8-40DA-AC34-A9DF61F542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E261854-BBE6-4763-8F5E-E6AEF531EC8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58766AB-A078-4CF5-9CF1-5F32447EB252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E008709B-373A-4D0C-AE00-5B07D792289F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7DA68E3E-8542-4752-9D64-0A44C87BEFD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02B3B06A-3C9A-42E5-B0D7-A7E7898407B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DD78660-52E3-41BD-9963-F0397207AFC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34BD3623-53DC-49BF-AC0C-FF042E5D9A1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0BB13782-611A-47B9-B081-FAC2953445D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A0102F6E-5305-473F-B742-DA6AE89A84FB}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99B409"/>
    <w:multiLevelType w:val="singleLevel"/>
    <w:tmpl w:val="8799B4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jNzMxMmQ4YzM1MTY4ZmQ0M2Y5ODdiNzM0NWQ2ODc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BFC7EE9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92F1467"/>
    <w:rsid w:val="29786927"/>
    <w:rsid w:val="297B51B4"/>
    <w:rsid w:val="29E40467"/>
    <w:rsid w:val="29F527E2"/>
    <w:rsid w:val="2BF35971"/>
    <w:rsid w:val="2BFD0193"/>
    <w:rsid w:val="2C487650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C67B06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7CF5E1A"/>
    <w:rsid w:val="586243BF"/>
    <w:rsid w:val="58FD3402"/>
    <w:rsid w:val="5AAF7799"/>
    <w:rsid w:val="5B5C1753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44703"/>
    <w:rsid w:val="68FB17C3"/>
    <w:rsid w:val="695F12F9"/>
    <w:rsid w:val="69636C3A"/>
    <w:rsid w:val="69CF7B2C"/>
    <w:rsid w:val="6A0B0004"/>
    <w:rsid w:val="6B9D73A2"/>
    <w:rsid w:val="6BA1010E"/>
    <w:rsid w:val="6CE47E41"/>
    <w:rsid w:val="6CED5810"/>
    <w:rsid w:val="6CF92413"/>
    <w:rsid w:val="6DFE5E04"/>
    <w:rsid w:val="6E87203D"/>
    <w:rsid w:val="6F9278BB"/>
    <w:rsid w:val="71572F19"/>
    <w:rsid w:val="719B7427"/>
    <w:rsid w:val="724A6793"/>
    <w:rsid w:val="741F26FA"/>
    <w:rsid w:val="74470DF8"/>
    <w:rsid w:val="7533756F"/>
    <w:rsid w:val="75FD1676"/>
    <w:rsid w:val="799536BA"/>
    <w:rsid w:val="7B170752"/>
    <w:rsid w:val="7B8F681B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hint="eastAsia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12</Pages>
  <Words>4238</Words>
  <Characters>4620</Characters>
  <Lines>0</Lines>
  <Paragraphs>0</Paragraphs>
  <TotalTime>2</TotalTime>
  <ScaleCrop>false</ScaleCrop>
  <LinksUpToDate>false</LinksUpToDate>
  <CharactersWithSpaces>4953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次第花开 </cp:lastModifiedBy>
  <cp:lastPrinted>2023-06-29T01:04:00Z</cp:lastPrinted>
  <dcterms:modified xsi:type="dcterms:W3CDTF">2023-07-13T04:35:10Z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DA7F01E5DCF64F43B42072055D02022C_13</vt:lpwstr>
  </property>
</Properties>
</file>