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 w:line="600" w:lineRule="exact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附件1</w:t>
      </w:r>
    </w:p>
    <w:p>
      <w:pPr>
        <w:spacing w:before="156" w:beforeLines="50" w:after="312" w:afterLines="100" w:line="600" w:lineRule="exact"/>
        <w:jc w:val="center"/>
        <w:rPr>
          <w:rFonts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2022年度部门整体支出绩效评价基础数据表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9"/>
        <w:gridCol w:w="1956"/>
        <w:gridCol w:w="2435"/>
        <w:gridCol w:w="167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财政供养人员情况（人）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2022年实际在职人数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123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116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94.31</w:t>
            </w: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经费控制情况（万元）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2022年预算数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2022年决算数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一、基本支出：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1558.73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1660.66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1659.57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其中：三公经费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</w:t>
            </w:r>
            <w:r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1.公务用车购置和维护经费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其中：公车购置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公车运行维护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2.出国经费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3.公务接待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0.97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二、项目支出：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84.53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159.85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159.85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学校校舍维修改造专项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84.53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159.85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159.85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把厉行节约工作纳入工作人员年度考核的内容；建立严格的自查自纠制度，及时制止浪费行为，对浪费现象严重的及时予以通报批评；严格预算支出管理，降低单位运行成本。</w:t>
            </w:r>
            <w:bookmarkStart w:id="0" w:name="_GoBack"/>
            <w:bookmarkEnd w:id="0"/>
          </w:p>
        </w:tc>
      </w:tr>
    </w:tbl>
    <w:p>
      <w:pPr>
        <w:widowControl/>
        <w:spacing w:line="400" w:lineRule="exact"/>
        <w:jc w:val="left"/>
        <w:rPr>
          <w:rFonts w:ascii="新宋体" w:hAnsi="新宋体" w:eastAsia="新宋体" w:cs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说明：以上数据均来源于部门决算报表，其中“基本支出”数据参照基本支出决算明细表（财决05-1表）；“三公经费”数据参照机构运行信息表（财决附03表）；“项目支出”数据参照项目支出决算明细表（财决05-2表）。</w:t>
      </w:r>
    </w:p>
    <w:p>
      <w:pPr>
        <w:widowControl/>
        <w:spacing w:line="400" w:lineRule="exact"/>
        <w:jc w:val="left"/>
        <w:rPr>
          <w:rFonts w:eastAsia="仿宋_GB2312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widowControl/>
        <w:spacing w:line="400" w:lineRule="exact"/>
        <w:jc w:val="left"/>
        <w:rPr>
          <w:rFonts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22"/>
          <w14:textFill>
            <w14:solidFill>
              <w14:schemeClr w14:val="tx1"/>
            </w14:solidFill>
          </w14:textFill>
        </w:rPr>
        <w:t>填表人：</w:t>
      </w:r>
      <w:r>
        <w:rPr>
          <w:rFonts w:hint="eastAsia" w:ascii="微软雅黑" w:hAnsi="微软雅黑" w:eastAsia="微软雅黑" w:cs="微软雅黑"/>
          <w:color w:val="000000" w:themeColor="text1"/>
          <w:sz w:val="22"/>
          <w14:textFill>
            <w14:solidFill>
              <w14:schemeClr w14:val="tx1"/>
            </w14:solidFill>
          </w14:textFill>
        </w:rPr>
        <w:t>刘科</w:t>
      </w:r>
      <w:r>
        <w:rPr>
          <w:rFonts w:eastAsia="仿宋_GB2312"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 填报日期：</w:t>
      </w:r>
      <w:r>
        <w:rPr>
          <w:rFonts w:hint="eastAsia" w:eastAsia="仿宋_GB2312"/>
          <w:color w:val="000000" w:themeColor="text1"/>
          <w:sz w:val="22"/>
          <w14:textFill>
            <w14:solidFill>
              <w14:schemeClr w14:val="tx1"/>
            </w14:solidFill>
          </w14:textFill>
        </w:rPr>
        <w:t>2023-07-10</w:t>
      </w:r>
      <w:r>
        <w:rPr>
          <w:rFonts w:eastAsia="仿宋_GB2312"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 联系电话：15080956243</w:t>
      </w:r>
      <w:r>
        <w:rPr>
          <w:rFonts w:hint="eastAsia" w:eastAsia="仿宋_GB2312"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仿宋_GB2312"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单位负责人签字：</w:t>
      </w:r>
      <w:r>
        <w:rPr>
          <w:rFonts w:eastAsia="仿宋_GB2312"/>
          <w:color w:val="000000" w:themeColor="text1"/>
          <w:sz w:val="22"/>
          <w14:textFill>
            <w14:solidFill>
              <w14:schemeClr w14:val="tx1"/>
            </w14:solidFill>
          </w14:textFill>
        </w:rPr>
        <w:br w:type="page"/>
      </w:r>
      <w:r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</w:p>
    <w:p>
      <w:pPr>
        <w:spacing w:before="156" w:beforeLines="50" w:after="312" w:afterLines="100" w:line="600" w:lineRule="exact"/>
        <w:jc w:val="center"/>
        <w:rPr>
          <w:rFonts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2022年度部门整体支出绩效自评表</w:t>
      </w:r>
    </w:p>
    <w:tbl>
      <w:tblPr>
        <w:tblStyle w:val="6"/>
        <w:tblW w:w="502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0"/>
        <w:gridCol w:w="870"/>
        <w:gridCol w:w="881"/>
        <w:gridCol w:w="1055"/>
        <w:gridCol w:w="1115"/>
        <w:gridCol w:w="1128"/>
        <w:gridCol w:w="590"/>
        <w:gridCol w:w="1018"/>
        <w:gridCol w:w="158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县级预算部门名称</w:t>
            </w:r>
          </w:p>
        </w:tc>
        <w:tc>
          <w:tcPr>
            <w:tcW w:w="4416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华容县马鞍山实验学校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预算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申请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年初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预算数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全年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预算数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全年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执行率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年度资金总额</w:t>
            </w: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1247.93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1820.51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新宋体" w:hAnsi="新宋体" w:eastAsia="新宋体" w:cs="新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1819.42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0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新宋体" w:hAnsi="新宋体" w:eastAsia="新宋体" w:cs="新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按收入性质分：</w:t>
            </w: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1819.42</w:t>
            </w:r>
          </w:p>
        </w:tc>
        <w:tc>
          <w:tcPr>
            <w:tcW w:w="231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按支出性质分：1</w:t>
            </w:r>
            <w:r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819.42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0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其中：  一般公共预算：</w:t>
            </w:r>
            <w:r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1531.34</w:t>
            </w:r>
          </w:p>
        </w:tc>
        <w:tc>
          <w:tcPr>
            <w:tcW w:w="231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其中：基本支出：</w:t>
            </w:r>
            <w:r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1659.57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0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ind w:firstLine="630" w:firstLineChars="300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政府性基金拨款：0</w:t>
            </w:r>
          </w:p>
        </w:tc>
        <w:tc>
          <w:tcPr>
            <w:tcW w:w="231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ind w:firstLine="630" w:firstLineChars="300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项目支出：</w:t>
            </w:r>
            <w:r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159.85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0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新宋体" w:hAnsi="新宋体" w:eastAsia="新宋体" w:cs="新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288.07</w:t>
            </w:r>
          </w:p>
        </w:tc>
        <w:tc>
          <w:tcPr>
            <w:tcW w:w="231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0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ind w:firstLine="1260" w:firstLineChars="600"/>
              <w:jc w:val="left"/>
              <w:rPr>
                <w:rFonts w:hint="eastAsia" w:ascii="新宋体" w:hAnsi="新宋体" w:eastAsia="新宋体" w:cs="新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其他资金：</w:t>
            </w: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31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总体目标</w:t>
            </w:r>
          </w:p>
        </w:tc>
        <w:tc>
          <w:tcPr>
            <w:tcW w:w="210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预期目标</w:t>
            </w:r>
          </w:p>
        </w:tc>
        <w:tc>
          <w:tcPr>
            <w:tcW w:w="2315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0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1.教育质量全面提升。</w:t>
            </w:r>
          </w:p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2.安全管理全面强化。</w:t>
            </w:r>
          </w:p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3.队伍建设全面加强。</w:t>
            </w:r>
          </w:p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4.教育管理全面规范。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5.发展保障全面深化。</w:t>
            </w:r>
          </w:p>
        </w:tc>
        <w:tc>
          <w:tcPr>
            <w:tcW w:w="2315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ind w:firstLine="420" w:firstLineChars="20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绩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标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一级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二级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三级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指标值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实际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得分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产出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(50分)</w:t>
            </w:r>
          </w:p>
        </w:tc>
        <w:tc>
          <w:tcPr>
            <w:tcW w:w="47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组织开展德育活动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2次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2次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省级各类教学比赛教师获奖数同比增长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≥0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省级各类比赛学生获奖数同比增长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≥0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质量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教学质量提升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有提升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有提升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建立完善的财务管理制度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6方面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5方面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时效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500万以上重大在建基础设施建设项目进度偏差率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5%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成本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三公经费同比变动率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-5%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绩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指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标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一级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二级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三级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指标值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实际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得分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效益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（30分）</w:t>
            </w:r>
          </w:p>
        </w:tc>
        <w:tc>
          <w:tcPr>
            <w:tcW w:w="47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经济效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益指标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60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社会效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益指标</w:t>
            </w: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贫困生资助比例同比增长率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≥0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≥0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由于师德师风因素造成社会不良影响事故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生态效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益指标</w:t>
            </w: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开展垃圾分类成效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有成效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有成效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 5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可持续影响指标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对绩效目标产生可持续影响效果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有成效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有成效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 5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60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6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6" w:type="pct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满意度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（10分）</w:t>
            </w:r>
          </w:p>
        </w:tc>
        <w:tc>
          <w:tcPr>
            <w:tcW w:w="471" w:type="pct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服务对象满意度指标</w:t>
            </w: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教职工满意度调查分数（满分100）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rPr>
          <w:trHeight w:val="344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学生满意度调查分数（满分100）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6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98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</w:tbl>
    <w:p>
      <w:pPr>
        <w:rPr>
          <w:rFonts w:eastAsia="仿宋_GB2312"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22"/>
          <w14:textFill>
            <w14:solidFill>
              <w14:schemeClr w14:val="tx1"/>
            </w14:solidFill>
          </w14:textFill>
        </w:rPr>
        <w:t>说明：</w:t>
      </w:r>
      <w:r>
        <w:rPr>
          <w:rFonts w:hint="eastAsia" w:eastAsia="仿宋_GB2312"/>
          <w:color w:val="000000" w:themeColor="text1"/>
          <w:sz w:val="22"/>
          <w14:textFill>
            <w14:solidFill>
              <w14:schemeClr w14:val="tx1"/>
            </w14:solidFill>
          </w14:textFill>
        </w:rPr>
        <w:t>以上数据参照2022年部门决算报表中的“收入支出决算总表”(财决01表)。</w:t>
      </w: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22"/>
          <w14:textFill>
            <w14:solidFill>
              <w14:schemeClr w14:val="tx1"/>
            </w14:solidFill>
          </w14:textFill>
        </w:rPr>
        <w:t>填表人：</w:t>
      </w:r>
      <w:r>
        <w:rPr>
          <w:rFonts w:hint="eastAsia" w:ascii="微软雅黑" w:hAnsi="微软雅黑" w:eastAsia="微软雅黑" w:cs="微软雅黑"/>
          <w:color w:val="000000" w:themeColor="text1"/>
          <w:sz w:val="22"/>
          <w14:textFill>
            <w14:solidFill>
              <w14:schemeClr w14:val="tx1"/>
            </w14:solidFill>
          </w14:textFill>
        </w:rPr>
        <w:t>刘科</w:t>
      </w:r>
      <w:r>
        <w:rPr>
          <w:rFonts w:eastAsia="仿宋_GB2312"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 填报日期：</w:t>
      </w:r>
      <w:r>
        <w:rPr>
          <w:rFonts w:hint="eastAsia" w:eastAsia="仿宋_GB2312"/>
          <w:color w:val="000000" w:themeColor="text1"/>
          <w:sz w:val="22"/>
          <w14:textFill>
            <w14:solidFill>
              <w14:schemeClr w14:val="tx1"/>
            </w14:solidFill>
          </w14:textFill>
        </w:rPr>
        <w:t>2023-07-10</w:t>
      </w:r>
      <w:r>
        <w:rPr>
          <w:rFonts w:eastAsia="仿宋_GB2312"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 联系电话：15080956243</w:t>
      </w:r>
      <w:r>
        <w:rPr>
          <w:rFonts w:hint="eastAsia" w:eastAsia="仿宋_GB2312"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仿宋_GB2312"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单位负责人签字：</w:t>
      </w:r>
      <w:r>
        <w:rPr>
          <w:rFonts w:eastAsia="仿宋_GB2312"/>
          <w:color w:val="000000" w:themeColor="text1"/>
          <w:sz w:val="22"/>
          <w14:textFill>
            <w14:solidFill>
              <w14:schemeClr w14:val="tx1"/>
            </w14:solidFill>
          </w14:textFill>
        </w:rPr>
        <w:br w:type="page"/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附件3</w:t>
      </w:r>
    </w:p>
    <w:p>
      <w:pPr>
        <w:jc w:val="center"/>
        <w:rPr>
          <w:rFonts w:eastAsia="方正小标宋_GBK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2022年度华容县</w:t>
      </w:r>
      <w:r>
        <w:rPr>
          <w:rFonts w:hint="eastAsia" w:ascii="宋体" w:hAnsi="宋体" w:cs="宋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马鞍山实验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学校部门（单位）</w:t>
      </w:r>
    </w:p>
    <w:p>
      <w:pPr>
        <w:jc w:val="center"/>
        <w:rPr>
          <w:rFonts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整体支出绩效自评报告</w:t>
      </w:r>
    </w:p>
    <w:p>
      <w:pPr>
        <w:jc w:val="center"/>
        <w:rPr>
          <w:rFonts w:eastAsia="方正小标宋_GBK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eastAsia="楷体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eastAsia="楷体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eastAsia="楷体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eastAsia="楷体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eastAsia="楷体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eastAsia="楷体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rPr>
          <w:rFonts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jc w:val="center"/>
        <w:rPr>
          <w:rFonts w:eastAsia="仿宋_GB2312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部门（单位）名称：</w:t>
      </w:r>
      <w:r>
        <w:rPr>
          <w:rFonts w:eastAsia="仿宋_GB2312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>（盖章）</w:t>
      </w:r>
    </w:p>
    <w:p>
      <w:pPr>
        <w:spacing w:line="600" w:lineRule="exact"/>
        <w:jc w:val="center"/>
        <w:rPr>
          <w:rFonts w:eastAsia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eastAsia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2023</w:t>
      </w:r>
      <w:r>
        <w:rPr>
          <w:rFonts w:eastAsia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年 </w:t>
      </w:r>
      <w:r>
        <w:rPr>
          <w:rFonts w:hint="eastAsia" w:eastAsia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7</w:t>
      </w:r>
      <w:r>
        <w:rPr>
          <w:rFonts w:eastAsia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eastAsia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10</w:t>
      </w:r>
      <w:r>
        <w:rPr>
          <w:rFonts w:eastAsia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>
      <w:pPr>
        <w:jc w:val="center"/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1701" w:right="1417" w:bottom="1417" w:left="1417" w:header="851" w:footer="992" w:gutter="0"/>
          <w:cols w:space="0" w:num="1"/>
          <w:docGrid w:type="lines" w:linePitch="312" w:charSpace="0"/>
        </w:sectPr>
      </w:pPr>
      <w:r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（此页为封面）</w:t>
      </w:r>
    </w:p>
    <w:p>
      <w:pPr>
        <w:spacing w:line="610" w:lineRule="exact"/>
        <w:jc w:val="center"/>
        <w:rPr>
          <w:rFonts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2022年度华容县</w:t>
      </w:r>
      <w:r>
        <w:rPr>
          <w:rFonts w:hint="eastAsia" w:ascii="宋体" w:hAnsi="宋体" w:cs="宋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马鞍山实验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学校部门（单位）</w:t>
      </w:r>
    </w:p>
    <w:p>
      <w:pPr>
        <w:spacing w:line="610" w:lineRule="exact"/>
        <w:jc w:val="center"/>
        <w:rPr>
          <w:rFonts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整体支出绩效自评报告</w:t>
      </w:r>
    </w:p>
    <w:p>
      <w:pPr>
        <w:spacing w:line="610" w:lineRule="exact"/>
        <w:ind w:firstLine="640" w:firstLineChars="200"/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10" w:lineRule="exact"/>
        <w:ind w:firstLine="640" w:firstLineChars="200"/>
        <w:rPr>
          <w:rFonts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一、部门（单位）基本情况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1.宣传贯彻执行党和国家的教育方针、教育政策、教育法律和法规，贯彻执行上级教育行政部门的各项规章制度。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2.在政府和上级教育主管部门的领导下，争取资金改善办学条件，为师生的学习和工作提供优美和谐的环境。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.根据县级人民政府制定的教育事业发展规划，结合实际制定并组织实施本校的教育事业发展规划。按照干部和教师的职数、编制和管理权限，负责对本校的干部和教师进行管理，制定切实可行的学校工作规章制度，提高教育教学质量为目的，对干部职工的工作开展客观、公正的评价和考核。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4.按照九年义务教育课程计划，开齐课程，开足课时，认真实施中小学的教育教学管理，全面推进素质教育，全面提高教育教学质量。</w:t>
      </w:r>
    </w:p>
    <w:p>
      <w:pPr>
        <w:pStyle w:val="12"/>
        <w:widowControl/>
        <w:spacing w:line="610" w:lineRule="exact"/>
        <w:ind w:firstLine="640"/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二、基本支出情况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2022年度财政拨款基本支出</w:t>
      </w:r>
      <w:r>
        <w:rPr>
          <w:rFonts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1660.66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万元，其中：人员经费</w:t>
      </w:r>
      <w:r>
        <w:rPr>
          <w:rFonts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1488.47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万元，主要包括：（基本工资、津贴补贴、奖金、社会保障缴费、伙食补助费、其他工资福利支出、离休费、退休费、生活补助、医疗费、住房公积金、其他对个人和家庭的补助支出等）；公用经费</w:t>
      </w:r>
      <w:r>
        <w:rPr>
          <w:rFonts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172.19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“三公”经费支出情况：严格按照财政局下发文件标准执行，严格控制支出，2022年，“三公”经费支出为</w:t>
      </w:r>
      <w:r>
        <w:rPr>
          <w:rFonts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万元，比上年减少</w:t>
      </w:r>
      <w:r>
        <w:rPr>
          <w:rFonts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0.97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万元，下降0%，增减变化的主要原因是：厉行节约，严格管控。公务用车购置及运行维护费完成0元，与上年无变化，原因是公车无。</w:t>
      </w:r>
    </w:p>
    <w:p>
      <w:pPr>
        <w:pStyle w:val="12"/>
        <w:widowControl/>
        <w:spacing w:line="610" w:lineRule="exact"/>
        <w:ind w:firstLine="640"/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三、项目支出情况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1、专项资金安排落实、总投入等情况分析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2022年度教育专项资金安排支出</w:t>
      </w:r>
      <w:r>
        <w:rPr>
          <w:rFonts w:ascii="新宋体" w:hAnsi="新宋体" w:eastAsia="新宋体" w:cs="新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1598.50</w:t>
      </w:r>
      <w:r>
        <w:rPr>
          <w:rFonts w:hint="eastAsia" w:ascii="新宋体" w:hAnsi="新宋体" w:eastAsia="新宋体" w:cs="新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万元，主要包括：学校校舍维修改造等，以上经费全部落实到位，保证了相关专项工作实施。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2、专项资金实际使用情况分析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按照财务管理及专项使用有关规定，相关专项资金按照专项的使用范围，做到了不挪项、不挪用、不超预算使用专项经费，并按照“量入为出、量体裁衣、节约使用”的原则，做到有计划地使用专项资金。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3、专项资金管理情况分析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我校财政专项资金逐年增加，为规避财政风险，提高财政专项资金使用效益，确保财政专项资金安全运行，对财政专项资金管理做法如下：一是做到“四个坚持”即:坚持专项资金实行开票、经办、审核、审批、记账等职责严格分离；坚持支出先报批、后经办，经严格审核后，再审批付款，最后交会计人员制单、记账；坚持专项资金凭用款计划、项目进度及专户存款情况，审核拨付资金；坚持把好票据签章关，严格票据销号，对已开完的票据及时销号，防止票据丢失、挪用公款，严禁一人保管支付款项所需要的全部印章。二是专项资金实行使用公示制，资金使用明细全部上网公开，提高了财政专项资金使用的透明度，有力保证了专款专用。三是规范了财政专项资金会计基础工作，提高了会计信息质量，为政府决策提供了参考依据。</w:t>
      </w:r>
    </w:p>
    <w:p>
      <w:pPr>
        <w:widowControl/>
        <w:spacing w:line="610" w:lineRule="exact"/>
        <w:ind w:firstLine="640" w:firstLineChars="200"/>
        <w:rPr>
          <w:rFonts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</w:t>
      </w:r>
      <w:r>
        <w:rPr>
          <w:rFonts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、部门整体支出绩效情况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2022年，我校在县委、县政府的坚强领导和县教体局的正确指导下，坚持安全和质量“两条主线”，我校教育教学各项工作持续、稳步发展。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我校坚决执行经费预算管理，确保预算不增长，支出不超预算。在厉行节约、反对铺张浪费等方面，采取了有力措施，并取得了明显成效。校长室成员率先垂范、高度重视下，全体教职工积极配合，三公经费得到了很好的控制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接下来我校将继续严格执行经费年初预算，按照上级的要求，强化制度建设，完善预算分配机制，进一步加强经费预算的执行管理，不断提高支出的经济性、效率性、有效性和可持续性。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根据定量分析及定性分析，综合考评得分为98分，评价等次确定为优。</w:t>
      </w:r>
    </w:p>
    <w:p>
      <w:pPr>
        <w:pStyle w:val="12"/>
        <w:widowControl/>
        <w:spacing w:line="610" w:lineRule="exact"/>
        <w:ind w:firstLine="640"/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</w:t>
      </w:r>
      <w:r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、存在的问题及原因分析</w:t>
      </w:r>
    </w:p>
    <w:p>
      <w:pPr>
        <w:widowControl/>
        <w:spacing w:line="560" w:lineRule="exact"/>
        <w:ind w:firstLine="560" w:firstLineChars="200"/>
        <w:rPr>
          <w:rFonts w:ascii="新宋体" w:hAnsi="新宋体" w:eastAsia="新宋体" w:cs="新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widowControl/>
        <w:spacing w:line="610" w:lineRule="exact"/>
        <w:ind w:firstLine="640" w:firstLineChars="200"/>
        <w:rPr>
          <w:rFonts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六</w:t>
      </w:r>
      <w:r>
        <w:rPr>
          <w:rFonts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、下一步改进措施</w:t>
      </w:r>
    </w:p>
    <w:p>
      <w:pPr>
        <w:widowControl/>
        <w:spacing w:line="560" w:lineRule="exact"/>
        <w:ind w:firstLine="560" w:firstLineChars="200"/>
        <w:rPr>
          <w:rFonts w:ascii="新宋体" w:hAnsi="新宋体" w:eastAsia="新宋体" w:cs="新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加强预算管理、绩效管理、资金管理等的制度建设与执行措施的改进，确保我单位绩效评价工作顺利进行。</w:t>
      </w:r>
    </w:p>
    <w:p>
      <w:pPr>
        <w:widowControl/>
        <w:spacing w:line="610" w:lineRule="exact"/>
        <w:ind w:firstLine="640" w:firstLineChars="200"/>
        <w:rPr>
          <w:rFonts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七</w:t>
      </w:r>
      <w:r>
        <w:rPr>
          <w:rFonts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、其他需要说明的情况</w:t>
      </w:r>
    </w:p>
    <w:p>
      <w:pPr>
        <w:pStyle w:val="2"/>
        <w:spacing w:line="560" w:lineRule="exact"/>
        <w:ind w:firstLine="560" w:firstLineChars="200"/>
        <w:rPr>
          <w:rFonts w:eastAsia="新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其他需要说明的情况无。</w:t>
      </w:r>
    </w:p>
    <w:sectPr>
      <w:pgSz w:w="11906" w:h="16838"/>
      <w:pgMar w:top="1984" w:right="1701" w:bottom="1984" w:left="1701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9F65AD9-C4C2-429D-852F-EA772EA28A8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FBA9C3F-08FF-4FC0-991A-3DF443C3828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D89CF91-BF0F-4EA3-B4D4-307E4E86998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DCA1764-E0C7-432E-9C9E-BB4E3DCFDD5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6CFC820-F7CC-4FAB-BEFD-F79F8C3A84B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962D8A3-5176-455F-A851-DB26E453B2F6}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7" w:fontKey="{A5E3FAC2-76AB-41B0-96AE-3D06A3A67ABF}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  <w:embedRegular r:id="rId8" w:fontKey="{07103C73-1495-42AF-A11A-F37660E2E7D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70C6A148-B89B-41F4-836D-402227066307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22412C0C-88AB-4F0E-AC80-B16003333432}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11" w:fontKey="{FD2364F5-641A-486A-A392-FF1E04A0E30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2" w:fontKey="{3609D8A9-5D59-48BB-BE84-08BE443489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8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vk47wyAgAAY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jB5loWN&#10;frA8Qkd5vF3uA+RMKkdReiXQnXjA7KU+nfckDvef5xT1+N+w+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+Tjv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8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2NmM0MDg0NTBiYzk5ZjAxN2ExZGZiZDU2OTIzY2EifQ=="/>
  </w:docVars>
  <w:rsids>
    <w:rsidRoot w:val="0CCB7736"/>
    <w:rsid w:val="00047FEF"/>
    <w:rsid w:val="000A3906"/>
    <w:rsid w:val="001776F1"/>
    <w:rsid w:val="0034628E"/>
    <w:rsid w:val="003C3529"/>
    <w:rsid w:val="0063450A"/>
    <w:rsid w:val="006F0A16"/>
    <w:rsid w:val="00773328"/>
    <w:rsid w:val="00821883"/>
    <w:rsid w:val="00917857"/>
    <w:rsid w:val="00A755C2"/>
    <w:rsid w:val="00DA5F95"/>
    <w:rsid w:val="00E837BF"/>
    <w:rsid w:val="014748A6"/>
    <w:rsid w:val="016A347B"/>
    <w:rsid w:val="02B50488"/>
    <w:rsid w:val="0338470A"/>
    <w:rsid w:val="034822A9"/>
    <w:rsid w:val="03D86621"/>
    <w:rsid w:val="04383D69"/>
    <w:rsid w:val="04EE6171"/>
    <w:rsid w:val="05295FD2"/>
    <w:rsid w:val="05395EA9"/>
    <w:rsid w:val="05A6232A"/>
    <w:rsid w:val="06D72F14"/>
    <w:rsid w:val="08591C4A"/>
    <w:rsid w:val="094B3B92"/>
    <w:rsid w:val="09877F36"/>
    <w:rsid w:val="0ABD557B"/>
    <w:rsid w:val="0BBB5A8D"/>
    <w:rsid w:val="0C104906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1404466"/>
    <w:rsid w:val="11963ADD"/>
    <w:rsid w:val="11EB0F5C"/>
    <w:rsid w:val="11F20483"/>
    <w:rsid w:val="122C1478"/>
    <w:rsid w:val="12917E50"/>
    <w:rsid w:val="136F31F8"/>
    <w:rsid w:val="138750E0"/>
    <w:rsid w:val="15A620D3"/>
    <w:rsid w:val="16A3369E"/>
    <w:rsid w:val="178536BD"/>
    <w:rsid w:val="181709CD"/>
    <w:rsid w:val="18AE1A47"/>
    <w:rsid w:val="19516372"/>
    <w:rsid w:val="19575CC2"/>
    <w:rsid w:val="19A80228"/>
    <w:rsid w:val="1A101464"/>
    <w:rsid w:val="1A3A2D42"/>
    <w:rsid w:val="1A3A39F7"/>
    <w:rsid w:val="1AB74849"/>
    <w:rsid w:val="1AC52FF2"/>
    <w:rsid w:val="1AE6175D"/>
    <w:rsid w:val="1AEC506E"/>
    <w:rsid w:val="1B692F51"/>
    <w:rsid w:val="1B742AA7"/>
    <w:rsid w:val="1CA34935"/>
    <w:rsid w:val="1D5A640E"/>
    <w:rsid w:val="1D66640A"/>
    <w:rsid w:val="1D740886"/>
    <w:rsid w:val="1E6C2189"/>
    <w:rsid w:val="1F7640EC"/>
    <w:rsid w:val="20D76C5F"/>
    <w:rsid w:val="21057490"/>
    <w:rsid w:val="214A230E"/>
    <w:rsid w:val="21B052C4"/>
    <w:rsid w:val="221B63A0"/>
    <w:rsid w:val="22FF5445"/>
    <w:rsid w:val="238D0E57"/>
    <w:rsid w:val="24256710"/>
    <w:rsid w:val="24AD52A9"/>
    <w:rsid w:val="24E44037"/>
    <w:rsid w:val="251E7983"/>
    <w:rsid w:val="25950217"/>
    <w:rsid w:val="260D5D83"/>
    <w:rsid w:val="277B168E"/>
    <w:rsid w:val="28220E93"/>
    <w:rsid w:val="284A2254"/>
    <w:rsid w:val="28BF50C6"/>
    <w:rsid w:val="292F1467"/>
    <w:rsid w:val="29786927"/>
    <w:rsid w:val="297B51B4"/>
    <w:rsid w:val="29E40467"/>
    <w:rsid w:val="29F527E2"/>
    <w:rsid w:val="29FA689B"/>
    <w:rsid w:val="2BF35971"/>
    <w:rsid w:val="2C487650"/>
    <w:rsid w:val="2C881C95"/>
    <w:rsid w:val="2C8D5567"/>
    <w:rsid w:val="2CBC0BC1"/>
    <w:rsid w:val="2D3E334C"/>
    <w:rsid w:val="2D9C2997"/>
    <w:rsid w:val="2E4F43C0"/>
    <w:rsid w:val="2EC7368E"/>
    <w:rsid w:val="2EFC4E63"/>
    <w:rsid w:val="2F701624"/>
    <w:rsid w:val="30293245"/>
    <w:rsid w:val="30FB4B41"/>
    <w:rsid w:val="31326AF4"/>
    <w:rsid w:val="31621165"/>
    <w:rsid w:val="323C5548"/>
    <w:rsid w:val="34621C0C"/>
    <w:rsid w:val="34F565DC"/>
    <w:rsid w:val="350E58F0"/>
    <w:rsid w:val="37077ED7"/>
    <w:rsid w:val="37361ECE"/>
    <w:rsid w:val="37450F88"/>
    <w:rsid w:val="37D44DFA"/>
    <w:rsid w:val="37D6106F"/>
    <w:rsid w:val="37FC4126"/>
    <w:rsid w:val="38F862EB"/>
    <w:rsid w:val="39343807"/>
    <w:rsid w:val="396D062A"/>
    <w:rsid w:val="397F0B6A"/>
    <w:rsid w:val="39887BBC"/>
    <w:rsid w:val="3A53023B"/>
    <w:rsid w:val="3AB21184"/>
    <w:rsid w:val="3AD87D42"/>
    <w:rsid w:val="3AF42D2D"/>
    <w:rsid w:val="3B2A71FC"/>
    <w:rsid w:val="3B3A041F"/>
    <w:rsid w:val="3BAE6BF9"/>
    <w:rsid w:val="3CCA47F2"/>
    <w:rsid w:val="3CDE0708"/>
    <w:rsid w:val="3D5877DF"/>
    <w:rsid w:val="3DC55CAA"/>
    <w:rsid w:val="3DD556CA"/>
    <w:rsid w:val="3EA815FB"/>
    <w:rsid w:val="3F0D71EF"/>
    <w:rsid w:val="3F450429"/>
    <w:rsid w:val="3FF90E47"/>
    <w:rsid w:val="40226C80"/>
    <w:rsid w:val="402C1320"/>
    <w:rsid w:val="40B41BAB"/>
    <w:rsid w:val="40C451A5"/>
    <w:rsid w:val="4156470B"/>
    <w:rsid w:val="41943ACE"/>
    <w:rsid w:val="41EE2D31"/>
    <w:rsid w:val="425D4066"/>
    <w:rsid w:val="427030E1"/>
    <w:rsid w:val="427E178D"/>
    <w:rsid w:val="43173FD4"/>
    <w:rsid w:val="434D1534"/>
    <w:rsid w:val="44143822"/>
    <w:rsid w:val="44654A12"/>
    <w:rsid w:val="44867E13"/>
    <w:rsid w:val="457C5F26"/>
    <w:rsid w:val="47943A5C"/>
    <w:rsid w:val="48302D3D"/>
    <w:rsid w:val="4955273D"/>
    <w:rsid w:val="49CF255F"/>
    <w:rsid w:val="49CF6234"/>
    <w:rsid w:val="4AB77AAC"/>
    <w:rsid w:val="4B2C5DCD"/>
    <w:rsid w:val="4B7D1173"/>
    <w:rsid w:val="4C150E22"/>
    <w:rsid w:val="4C235CCD"/>
    <w:rsid w:val="4C6A38FC"/>
    <w:rsid w:val="4CBE77A4"/>
    <w:rsid w:val="4CE74BC3"/>
    <w:rsid w:val="4CF5000E"/>
    <w:rsid w:val="4DB17672"/>
    <w:rsid w:val="4E245586"/>
    <w:rsid w:val="4EAA4EFF"/>
    <w:rsid w:val="4EB30373"/>
    <w:rsid w:val="4FAF1452"/>
    <w:rsid w:val="50AC44C4"/>
    <w:rsid w:val="50EA6DB9"/>
    <w:rsid w:val="51790BFB"/>
    <w:rsid w:val="51CA7471"/>
    <w:rsid w:val="521C2FA3"/>
    <w:rsid w:val="522529B2"/>
    <w:rsid w:val="52E32E6E"/>
    <w:rsid w:val="53910AF4"/>
    <w:rsid w:val="53DE013B"/>
    <w:rsid w:val="555952B3"/>
    <w:rsid w:val="556B5A36"/>
    <w:rsid w:val="55AF40BB"/>
    <w:rsid w:val="56F72F7C"/>
    <w:rsid w:val="585119A0"/>
    <w:rsid w:val="586243BF"/>
    <w:rsid w:val="58FD3402"/>
    <w:rsid w:val="5AAF7799"/>
    <w:rsid w:val="5B5C1753"/>
    <w:rsid w:val="5CDF3DD1"/>
    <w:rsid w:val="5CFE60C6"/>
    <w:rsid w:val="5E134100"/>
    <w:rsid w:val="5EF91F5C"/>
    <w:rsid w:val="5F7A1C50"/>
    <w:rsid w:val="601479AF"/>
    <w:rsid w:val="60194FC5"/>
    <w:rsid w:val="601C4AB5"/>
    <w:rsid w:val="60BE691E"/>
    <w:rsid w:val="61444403"/>
    <w:rsid w:val="61553A84"/>
    <w:rsid w:val="618242F4"/>
    <w:rsid w:val="62265BDF"/>
    <w:rsid w:val="62E1699A"/>
    <w:rsid w:val="63C416EC"/>
    <w:rsid w:val="63F67E02"/>
    <w:rsid w:val="64147F0D"/>
    <w:rsid w:val="64362771"/>
    <w:rsid w:val="64D66362"/>
    <w:rsid w:val="65860217"/>
    <w:rsid w:val="667E0AA1"/>
    <w:rsid w:val="66C11F13"/>
    <w:rsid w:val="6760172C"/>
    <w:rsid w:val="68FB17C3"/>
    <w:rsid w:val="695F12F9"/>
    <w:rsid w:val="69636C3A"/>
    <w:rsid w:val="69CF7B2C"/>
    <w:rsid w:val="6A0B0004"/>
    <w:rsid w:val="6B1F5045"/>
    <w:rsid w:val="6BA1010E"/>
    <w:rsid w:val="6CE47E41"/>
    <w:rsid w:val="6CED5810"/>
    <w:rsid w:val="6CF92413"/>
    <w:rsid w:val="6DFE5E04"/>
    <w:rsid w:val="6E87203D"/>
    <w:rsid w:val="6F9278BB"/>
    <w:rsid w:val="6FF9096F"/>
    <w:rsid w:val="712728AE"/>
    <w:rsid w:val="71572F19"/>
    <w:rsid w:val="719B7427"/>
    <w:rsid w:val="724A6793"/>
    <w:rsid w:val="7365377A"/>
    <w:rsid w:val="741F26FA"/>
    <w:rsid w:val="74470DF8"/>
    <w:rsid w:val="75FD1676"/>
    <w:rsid w:val="78A21BA4"/>
    <w:rsid w:val="799536BA"/>
    <w:rsid w:val="7B170752"/>
    <w:rsid w:val="7B7A4131"/>
    <w:rsid w:val="7B8F681B"/>
    <w:rsid w:val="7B960695"/>
    <w:rsid w:val="7C2C2C0C"/>
    <w:rsid w:val="7C6344CE"/>
    <w:rsid w:val="7DD96C0E"/>
    <w:rsid w:val="7DE83EE6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页脚 字符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2676</Words>
  <Characters>2957</Characters>
  <Lines>25</Lines>
  <Paragraphs>7</Paragraphs>
  <TotalTime>0</TotalTime>
  <ScaleCrop>false</ScaleCrop>
  <LinksUpToDate>false</LinksUpToDate>
  <CharactersWithSpaces>3058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Administrator</cp:lastModifiedBy>
  <cp:lastPrinted>2023-06-29T01:04:00Z</cp:lastPrinted>
  <dcterms:modified xsi:type="dcterms:W3CDTF">2023-07-13T01:05:39Z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