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项目支出绩效评价</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评分表</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共性</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w:t>
      </w:r>
    </w:p>
    <w:tbl>
      <w:tblPr>
        <w:tblStyle w:val="3"/>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color w:val="000000" w:themeColor="text1"/>
                <w:kern w:val="0"/>
                <w:sz w:val="18"/>
                <w:szCs w:val="18"/>
                <w:lang w:eastAsia="zh-CN"/>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color w:val="000000" w:themeColor="text1"/>
                <w:kern w:val="0"/>
                <w:sz w:val="18"/>
                <w:szCs w:val="18"/>
                <w:lang w:eastAsia="zh-CN"/>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color w:val="000000" w:themeColor="text1"/>
                <w:kern w:val="0"/>
                <w:sz w:val="18"/>
                <w:szCs w:val="18"/>
                <w:lang w:eastAsia="zh-CN"/>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24"/>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spacing w:val="-6"/>
                <w:kern w:val="0"/>
                <w:sz w:val="18"/>
                <w:szCs w:val="18"/>
                <w:lang w:eastAsia="zh-CN"/>
                <w14:textFill>
                  <w14:solidFill>
                    <w14:schemeClr w14:val="tx1"/>
                  </w14:solidFill>
                </w14:textFill>
              </w:rPr>
            </w:pPr>
            <w:r>
              <w:rPr>
                <w:rFonts w:hint="eastAsia" w:ascii="仿宋_GB2312" w:hAnsi="宋体" w:eastAsia="仿宋_GB2312" w:cs="宋体"/>
                <w:color w:val="000000" w:themeColor="text1"/>
                <w:spacing w:val="-6"/>
                <w:kern w:val="0"/>
                <w:sz w:val="18"/>
                <w:szCs w:val="18"/>
                <w14:textFill>
                  <w14:solidFill>
                    <w14:schemeClr w14:val="tx1"/>
                  </w14:solidFill>
                </w14:textFill>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spacing w:val="-6"/>
                <w:kern w:val="0"/>
                <w:sz w:val="18"/>
                <w:szCs w:val="18"/>
                <w14:textFill>
                  <w14:solidFill>
                    <w14:schemeClr w14:val="tx1"/>
                  </w14:solidFill>
                </w14:textFill>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spacing w:val="-6"/>
                <w:kern w:val="0"/>
                <w:sz w:val="18"/>
                <w:szCs w:val="18"/>
                <w14:textFill>
                  <w14:solidFill>
                    <w14:schemeClr w14:val="tx1"/>
                  </w14:solidFill>
                </w14:textFill>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w:t>
            </w:r>
            <w:r>
              <w:rPr>
                <w:rFonts w:hint="eastAsia" w:ascii="仿宋_GB2312" w:hAnsi="宋体" w:eastAsia="仿宋_GB2312" w:cs="宋体"/>
                <w:color w:val="000000" w:themeColor="text1"/>
                <w:kern w:val="0"/>
                <w:sz w:val="18"/>
                <w:szCs w:val="18"/>
                <w:lang w:eastAsia="zh-CN"/>
                <w14:textFill>
                  <w14:solidFill>
                    <w14:schemeClr w14:val="tx1"/>
                  </w14:solidFill>
                </w14:textFill>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25</w:t>
            </w:r>
          </w:p>
          <w:p>
            <w:pPr>
              <w:keepNext w:val="0"/>
              <w:keepLines w:val="0"/>
              <w:suppressLineNumbers w:val="0"/>
              <w:spacing w:before="0" w:beforeAutospacing="0" w:after="0" w:afterAutospacing="0"/>
              <w:ind w:left="0" w:right="0"/>
              <w:rPr>
                <w:rFonts w:hint="default"/>
                <w:color w:val="000000" w:themeColor="text1"/>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2</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spacing w:val="-10"/>
                <w:kern w:val="0"/>
                <w:sz w:val="18"/>
                <w:szCs w:val="18"/>
                <w:lang w:eastAsia="zh-CN"/>
                <w14:textFill>
                  <w14:solidFill>
                    <w14:schemeClr w14:val="tx1"/>
                  </w14:solidFill>
                </w14:textFill>
              </w:rPr>
            </w:pPr>
            <w:r>
              <w:rPr>
                <w:rFonts w:hint="eastAsia" w:ascii="仿宋_GB2312" w:hAnsi="宋体" w:eastAsia="仿宋_GB2312" w:cs="宋体"/>
                <w:color w:val="000000" w:themeColor="text1"/>
                <w:spacing w:val="-10"/>
                <w:kern w:val="0"/>
                <w:sz w:val="18"/>
                <w:szCs w:val="18"/>
                <w14:textFill>
                  <w14:solidFill>
                    <w14:schemeClr w14:val="tx1"/>
                  </w14:solidFill>
                </w14:textFill>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spacing w:val="-6"/>
                <w:kern w:val="0"/>
                <w:sz w:val="18"/>
                <w:szCs w:val="18"/>
                <w14:textFill>
                  <w14:solidFill>
                    <w14:schemeClr w14:val="tx1"/>
                  </w14:solidFill>
                </w14:textFill>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color w:val="000000" w:themeColor="text1"/>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lang w:eastAsia="zh-CN"/>
                <w14:textFill>
                  <w14:solidFill>
                    <w14:schemeClr w14:val="tx1"/>
                  </w14:solidFill>
                </w14:textFill>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color w:val="000000" w:themeColor="text1"/>
                <w:kern w:val="0"/>
                <w:sz w:val="24"/>
                <w:lang w:val="en-US" w:eastAsia="zh-CN"/>
                <w14:textFill>
                  <w14:solidFill>
                    <w14:schemeClr w14:val="tx1"/>
                  </w14:solidFill>
                </w14:textFill>
              </w:rPr>
            </w:pPr>
            <w:r>
              <w:rPr>
                <w:rFonts w:hint="eastAsia" w:ascii="仿宋_GB2312" w:hAnsi="宋体" w:eastAsia="仿宋_GB2312" w:cs="宋体"/>
                <w:color w:val="000000" w:themeColor="text1"/>
                <w:kern w:val="0"/>
                <w:sz w:val="24"/>
                <w:lang w:val="en-US" w:eastAsia="zh-CN"/>
                <w14:textFill>
                  <w14:solidFill>
                    <w14:schemeClr w14:val="tx1"/>
                  </w14:solidFill>
                </w14:textFill>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r>
              <w:rPr>
                <w:rFonts w:hint="eastAsia" w:ascii="仿宋_GB2312" w:hAnsi="宋体" w:eastAsia="仿宋_GB2312" w:cs="宋体"/>
                <w:b/>
                <w:bCs/>
                <w:color w:val="000000" w:themeColor="text1"/>
                <w:kern w:val="0"/>
                <w:sz w:val="18"/>
                <w:szCs w:val="18"/>
                <w14:textFill>
                  <w14:solidFill>
                    <w14:schemeClr w14:val="tx1"/>
                  </w14:solidFill>
                </w14:textFill>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color w:val="000000" w:themeColor="text1"/>
                <w:kern w:val="0"/>
                <w:sz w:val="18"/>
                <w:szCs w:val="18"/>
                <w14:textFill>
                  <w14:solidFill>
                    <w14:schemeClr w14:val="tx1"/>
                  </w14:solidFill>
                </w14:textFill>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lang w:val="en-US" w:eastAsia="zh-CN"/>
                <w14:textFill>
                  <w14:solidFill>
                    <w14:schemeClr w14:val="tx1"/>
                  </w14:solidFill>
                </w14:textFill>
              </w:rPr>
              <w:t>97</w:t>
            </w:r>
          </w:p>
        </w:tc>
      </w:tr>
    </w:tbl>
    <w:p>
      <w:pPr>
        <w:adjustRightInd w:val="0"/>
        <w:snapToGrid w:val="0"/>
        <w:spacing w:before="156" w:beforeLines="50"/>
        <w:ind w:left="840" w:hanging="840" w:hangingChars="400"/>
        <w:contextualSpacing/>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备注：</w:t>
      </w:r>
      <w:r>
        <w:rPr>
          <w:rFonts w:hint="eastAsia" w:ascii="仿宋_GB2312" w:eastAsia="仿宋_GB2312"/>
          <w:color w:val="000000" w:themeColor="text1"/>
          <w:lang w:val="en-US" w:eastAsia="zh-CN"/>
          <w14:textFill>
            <w14:solidFill>
              <w14:schemeClr w14:val="tx1"/>
            </w14:solidFill>
          </w14:textFill>
        </w:rPr>
        <w:t>1、</w:t>
      </w:r>
      <w:r>
        <w:rPr>
          <w:rFonts w:hint="eastAsia" w:ascii="仿宋_GB2312" w:eastAsia="仿宋_GB2312"/>
          <w:color w:val="000000" w:themeColor="text1"/>
          <w14:textFill>
            <w14:solidFill>
              <w14:schemeClr w14:val="tx1"/>
            </w14:solidFill>
          </w14:textFill>
        </w:rPr>
        <w:t>部门（单位）根据项目实际，在《项目支出绩效评价指标</w:t>
      </w:r>
      <w:r>
        <w:rPr>
          <w:rFonts w:hint="eastAsia" w:ascii="仿宋_GB2312" w:eastAsia="仿宋_GB2312"/>
          <w:color w:val="000000" w:themeColor="text1"/>
          <w:lang w:eastAsia="zh-CN"/>
          <w14:textFill>
            <w14:solidFill>
              <w14:schemeClr w14:val="tx1"/>
            </w14:solidFill>
          </w14:textFill>
        </w:rPr>
        <w:t>评分表</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eastAsia="zh-CN"/>
          <w14:textFill>
            <w14:solidFill>
              <w14:schemeClr w14:val="tx1"/>
            </w14:solidFill>
          </w14:textFill>
        </w:rPr>
        <w:t>共性</w:t>
      </w:r>
      <w:r>
        <w:rPr>
          <w:rFonts w:hint="eastAsia" w:ascii="仿宋_GB2312" w:eastAsia="仿宋_GB2312"/>
          <w:color w:val="000000" w:themeColor="text1"/>
          <w14:textFill>
            <w14:solidFill>
              <w14:schemeClr w14:val="tx1"/>
            </w14:solidFill>
          </w14:textFill>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color w:val="000000" w:themeColor="text1"/>
          <w:sz w:val="32"/>
          <w:lang w:eastAsia="zh-CN"/>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2、</w:t>
      </w:r>
      <w:r>
        <w:rPr>
          <w:rFonts w:hint="eastAsia" w:ascii="仿宋_GB2312" w:eastAsia="仿宋_GB2312"/>
          <w:color w:val="000000" w:themeColor="text1"/>
          <w:lang w:eastAsia="zh-CN"/>
          <w14:textFill>
            <w14:solidFill>
              <w14:schemeClr w14:val="tx1"/>
            </w14:solidFill>
          </w14:textFill>
        </w:rPr>
        <w:t>一个一级项目一张表。</w:t>
      </w:r>
    </w:p>
    <w:p>
      <w:pPr>
        <w:rPr>
          <w:color w:val="000000" w:themeColor="text1"/>
          <w14:textFill>
            <w14:solidFill>
              <w14:schemeClr w14:val="tx1"/>
            </w14:solidFill>
          </w14:textFill>
        </w:rPr>
      </w:pPr>
    </w:p>
    <w:p>
      <w:pPr>
        <w:pStyle w:val="2"/>
        <w:rPr>
          <w:rFonts w:hint="eastAsia"/>
          <w:color w:val="000000" w:themeColor="text1"/>
          <w:lang w:val="en-US" w:eastAsia="zh-CN"/>
          <w14:textFill>
            <w14:solidFill>
              <w14:schemeClr w14:val="tx1"/>
            </w14:solidFill>
          </w14:textFill>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 xml:space="preserve">5        </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202</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41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华容县财政投资评审中心评审经费支出</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华容县财政局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华容县财政投资评审中心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实际完成情况</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完成政府投资工程项目预、结算评审</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100%完成年度目标</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23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eastAsia" w:ascii="Times New Roman" w:hAnsi="Times New Roman" w:eastAsia="仿宋_GB2312" w:cs="Times New Roman"/>
                <w:color w:val="000000" w:themeColor="text1"/>
                <w:sz w:val="20"/>
                <w:szCs w:val="20"/>
                <w:lang w:eastAsia="zh-CN"/>
                <w14:textFill>
                  <w14:solidFill>
                    <w14:schemeClr w14:val="tx1"/>
                  </w14:solidFill>
                </w14:textFill>
              </w:rPr>
              <w:t>预算评审数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154个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结算评审数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12个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综合审减金额</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3.36亿元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237"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综合审减率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13.53%</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及时审减率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超时审减率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中介服务费</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340.76万元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扩大评审队伍；提高评审队伍专业度。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预算审减金额</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2.86亿元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结算审减金额</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0.84亿元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评审质量效率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明显提高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继续完善工作制度，提高评审质效。</w:t>
            </w:r>
          </w:p>
        </w:tc>
      </w:tr>
      <w:tr>
        <w:tblPrEx>
          <w:tblCellMar>
            <w:top w:w="0" w:type="dxa"/>
            <w:left w:w="108" w:type="dxa"/>
            <w:bottom w:w="0" w:type="dxa"/>
            <w:right w:w="108" w:type="dxa"/>
          </w:tblCellMar>
        </w:tblPrEx>
        <w:trPr>
          <w:trHeight w:val="567" w:hRule="exac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567" w:hRule="exac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567" w:hRule="exac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r>
        <w:tblPrEx>
          <w:tblCellMar>
            <w:top w:w="0" w:type="dxa"/>
            <w:left w:w="108" w:type="dxa"/>
            <w:bottom w:w="0" w:type="dxa"/>
            <w:right w:w="108" w:type="dxa"/>
          </w:tblCellMar>
        </w:tblPrEx>
        <w:trPr>
          <w:trHeight w:val="139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（10分）</w:t>
            </w: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业主单位对评审中心满意度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加强与业主单位沟通与业力对接，在评审时效上和服务水平上不断提高</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评审中心对中介机构满意度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eastAsia="zh-CN"/>
                <w14:textFill>
                  <w14:solidFill>
                    <w14:schemeClr w14:val="tx1"/>
                  </w14:solidFill>
                </w14:textFill>
              </w:rPr>
            </w:pPr>
            <w:r>
              <w:rPr>
                <w:rFonts w:hint="eastAsia" w:eastAsia="仿宋_GB2312" w:cs="Times New Roman"/>
                <w:color w:val="000000" w:themeColor="text1"/>
                <w:sz w:val="20"/>
                <w:szCs w:val="20"/>
                <w:lang w:eastAsia="zh-CN"/>
                <w14:textFill>
                  <w14:solidFill>
                    <w14:schemeClr w14:val="tx1"/>
                  </w14:solidFill>
                </w14:textFill>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加强对中介机构的监督，提高服务要求。</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themeColor="text1"/>
                <w:sz w:val="20"/>
                <w:szCs w:val="20"/>
                <w:lang w:val="en-US" w:eastAsia="zh-CN"/>
                <w14:textFill>
                  <w14:solidFill>
                    <w14:schemeClr w14:val="tx1"/>
                  </w14:solidFill>
                </w14:textFill>
              </w:rPr>
            </w:pPr>
            <w:r>
              <w:rPr>
                <w:rFonts w:hint="eastAsia" w:eastAsia="仿宋_GB2312" w:cs="Times New Roman"/>
                <w:color w:val="000000" w:themeColor="text1"/>
                <w:sz w:val="20"/>
                <w:szCs w:val="20"/>
                <w:lang w:val="en-US" w:eastAsia="zh-CN"/>
                <w14:textFill>
                  <w14:solidFill>
                    <w14:schemeClr w14:val="tx1"/>
                  </w14:solidFill>
                </w14:textFill>
              </w:rPr>
              <w:t>96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themeColor="text1"/>
                <w:sz w:val="20"/>
                <w:szCs w:val="20"/>
                <w14:textFill>
                  <w14:solidFill>
                    <w14:schemeClr w14:val="tx1"/>
                  </w14:solidFill>
                </w14:textFill>
              </w:rPr>
            </w:pPr>
            <w:r>
              <w:rPr>
                <w:rFonts w:hint="default" w:ascii="Times New Roman" w:hAnsi="Times New Roman" w:eastAsia="仿宋_GB2312" w:cs="Times New Roman"/>
                <w:color w:val="000000" w:themeColor="text1"/>
                <w:sz w:val="20"/>
                <w:szCs w:val="20"/>
                <w14:textFill>
                  <w14:solidFill>
                    <w14:schemeClr w14:val="tx1"/>
                  </w14:solidFill>
                </w14:textFill>
              </w:rPr>
              <w:t>　</w:t>
            </w:r>
          </w:p>
        </w:tc>
      </w:tr>
    </w:tbl>
    <w:p>
      <w:pPr>
        <w:rPr>
          <w:rFonts w:hint="eastAsia"/>
          <w:color w:val="000000" w:themeColor="text1"/>
          <w14:textFill>
            <w14:solidFill>
              <w14:schemeClr w14:val="tx1"/>
            </w14:solidFill>
          </w14:textFill>
        </w:rPr>
      </w:pPr>
      <w:r>
        <w:rPr>
          <w:rFonts w:hint="eastAsia" w:ascii="新宋体" w:hAnsi="新宋体" w:eastAsia="新宋体" w:cs="新宋体"/>
          <w:color w:val="000000" w:themeColor="text1"/>
          <w:sz w:val="21"/>
          <w:szCs w:val="21"/>
          <w14:textFill>
            <w14:solidFill>
              <w14:schemeClr w14:val="tx1"/>
            </w14:solidFill>
          </w14:textFill>
        </w:rPr>
        <w:t>备注：一个一级项目支出一张表。</w:t>
      </w:r>
      <w:r>
        <w:rPr>
          <w:rFonts w:hint="eastAsia" w:ascii="新宋体" w:hAnsi="新宋体" w:eastAsia="新宋体" w:cs="新宋体"/>
          <w:color w:val="000000" w:themeColor="text1"/>
          <w:sz w:val="21"/>
          <w:szCs w:val="21"/>
          <w:lang w:eastAsia="zh-CN"/>
          <w14:textFill>
            <w14:solidFill>
              <w14:schemeClr w14:val="tx1"/>
            </w14:solidFill>
          </w14:textFill>
        </w:rPr>
        <w:t>如，</w:t>
      </w:r>
      <w:r>
        <w:rPr>
          <w:rFonts w:hint="eastAsia" w:ascii="新宋体" w:hAnsi="新宋体" w:eastAsia="新宋体" w:cs="新宋体"/>
          <w:color w:val="000000" w:themeColor="text1"/>
          <w:sz w:val="21"/>
          <w:szCs w:val="21"/>
          <w14:textFill>
            <w14:solidFill>
              <w14:schemeClr w14:val="tx1"/>
            </w14:solidFill>
          </w14:textFill>
        </w:rPr>
        <w:t>业务工作经费</w:t>
      </w:r>
      <w:r>
        <w:rPr>
          <w:rFonts w:hint="eastAsia" w:ascii="新宋体" w:hAnsi="新宋体" w:eastAsia="新宋体" w:cs="新宋体"/>
          <w:color w:val="000000" w:themeColor="text1"/>
          <w:sz w:val="21"/>
          <w:szCs w:val="21"/>
          <w:lang w:eastAsia="zh-CN"/>
          <w14:textFill>
            <w14:solidFill>
              <w14:schemeClr w14:val="tx1"/>
            </w14:solidFill>
          </w14:textFill>
        </w:rPr>
        <w:t>，</w:t>
      </w:r>
      <w:r>
        <w:rPr>
          <w:rFonts w:hint="eastAsia" w:ascii="新宋体" w:hAnsi="新宋体" w:eastAsia="新宋体" w:cs="新宋体"/>
          <w:color w:val="000000" w:themeColor="text1"/>
          <w:sz w:val="21"/>
          <w:szCs w:val="21"/>
          <w14:textFill>
            <w14:solidFill>
              <w14:schemeClr w14:val="tx1"/>
            </w14:solidFill>
          </w14:textFill>
        </w:rPr>
        <w:t>运行维护经费</w:t>
      </w:r>
      <w:r>
        <w:rPr>
          <w:rFonts w:hint="eastAsia" w:ascii="新宋体" w:hAnsi="新宋体" w:eastAsia="新宋体" w:cs="新宋体"/>
          <w:color w:val="000000" w:themeColor="text1"/>
          <w:sz w:val="21"/>
          <w:szCs w:val="21"/>
          <w:lang w:eastAsia="zh-CN"/>
          <w14:textFill>
            <w14:solidFill>
              <w14:schemeClr w14:val="tx1"/>
            </w14:solidFill>
          </w14:textFill>
        </w:rPr>
        <w:t>，</w:t>
      </w:r>
      <w:r>
        <w:rPr>
          <w:rFonts w:hint="eastAsia" w:ascii="新宋体" w:hAnsi="新宋体" w:eastAsia="新宋体" w:cs="新宋体"/>
          <w:color w:val="000000" w:themeColor="text1"/>
          <w:sz w:val="21"/>
          <w:szCs w:val="21"/>
          <w:lang w:val="en-US" w:eastAsia="zh-CN"/>
          <w14:textFill>
            <w14:solidFill>
              <w14:schemeClr w14:val="tx1"/>
            </w14:solidFill>
          </w14:textFill>
        </w:rPr>
        <w:t>XX项目</w:t>
      </w:r>
      <w:r>
        <w:rPr>
          <w:rFonts w:hint="eastAsia" w:ascii="新宋体" w:hAnsi="新宋体" w:eastAsia="新宋体" w:cs="新宋体"/>
          <w:color w:val="000000" w:themeColor="text1"/>
          <w:sz w:val="21"/>
          <w:szCs w:val="21"/>
          <w:lang w:eastAsia="zh-CN"/>
          <w14:textFill>
            <w14:solidFill>
              <w14:schemeClr w14:val="tx1"/>
            </w14:solidFill>
          </w14:textFill>
        </w:rPr>
        <w:t>资金…各一张表。</w:t>
      </w:r>
    </w:p>
    <w:p>
      <w:pPr>
        <w:jc w:val="left"/>
        <w:rPr>
          <w:rFonts w:hint="eastAsia" w:ascii="新宋体" w:hAnsi="新宋体" w:eastAsia="新宋体" w:cs="新宋体"/>
          <w:color w:val="000000" w:themeColor="text1"/>
          <w:sz w:val="21"/>
          <w:szCs w:val="21"/>
          <w:lang w:val="en-US" w:eastAsia="zh-CN"/>
          <w14:textFill>
            <w14:solidFill>
              <w14:schemeClr w14:val="tx1"/>
            </w14:solidFill>
          </w14:textFill>
        </w:rPr>
      </w:pPr>
      <w:r>
        <w:rPr>
          <w:rFonts w:hint="eastAsia" w:ascii="新宋体" w:hAnsi="新宋体" w:eastAsia="新宋体" w:cs="新宋体"/>
          <w:color w:val="000000" w:themeColor="text1"/>
          <w:sz w:val="21"/>
          <w:szCs w:val="21"/>
          <w14:textFill>
            <w14:solidFill>
              <w14:schemeClr w14:val="tx1"/>
            </w14:solidFill>
          </w14:textFill>
        </w:rPr>
        <w:t>填表人：</w:t>
      </w:r>
      <w:r>
        <w:rPr>
          <w:rFonts w:hint="eastAsia" w:ascii="新宋体" w:hAnsi="新宋体" w:eastAsia="新宋体" w:cs="新宋体"/>
          <w:color w:val="000000" w:themeColor="text1"/>
          <w:sz w:val="21"/>
          <w:szCs w:val="21"/>
          <w:lang w:val="en-US" w:eastAsia="zh-CN"/>
          <w14:textFill>
            <w14:solidFill>
              <w14:schemeClr w14:val="tx1"/>
            </w14:solidFill>
          </w14:textFill>
        </w:rPr>
        <w:t>张靖</w:t>
      </w:r>
      <w:r>
        <w:rPr>
          <w:rFonts w:hint="eastAsia" w:ascii="新宋体" w:hAnsi="新宋体" w:eastAsia="新宋体" w:cs="新宋体"/>
          <w:color w:val="000000" w:themeColor="text1"/>
          <w:sz w:val="21"/>
          <w:szCs w:val="21"/>
          <w14:textFill>
            <w14:solidFill>
              <w14:schemeClr w14:val="tx1"/>
            </w14:solidFill>
          </w14:textFill>
        </w:rPr>
        <w:t xml:space="preserve">  填报日期：</w:t>
      </w:r>
      <w:r>
        <w:rPr>
          <w:rFonts w:hint="eastAsia" w:ascii="新宋体" w:hAnsi="新宋体" w:eastAsia="新宋体" w:cs="新宋体"/>
          <w:color w:val="000000" w:themeColor="text1"/>
          <w:sz w:val="21"/>
          <w:szCs w:val="21"/>
          <w:lang w:val="en-US" w:eastAsia="zh-CN"/>
          <w14:textFill>
            <w14:solidFill>
              <w14:schemeClr w14:val="tx1"/>
            </w14:solidFill>
          </w14:textFill>
        </w:rPr>
        <w:t>2023年7月17日</w:t>
      </w:r>
      <w:r>
        <w:rPr>
          <w:rFonts w:hint="eastAsia" w:ascii="新宋体" w:hAnsi="新宋体" w:eastAsia="新宋体" w:cs="新宋体"/>
          <w:color w:val="000000" w:themeColor="text1"/>
          <w:sz w:val="21"/>
          <w:szCs w:val="21"/>
          <w14:textFill>
            <w14:solidFill>
              <w14:schemeClr w14:val="tx1"/>
            </w14:solidFill>
          </w14:textFill>
        </w:rPr>
        <w:t xml:space="preserve">  联系电话：</w:t>
      </w:r>
      <w:r>
        <w:rPr>
          <w:rFonts w:hint="eastAsia" w:ascii="新宋体" w:hAnsi="新宋体" w:eastAsia="新宋体" w:cs="新宋体"/>
          <w:color w:val="000000" w:themeColor="text1"/>
          <w:sz w:val="21"/>
          <w:szCs w:val="21"/>
          <w:lang w:val="en-US" w:eastAsia="zh-CN"/>
          <w14:textFill>
            <w14:solidFill>
              <w14:schemeClr w14:val="tx1"/>
            </w14:solidFill>
          </w14:textFill>
        </w:rPr>
        <w:t>15173382199</w:t>
      </w:r>
      <w:r>
        <w:rPr>
          <w:rFonts w:hint="eastAsia" w:ascii="新宋体" w:hAnsi="新宋体" w:eastAsia="新宋体" w:cs="新宋体"/>
          <w:color w:val="000000" w:themeColor="text1"/>
          <w:sz w:val="21"/>
          <w:szCs w:val="21"/>
          <w14:textFill>
            <w14:solidFill>
              <w14:schemeClr w14:val="tx1"/>
            </w14:solidFill>
          </w14:textFill>
        </w:rPr>
        <w:t xml:space="preserve">  单位负责人签字：</w:t>
      </w:r>
      <w:r>
        <w:rPr>
          <w:rFonts w:hint="eastAsia" w:ascii="新宋体" w:hAnsi="新宋体" w:eastAsia="新宋体" w:cs="新宋体"/>
          <w:color w:val="000000" w:themeColor="text1"/>
          <w:sz w:val="21"/>
          <w:szCs w:val="21"/>
          <w:lang w:eastAsia="zh-CN"/>
          <w14:textFill>
            <w14:solidFill>
              <w14:schemeClr w14:val="tx1"/>
            </w14:solidFill>
          </w14:textFill>
        </w:rPr>
        <w:t>熊燕</w:t>
      </w:r>
    </w:p>
    <w:p>
      <w:pPr>
        <w:spacing w:line="240" w:lineRule="auto"/>
        <w:ind w:firstLine="0" w:firstLineChars="0"/>
        <w:jc w:val="left"/>
        <w:outlineLvl w:val="0"/>
        <w:rPr>
          <w:rFonts w:hint="eastAsia" w:ascii="新宋体" w:hAnsi="新宋体" w:eastAsia="新宋体" w:cs="新宋体"/>
          <w:color w:val="000000" w:themeColor="text1"/>
          <w:sz w:val="21"/>
          <w:szCs w:val="21"/>
          <w:lang w:val="en-US" w:eastAsia="zh-CN"/>
          <w14:textFill>
            <w14:solidFill>
              <w14:schemeClr w14:val="tx1"/>
            </w14:solidFill>
          </w14:textFill>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p>
    <w:p>
      <w:pPr>
        <w:jc w:val="center"/>
        <w:rPr>
          <w:rFonts w:hint="default" w:ascii="Times New Roman" w:hAnsi="Times New Roman" w:eastAsia="方正小标宋_GBK" w:cs="Times New Roman"/>
          <w:color w:val="000000" w:themeColor="text1"/>
          <w:sz w:val="52"/>
          <w:szCs w:val="52"/>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年度</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华容县财政投资评审中心评审经</w:t>
      </w:r>
      <w:bookmarkStart w:id="0" w:name="_GoBack"/>
      <w:bookmarkEnd w:id="0"/>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费</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项目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支出绩效自评报告</w:t>
      </w:r>
    </w:p>
    <w:p>
      <w:pPr>
        <w:jc w:val="center"/>
        <w:rPr>
          <w:rFonts w:hint="default" w:ascii="Times New Roman" w:hAnsi="Times New Roman" w:eastAsia="方正小标宋_GBK" w:cs="Times New Roman"/>
          <w:b/>
          <w:color w:val="000000" w:themeColor="text1"/>
          <w:sz w:val="52"/>
          <w:szCs w:val="5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楷体_GB2312" w:cs="Times New Roman"/>
          <w:b/>
          <w:color w:val="000000" w:themeColor="text1"/>
          <w:sz w:val="32"/>
          <w:szCs w:val="32"/>
          <w14:textFill>
            <w14:solidFill>
              <w14:schemeClr w14:val="tx1"/>
            </w14:solidFill>
          </w14:textFill>
        </w:rPr>
      </w:pPr>
    </w:p>
    <w:p>
      <w:pPr>
        <w:jc w:val="center"/>
        <w:rPr>
          <w:rFonts w:hint="default" w:ascii="Times New Roman" w:hAnsi="Times New Roman" w:eastAsia="黑体" w:cs="Times New Roman"/>
          <w:color w:val="000000" w:themeColor="text1"/>
          <w:sz w:val="32"/>
          <w:szCs w:val="32"/>
          <w14:textFill>
            <w14:solidFill>
              <w14:schemeClr w14:val="tx1"/>
            </w14:solidFill>
          </w14:textFill>
        </w:rPr>
      </w:pPr>
    </w:p>
    <w:p>
      <w:pPr>
        <w:jc w:val="center"/>
        <w:rPr>
          <w:rFonts w:hint="default" w:ascii="Times New Roman" w:hAnsi="Times New Roman" w:eastAsia="黑体" w:cs="Times New Roman"/>
          <w:color w:val="000000" w:themeColor="text1"/>
          <w:sz w:val="32"/>
          <w:szCs w:val="32"/>
          <w14:textFill>
            <w14:solidFill>
              <w14:schemeClr w14:val="tx1"/>
            </w14:solidFill>
          </w14:textFill>
        </w:rPr>
      </w:pPr>
    </w:p>
    <w:p>
      <w:pPr>
        <w:jc w:val="both"/>
        <w:rPr>
          <w:rFonts w:hint="default" w:ascii="Times New Roman" w:hAnsi="Times New Roman" w:eastAsia="黑体" w:cs="Times New Roman"/>
          <w:color w:val="000000" w:themeColor="text1"/>
          <w:sz w:val="32"/>
          <w:szCs w:val="32"/>
          <w14:textFill>
            <w14:solidFill>
              <w14:schemeClr w14:val="tx1"/>
            </w14:solidFill>
          </w14:textFill>
        </w:rPr>
      </w:pPr>
    </w:p>
    <w:p>
      <w:pPr>
        <w:jc w:val="both"/>
        <w:rPr>
          <w:rFonts w:hint="default" w:ascii="Times New Roman" w:hAnsi="Times New Roman" w:eastAsia="黑体"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_GB2312" w:cs="Times New Roman"/>
          <w:color w:val="000000" w:themeColor="text1"/>
          <w:sz w:val="32"/>
          <w:szCs w:val="32"/>
          <w:u w:val="singl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部门（单位）名称：</w:t>
      </w:r>
      <w:r>
        <w:rPr>
          <w:rFonts w:hint="eastAsia" w:eastAsia="仿宋_GB2312" w:cs="Times New Roman"/>
          <w:color w:val="000000" w:themeColor="text1"/>
          <w:sz w:val="32"/>
          <w:szCs w:val="32"/>
          <w:u w:val="single"/>
          <w:lang w:val="en-US" w:eastAsia="zh-CN"/>
          <w14:textFill>
            <w14:solidFill>
              <w14:schemeClr w14:val="tx1"/>
            </w14:solidFill>
          </w14:textFill>
        </w:rPr>
        <w:t>华容县财政投资评审中心</w:t>
      </w:r>
      <w:r>
        <w:rPr>
          <w:rFonts w:hint="default" w:ascii="Times New Roman" w:hAnsi="Times New Roman" w:eastAsia="仿宋_GB2312" w:cs="Times New Roman"/>
          <w:color w:val="000000" w:themeColor="text1"/>
          <w:sz w:val="32"/>
          <w:szCs w:val="32"/>
          <w:u w:val="single"/>
          <w14:textFill>
            <w14:solidFill>
              <w14:schemeClr w14:val="tx1"/>
            </w14:solidFill>
          </w14:textFill>
        </w:rPr>
        <w:t>（盖章）</w:t>
      </w:r>
    </w:p>
    <w:p>
      <w:pPr>
        <w:spacing w:line="600" w:lineRule="exact"/>
        <w:jc w:val="center"/>
        <w:rPr>
          <w:rFonts w:hint="default" w:ascii="Times New Roman" w:hAnsi="Times New Roman" w:eastAsia="楷体_GB2312" w:cs="Times New Roman"/>
          <w:color w:val="000000" w:themeColor="text1"/>
          <w:sz w:val="32"/>
          <w:szCs w:val="32"/>
          <w14:textFill>
            <w14:solidFill>
              <w14:schemeClr w14:val="tx1"/>
            </w14:solidFill>
          </w14:textFill>
        </w:rPr>
      </w:pPr>
      <w:r>
        <w:rPr>
          <w:rFonts w:hint="eastAsia" w:eastAsia="楷体_GB2312" w:cs="Times New Roman"/>
          <w:color w:val="000000" w:themeColor="text1"/>
          <w:sz w:val="32"/>
          <w:szCs w:val="32"/>
          <w:lang w:val="en-US" w:eastAsia="zh-CN"/>
          <w14:textFill>
            <w14:solidFill>
              <w14:schemeClr w14:val="tx1"/>
            </w14:solidFill>
          </w14:textFill>
        </w:rPr>
        <w:t>2013</w:t>
      </w:r>
      <w:r>
        <w:rPr>
          <w:rFonts w:hint="default" w:ascii="Times New Roman" w:hAnsi="Times New Roman" w:eastAsia="楷体_GB2312" w:cs="Times New Roman"/>
          <w:color w:val="000000" w:themeColor="text1"/>
          <w:sz w:val="32"/>
          <w:szCs w:val="32"/>
          <w14:textFill>
            <w14:solidFill>
              <w14:schemeClr w14:val="tx1"/>
            </w14:solidFill>
          </w14:textFill>
        </w:rPr>
        <w:t>年</w:t>
      </w:r>
      <w:r>
        <w:rPr>
          <w:rFonts w:hint="eastAsia" w:eastAsia="楷体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楷体_GB2312" w:cs="Times New Roman"/>
          <w:color w:val="000000" w:themeColor="text1"/>
          <w:sz w:val="32"/>
          <w:szCs w:val="32"/>
          <w14:textFill>
            <w14:solidFill>
              <w14:schemeClr w14:val="tx1"/>
            </w14:solidFill>
          </w14:textFill>
        </w:rPr>
        <w:t>月</w:t>
      </w:r>
      <w:r>
        <w:rPr>
          <w:rFonts w:hint="eastAsia" w:eastAsia="楷体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楷体_GB2312" w:cs="Times New Roman"/>
          <w:color w:val="000000" w:themeColor="text1"/>
          <w:sz w:val="32"/>
          <w:szCs w:val="32"/>
          <w14:textFill>
            <w14:solidFill>
              <w14:schemeClr w14:val="tx1"/>
            </w14:solidFill>
          </w14:textFill>
        </w:rPr>
        <w:t>日</w:t>
      </w:r>
    </w:p>
    <w:p>
      <w:pPr>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年度</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华容县财政投资凭中心评审经费</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项目</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支出绩效自评报告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(一)项目概况。</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华容县财政投资评审中心为华容县财政局下属副科级事业单位，主要职责有：</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1.</w:t>
      </w:r>
      <w:r>
        <w:rPr>
          <w:rFonts w:hint="eastAsia" w:ascii="仿宋_GB2312" w:hAnsi="仿宋" w:eastAsia="仿宋_GB2312" w:cs="宋体"/>
          <w:color w:val="000000" w:themeColor="text1"/>
          <w:kern w:val="0"/>
          <w:sz w:val="28"/>
          <w:szCs w:val="28"/>
          <w:highlight w:val="none"/>
          <w14:textFill>
            <w14:solidFill>
              <w14:schemeClr w14:val="tx1"/>
            </w14:solidFill>
          </w14:textFill>
        </w:rPr>
        <w:t>负责拟订财政投资评审规章制度，建立财政投资评审操作规程和质量考核体系；</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制定和修改评审计价控制标准</w:t>
      </w:r>
      <w:r>
        <w:rPr>
          <w:rFonts w:hint="eastAsia" w:ascii="仿宋_GB2312" w:hAnsi="仿宋" w:eastAsia="仿宋_GB2312" w:cs="宋体"/>
          <w:color w:val="000000" w:themeColor="text1"/>
          <w:kern w:val="0"/>
          <w:sz w:val="28"/>
          <w:szCs w:val="28"/>
          <w:highlight w:val="none"/>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w:t>
      </w:r>
      <w:r>
        <w:rPr>
          <w:rFonts w:hint="eastAsia" w:ascii="仿宋_GB2312" w:hAnsi="仿宋" w:eastAsia="仿宋_GB2312" w:cs="宋体"/>
          <w:color w:val="000000" w:themeColor="text1"/>
          <w:kern w:val="0"/>
          <w:sz w:val="28"/>
          <w:szCs w:val="28"/>
          <w:highlight w:val="none"/>
          <w14:textFill>
            <w14:solidFill>
              <w14:schemeClr w14:val="tx1"/>
            </w14:solidFill>
          </w14:textFill>
        </w:rPr>
        <w:t>负责政府性投资项目的预算</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、招标上限值</w:t>
      </w:r>
      <w:r>
        <w:rPr>
          <w:rFonts w:hint="eastAsia" w:ascii="仿宋_GB2312" w:hAnsi="仿宋" w:eastAsia="仿宋_GB2312" w:cs="宋体"/>
          <w:color w:val="000000" w:themeColor="text1"/>
          <w:kern w:val="0"/>
          <w:sz w:val="28"/>
          <w:szCs w:val="28"/>
          <w:highlight w:val="none"/>
          <w14:textFill>
            <w14:solidFill>
              <w14:schemeClr w14:val="tx1"/>
            </w14:solidFill>
          </w14:textFill>
        </w:rPr>
        <w:t>、竣工决（结）算的评审工作，对政府</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投资</w:t>
      </w:r>
      <w:r>
        <w:rPr>
          <w:rFonts w:hint="eastAsia" w:ascii="仿宋_GB2312" w:hAnsi="仿宋" w:eastAsia="仿宋_GB2312" w:cs="宋体"/>
          <w:color w:val="000000" w:themeColor="text1"/>
          <w:kern w:val="0"/>
          <w:sz w:val="28"/>
          <w:szCs w:val="28"/>
          <w:highlight w:val="none"/>
          <w14:textFill>
            <w14:solidFill>
              <w14:schemeClr w14:val="tx1"/>
            </w14:solidFill>
          </w14:textFill>
        </w:rPr>
        <w:t>项目提出政策建议</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参与</w:t>
      </w:r>
      <w:r>
        <w:rPr>
          <w:rFonts w:hint="eastAsia" w:ascii="仿宋_GB2312" w:hAnsi="仿宋" w:eastAsia="仿宋_GB2312" w:cs="宋体"/>
          <w:color w:val="000000" w:themeColor="text1"/>
          <w:kern w:val="0"/>
          <w:sz w:val="28"/>
          <w:szCs w:val="28"/>
          <w:highlight w:val="none"/>
          <w14:textFill>
            <w14:solidFill>
              <w14:schemeClr w14:val="tx1"/>
            </w14:solidFill>
          </w14:textFill>
        </w:rPr>
        <w:t>具体项目支出标准建设工作，提出完善县本级项目支出标准的意见和建议；</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4.</w:t>
      </w:r>
      <w:r>
        <w:rPr>
          <w:rFonts w:hint="eastAsia" w:ascii="仿宋_GB2312" w:hAnsi="仿宋" w:eastAsia="仿宋_GB2312" w:cs="宋体"/>
          <w:color w:val="000000" w:themeColor="text1"/>
          <w:kern w:val="0"/>
          <w:sz w:val="28"/>
          <w:szCs w:val="28"/>
          <w:highlight w:val="none"/>
          <w14:textFill>
            <w14:solidFill>
              <w14:schemeClr w14:val="tx1"/>
            </w14:solidFill>
          </w14:textFill>
        </w:rPr>
        <w:t>承担部门预算项目审核工作，对县本级部门预算项目的真实性、合理性、准确性进行评估；</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5.</w:t>
      </w:r>
      <w:r>
        <w:rPr>
          <w:rFonts w:hint="eastAsia" w:ascii="仿宋_GB2312" w:hAnsi="仿宋" w:eastAsia="仿宋_GB2312" w:cs="宋体"/>
          <w:color w:val="000000" w:themeColor="text1"/>
          <w:kern w:val="0"/>
          <w:sz w:val="28"/>
          <w:szCs w:val="28"/>
          <w:highlight w:val="none"/>
          <w14:textFill>
            <w14:solidFill>
              <w14:schemeClr w14:val="tx1"/>
            </w14:solidFill>
          </w14:textFill>
        </w:rPr>
        <w:t>参与财政投资项目的初步设计评审、</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概算审核</w:t>
      </w:r>
      <w:r>
        <w:rPr>
          <w:rFonts w:hint="eastAsia" w:ascii="仿宋_GB2312" w:hAnsi="仿宋" w:eastAsia="仿宋_GB2312" w:cs="宋体"/>
          <w:color w:val="000000" w:themeColor="text1"/>
          <w:kern w:val="0"/>
          <w:sz w:val="28"/>
          <w:szCs w:val="28"/>
          <w:highlight w:val="none"/>
          <w14:textFill>
            <w14:solidFill>
              <w14:schemeClr w14:val="tx1"/>
            </w14:solidFill>
          </w14:textFill>
        </w:rPr>
        <w:t>、政府采购和工程招标、工程变更</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现场核查等相关工作</w:t>
      </w:r>
      <w:r>
        <w:rPr>
          <w:rFonts w:hint="eastAsia" w:ascii="仿宋_GB2312" w:hAnsi="仿宋" w:eastAsia="仿宋_GB2312" w:cs="宋体"/>
          <w:color w:val="000000" w:themeColor="text1"/>
          <w:kern w:val="0"/>
          <w:sz w:val="28"/>
          <w:szCs w:val="28"/>
          <w:highlight w:val="none"/>
          <w14:textFill>
            <w14:solidFill>
              <w14:schemeClr w14:val="tx1"/>
            </w14:solidFill>
          </w14:textFill>
        </w:rPr>
        <w:t>；参与财政性投资项目的事前、事中、事后等全过程跟踪评审工作</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6.完成</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县委县政府及</w:t>
      </w:r>
      <w:r>
        <w:rPr>
          <w:rFonts w:hint="eastAsia" w:ascii="仿宋_GB2312" w:hAnsi="仿宋" w:eastAsia="仿宋_GB2312" w:cs="宋体"/>
          <w:color w:val="000000" w:themeColor="text1"/>
          <w:kern w:val="0"/>
          <w:sz w:val="28"/>
          <w:szCs w:val="28"/>
          <w:highlight w:val="none"/>
          <w14:textFill>
            <w14:solidFill>
              <w14:schemeClr w14:val="tx1"/>
            </w14:solidFill>
          </w14:textFill>
        </w:rPr>
        <w:t>财政局交办的其</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他</w:t>
      </w:r>
      <w:r>
        <w:rPr>
          <w:rFonts w:hint="eastAsia" w:ascii="仿宋_GB2312" w:hAnsi="仿宋" w:eastAsia="仿宋_GB2312" w:cs="宋体"/>
          <w:color w:val="000000" w:themeColor="text1"/>
          <w:kern w:val="0"/>
          <w:sz w:val="28"/>
          <w:szCs w:val="28"/>
          <w:highlight w:val="none"/>
          <w14:textFill>
            <w14:solidFill>
              <w14:schemeClr w14:val="tx1"/>
            </w14:solidFill>
          </w14:textFill>
        </w:rPr>
        <w:t>工作。</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(二)项目绩效目标。总体目标</w:t>
      </w:r>
      <w:r>
        <w:rPr>
          <w:rFonts w:hint="eastAsia" w:eastAsia="仿宋_GB2312"/>
          <w:color w:val="000000" w:themeColor="text1"/>
          <w:sz w:val="30"/>
          <w:szCs w:val="30"/>
          <w:lang w:eastAsia="zh-CN"/>
          <w14:textFill>
            <w14:solidFill>
              <w14:schemeClr w14:val="tx1"/>
            </w14:solidFill>
          </w14:textFill>
        </w:rPr>
        <w:t>：</w:t>
      </w:r>
      <w:r>
        <w:rPr>
          <w:rFonts w:hint="eastAsia" w:eastAsia="仿宋_GB2312"/>
          <w:color w:val="000000" w:themeColor="text1"/>
          <w:sz w:val="30"/>
          <w:szCs w:val="30"/>
          <w:lang w:val="en-US" w:eastAsia="zh-CN"/>
          <w14:textFill>
            <w14:solidFill>
              <w14:schemeClr w14:val="tx1"/>
            </w14:solidFill>
          </w14:textFill>
        </w:rPr>
        <w:t>完成政府投资工程项目的预算、结算项目评审工作。</w:t>
      </w:r>
      <w:r>
        <w:rPr>
          <w:rFonts w:hint="eastAsia" w:eastAsia="仿宋_GB2312"/>
          <w:color w:val="000000" w:themeColor="text1"/>
          <w:sz w:val="30"/>
          <w:szCs w:val="30"/>
          <w14:textFill>
            <w14:solidFill>
              <w14:schemeClr w14:val="tx1"/>
            </w14:solidFill>
          </w14:textFill>
        </w:rPr>
        <w:t>阶段性目标</w:t>
      </w:r>
      <w:r>
        <w:rPr>
          <w:rFonts w:hint="eastAsia" w:eastAsia="仿宋_GB2312"/>
          <w:color w:val="000000" w:themeColor="text1"/>
          <w:sz w:val="30"/>
          <w:szCs w:val="30"/>
          <w:lang w:eastAsia="zh-CN"/>
          <w14:textFill>
            <w14:solidFill>
              <w14:schemeClr w14:val="tx1"/>
            </w14:solidFill>
          </w14:textFill>
        </w:rPr>
        <w:t>：</w:t>
      </w:r>
      <w:r>
        <w:rPr>
          <w:rFonts w:hint="eastAsia" w:eastAsia="仿宋_GB2312"/>
          <w:color w:val="000000" w:themeColor="text1"/>
          <w:sz w:val="30"/>
          <w:szCs w:val="30"/>
          <w:lang w:val="en-US" w:eastAsia="zh-CN"/>
          <w14:textFill>
            <w14:solidFill>
              <w14:schemeClr w14:val="tx1"/>
            </w14:solidFill>
          </w14:textFill>
        </w:rPr>
        <w:t>电子卖场采购工程造价咨询服务，完成政府性投资工程项目的预算、结算评审初审工作。其中</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“评审中心咨询服务费”是指委托劳务费，属财政专项资金。截止</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2022年12月31日，委托劳务种类有：预算审核、结算审核，受托的预、结算审核单位有：</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湖南大为工程咨询有限公司、湖南银华工程咨询有限公司、湖南创译达工程项目管理有限公司、永明项目管理有限公司、湖南恒立工程项目管理有限公司、湖南建德工程造价咨询有限公司、湖南天辉工程项目管理有限公司等</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23家单位。</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eastAsia="仿宋_GB2312"/>
          <w:color w:val="000000" w:themeColor="text1"/>
          <w:sz w:val="30"/>
          <w:szCs w:val="30"/>
          <w14:textFill>
            <w14:solidFill>
              <w14:schemeClr w14:val="tx1"/>
            </w14:solidFill>
          </w14:textFill>
        </w:rPr>
        <w:t>(一)绩效评价目的、对象和范围。</w:t>
      </w:r>
      <w:r>
        <w:rPr>
          <w:rFonts w:hint="eastAsia" w:eastAsia="仿宋_GB2312"/>
          <w:color w:val="000000" w:themeColor="text1"/>
          <w:sz w:val="30"/>
          <w:szCs w:val="30"/>
          <w:lang w:val="en-US" w:eastAsia="zh-CN"/>
          <w14:textFill>
            <w14:solidFill>
              <w14:schemeClr w14:val="tx1"/>
            </w14:solidFill>
          </w14:textFill>
        </w:rPr>
        <w:t>绩效评</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价目的：保证我县政府性投资项目的招标上限值及结算价评审工作的开展；地材价格及特殊项目外出询价；保证单位经费正常运转，日常工作顺利。对象和范围：县财政投资评审中心工作开展情况及聘请的第三方中介机构服务质量。</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lang w:val="en-US" w:eastAsia="zh-CN"/>
          <w14:textFill>
            <w14:solidFill>
              <w14:schemeClr w14:val="tx1"/>
            </w14:solidFill>
          </w14:textFill>
        </w:rPr>
      </w:pPr>
      <w:r>
        <w:rPr>
          <w:rFonts w:hint="eastAsia" w:eastAsia="仿宋_GB2312"/>
          <w:color w:val="000000" w:themeColor="text1"/>
          <w:sz w:val="30"/>
          <w:szCs w:val="30"/>
          <w14:textFill>
            <w14:solidFill>
              <w14:schemeClr w14:val="tx1"/>
            </w14:solidFill>
          </w14:textFill>
        </w:rPr>
        <w:t>(二)绩效评价原则、评价指标体系(附表说明)、评价方法、评价标准等。</w:t>
      </w:r>
      <w:r>
        <w:rPr>
          <w:rFonts w:hint="eastAsia" w:eastAsia="仿宋_GB2312"/>
          <w:color w:val="000000" w:themeColor="text1"/>
          <w:sz w:val="30"/>
          <w:szCs w:val="30"/>
          <w:lang w:val="en-US" w:eastAsia="zh-CN"/>
          <w14:textFill>
            <w14:solidFill>
              <w14:schemeClr w14:val="tx1"/>
            </w14:solidFill>
          </w14:textFill>
        </w:rPr>
        <w:t>县财政投资评审中心严格</w:t>
      </w:r>
      <w:r>
        <w:rPr>
          <w:rFonts w:hint="eastAsia" w:eastAsia="仿宋_GB2312"/>
          <w:color w:val="000000" w:themeColor="text1"/>
          <w:sz w:val="30"/>
          <w:szCs w:val="30"/>
          <w14:textFill>
            <w14:solidFill>
              <w14:schemeClr w14:val="tx1"/>
            </w14:solidFill>
          </w14:textFill>
        </w:rPr>
        <w:t>遵循“客观、公平、公正”评审原则，实事求是，努力践行“不唯增、不唯减、只唯实”的财政投资评审理念</w:t>
      </w:r>
      <w:r>
        <w:rPr>
          <w:rFonts w:hint="eastAsia" w:eastAsia="仿宋_GB2312"/>
          <w:color w:val="000000" w:themeColor="text1"/>
          <w:sz w:val="30"/>
          <w:szCs w:val="30"/>
          <w:lang w:eastAsia="zh-CN"/>
          <w14:textFill>
            <w14:solidFill>
              <w14:schemeClr w14:val="tx1"/>
            </w14:solidFill>
          </w14:textFill>
        </w:rPr>
        <w:t>，</w:t>
      </w:r>
      <w:r>
        <w:rPr>
          <w:rFonts w:hint="eastAsia" w:eastAsia="仿宋_GB2312"/>
          <w:color w:val="000000" w:themeColor="text1"/>
          <w:sz w:val="30"/>
          <w:szCs w:val="30"/>
          <w:lang w:val="en-US" w:eastAsia="zh-CN"/>
          <w14:textFill>
            <w14:solidFill>
              <w14:schemeClr w14:val="tx1"/>
            </w14:solidFill>
          </w14:textFill>
        </w:rPr>
        <w:t>在采购工程造价咨询服务过程中，坚持“严格程序，确保公平”的原则，严格甄选第三方机构。</w:t>
      </w:r>
    </w:p>
    <w:p>
      <w:pPr>
        <w:widowControl/>
        <w:numPr>
          <w:ilvl w:val="0"/>
          <w:numId w:val="0"/>
        </w:numPr>
        <w:spacing w:line="600" w:lineRule="exact"/>
        <w:ind w:firstLine="600" w:firstLineChars="200"/>
        <w:jc w:val="left"/>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(三)绩效评价工作过程。</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成立由杜云等</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w:t>
      </w:r>
      <w:r>
        <w:rPr>
          <w:rFonts w:hint="eastAsia" w:ascii="仿宋_GB2312" w:hAnsi="仿宋" w:eastAsia="仿宋_GB2312" w:cs="宋体"/>
          <w:color w:val="000000" w:themeColor="text1"/>
          <w:kern w:val="0"/>
          <w:sz w:val="28"/>
          <w:szCs w:val="28"/>
          <w:highlight w:val="none"/>
          <w:lang w:eastAsia="zh-CN"/>
          <w14:textFill>
            <w14:solidFill>
              <w14:schemeClr w14:val="tx1"/>
            </w14:solidFill>
          </w14:textFill>
        </w:rPr>
        <w:t>人组成的领导小组，分工负责协调实施各项具体工作，在委托投资评审经费实施前，制定年度工作计划，实施后，对项目进行检查总结，对委托评审单位签订合同，按照合同规定双方共同遵守执行。</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三、综合评价情况及评价结论</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bidi="ar-SA"/>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2022年全年共委托咨询公司完成了115个项目（送审金额15.25亿元）的初评审，每个项目均通过预、结算先评审，后支付的机制，并与相关单位及时对接核算，提高资金使用的规范性和有效性，使得评审工作稳定健康发展，保证项目完成质量良好。项目资金到位及时，资金使用按计划执行，项目的组织和管理基本有效，项目的预期绩效基本实现，总体评级优秀。</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四、绩效评价指标分析</w:t>
      </w:r>
    </w:p>
    <w:p>
      <w:pPr>
        <w:numPr>
          <w:ilvl w:val="0"/>
          <w:numId w:val="0"/>
        </w:numPr>
        <w:ind w:firstLine="600" w:firstLineChars="200"/>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(一)项目决策情况。</w:t>
      </w:r>
      <w:r>
        <w:rPr>
          <w:rFonts w:hint="eastAsia" w:eastAsia="仿宋_GB2312"/>
          <w:color w:val="000000" w:themeColor="text1"/>
          <w:sz w:val="30"/>
          <w:szCs w:val="30"/>
          <w:lang w:val="en-US" w:eastAsia="zh-CN"/>
          <w14:textFill>
            <w14:solidFill>
              <w14:schemeClr w14:val="tx1"/>
            </w14:solidFill>
          </w14:textFill>
        </w:rPr>
        <w:t>每个送审</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项目按照项目专业类别和三定方案工作要求逐步进行，计划目标全部超额完成，为财政部门参与政府投资项目管理提供了技术保障，并获得了相关单位的认可。</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(二)项目过程情况。</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项目按照工作要求逐步进行，计划目标全部超额完成，为财政部门参与政府投资项目管理提供了技术保障，并获得了相关单位的认可。</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(三)项目产出情况。</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2022年全年委托咨询公司完成了114个项目，送审金额17.29亿元，审定金额14.45亿元，审减不合理资金2.84亿元。其中预算送审金额11.55亿元，审定金额9.51亿元，审减不合理资金2.04亿元；结算送审金额5.74亿元，审定金额4.94亿元，审减不合理资金0.8亿元。</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(四)项目效益情况。</w:t>
      </w: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以少量的评审服务费投入（约占送审金额的1.97‰），节约了2.84亿元的财政资金，确保了政府项目投资资金15.25亿元合理有效的使用，加强了项目在预算造价阶段的监管和控制，降低了项目建设成本，促进了财政投资效益最大化。</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五、主要经验及做法、存在的问题及原因分析</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1.机构组织健全，人员分工明确；</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2.制定实施计划，严格按计划执行；</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3.严格遵守规定。项目资金的使用符合程序，会计核算规范客观，并严格按照财政专项资金管理相关规定执行；</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4.绩效指标体系不完善，有待加强；</w:t>
      </w:r>
    </w:p>
    <w:p>
      <w:pPr>
        <w:pStyle w:val="2"/>
        <w:ind w:firstLine="560" w:firstLineChars="200"/>
        <w:rPr>
          <w:rFonts w:hint="eastAsia"/>
          <w:color w:val="000000" w:themeColor="text1"/>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5.转变思想，加快绩效评价结果应用。</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0"/>
          <w:szCs w:val="30"/>
          <w:lang w:eastAsia="zh-CN"/>
          <w14:textFill>
            <w14:solidFill>
              <w14:schemeClr w14:val="tx1"/>
            </w14:solidFill>
          </w14:textFill>
        </w:rPr>
        <w:t>六</w:t>
      </w:r>
      <w:r>
        <w:rPr>
          <w:rFonts w:hint="eastAsia" w:ascii="黑体" w:hAnsi="黑体" w:eastAsia="黑体" w:cs="黑体"/>
          <w:color w:val="000000" w:themeColor="text1"/>
          <w:sz w:val="30"/>
          <w:szCs w:val="30"/>
          <w14:textFill>
            <w14:solidFill>
              <w14:schemeClr w14:val="tx1"/>
            </w14:solidFill>
          </w14:textFill>
        </w:rPr>
        <w:t>、其他需要说明的问题</w:t>
      </w:r>
    </w:p>
    <w:p>
      <w:pPr>
        <w:numPr>
          <w:ilvl w:val="0"/>
          <w:numId w:val="0"/>
        </w:numPr>
        <w:ind w:firstLine="560" w:firstLineChars="200"/>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仿宋" w:eastAsia="仿宋_GB2312" w:cs="宋体"/>
          <w:color w:val="000000" w:themeColor="text1"/>
          <w:kern w:val="0"/>
          <w:sz w:val="28"/>
          <w:szCs w:val="28"/>
          <w:highlight w:val="none"/>
          <w:lang w:val="en-US" w:eastAsia="zh-CN"/>
          <w14:textFill>
            <w14:solidFill>
              <w14:schemeClr w14:val="tx1"/>
            </w14:solidFill>
          </w14:textFill>
        </w:rPr>
        <w:t>无。</w:t>
      </w:r>
    </w:p>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TYxZTFmYzhkZWQ5YWYyMDVhZjk1ODM0NTc5M2QifQ=="/>
  </w:docVars>
  <w:rsids>
    <w:rsidRoot w:val="5C1D58DE"/>
    <w:rsid w:val="03A5507D"/>
    <w:rsid w:val="17A71B83"/>
    <w:rsid w:val="274822A4"/>
    <w:rsid w:val="5C1D58DE"/>
    <w:rsid w:val="640D6BEF"/>
    <w:rsid w:val="668B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3971</Words>
  <Characters>4236</Characters>
  <Lines>0</Lines>
  <Paragraphs>0</Paragraphs>
  <TotalTime>11</TotalTime>
  <ScaleCrop>false</ScaleCrop>
  <LinksUpToDate>false</LinksUpToDate>
  <CharactersWithSpaces>4273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2023-07-17T03:17:00Z</dcterms:created>
  <dc:creator>嘣啵啦哒哒哒哒</dc:creator>
  <cp:lastModifiedBy>雨中人</cp:lastModifiedBy>
  <cp:lastPrinted>2023-07-19T00:33:00Z</cp:lastPrinted>
  <dcterms:modified xsi:type="dcterms:W3CDTF">2023-07-19T02:04:37Z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6E53F12A814249FDAA18C8568E1AE17E_11</vt:lpwstr>
  </property>
</Properties>
</file>