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6"/>
        <w:ind w:firstLine="640"/>
        <w:rPr>
          <w:rFonts w:hint="eastAsia" w:eastAsia="宋体"/>
          <w:color w:val="auto"/>
          <w:highlight w:val="none"/>
          <w:lang w:val="en-US" w:eastAsia="zh-CN"/>
        </w:rPr>
      </w:pPr>
    </w:p>
    <w:p>
      <w:pPr>
        <w:rPr>
          <w:color w:val="auto"/>
          <w:highlight w:val="none"/>
        </w:rPr>
      </w:pPr>
    </w:p>
    <w:p>
      <w:pPr>
        <w:rPr>
          <w:color w:val="auto"/>
          <w:highlight w:val="none"/>
        </w:rPr>
      </w:pPr>
    </w:p>
    <w:p>
      <w:pPr>
        <w:rPr>
          <w:rFonts w:hint="eastAsia"/>
          <w:color w:val="auto"/>
          <w:highlight w:val="none"/>
        </w:rPr>
      </w:pPr>
    </w:p>
    <w:p>
      <w:pPr>
        <w:jc w:val="center"/>
        <w:rPr>
          <w:rFonts w:hint="eastAsia"/>
          <w:b/>
          <w:bCs/>
          <w:color w:val="auto"/>
          <w:sz w:val="72"/>
          <w:szCs w:val="72"/>
          <w:highlight w:val="none"/>
        </w:rPr>
      </w:pPr>
      <w:r>
        <w:rPr>
          <w:rFonts w:hint="eastAsia"/>
          <w:b/>
          <w:bCs/>
          <w:color w:val="auto"/>
          <w:sz w:val="72"/>
          <w:szCs w:val="72"/>
          <w:highlight w:val="none"/>
        </w:rPr>
        <w:t>建设项目环境影响报告表</w:t>
      </w:r>
    </w:p>
    <w:p>
      <w:pPr>
        <w:adjustRightInd w:val="0"/>
        <w:snapToGrid w:val="0"/>
        <w:spacing w:before="249" w:beforeLines="80"/>
        <w:jc w:val="center"/>
        <w:rPr>
          <w:rFonts w:hint="eastAsia" w:ascii="楷体_GB2312" w:eastAsia="楷体_GB2312"/>
          <w:bCs/>
          <w:color w:val="auto"/>
          <w:sz w:val="48"/>
          <w:szCs w:val="48"/>
          <w:highlight w:val="none"/>
        </w:rPr>
      </w:pPr>
      <w:r>
        <w:rPr>
          <w:rFonts w:hint="eastAsia" w:ascii="楷体_GB2312" w:eastAsia="楷体_GB2312"/>
          <w:bCs/>
          <w:color w:val="auto"/>
          <w:sz w:val="48"/>
          <w:szCs w:val="48"/>
          <w:highlight w:val="none"/>
        </w:rPr>
        <w:t>（污染影响类）</w:t>
      </w:r>
    </w:p>
    <w:p>
      <w:pPr>
        <w:rPr>
          <w:color w:val="auto"/>
          <w:highlight w:val="none"/>
        </w:rPr>
      </w:pPr>
    </w:p>
    <w:p>
      <w:pPr>
        <w:rPr>
          <w:color w:val="auto"/>
          <w:highlight w:val="none"/>
        </w:rPr>
      </w:pPr>
    </w:p>
    <w:p>
      <w:pPr>
        <w:rPr>
          <w:rFonts w:hint="eastAsia"/>
          <w:color w:val="auto"/>
          <w:highlight w:val="none"/>
        </w:rPr>
      </w:pPr>
    </w:p>
    <w:p>
      <w:pPr>
        <w:tabs>
          <w:tab w:val="left" w:pos="3280"/>
        </w:tabs>
        <w:rPr>
          <w:rFonts w:hint="eastAsia"/>
          <w:color w:val="auto"/>
          <w:highlight w:val="none"/>
        </w:rPr>
      </w:pPr>
      <w:r>
        <w:rPr>
          <w:rFonts w:hint="eastAsia"/>
          <w:color w:val="auto"/>
          <w:highlight w:val="none"/>
        </w:rPr>
        <w:tab/>
      </w: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tabs>
          <w:tab w:val="left" w:pos="3280"/>
        </w:tabs>
        <w:rPr>
          <w:rFonts w:hint="eastAsia"/>
          <w:color w:val="auto"/>
          <w:highlight w:val="none"/>
        </w:rPr>
      </w:pPr>
    </w:p>
    <w:p>
      <w:pPr>
        <w:adjustRightInd w:val="0"/>
        <w:snapToGrid w:val="0"/>
        <w:spacing w:line="288" w:lineRule="auto"/>
        <w:ind w:left="2880" w:hanging="2880" w:hangingChars="800"/>
        <w:rPr>
          <w:rFonts w:hint="eastAsia" w:ascii="仿宋_GB2312" w:eastAsia="仿宋_GB2312"/>
          <w:b w:val="0"/>
          <w:bCs w:val="0"/>
          <w:color w:val="auto"/>
          <w:sz w:val="36"/>
          <w:szCs w:val="36"/>
          <w:highlight w:val="none"/>
          <w:u w:val="single"/>
        </w:rPr>
      </w:pPr>
      <w:r>
        <w:rPr>
          <w:rFonts w:hint="eastAsia" w:ascii="仿宋_GB2312" w:eastAsia="仿宋_GB2312"/>
          <w:b w:val="0"/>
          <w:bCs w:val="0"/>
          <w:color w:val="auto"/>
          <w:sz w:val="36"/>
          <w:szCs w:val="36"/>
          <w:highlight w:val="none"/>
        </w:rPr>
        <w:t>项目名称：</w:t>
      </w:r>
      <w:r>
        <w:rPr>
          <w:rFonts w:hint="eastAsia" w:ascii="仿宋_GB2312" w:eastAsia="仿宋_GB2312"/>
          <w:b w:val="0"/>
          <w:bCs w:val="0"/>
          <w:color w:val="auto"/>
          <w:sz w:val="36"/>
          <w:szCs w:val="36"/>
          <w:highlight w:val="none"/>
          <w:u w:val="single"/>
          <w:lang w:val="en-US" w:eastAsia="zh-CN"/>
        </w:rPr>
        <w:t xml:space="preserve">   </w:t>
      </w:r>
      <w:r>
        <w:rPr>
          <w:rFonts w:hint="eastAsia" w:ascii="仿宋_GB2312" w:hAnsi="Times New Roman" w:eastAsia="仿宋_GB2312" w:cs="Times New Roman"/>
          <w:b w:val="0"/>
          <w:bCs w:val="0"/>
          <w:color w:val="auto"/>
          <w:sz w:val="36"/>
          <w:szCs w:val="36"/>
          <w:highlight w:val="none"/>
          <w:u w:val="single"/>
          <w:lang w:val="en-US" w:eastAsia="zh-CN"/>
        </w:rPr>
        <w:t>再生资源废品回收加工建设项目</w:t>
      </w:r>
      <w:r>
        <w:rPr>
          <w:rFonts w:hint="eastAsia" w:ascii="仿宋_GB2312" w:hAnsi="Times New Roman" w:eastAsia="仿宋_GB2312" w:cs="Times New Roman"/>
          <w:b w:val="0"/>
          <w:bCs w:val="0"/>
          <w:color w:val="auto"/>
          <w:sz w:val="36"/>
          <w:szCs w:val="36"/>
          <w:highlight w:val="none"/>
          <w:u w:val="single"/>
        </w:rPr>
        <w:t xml:space="preserve">   </w:t>
      </w:r>
      <w:r>
        <w:rPr>
          <w:rFonts w:hint="eastAsia" w:ascii="仿宋_GB2312" w:eastAsia="仿宋_GB2312"/>
          <w:b w:val="0"/>
          <w:bCs w:val="0"/>
          <w:color w:val="auto"/>
          <w:sz w:val="36"/>
          <w:szCs w:val="36"/>
          <w:highlight w:val="none"/>
          <w:u w:val="single"/>
        </w:rPr>
        <w:t xml:space="preserve"> </w:t>
      </w:r>
      <w:r>
        <w:rPr>
          <w:rFonts w:hint="eastAsia" w:ascii="仿宋_GB2312" w:eastAsia="仿宋_GB2312"/>
          <w:b w:val="0"/>
          <w:bCs w:val="0"/>
          <w:color w:val="auto"/>
          <w:sz w:val="36"/>
          <w:szCs w:val="36"/>
          <w:highlight w:val="none"/>
          <w:u w:val="none"/>
        </w:rPr>
        <w:t xml:space="preserve">         </w:t>
      </w:r>
      <w:r>
        <w:rPr>
          <w:rFonts w:hint="eastAsia" w:ascii="仿宋_GB2312" w:eastAsia="仿宋_GB2312"/>
          <w:b w:val="0"/>
          <w:bCs w:val="0"/>
          <w:color w:val="auto"/>
          <w:sz w:val="36"/>
          <w:szCs w:val="36"/>
          <w:highlight w:val="none"/>
          <w:u w:val="single"/>
        </w:rPr>
        <w:t xml:space="preserve">                   </w:t>
      </w:r>
    </w:p>
    <w:p>
      <w:pPr>
        <w:adjustRightInd w:val="0"/>
        <w:snapToGrid w:val="0"/>
        <w:spacing w:line="288" w:lineRule="auto"/>
        <w:rPr>
          <w:rFonts w:ascii="仿宋_GB2312" w:eastAsia="仿宋_GB2312"/>
          <w:b w:val="0"/>
          <w:bCs w:val="0"/>
          <w:color w:val="auto"/>
          <w:sz w:val="36"/>
          <w:szCs w:val="36"/>
          <w:highlight w:val="none"/>
          <w:u w:val="single"/>
        </w:rPr>
      </w:pPr>
      <w:r>
        <w:rPr>
          <w:rFonts w:hint="eastAsia" w:ascii="仿宋_GB2312" w:eastAsia="仿宋_GB2312"/>
          <w:b w:val="0"/>
          <w:bCs w:val="0"/>
          <w:color w:val="auto"/>
          <w:sz w:val="36"/>
          <w:szCs w:val="36"/>
          <w:highlight w:val="none"/>
        </w:rPr>
        <w:t>建设单位（盖章）：</w:t>
      </w:r>
      <w:r>
        <w:rPr>
          <w:rFonts w:hint="eastAsia" w:ascii="仿宋_GB2312" w:hAnsi="Times New Roman" w:eastAsia="仿宋_GB2312" w:cs="Times New Roman"/>
          <w:b w:val="0"/>
          <w:bCs w:val="0"/>
          <w:color w:val="auto"/>
          <w:sz w:val="36"/>
          <w:szCs w:val="36"/>
          <w:highlight w:val="none"/>
          <w:u w:val="single"/>
          <w:lang w:val="en-US" w:eastAsia="zh-CN"/>
        </w:rPr>
        <w:t>华容县华腾塑料厂</w:t>
      </w:r>
      <w:r>
        <w:rPr>
          <w:rFonts w:hint="eastAsia" w:ascii="仿宋_GB2312" w:eastAsia="仿宋_GB2312"/>
          <w:b w:val="0"/>
          <w:bCs w:val="0"/>
          <w:color w:val="auto"/>
          <w:sz w:val="36"/>
          <w:szCs w:val="36"/>
          <w:highlight w:val="none"/>
          <w:u w:val="single"/>
        </w:rPr>
        <w:t xml:space="preserve"> </w:t>
      </w:r>
    </w:p>
    <w:p>
      <w:pPr>
        <w:adjustRightInd w:val="0"/>
        <w:snapToGrid w:val="0"/>
        <w:spacing w:line="288" w:lineRule="auto"/>
        <w:rPr>
          <w:rFonts w:hint="eastAsia" w:ascii="仿宋_GB2312" w:eastAsia="仿宋_GB2312"/>
          <w:color w:val="auto"/>
          <w:sz w:val="36"/>
          <w:szCs w:val="36"/>
          <w:highlight w:val="none"/>
          <w:u w:val="single"/>
        </w:rPr>
      </w:pPr>
      <w:r>
        <w:rPr>
          <w:rFonts w:hint="eastAsia" w:ascii="仿宋_GB2312" w:eastAsia="仿宋_GB2312"/>
          <w:b w:val="0"/>
          <w:bCs w:val="0"/>
          <w:color w:val="auto"/>
          <w:sz w:val="36"/>
          <w:szCs w:val="36"/>
          <w:highlight w:val="none"/>
        </w:rPr>
        <w:t>编制日期：</w:t>
      </w:r>
      <w:r>
        <w:rPr>
          <w:rFonts w:hint="eastAsia" w:ascii="仿宋_GB2312" w:eastAsia="仿宋_GB2312"/>
          <w:b w:val="0"/>
          <w:bCs w:val="0"/>
          <w:color w:val="auto"/>
          <w:sz w:val="36"/>
          <w:szCs w:val="36"/>
          <w:highlight w:val="none"/>
          <w:u w:val="single"/>
        </w:rPr>
        <w:t xml:space="preserve"> </w:t>
      </w:r>
      <w:r>
        <w:rPr>
          <w:rFonts w:ascii="仿宋_GB2312" w:eastAsia="仿宋_GB2312"/>
          <w:b w:val="0"/>
          <w:bCs w:val="0"/>
          <w:color w:val="auto"/>
          <w:sz w:val="36"/>
          <w:szCs w:val="36"/>
          <w:highlight w:val="none"/>
          <w:u w:val="single"/>
        </w:rPr>
        <w:t xml:space="preserve">   </w:t>
      </w:r>
      <w:r>
        <w:rPr>
          <w:rFonts w:hint="eastAsia" w:ascii="仿宋_GB2312" w:eastAsia="仿宋_GB2312"/>
          <w:b w:val="0"/>
          <w:bCs w:val="0"/>
          <w:color w:val="auto"/>
          <w:sz w:val="36"/>
          <w:szCs w:val="36"/>
          <w:highlight w:val="none"/>
          <w:u w:val="single"/>
          <w:lang w:val="en-US" w:eastAsia="zh-CN"/>
        </w:rPr>
        <w:t xml:space="preserve">       </w:t>
      </w:r>
      <w:r>
        <w:rPr>
          <w:rFonts w:hint="eastAsia" w:ascii="仿宋_GB2312" w:eastAsia="仿宋_GB2312"/>
          <w:b w:val="0"/>
          <w:bCs w:val="0"/>
          <w:color w:val="auto"/>
          <w:sz w:val="36"/>
          <w:szCs w:val="36"/>
          <w:highlight w:val="none"/>
          <w:u w:val="single"/>
        </w:rPr>
        <w:t>202</w:t>
      </w:r>
      <w:r>
        <w:rPr>
          <w:rFonts w:hint="eastAsia" w:ascii="仿宋_GB2312" w:eastAsia="仿宋_GB2312"/>
          <w:b w:val="0"/>
          <w:bCs w:val="0"/>
          <w:color w:val="auto"/>
          <w:sz w:val="36"/>
          <w:szCs w:val="36"/>
          <w:highlight w:val="none"/>
          <w:u w:val="single"/>
          <w:lang w:val="en-US" w:eastAsia="zh-CN"/>
        </w:rPr>
        <w:t>3</w:t>
      </w:r>
      <w:r>
        <w:rPr>
          <w:rFonts w:hint="eastAsia" w:ascii="仿宋_GB2312" w:eastAsia="仿宋_GB2312"/>
          <w:b w:val="0"/>
          <w:bCs w:val="0"/>
          <w:color w:val="auto"/>
          <w:sz w:val="36"/>
          <w:szCs w:val="36"/>
          <w:highlight w:val="none"/>
          <w:u w:val="single"/>
        </w:rPr>
        <w:t>年</w:t>
      </w:r>
      <w:r>
        <w:rPr>
          <w:rFonts w:hint="eastAsia" w:ascii="仿宋_GB2312" w:eastAsia="仿宋_GB2312"/>
          <w:b w:val="0"/>
          <w:bCs w:val="0"/>
          <w:color w:val="auto"/>
          <w:sz w:val="36"/>
          <w:szCs w:val="36"/>
          <w:highlight w:val="none"/>
          <w:u w:val="single"/>
          <w:lang w:val="en-US" w:eastAsia="zh-CN"/>
        </w:rPr>
        <w:t>7</w:t>
      </w:r>
      <w:r>
        <w:rPr>
          <w:rFonts w:hint="eastAsia" w:ascii="仿宋_GB2312" w:eastAsia="仿宋_GB2312"/>
          <w:b w:val="0"/>
          <w:bCs w:val="0"/>
          <w:color w:val="auto"/>
          <w:sz w:val="36"/>
          <w:szCs w:val="36"/>
          <w:highlight w:val="none"/>
          <w:u w:val="single"/>
        </w:rPr>
        <w:t>月</w:t>
      </w:r>
      <w:r>
        <w:rPr>
          <w:rFonts w:ascii="仿宋_GB2312" w:eastAsia="仿宋_GB2312"/>
          <w:b w:val="0"/>
          <w:bCs w:val="0"/>
          <w:color w:val="auto"/>
          <w:sz w:val="36"/>
          <w:szCs w:val="36"/>
          <w:highlight w:val="none"/>
          <w:u w:val="single"/>
        </w:rPr>
        <w:t xml:space="preserve">       </w:t>
      </w:r>
      <w:r>
        <w:rPr>
          <w:rFonts w:hint="eastAsia" w:ascii="仿宋_GB2312" w:eastAsia="仿宋_GB2312"/>
          <w:b w:val="0"/>
          <w:bCs w:val="0"/>
          <w:color w:val="auto"/>
          <w:sz w:val="36"/>
          <w:szCs w:val="36"/>
          <w:highlight w:val="none"/>
          <w:u w:val="single"/>
          <w:lang w:val="en-US" w:eastAsia="zh-CN"/>
        </w:rPr>
        <w:t xml:space="preserve">    </w:t>
      </w:r>
      <w:r>
        <w:rPr>
          <w:rFonts w:ascii="仿宋_GB2312" w:eastAsia="仿宋_GB2312"/>
          <w:b w:val="0"/>
          <w:bCs w:val="0"/>
          <w:color w:val="auto"/>
          <w:sz w:val="36"/>
          <w:szCs w:val="36"/>
          <w:highlight w:val="none"/>
          <w:u w:val="single"/>
        </w:rPr>
        <w:t xml:space="preserve"> </w:t>
      </w:r>
      <w:r>
        <w:rPr>
          <w:rFonts w:ascii="仿宋_GB2312" w:eastAsia="仿宋_GB2312"/>
          <w:b w:val="0"/>
          <w:bCs w:val="0"/>
          <w:color w:val="auto"/>
          <w:sz w:val="36"/>
          <w:szCs w:val="36"/>
          <w:highlight w:val="none"/>
          <w:u w:val="none"/>
        </w:rPr>
        <w:t xml:space="preserve"> </w:t>
      </w:r>
      <w:r>
        <w:rPr>
          <w:rFonts w:ascii="仿宋_GB2312" w:eastAsia="仿宋_GB2312"/>
          <w:color w:val="auto"/>
          <w:sz w:val="36"/>
          <w:szCs w:val="36"/>
          <w:highlight w:val="none"/>
          <w:u w:val="none"/>
        </w:rPr>
        <w:t xml:space="preserve">             </w:t>
      </w:r>
      <w:r>
        <w:rPr>
          <w:rFonts w:hint="eastAsia" w:ascii="仿宋_GB2312" w:eastAsia="仿宋_GB2312"/>
          <w:color w:val="auto"/>
          <w:sz w:val="36"/>
          <w:szCs w:val="36"/>
          <w:highlight w:val="none"/>
          <w:u w:val="none"/>
        </w:rPr>
        <w:t xml:space="preserve"> </w:t>
      </w:r>
      <w:r>
        <w:rPr>
          <w:rFonts w:hint="eastAsia" w:ascii="仿宋_GB2312" w:eastAsia="仿宋_GB2312"/>
          <w:color w:val="auto"/>
          <w:sz w:val="36"/>
          <w:szCs w:val="36"/>
          <w:highlight w:val="none"/>
          <w:u w:val="single"/>
        </w:rPr>
        <w:t xml:space="preserve">       </w:t>
      </w:r>
    </w:p>
    <w:p>
      <w:pPr>
        <w:adjustRightInd w:val="0"/>
        <w:snapToGrid w:val="0"/>
        <w:spacing w:line="288" w:lineRule="auto"/>
        <w:ind w:firstLine="1040"/>
        <w:rPr>
          <w:rFonts w:ascii="仿宋_GB2312" w:eastAsia="仿宋_GB2312"/>
          <w:color w:val="auto"/>
          <w:sz w:val="36"/>
          <w:szCs w:val="36"/>
          <w:highlight w:val="none"/>
        </w:rPr>
      </w:pPr>
      <w:bookmarkStart w:id="0" w:name="_Hlk57884087"/>
    </w:p>
    <w:p>
      <w:pPr>
        <w:adjustRightInd w:val="0"/>
        <w:snapToGrid w:val="0"/>
        <w:spacing w:line="288" w:lineRule="auto"/>
        <w:ind w:firstLine="1040"/>
        <w:rPr>
          <w:rFonts w:ascii="仿宋_GB2312" w:eastAsia="仿宋_GB2312"/>
          <w:color w:val="auto"/>
          <w:sz w:val="36"/>
          <w:szCs w:val="36"/>
          <w:highlight w:val="none"/>
        </w:rPr>
      </w:pPr>
    </w:p>
    <w:p>
      <w:pPr>
        <w:adjustRightInd w:val="0"/>
        <w:snapToGrid w:val="0"/>
        <w:spacing w:line="288" w:lineRule="auto"/>
        <w:ind w:firstLine="1040"/>
        <w:rPr>
          <w:rFonts w:hint="eastAsia" w:ascii="仿宋_GB2312" w:eastAsia="仿宋_GB2312"/>
          <w:color w:val="auto"/>
          <w:sz w:val="36"/>
          <w:szCs w:val="36"/>
          <w:highlight w:val="none"/>
        </w:rPr>
      </w:pPr>
    </w:p>
    <w:bookmarkEnd w:id="0"/>
    <w:p>
      <w:pPr>
        <w:adjustRightInd w:val="0"/>
        <w:snapToGrid w:val="0"/>
        <w:spacing w:line="288" w:lineRule="auto"/>
        <w:jc w:val="center"/>
        <w:rPr>
          <w:rFonts w:hint="eastAsia" w:ascii="楷体_GB2312" w:eastAsia="楷体_GB2312"/>
          <w:color w:val="auto"/>
          <w:sz w:val="36"/>
          <w:szCs w:val="36"/>
          <w:highlight w:val="none"/>
        </w:rPr>
      </w:pPr>
      <w:r>
        <w:rPr>
          <w:rFonts w:hint="eastAsia" w:ascii="楷体_GB2312" w:eastAsia="楷体_GB2312"/>
          <w:color w:val="auto"/>
          <w:sz w:val="36"/>
          <w:szCs w:val="36"/>
          <w:highlight w:val="none"/>
        </w:rPr>
        <w:t>中华人民共和国生态环境部制</w:t>
      </w:r>
    </w:p>
    <w:p>
      <w:pPr>
        <w:rPr>
          <w:color w:val="auto"/>
          <w:highlight w:val="none"/>
        </w:rPr>
        <w:sectPr>
          <w:pgSz w:w="11906" w:h="16838"/>
          <w:pgMar w:top="1440" w:right="1800" w:bottom="1440" w:left="1800" w:header="851" w:footer="992" w:gutter="0"/>
          <w:cols w:space="425" w:num="1"/>
          <w:docGrid w:type="lines" w:linePitch="312" w:charSpace="0"/>
        </w:sectPr>
      </w:pPr>
    </w:p>
    <w:p>
      <w:pPr>
        <w:rPr>
          <w:rFonts w:hint="eastAsia" w:eastAsiaTheme="minorEastAsia"/>
          <w:lang w:eastAsia="zh-CN"/>
        </w:rPr>
      </w:pPr>
    </w:p>
    <w:p>
      <w:pPr>
        <w:pStyle w:val="6"/>
        <w:ind w:left="0" w:leftChars="0" w:firstLine="0" w:firstLineChars="0"/>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inline distT="0" distB="0" distL="114300" distR="114300">
            <wp:extent cx="5802630" cy="8126730"/>
            <wp:effectExtent l="0" t="0" r="7620" b="7620"/>
            <wp:docPr id="5" name="图片 5" descr="55f43924ba6586d47786c5b8264e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55f43924ba6586d47786c5b8264e244"/>
                    <pic:cNvPicPr>
                      <a:picLocks noChangeAspect="1"/>
                    </pic:cNvPicPr>
                  </pic:nvPicPr>
                  <pic:blipFill>
                    <a:blip r:embed="rId5"/>
                    <a:stretch>
                      <a:fillRect/>
                    </a:stretch>
                  </pic:blipFill>
                  <pic:spPr>
                    <a:xfrm>
                      <a:off x="0" y="0"/>
                      <a:ext cx="5802630" cy="8126730"/>
                    </a:xfrm>
                    <a:prstGeom prst="rect">
                      <a:avLst/>
                    </a:prstGeom>
                  </pic:spPr>
                </pic:pic>
              </a:graphicData>
            </a:graphic>
          </wp:inline>
        </w:drawing>
      </w:r>
    </w:p>
    <w:p>
      <w:pPr>
        <w:pStyle w:val="6"/>
        <w:ind w:left="0" w:leftChars="0" w:firstLine="0" w:firstLineChars="0"/>
        <w:rPr>
          <w:rFonts w:hint="eastAsia" w:eastAsia="宋体"/>
          <w:lang w:eastAsia="zh-CN"/>
        </w:rPr>
        <w:sectPr>
          <w:pgSz w:w="11906" w:h="16838"/>
          <w:pgMar w:top="1440" w:right="1800" w:bottom="1440" w:left="1800" w:header="851" w:footer="992" w:gutter="0"/>
          <w:cols w:space="425" w:num="1"/>
          <w:docGrid w:type="lines" w:linePitch="312" w:charSpace="0"/>
        </w:sectPr>
      </w:pPr>
      <w:r>
        <w:rPr>
          <w:rFonts w:hint="eastAsia" w:eastAsia="宋体"/>
          <w:lang w:eastAsia="zh-CN"/>
        </w:rPr>
        <w:drawing>
          <wp:inline distT="0" distB="0" distL="114300" distR="114300">
            <wp:extent cx="5916295" cy="8240395"/>
            <wp:effectExtent l="0" t="0" r="8255" b="8255"/>
            <wp:docPr id="6" name="图片 6" descr="2c6d14c501caaa69f3f529b54e0b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c6d14c501caaa69f3f529b54e0ba01"/>
                    <pic:cNvPicPr>
                      <a:picLocks noChangeAspect="1"/>
                    </pic:cNvPicPr>
                  </pic:nvPicPr>
                  <pic:blipFill>
                    <a:blip r:embed="rId6"/>
                    <a:stretch>
                      <a:fillRect/>
                    </a:stretch>
                  </pic:blipFill>
                  <pic:spPr>
                    <a:xfrm>
                      <a:off x="0" y="0"/>
                      <a:ext cx="5916295" cy="8240395"/>
                    </a:xfrm>
                    <a:prstGeom prst="rect">
                      <a:avLst/>
                    </a:prstGeom>
                  </pic:spPr>
                </pic:pic>
              </a:graphicData>
            </a:graphic>
          </wp:inline>
        </w:drawing>
      </w:r>
      <w:r>
        <w:rPr>
          <w:rFonts w:hint="eastAsia" w:eastAsia="宋体"/>
          <w:lang w:eastAsia="zh-CN"/>
        </w:rPr>
        <w:drawing>
          <wp:inline distT="0" distB="0" distL="114300" distR="114300">
            <wp:extent cx="5982335" cy="8386445"/>
            <wp:effectExtent l="0" t="0" r="18415" b="14605"/>
            <wp:docPr id="8" name="图片 8" descr="5f45db85a46027440a13eb3667f238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5f45db85a46027440a13eb3667f238d"/>
                    <pic:cNvPicPr>
                      <a:picLocks noChangeAspect="1"/>
                    </pic:cNvPicPr>
                  </pic:nvPicPr>
                  <pic:blipFill>
                    <a:blip r:embed="rId7"/>
                    <a:stretch>
                      <a:fillRect/>
                    </a:stretch>
                  </pic:blipFill>
                  <pic:spPr>
                    <a:xfrm>
                      <a:off x="0" y="0"/>
                      <a:ext cx="5982335" cy="8386445"/>
                    </a:xfrm>
                    <a:prstGeom prst="rect">
                      <a:avLst/>
                    </a:prstGeom>
                  </pic:spPr>
                </pic:pic>
              </a:graphicData>
            </a:graphic>
          </wp:inline>
        </w:drawing>
      </w:r>
      <w:r>
        <w:rPr>
          <w:rFonts w:hint="eastAsia" w:eastAsia="宋体"/>
          <w:lang w:eastAsia="zh-CN"/>
        </w:rPr>
        <w:drawing>
          <wp:inline distT="0" distB="0" distL="114300" distR="114300">
            <wp:extent cx="6230620" cy="8774430"/>
            <wp:effectExtent l="0" t="0" r="17780" b="7620"/>
            <wp:docPr id="9" name="图片 9" descr="7a7949af68c45efed33dae70311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7a7949af68c45efed33dae703111049"/>
                    <pic:cNvPicPr>
                      <a:picLocks noChangeAspect="1"/>
                    </pic:cNvPicPr>
                  </pic:nvPicPr>
                  <pic:blipFill>
                    <a:blip r:embed="rId8"/>
                    <a:stretch>
                      <a:fillRect/>
                    </a:stretch>
                  </pic:blipFill>
                  <pic:spPr>
                    <a:xfrm>
                      <a:off x="0" y="0"/>
                      <a:ext cx="6230620" cy="8774430"/>
                    </a:xfrm>
                    <a:prstGeom prst="rect">
                      <a:avLst/>
                    </a:prstGeom>
                  </pic:spPr>
                </pic:pic>
              </a:graphicData>
            </a:graphic>
          </wp:inline>
        </w:drawing>
      </w:r>
      <w:r>
        <w:rPr>
          <w:rFonts w:hint="eastAsia" w:eastAsia="宋体"/>
          <w:lang w:eastAsia="zh-CN"/>
        </w:rPr>
        <w:drawing>
          <wp:inline distT="0" distB="0" distL="114300" distR="114300">
            <wp:extent cx="6203950" cy="8753475"/>
            <wp:effectExtent l="0" t="0" r="6350" b="9525"/>
            <wp:docPr id="10" name="图片 10" descr="a6293bee0ea61451417372f00850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a6293bee0ea61451417372f00850768"/>
                    <pic:cNvPicPr>
                      <a:picLocks noChangeAspect="1"/>
                    </pic:cNvPicPr>
                  </pic:nvPicPr>
                  <pic:blipFill>
                    <a:blip r:embed="rId9"/>
                    <a:stretch>
                      <a:fillRect/>
                    </a:stretch>
                  </pic:blipFill>
                  <pic:spPr>
                    <a:xfrm>
                      <a:off x="0" y="0"/>
                      <a:ext cx="6203950" cy="8753475"/>
                    </a:xfrm>
                    <a:prstGeom prst="rect">
                      <a:avLst/>
                    </a:prstGeom>
                  </pic:spPr>
                </pic:pic>
              </a:graphicData>
            </a:graphic>
          </wp:inline>
        </w:drawing>
      </w:r>
      <w:r>
        <w:rPr>
          <w:rFonts w:hint="eastAsia" w:eastAsia="宋体"/>
          <w:lang w:eastAsia="zh-CN"/>
        </w:rPr>
        <w:drawing>
          <wp:inline distT="0" distB="0" distL="114300" distR="114300">
            <wp:extent cx="6148705" cy="8688705"/>
            <wp:effectExtent l="0" t="0" r="4445" b="17145"/>
            <wp:docPr id="11" name="图片 11" descr="54b0003de3abdf703656c0231eba9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54b0003de3abdf703656c0231eba9cc"/>
                    <pic:cNvPicPr>
                      <a:picLocks noChangeAspect="1"/>
                    </pic:cNvPicPr>
                  </pic:nvPicPr>
                  <pic:blipFill>
                    <a:blip r:embed="rId10"/>
                    <a:stretch>
                      <a:fillRect/>
                    </a:stretch>
                  </pic:blipFill>
                  <pic:spPr>
                    <a:xfrm>
                      <a:off x="0" y="0"/>
                      <a:ext cx="6148705" cy="8688705"/>
                    </a:xfrm>
                    <a:prstGeom prst="rect">
                      <a:avLst/>
                    </a:prstGeom>
                  </pic:spPr>
                </pic:pic>
              </a:graphicData>
            </a:graphic>
          </wp:inline>
        </w:drawing>
      </w:r>
      <w:bookmarkStart w:id="99" w:name="_GoBack"/>
      <w:r>
        <w:rPr>
          <w:rFonts w:hint="eastAsia" w:eastAsia="宋体"/>
          <w:lang w:eastAsia="zh-CN"/>
        </w:rPr>
        <w:drawing>
          <wp:inline distT="0" distB="0" distL="114300" distR="114300">
            <wp:extent cx="5755640" cy="8766175"/>
            <wp:effectExtent l="0" t="0" r="16510" b="15875"/>
            <wp:docPr id="12" name="图片 12" descr="b91ddf6084001ca44485eba65b16b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b91ddf6084001ca44485eba65b16bad"/>
                    <pic:cNvPicPr>
                      <a:picLocks noChangeAspect="1"/>
                    </pic:cNvPicPr>
                  </pic:nvPicPr>
                  <pic:blipFill>
                    <a:blip r:embed="rId11"/>
                    <a:stretch>
                      <a:fillRect/>
                    </a:stretch>
                  </pic:blipFill>
                  <pic:spPr>
                    <a:xfrm>
                      <a:off x="0" y="0"/>
                      <a:ext cx="5755640" cy="8766175"/>
                    </a:xfrm>
                    <a:prstGeom prst="rect">
                      <a:avLst/>
                    </a:prstGeom>
                  </pic:spPr>
                </pic:pic>
              </a:graphicData>
            </a:graphic>
          </wp:inline>
        </w:drawing>
      </w:r>
      <w:bookmarkEnd w:id="99"/>
    </w:p>
    <w:p>
      <w:pPr>
        <w:pStyle w:val="6"/>
        <w:ind w:left="0" w:leftChars="0" w:firstLine="0" w:firstLineChars="0"/>
        <w:jc w:val="center"/>
        <w:rPr>
          <w:rFonts w:hint="eastAsia"/>
          <w:b/>
          <w:bCs/>
          <w:color w:val="auto"/>
          <w:highlight w:val="none"/>
          <w:lang w:val="en-US" w:eastAsia="zh-CN"/>
        </w:rPr>
      </w:pPr>
      <w:r>
        <w:rPr>
          <w:rFonts w:hint="eastAsia"/>
          <w:b/>
          <w:bCs/>
          <w:color w:val="auto"/>
          <w:highlight w:val="none"/>
          <w:lang w:val="en-US" w:eastAsia="zh-CN"/>
        </w:rPr>
        <w:t>目   录</w:t>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color w:val="auto"/>
          <w:sz w:val="24"/>
          <w:szCs w:val="24"/>
          <w:highlight w:val="none"/>
          <w:lang w:val="en-US" w:eastAsia="zh-CN"/>
        </w:rPr>
        <w:fldChar w:fldCharType="begin"/>
      </w:r>
      <w:r>
        <w:rPr>
          <w:rFonts w:hint="eastAsia"/>
          <w:color w:val="auto"/>
          <w:sz w:val="24"/>
          <w:szCs w:val="24"/>
          <w:highlight w:val="none"/>
          <w:lang w:val="en-US" w:eastAsia="zh-CN"/>
        </w:rPr>
        <w:instrText xml:space="preserve">TOC \o "1-1" \h \u </w:instrText>
      </w:r>
      <w:r>
        <w:rPr>
          <w:rFonts w:hint="eastAsia"/>
          <w:color w:val="auto"/>
          <w:sz w:val="24"/>
          <w:szCs w:val="24"/>
          <w:highlight w:val="none"/>
          <w:lang w:val="en-US" w:eastAsia="zh-CN"/>
        </w:rPr>
        <w:fldChar w:fldCharType="separate"/>
      </w: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_Toc3752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highlight w:val="none"/>
        </w:rPr>
        <w:t>一、建设项目基本情况</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_Toc3752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_Toc22346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highlight w:val="none"/>
          <w:lang w:val="en-US" w:eastAsia="zh-CN"/>
        </w:rPr>
        <w:t>二、</w:t>
      </w:r>
      <w:r>
        <w:rPr>
          <w:rFonts w:hint="eastAsia" w:ascii="宋体" w:hAnsi="宋体" w:eastAsia="宋体" w:cs="宋体"/>
          <w:b w:val="0"/>
          <w:bCs w:val="0"/>
          <w:snapToGrid w:val="0"/>
          <w:sz w:val="24"/>
          <w:szCs w:val="24"/>
          <w:highlight w:val="none"/>
        </w:rPr>
        <w:t>建设项目工程分析</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_Toc22346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11</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_Toc24610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rPr>
        <w:t xml:space="preserve">三、 </w:t>
      </w:r>
      <w:r>
        <w:rPr>
          <w:rFonts w:hint="eastAsia" w:ascii="宋体" w:hAnsi="宋体" w:eastAsia="宋体" w:cs="宋体"/>
          <w:b w:val="0"/>
          <w:bCs w:val="0"/>
          <w:snapToGrid w:val="0"/>
          <w:sz w:val="24"/>
          <w:szCs w:val="24"/>
          <w:highlight w:val="none"/>
        </w:rPr>
        <w:t>区域环境质量现状、环境保护目标及评价标准</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_Toc24610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18</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_Toc17547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rPr>
        <w:t xml:space="preserve">四、 </w:t>
      </w:r>
      <w:r>
        <w:rPr>
          <w:rFonts w:hint="eastAsia" w:ascii="宋体" w:hAnsi="宋体" w:eastAsia="宋体" w:cs="宋体"/>
          <w:b w:val="0"/>
          <w:bCs w:val="0"/>
          <w:snapToGrid w:val="0"/>
          <w:sz w:val="24"/>
          <w:szCs w:val="24"/>
          <w:highlight w:val="none"/>
        </w:rPr>
        <w:t>主要环境影响和保护措施</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_Toc17547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23</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_Toc25842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rPr>
        <w:t xml:space="preserve">五、 </w:t>
      </w:r>
      <w:r>
        <w:rPr>
          <w:rFonts w:hint="eastAsia" w:ascii="宋体" w:hAnsi="宋体" w:eastAsia="宋体" w:cs="宋体"/>
          <w:b w:val="0"/>
          <w:bCs w:val="0"/>
          <w:snapToGrid w:val="0"/>
          <w:sz w:val="24"/>
          <w:szCs w:val="24"/>
          <w:highlight w:val="none"/>
        </w:rPr>
        <w:t>环境保护措施监督检查清单</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_Toc25842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36</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_Toc31626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rPr>
        <w:t xml:space="preserve">六、 </w:t>
      </w:r>
      <w:r>
        <w:rPr>
          <w:rFonts w:hint="eastAsia" w:ascii="宋体" w:hAnsi="宋体" w:eastAsia="宋体" w:cs="宋体"/>
          <w:b w:val="0"/>
          <w:bCs w:val="0"/>
          <w:snapToGrid w:val="0"/>
          <w:sz w:val="24"/>
          <w:szCs w:val="24"/>
          <w:highlight w:val="none"/>
        </w:rPr>
        <w:t>结论</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_Toc31626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38</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_Toc28232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napToGrid w:val="0"/>
          <w:sz w:val="24"/>
          <w:szCs w:val="24"/>
          <w:highlight w:val="none"/>
          <w:lang w:val="en-US" w:eastAsia="zh-CN"/>
        </w:rPr>
        <w:t xml:space="preserve">附表  </w:t>
      </w:r>
      <w:r>
        <w:rPr>
          <w:rFonts w:hint="eastAsia" w:ascii="宋体" w:hAnsi="宋体" w:eastAsia="宋体" w:cs="宋体"/>
          <w:b w:val="0"/>
          <w:bCs w:val="0"/>
          <w:snapToGrid w:val="0"/>
          <w:sz w:val="24"/>
          <w:szCs w:val="24"/>
          <w:highlight w:val="none"/>
        </w:rPr>
        <w:t>建设项目污染物排放量汇总表</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_Toc28232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39</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_Toc22707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附图1 项目地理位置图</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_Toc22707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40</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_Toc24307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附图2 环境保护目标图</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_Toc24307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41</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_Toc4955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附图3</w:t>
      </w:r>
      <w:r>
        <w:rPr>
          <w:rFonts w:hint="eastAsia" w:ascii="宋体" w:hAnsi="宋体" w:eastAsia="宋体" w:cs="宋体"/>
          <w:b w:val="0"/>
          <w:bCs w:val="0"/>
          <w:sz w:val="24"/>
          <w:szCs w:val="24"/>
          <w:highlight w:val="none"/>
          <w:lang w:val="en-US" w:eastAsia="zh-CN"/>
        </w:rPr>
        <w:t xml:space="preserve">  厂区</w:t>
      </w:r>
      <w:r>
        <w:rPr>
          <w:rFonts w:hint="eastAsia" w:ascii="宋体" w:hAnsi="宋体" w:eastAsia="宋体" w:cs="宋体"/>
          <w:b w:val="0"/>
          <w:bCs w:val="0"/>
          <w:sz w:val="24"/>
          <w:szCs w:val="24"/>
          <w:highlight w:val="none"/>
        </w:rPr>
        <w:t>平面布置图</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_Toc4955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42</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_Toc6550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 xml:space="preserve">附件1 </w:t>
      </w:r>
      <w:r>
        <w:rPr>
          <w:rFonts w:hint="eastAsia" w:ascii="宋体" w:hAnsi="宋体" w:eastAsia="宋体" w:cs="宋体"/>
          <w:b w:val="0"/>
          <w:bCs w:val="0"/>
          <w:sz w:val="24"/>
          <w:szCs w:val="24"/>
          <w:highlight w:val="none"/>
          <w:lang w:val="en-US" w:eastAsia="zh-CN"/>
        </w:rPr>
        <w:t>环评</w:t>
      </w:r>
      <w:r>
        <w:rPr>
          <w:rFonts w:hint="eastAsia" w:ascii="宋体" w:hAnsi="宋体" w:eastAsia="宋体" w:cs="宋体"/>
          <w:b w:val="0"/>
          <w:bCs w:val="0"/>
          <w:sz w:val="24"/>
          <w:szCs w:val="24"/>
          <w:highlight w:val="none"/>
        </w:rPr>
        <w:t>委托书</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_Toc6550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43</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_Toc29116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附件2 营业执照</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_Toc29116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44</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rPr>
          <w:rFonts w:hint="eastAsia" w:ascii="宋体" w:hAnsi="宋体" w:eastAsia="宋体" w:cs="宋体"/>
          <w:b w:val="0"/>
          <w:bCs w:val="0"/>
          <w:sz w:val="24"/>
          <w:szCs w:val="24"/>
        </w:rPr>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_Toc26939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 xml:space="preserve">附件3 </w:t>
      </w:r>
      <w:r>
        <w:rPr>
          <w:rFonts w:hint="eastAsia" w:ascii="宋体" w:hAnsi="宋体" w:eastAsia="宋体" w:cs="宋体"/>
          <w:b w:val="0"/>
          <w:bCs w:val="0"/>
          <w:sz w:val="24"/>
          <w:szCs w:val="24"/>
          <w:highlight w:val="none"/>
          <w:lang w:val="en-US" w:eastAsia="zh-CN"/>
        </w:rPr>
        <w:t>厂区用地资料</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_Toc26939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45</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pStyle w:val="18"/>
        <w:keepNext w:val="0"/>
        <w:keepLines w:val="0"/>
        <w:pageBreakBefore w:val="0"/>
        <w:widowControl w:val="0"/>
        <w:tabs>
          <w:tab w:val="right" w:leader="dot" w:pos="8306"/>
        </w:tabs>
        <w:kinsoku/>
        <w:wordWrap/>
        <w:overflowPunct/>
        <w:topLinePunct w:val="0"/>
        <w:autoSpaceDE/>
        <w:autoSpaceDN/>
        <w:bidi w:val="0"/>
        <w:adjustRightInd/>
        <w:snapToGrid/>
        <w:spacing w:line="360" w:lineRule="auto"/>
        <w:textAlignment w:val="auto"/>
      </w:pPr>
      <w:r>
        <w:rPr>
          <w:rFonts w:hint="eastAsia" w:ascii="宋体" w:hAnsi="宋体" w:eastAsia="宋体" w:cs="宋体"/>
          <w:b w:val="0"/>
          <w:bCs w:val="0"/>
          <w:color w:val="auto"/>
          <w:sz w:val="24"/>
          <w:szCs w:val="24"/>
          <w:highlight w:val="none"/>
          <w:lang w:val="en-US" w:eastAsia="zh-CN"/>
        </w:rPr>
        <w:fldChar w:fldCharType="begin"/>
      </w:r>
      <w:r>
        <w:rPr>
          <w:rFonts w:hint="eastAsia" w:ascii="宋体" w:hAnsi="宋体" w:eastAsia="宋体" w:cs="宋体"/>
          <w:b w:val="0"/>
          <w:bCs w:val="0"/>
          <w:sz w:val="24"/>
          <w:szCs w:val="24"/>
          <w:highlight w:val="none"/>
          <w:lang w:val="en-US" w:eastAsia="zh-CN"/>
        </w:rPr>
        <w:instrText xml:space="preserve"> HYPERLINK \l _Toc413 </w:instrText>
      </w:r>
      <w:r>
        <w:rPr>
          <w:rFonts w:hint="eastAsia" w:ascii="宋体" w:hAnsi="宋体" w:eastAsia="宋体" w:cs="宋体"/>
          <w:b w:val="0"/>
          <w:bCs w:val="0"/>
          <w:sz w:val="24"/>
          <w:szCs w:val="24"/>
          <w:highlight w:val="none"/>
          <w:lang w:val="en-US" w:eastAsia="zh-CN"/>
        </w:rPr>
        <w:fldChar w:fldCharType="separate"/>
      </w:r>
      <w:r>
        <w:rPr>
          <w:rFonts w:hint="eastAsia" w:ascii="宋体" w:hAnsi="宋体" w:eastAsia="宋体" w:cs="宋体"/>
          <w:b w:val="0"/>
          <w:bCs w:val="0"/>
          <w:sz w:val="24"/>
          <w:szCs w:val="24"/>
          <w:highlight w:val="none"/>
        </w:rPr>
        <w:t>附件</w:t>
      </w:r>
      <w:r>
        <w:rPr>
          <w:rFonts w:hint="eastAsia" w:ascii="宋体" w:hAnsi="宋体" w:eastAsia="宋体" w:cs="宋体"/>
          <w:b w:val="0"/>
          <w:bCs w:val="0"/>
          <w:sz w:val="24"/>
          <w:szCs w:val="24"/>
          <w:highlight w:val="none"/>
          <w:lang w:val="en-US" w:eastAsia="zh-CN"/>
        </w:rPr>
        <w:t>4</w:t>
      </w:r>
      <w:r>
        <w:rPr>
          <w:rFonts w:hint="eastAsia" w:ascii="宋体" w:hAnsi="宋体" w:eastAsia="宋体" w:cs="宋体"/>
          <w:b w:val="0"/>
          <w:bCs w:val="0"/>
          <w:sz w:val="24"/>
          <w:szCs w:val="24"/>
          <w:highlight w:val="none"/>
        </w:rPr>
        <w:t xml:space="preserve"> 环境现状检测报告</w:t>
      </w:r>
      <w:r>
        <w:rPr>
          <w:rFonts w:hint="eastAsia" w:ascii="宋体" w:hAnsi="宋体" w:eastAsia="宋体" w:cs="宋体"/>
          <w:b w:val="0"/>
          <w:bCs w:val="0"/>
          <w:sz w:val="24"/>
          <w:szCs w:val="24"/>
        </w:rPr>
        <w:tab/>
      </w:r>
      <w:r>
        <w:rPr>
          <w:rFonts w:hint="eastAsia" w:ascii="宋体" w:hAnsi="宋体" w:eastAsia="宋体" w:cs="宋体"/>
          <w:b w:val="0"/>
          <w:bCs w:val="0"/>
          <w:sz w:val="24"/>
          <w:szCs w:val="24"/>
        </w:rPr>
        <w:fldChar w:fldCharType="begin"/>
      </w:r>
      <w:r>
        <w:rPr>
          <w:rFonts w:hint="eastAsia" w:ascii="宋体" w:hAnsi="宋体" w:eastAsia="宋体" w:cs="宋体"/>
          <w:b w:val="0"/>
          <w:bCs w:val="0"/>
          <w:sz w:val="24"/>
          <w:szCs w:val="24"/>
        </w:rPr>
        <w:instrText xml:space="preserve"> PAGEREF _Toc413 \h </w:instrText>
      </w:r>
      <w:r>
        <w:rPr>
          <w:rFonts w:hint="eastAsia" w:ascii="宋体" w:hAnsi="宋体" w:eastAsia="宋体" w:cs="宋体"/>
          <w:b w:val="0"/>
          <w:bCs w:val="0"/>
          <w:sz w:val="24"/>
          <w:szCs w:val="24"/>
        </w:rPr>
        <w:fldChar w:fldCharType="separate"/>
      </w:r>
      <w:r>
        <w:rPr>
          <w:rFonts w:hint="eastAsia" w:ascii="宋体" w:hAnsi="宋体" w:eastAsia="宋体" w:cs="宋体"/>
          <w:b w:val="0"/>
          <w:bCs w:val="0"/>
          <w:sz w:val="24"/>
          <w:szCs w:val="24"/>
        </w:rPr>
        <w:t>50</w:t>
      </w:r>
      <w:r>
        <w:rPr>
          <w:rFonts w:hint="eastAsia" w:ascii="宋体" w:hAnsi="宋体" w:eastAsia="宋体" w:cs="宋体"/>
          <w:b w:val="0"/>
          <w:bCs w:val="0"/>
          <w:sz w:val="24"/>
          <w:szCs w:val="24"/>
        </w:rPr>
        <w:fldChar w:fldCharType="end"/>
      </w:r>
      <w:r>
        <w:rPr>
          <w:rFonts w:hint="eastAsia" w:ascii="宋体" w:hAnsi="宋体" w:eastAsia="宋体" w:cs="宋体"/>
          <w:b w:val="0"/>
          <w:bCs w:val="0"/>
          <w:color w:val="auto"/>
          <w:sz w:val="24"/>
          <w:szCs w:val="24"/>
          <w:highlight w:val="none"/>
          <w:lang w:val="en-US" w:eastAsia="zh-CN"/>
        </w:rPr>
        <w:fldChar w:fldCharType="end"/>
      </w:r>
    </w:p>
    <w:p>
      <w:pPr>
        <w:bidi w:val="0"/>
        <w:spacing w:line="360" w:lineRule="auto"/>
        <w:rPr>
          <w:rFonts w:hint="eastAsia"/>
          <w:color w:val="auto"/>
          <w:highlight w:val="none"/>
          <w:lang w:val="en-US" w:eastAsia="zh-CN"/>
        </w:rPr>
      </w:pPr>
      <w:r>
        <w:rPr>
          <w:rFonts w:hint="eastAsia"/>
          <w:color w:val="auto"/>
          <w:szCs w:val="24"/>
          <w:highlight w:val="none"/>
          <w:lang w:val="en-US" w:eastAsia="zh-CN"/>
        </w:rPr>
        <w:fldChar w:fldCharType="end"/>
      </w:r>
    </w:p>
    <w:p>
      <w:pPr>
        <w:bidi w:val="0"/>
        <w:rPr>
          <w:rFonts w:hint="eastAsia"/>
          <w:color w:val="auto"/>
          <w:highlight w:val="none"/>
          <w:lang w:val="en-US" w:eastAsia="zh-CN"/>
        </w:rPr>
        <w:sectPr>
          <w:pgSz w:w="11906" w:h="16838"/>
          <w:pgMar w:top="1440" w:right="1800" w:bottom="1440" w:left="1800" w:header="851" w:footer="992" w:gutter="0"/>
          <w:cols w:space="425" w:num="1"/>
          <w:docGrid w:type="lines" w:linePitch="312" w:charSpace="0"/>
        </w:sectPr>
      </w:pPr>
    </w:p>
    <w:p>
      <w:pPr>
        <w:pStyle w:val="21"/>
        <w:jc w:val="center"/>
        <w:outlineLvl w:val="0"/>
        <w:rPr>
          <w:rFonts w:hint="eastAsia" w:ascii="黑体" w:hAnsi="黑体" w:eastAsia="黑体"/>
          <w:snapToGrid w:val="0"/>
          <w:color w:val="auto"/>
          <w:sz w:val="30"/>
          <w:szCs w:val="30"/>
          <w:highlight w:val="none"/>
        </w:rPr>
      </w:pPr>
      <w:bookmarkStart w:id="1" w:name="_Toc24849"/>
      <w:bookmarkStart w:id="2" w:name="_Toc3752"/>
      <w:r>
        <w:rPr>
          <w:rFonts w:hint="eastAsia" w:ascii="黑体" w:hAnsi="黑体" w:eastAsia="黑体"/>
          <w:snapToGrid w:val="0"/>
          <w:color w:val="auto"/>
          <w:sz w:val="30"/>
          <w:szCs w:val="30"/>
          <w:highlight w:val="none"/>
        </w:rPr>
        <w:t>一、建设项目基本情况</w:t>
      </w:r>
      <w:bookmarkEnd w:id="1"/>
      <w:bookmarkEnd w:id="2"/>
    </w:p>
    <w:tbl>
      <w:tblPr>
        <w:tblStyle w:val="25"/>
        <w:tblW w:w="8870"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0" w:type="dxa"/>
          <w:bottom w:w="0" w:type="dxa"/>
          <w:right w:w="0" w:type="dxa"/>
        </w:tblCellMar>
      </w:tblPr>
      <w:tblGrid>
        <w:gridCol w:w="1743"/>
        <w:gridCol w:w="2276"/>
        <w:gridCol w:w="64"/>
        <w:gridCol w:w="1875"/>
        <w:gridCol w:w="2912"/>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建设项目名称</w:t>
            </w:r>
          </w:p>
        </w:tc>
        <w:tc>
          <w:tcPr>
            <w:tcW w:w="7127" w:type="dxa"/>
            <w:gridSpan w:val="4"/>
            <w:noWrap w:val="0"/>
            <w:vAlign w:val="center"/>
          </w:tcPr>
          <w:p>
            <w:pPr>
              <w:bidi w:val="0"/>
              <w:spacing w:line="360" w:lineRule="auto"/>
              <w:jc w:val="center"/>
              <w:rPr>
                <w:rFonts w:ascii="宋体" w:hAnsi="宋体" w:cs="宋体"/>
                <w:color w:val="auto"/>
                <w:sz w:val="24"/>
                <w:highlight w:val="none"/>
              </w:rPr>
            </w:pPr>
            <w:r>
              <w:rPr>
                <w:rFonts w:hint="eastAsia" w:ascii="宋体" w:hAnsi="宋体" w:cs="宋体"/>
                <w:sz w:val="24"/>
              </w:rPr>
              <w:t>再生资源废品回收加工建设项目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项目代码</w:t>
            </w:r>
          </w:p>
        </w:tc>
        <w:tc>
          <w:tcPr>
            <w:tcW w:w="7127" w:type="dxa"/>
            <w:gridSpan w:val="4"/>
            <w:noWrap w:val="0"/>
            <w:vAlign w:val="center"/>
          </w:tcPr>
          <w:p>
            <w:pPr>
              <w:spacing w:line="360" w:lineRule="auto"/>
              <w:jc w:val="center"/>
              <w:rPr>
                <w:rFonts w:hint="eastAsia" w:ascii="宋体" w:hAnsi="宋体" w:cs="宋体"/>
                <w:color w:val="auto"/>
                <w:sz w:val="24"/>
                <w:highlight w:val="none"/>
              </w:rPr>
            </w:pPr>
            <w:r>
              <w:rPr>
                <w:rFonts w:hint="eastAsia" w:ascii="宋体" w:hAnsi="宋体" w:cs="宋体"/>
                <w:color w:val="auto"/>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48"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建设单位联系人</w:t>
            </w:r>
          </w:p>
        </w:tc>
        <w:tc>
          <w:tcPr>
            <w:tcW w:w="2276" w:type="dxa"/>
            <w:noWrap w:val="0"/>
            <w:vAlign w:val="center"/>
          </w:tcPr>
          <w:p>
            <w:pPr>
              <w:adjustRightInd w:val="0"/>
              <w:snapToGrid w:val="0"/>
              <w:jc w:val="center"/>
              <w:rPr>
                <w:rFonts w:ascii="宋体" w:hAnsi="宋体" w:cs="宋体"/>
                <w:color w:val="auto"/>
                <w:sz w:val="24"/>
                <w:highlight w:val="none"/>
              </w:rPr>
            </w:pPr>
            <w:r>
              <w:rPr>
                <w:rFonts w:hint="eastAsia" w:ascii="宋体" w:hAnsi="宋体" w:cs="宋体"/>
                <w:sz w:val="24"/>
              </w:rPr>
              <w:t>白宗豪</w:t>
            </w:r>
          </w:p>
        </w:tc>
        <w:tc>
          <w:tcPr>
            <w:tcW w:w="1939" w:type="dxa"/>
            <w:gridSpan w:val="2"/>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联系方式</w:t>
            </w:r>
          </w:p>
        </w:tc>
        <w:tc>
          <w:tcPr>
            <w:tcW w:w="2912" w:type="dxa"/>
            <w:noWrap w:val="0"/>
            <w:vAlign w:val="center"/>
          </w:tcPr>
          <w:p>
            <w:pPr>
              <w:adjustRightInd w:val="0"/>
              <w:snapToGrid w:val="0"/>
              <w:jc w:val="center"/>
              <w:rPr>
                <w:rFonts w:ascii="宋体" w:hAnsi="宋体" w:cs="宋体"/>
                <w:color w:val="auto"/>
                <w:sz w:val="24"/>
                <w:highlight w:val="none"/>
              </w:rPr>
            </w:pPr>
            <w:r>
              <w:rPr>
                <w:rFonts w:hint="eastAsia" w:ascii="宋体" w:hAnsi="宋体" w:cs="宋体"/>
                <w:sz w:val="24"/>
              </w:rPr>
              <w:t>15200286211</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建设地点</w:t>
            </w:r>
          </w:p>
        </w:tc>
        <w:tc>
          <w:tcPr>
            <w:tcW w:w="7127" w:type="dxa"/>
            <w:gridSpan w:val="4"/>
            <w:noWrap w:val="0"/>
            <w:vAlign w:val="center"/>
          </w:tcPr>
          <w:p>
            <w:pPr>
              <w:adjustRightInd w:val="0"/>
              <w:snapToGrid w:val="0"/>
              <w:jc w:val="center"/>
              <w:rPr>
                <w:rFonts w:hint="eastAsia" w:ascii="Times New Roman" w:hAnsi="Times New Roman" w:cs="Times New Roman"/>
                <w:b w:val="0"/>
                <w:bCs w:val="0"/>
                <w:color w:val="auto"/>
                <w:sz w:val="24"/>
                <w:szCs w:val="24"/>
                <w:highlight w:val="none"/>
                <w:lang w:val="en-US" w:eastAsia="zh-CN"/>
              </w:rPr>
            </w:pPr>
            <w:r>
              <w:rPr>
                <w:rFonts w:hint="eastAsia" w:ascii="宋体" w:hAnsi="宋体" w:cs="宋体"/>
                <w:sz w:val="24"/>
              </w:rPr>
              <w:t>华容县章华镇兴南蔡兴村四组</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15"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地理坐标</w:t>
            </w:r>
          </w:p>
        </w:tc>
        <w:tc>
          <w:tcPr>
            <w:tcW w:w="7127" w:type="dxa"/>
            <w:gridSpan w:val="4"/>
            <w:noWrap w:val="0"/>
            <w:vAlign w:val="center"/>
          </w:tcPr>
          <w:p>
            <w:pPr>
              <w:adjustRightInd w:val="0"/>
              <w:snapToGrid w:val="0"/>
              <w:jc w:val="center"/>
              <w:rPr>
                <w:rFonts w:hint="eastAsia" w:ascii="Times New Roman" w:hAnsi="Times New Roman" w:cs="Times New Roman"/>
                <w:b w:val="0"/>
                <w:bCs w:val="0"/>
                <w:color w:val="auto"/>
                <w:sz w:val="24"/>
                <w:szCs w:val="24"/>
                <w:highlight w:val="none"/>
                <w:lang w:val="en-US" w:eastAsia="zh-CN"/>
              </w:rPr>
            </w:pPr>
            <w:r>
              <w:rPr>
                <w:rFonts w:hint="eastAsia" w:ascii="Times New Roman" w:hAnsi="Times New Roman" w:cs="Times New Roman"/>
                <w:b w:val="0"/>
                <w:bCs w:val="0"/>
                <w:color w:val="auto"/>
                <w:sz w:val="24"/>
                <w:szCs w:val="24"/>
                <w:highlight w:val="none"/>
                <w:lang w:val="en-US" w:eastAsia="zh-CN"/>
              </w:rPr>
              <w:t>中心坐标</w:t>
            </w:r>
            <w:r>
              <w:rPr>
                <w:rFonts w:hint="eastAsia" w:cs="Times New Roman"/>
                <w:b w:val="0"/>
                <w:bCs w:val="0"/>
                <w:color w:val="auto"/>
                <w:sz w:val="24"/>
                <w:szCs w:val="24"/>
                <w:highlight w:val="none"/>
                <w:lang w:val="en-US" w:eastAsia="zh-CN"/>
              </w:rPr>
              <w:t>E</w:t>
            </w:r>
            <w:r>
              <w:rPr>
                <w:rFonts w:hint="eastAsia" w:ascii="Times New Roman" w:hAnsi="Times New Roman" w:cs="Times New Roman"/>
                <w:b w:val="0"/>
                <w:bCs w:val="0"/>
                <w:color w:val="auto"/>
                <w:sz w:val="24"/>
                <w:szCs w:val="24"/>
                <w:highlight w:val="none"/>
                <w:lang w:val="en-US" w:eastAsia="zh-CN"/>
              </w:rPr>
              <w:t>112.57011653</w:t>
            </w:r>
            <w:r>
              <w:rPr>
                <w:rFonts w:hint="eastAsia" w:cs="Times New Roman"/>
                <w:b w:val="0"/>
                <w:bCs w:val="0"/>
                <w:color w:val="auto"/>
                <w:sz w:val="24"/>
                <w:szCs w:val="24"/>
                <w:highlight w:val="none"/>
                <w:lang w:val="en-US" w:eastAsia="zh-CN"/>
              </w:rPr>
              <w:t>°</w:t>
            </w:r>
            <w:r>
              <w:rPr>
                <w:rFonts w:hint="eastAsia" w:ascii="Times New Roman" w:hAnsi="Times New Roman" w:cs="Times New Roman"/>
                <w:b w:val="0"/>
                <w:bCs w:val="0"/>
                <w:color w:val="auto"/>
                <w:sz w:val="24"/>
                <w:szCs w:val="24"/>
                <w:highlight w:val="none"/>
                <w:lang w:val="en-US" w:eastAsia="zh-CN"/>
              </w:rPr>
              <w:t>,N29.50131075</w:t>
            </w:r>
            <w:r>
              <w:rPr>
                <w:rFonts w:hint="eastAsia" w:cs="Times New Roman"/>
                <w:b w:val="0"/>
                <w:bCs w:val="0"/>
                <w:color w:val="auto"/>
                <w:sz w:val="24"/>
                <w:szCs w:val="24"/>
                <w:highlight w:val="none"/>
                <w:lang w:val="en-US" w:eastAsia="zh-CN"/>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561"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国民经济</w:t>
            </w:r>
          </w:p>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行业类别</w:t>
            </w:r>
          </w:p>
        </w:tc>
        <w:tc>
          <w:tcPr>
            <w:tcW w:w="2340" w:type="dxa"/>
            <w:gridSpan w:val="2"/>
            <w:noWrap w:val="0"/>
            <w:vAlign w:val="center"/>
          </w:tcPr>
          <w:p>
            <w:pPr>
              <w:keepNext w:val="0"/>
              <w:keepLines w:val="0"/>
              <w:widowControl/>
              <w:suppressLineNumbers w:val="0"/>
              <w:jc w:val="left"/>
              <w:rPr>
                <w:rFonts w:hint="eastAsia" w:ascii="宋体" w:hAnsi="宋体" w:cs="宋体"/>
                <w:color w:val="auto"/>
                <w:sz w:val="24"/>
                <w:highlight w:val="none"/>
              </w:rPr>
            </w:pPr>
            <w:r>
              <w:rPr>
                <w:rFonts w:hint="default" w:ascii="Times New Roman" w:hAnsi="Times New Roman" w:cs="Times New Roman"/>
                <w:b w:val="0"/>
                <w:bCs w:val="0"/>
                <w:color w:val="auto"/>
                <w:sz w:val="24"/>
                <w:szCs w:val="24"/>
                <w:highlight w:val="none"/>
                <w:lang w:val="en-US" w:eastAsia="zh-CN"/>
              </w:rPr>
              <w:t>C4220</w:t>
            </w:r>
            <w:r>
              <w:rPr>
                <w:rFonts w:hint="eastAsia" w:ascii="Times New Roman" w:hAnsi="Times New Roman" w:cs="Times New Roman"/>
                <w:b w:val="0"/>
                <w:bCs w:val="0"/>
                <w:color w:val="auto"/>
                <w:sz w:val="24"/>
                <w:szCs w:val="24"/>
                <w:highlight w:val="none"/>
                <w:lang w:val="en-US" w:eastAsia="zh-CN"/>
              </w:rPr>
              <w:t>非金属废料和碎屑加工处理</w:t>
            </w:r>
          </w:p>
        </w:tc>
        <w:tc>
          <w:tcPr>
            <w:tcW w:w="1875" w:type="dxa"/>
            <w:noWrap w:val="0"/>
            <w:vAlign w:val="center"/>
          </w:tcPr>
          <w:p>
            <w:pPr>
              <w:adjustRightInd w:val="0"/>
              <w:snapToGrid w:val="0"/>
              <w:jc w:val="center"/>
              <w:rPr>
                <w:rFonts w:hint="eastAsia" w:ascii="宋体" w:hAnsi="宋体" w:cs="宋体"/>
                <w:color w:val="auto"/>
                <w:sz w:val="24"/>
                <w:highlight w:val="none"/>
              </w:rPr>
            </w:pPr>
            <w:bookmarkStart w:id="3" w:name="_Hlk49843745"/>
            <w:r>
              <w:rPr>
                <w:rFonts w:hint="eastAsia" w:ascii="宋体" w:hAnsi="宋体" w:cs="宋体"/>
                <w:color w:val="auto"/>
                <w:sz w:val="24"/>
                <w:highlight w:val="none"/>
              </w:rPr>
              <w:t>建设项目</w:t>
            </w:r>
          </w:p>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行业类别</w:t>
            </w:r>
            <w:bookmarkEnd w:id="3"/>
          </w:p>
        </w:tc>
        <w:tc>
          <w:tcPr>
            <w:tcW w:w="2912" w:type="dxa"/>
            <w:noWrap w:val="0"/>
            <w:vAlign w:val="center"/>
          </w:tcPr>
          <w:p>
            <w:pPr>
              <w:keepNext w:val="0"/>
              <w:keepLines w:val="0"/>
              <w:widowControl/>
              <w:suppressLineNumbers w:val="0"/>
              <w:jc w:val="left"/>
              <w:rPr>
                <w:rFonts w:hint="eastAsia" w:ascii="宋体" w:hAnsi="宋体" w:cs="宋体"/>
                <w:color w:val="auto"/>
                <w:sz w:val="24"/>
                <w:highlight w:val="none"/>
              </w:rPr>
            </w:pPr>
            <w:r>
              <w:rPr>
                <w:rFonts w:hint="eastAsia" w:ascii="Times New Roman" w:hAnsi="Times New Roman" w:cs="Times New Roman"/>
                <w:b w:val="0"/>
                <w:bCs w:val="0"/>
                <w:color w:val="auto"/>
                <w:sz w:val="24"/>
                <w:szCs w:val="24"/>
                <w:highlight w:val="none"/>
                <w:lang w:val="en-US" w:eastAsia="zh-CN"/>
              </w:rPr>
              <w:t xml:space="preserve">三十九、废弃资源综合利用业；非金属废料和碎屑加工处理 </w:t>
            </w:r>
            <w:r>
              <w:rPr>
                <w:rFonts w:hint="default" w:ascii="Times New Roman" w:hAnsi="Times New Roman" w:cs="Times New Roman"/>
                <w:b w:val="0"/>
                <w:bCs w:val="0"/>
                <w:color w:val="auto"/>
                <w:sz w:val="24"/>
                <w:szCs w:val="24"/>
                <w:highlight w:val="none"/>
                <w:lang w:val="en-US" w:eastAsia="zh-CN"/>
              </w:rPr>
              <w:t xml:space="preserve">422 </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1219"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建设性质</w:t>
            </w:r>
          </w:p>
        </w:tc>
        <w:tc>
          <w:tcPr>
            <w:tcW w:w="2340" w:type="dxa"/>
            <w:gridSpan w:val="2"/>
            <w:noWrap w:val="0"/>
            <w:vAlign w:val="center"/>
          </w:tcPr>
          <w:p>
            <w:pPr>
              <w:jc w:val="left"/>
              <w:rPr>
                <w:rFonts w:hint="eastAsia" w:ascii="宋体" w:hAnsi="宋体" w:cs="宋体"/>
                <w:color w:val="auto"/>
                <w:sz w:val="24"/>
                <w:highlight w:val="none"/>
              </w:rPr>
            </w:pPr>
            <w:r>
              <w:rPr>
                <w:rFonts w:hint="eastAsia" w:ascii="宋体" w:hAnsi="宋体" w:cs="宋体"/>
                <w:color w:val="auto"/>
                <w:sz w:val="24"/>
                <w:highlight w:val="none"/>
              </w:rPr>
              <w:t>☑新建（迁建）</w:t>
            </w:r>
          </w:p>
          <w:p>
            <w:pPr>
              <w:jc w:val="left"/>
              <w:rPr>
                <w:rFonts w:hint="eastAsia" w:ascii="宋体" w:hAnsi="宋体" w:cs="宋体"/>
                <w:color w:val="auto"/>
                <w:sz w:val="24"/>
                <w:highlight w:val="none"/>
              </w:rPr>
            </w:pPr>
            <w:r>
              <w:rPr>
                <w:rFonts w:hint="eastAsia" w:ascii="宋体" w:hAnsi="宋体" w:cs="宋体"/>
                <w:color w:val="auto"/>
                <w:sz w:val="24"/>
                <w:highlight w:val="none"/>
              </w:rPr>
              <w:t>□改建</w:t>
            </w:r>
          </w:p>
          <w:p>
            <w:pPr>
              <w:jc w:val="left"/>
              <w:rPr>
                <w:rFonts w:hint="eastAsia" w:ascii="宋体" w:hAnsi="宋体" w:cs="宋体"/>
                <w:color w:val="auto"/>
                <w:sz w:val="24"/>
                <w:highlight w:val="none"/>
              </w:rPr>
            </w:pPr>
            <w:r>
              <w:rPr>
                <w:rFonts w:hint="eastAsia" w:ascii="宋体" w:hAnsi="宋体" w:cs="宋体"/>
                <w:color w:val="auto"/>
                <w:sz w:val="24"/>
                <w:highlight w:val="none"/>
              </w:rPr>
              <w:t>□扩建</w:t>
            </w:r>
          </w:p>
          <w:p>
            <w:pPr>
              <w:jc w:val="left"/>
              <w:rPr>
                <w:rFonts w:hint="eastAsia" w:ascii="宋体" w:hAnsi="宋体" w:cs="宋体"/>
                <w:color w:val="auto"/>
                <w:sz w:val="24"/>
                <w:highlight w:val="none"/>
              </w:rPr>
            </w:pPr>
            <w:r>
              <w:rPr>
                <w:rFonts w:hint="eastAsia" w:ascii="宋体" w:hAnsi="宋体" w:cs="宋体"/>
                <w:color w:val="auto"/>
                <w:sz w:val="24"/>
                <w:highlight w:val="none"/>
              </w:rPr>
              <w:t>□技术改造</w:t>
            </w:r>
          </w:p>
        </w:tc>
        <w:tc>
          <w:tcPr>
            <w:tcW w:w="1875" w:type="dxa"/>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建设项目</w:t>
            </w:r>
          </w:p>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申报情形</w:t>
            </w:r>
          </w:p>
        </w:tc>
        <w:tc>
          <w:tcPr>
            <w:tcW w:w="2912" w:type="dxa"/>
            <w:noWrap w:val="0"/>
            <w:vAlign w:val="center"/>
          </w:tcPr>
          <w:p>
            <w:pPr>
              <w:jc w:val="left"/>
              <w:rPr>
                <w:rFonts w:hint="eastAsia" w:ascii="宋体" w:hAnsi="宋体" w:cs="宋体"/>
                <w:color w:val="auto"/>
                <w:sz w:val="24"/>
                <w:highlight w:val="none"/>
              </w:rPr>
            </w:pPr>
            <w:r>
              <w:rPr>
                <w:rFonts w:hint="eastAsia" w:ascii="宋体" w:hAnsi="宋体" w:cs="宋体"/>
                <w:color w:val="auto"/>
                <w:sz w:val="24"/>
                <w:highlight w:val="none"/>
              </w:rPr>
              <w:t xml:space="preserve">☑首次申报项目             </w:t>
            </w:r>
          </w:p>
          <w:p>
            <w:pPr>
              <w:jc w:val="left"/>
              <w:rPr>
                <w:rFonts w:hint="eastAsia" w:ascii="宋体" w:hAnsi="宋体" w:cs="宋体"/>
                <w:color w:val="auto"/>
                <w:sz w:val="24"/>
                <w:highlight w:val="none"/>
              </w:rPr>
            </w:pPr>
            <w:r>
              <w:rPr>
                <w:rFonts w:hint="eastAsia" w:ascii="宋体" w:hAnsi="宋体" w:cs="宋体"/>
                <w:color w:val="auto"/>
                <w:sz w:val="24"/>
                <w:highlight w:val="none"/>
              </w:rPr>
              <w:t>□不予批准后再次申报项目</w:t>
            </w:r>
          </w:p>
          <w:p>
            <w:pPr>
              <w:jc w:val="left"/>
              <w:rPr>
                <w:rFonts w:hint="eastAsia" w:ascii="宋体" w:hAnsi="宋体" w:cs="宋体"/>
                <w:color w:val="auto"/>
                <w:sz w:val="24"/>
                <w:highlight w:val="none"/>
              </w:rPr>
            </w:pPr>
            <w:r>
              <w:rPr>
                <w:rFonts w:hint="eastAsia" w:ascii="宋体" w:hAnsi="宋体" w:cs="宋体"/>
                <w:color w:val="auto"/>
                <w:sz w:val="24"/>
                <w:highlight w:val="none"/>
              </w:rPr>
              <w:t xml:space="preserve">□超五年重新审核项目  </w:t>
            </w:r>
          </w:p>
          <w:p>
            <w:pPr>
              <w:jc w:val="left"/>
              <w:rPr>
                <w:rFonts w:hint="eastAsia" w:ascii="宋体" w:hAnsi="宋体" w:cs="宋体"/>
                <w:color w:val="auto"/>
                <w:sz w:val="24"/>
                <w:highlight w:val="none"/>
              </w:rPr>
            </w:pPr>
            <w:r>
              <w:rPr>
                <w:rFonts w:hint="eastAsia" w:ascii="宋体" w:hAnsi="宋体" w:cs="宋体"/>
                <w:color w:val="auto"/>
                <w:sz w:val="24"/>
                <w:highlight w:val="none"/>
              </w:rPr>
              <w:t>□重大变动重新报批项目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851"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项目审批（核准/</w:t>
            </w:r>
          </w:p>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备案）部门（选填）</w:t>
            </w:r>
          </w:p>
        </w:tc>
        <w:tc>
          <w:tcPr>
            <w:tcW w:w="2340" w:type="dxa"/>
            <w:gridSpan w:val="2"/>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w:t>
            </w:r>
          </w:p>
        </w:tc>
        <w:tc>
          <w:tcPr>
            <w:tcW w:w="1875" w:type="dxa"/>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项目审批（核准/</w:t>
            </w:r>
          </w:p>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备案）文号（选填）</w:t>
            </w:r>
          </w:p>
        </w:tc>
        <w:tc>
          <w:tcPr>
            <w:tcW w:w="2912" w:type="dxa"/>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总投资（万元）</w:t>
            </w:r>
          </w:p>
        </w:tc>
        <w:tc>
          <w:tcPr>
            <w:tcW w:w="2340" w:type="dxa"/>
            <w:gridSpan w:val="2"/>
            <w:noWrap w:val="0"/>
            <w:vAlign w:val="center"/>
          </w:tcPr>
          <w:p>
            <w:pPr>
              <w:adjustRightInd w:val="0"/>
              <w:snapToGrid w:val="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200</w:t>
            </w:r>
          </w:p>
        </w:tc>
        <w:tc>
          <w:tcPr>
            <w:tcW w:w="1875"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环保投资（万元）</w:t>
            </w:r>
          </w:p>
        </w:tc>
        <w:tc>
          <w:tcPr>
            <w:tcW w:w="2912" w:type="dxa"/>
            <w:noWrap w:val="0"/>
            <w:vAlign w:val="center"/>
          </w:tcPr>
          <w:p>
            <w:pPr>
              <w:adjustRightInd w:val="0"/>
              <w:snapToGrid w:val="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12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环保投资占比（%）</w:t>
            </w:r>
          </w:p>
        </w:tc>
        <w:tc>
          <w:tcPr>
            <w:tcW w:w="2340" w:type="dxa"/>
            <w:gridSpan w:val="2"/>
            <w:noWrap w:val="0"/>
            <w:vAlign w:val="center"/>
          </w:tcPr>
          <w:p>
            <w:pPr>
              <w:adjustRightInd w:val="0"/>
              <w:snapToGrid w:val="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6</w:t>
            </w:r>
          </w:p>
        </w:tc>
        <w:tc>
          <w:tcPr>
            <w:tcW w:w="1875"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施工工期</w:t>
            </w:r>
          </w:p>
        </w:tc>
        <w:tc>
          <w:tcPr>
            <w:tcW w:w="2912" w:type="dxa"/>
            <w:noWrap w:val="0"/>
            <w:vAlign w:val="center"/>
          </w:tcPr>
          <w:p>
            <w:pPr>
              <w:adjustRightInd w:val="0"/>
              <w:snapToGrid w:val="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3个月</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497" w:hRule="atLeast"/>
          <w:jc w:val="center"/>
        </w:trPr>
        <w:tc>
          <w:tcPr>
            <w:tcW w:w="1743" w:type="dxa"/>
            <w:noWrap w:val="0"/>
            <w:tcMar>
              <w:top w:w="16" w:type="dxa"/>
              <w:left w:w="16" w:type="dxa"/>
              <w:right w:w="16" w:type="dxa"/>
            </w:tcMar>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是否开工建设</w:t>
            </w:r>
          </w:p>
        </w:tc>
        <w:tc>
          <w:tcPr>
            <w:tcW w:w="2340" w:type="dxa"/>
            <w:gridSpan w:val="2"/>
            <w:noWrap w:val="0"/>
            <w:vAlign w:val="center"/>
          </w:tcPr>
          <w:p>
            <w:pPr>
              <w:adjustRightInd w:val="0"/>
              <w:snapToGrid w:val="0"/>
              <w:rPr>
                <w:rFonts w:hint="eastAsia" w:ascii="宋体" w:hAnsi="宋体" w:cs="宋体"/>
                <w:color w:val="auto"/>
                <w:sz w:val="24"/>
                <w:highlight w:val="none"/>
              </w:rPr>
            </w:pPr>
            <w:r>
              <w:rPr>
                <w:rFonts w:hint="eastAsia" w:ascii="宋体" w:hAnsi="宋体" w:cs="宋体"/>
                <w:color w:val="auto"/>
                <w:sz w:val="24"/>
                <w:highlight w:val="none"/>
              </w:rPr>
              <w:t>☑否</w:t>
            </w:r>
          </w:p>
          <w:p>
            <w:pPr>
              <w:adjustRightInd w:val="0"/>
              <w:snapToGrid w:val="0"/>
              <w:rPr>
                <w:rFonts w:hint="eastAsia" w:ascii="宋体" w:hAnsi="宋体" w:cs="宋体"/>
                <w:color w:val="auto"/>
                <w:sz w:val="24"/>
                <w:highlight w:val="none"/>
              </w:rPr>
            </w:pPr>
            <w:r>
              <w:rPr>
                <w:rFonts w:hint="eastAsia" w:ascii="宋体" w:hAnsi="宋体" w:cs="宋体"/>
                <w:color w:val="auto"/>
                <w:sz w:val="24"/>
                <w:highlight w:val="none"/>
              </w:rPr>
              <w:t>□是：</w:t>
            </w:r>
            <w:r>
              <w:rPr>
                <w:rFonts w:hint="eastAsia" w:ascii="宋体" w:hAnsi="宋体" w:cs="宋体"/>
                <w:color w:val="auto"/>
                <w:sz w:val="24"/>
                <w:highlight w:val="none"/>
                <w:u w:val="single"/>
              </w:rPr>
              <w:t xml:space="preserve">             </w:t>
            </w:r>
          </w:p>
        </w:tc>
        <w:tc>
          <w:tcPr>
            <w:tcW w:w="1875" w:type="dxa"/>
            <w:noWrap w:val="0"/>
            <w:tcMar>
              <w:top w:w="16" w:type="dxa"/>
              <w:left w:w="16" w:type="dxa"/>
              <w:right w:w="16" w:type="dxa"/>
            </w:tcMar>
            <w:vAlign w:val="center"/>
          </w:tcPr>
          <w:p>
            <w:pPr>
              <w:adjustRightInd w:val="0"/>
              <w:snapToGrid w:val="0"/>
              <w:jc w:val="center"/>
              <w:rPr>
                <w:rFonts w:hint="eastAsia" w:ascii="宋体" w:hAnsi="宋体" w:cs="宋体"/>
                <w:color w:val="auto"/>
                <w:spacing w:val="-6"/>
                <w:sz w:val="24"/>
                <w:highlight w:val="none"/>
              </w:rPr>
            </w:pPr>
            <w:r>
              <w:rPr>
                <w:rFonts w:hint="eastAsia" w:ascii="宋体" w:hAnsi="宋体" w:cs="宋体"/>
                <w:color w:val="auto"/>
                <w:spacing w:val="-6"/>
                <w:sz w:val="24"/>
                <w:highlight w:val="none"/>
              </w:rPr>
              <w:t>用地（用海）</w:t>
            </w:r>
          </w:p>
          <w:p>
            <w:pPr>
              <w:adjustRightInd w:val="0"/>
              <w:snapToGrid w:val="0"/>
              <w:jc w:val="center"/>
              <w:rPr>
                <w:rFonts w:hint="eastAsia" w:ascii="宋体" w:hAnsi="宋体" w:cs="宋体"/>
                <w:color w:val="auto"/>
                <w:sz w:val="24"/>
                <w:highlight w:val="none"/>
              </w:rPr>
            </w:pPr>
            <w:r>
              <w:rPr>
                <w:rFonts w:hint="eastAsia" w:ascii="宋体" w:hAnsi="宋体" w:cs="宋体"/>
                <w:color w:val="auto"/>
                <w:spacing w:val="-6"/>
                <w:sz w:val="24"/>
                <w:highlight w:val="none"/>
              </w:rPr>
              <w:t>面积（m</w:t>
            </w:r>
            <w:r>
              <w:rPr>
                <w:rFonts w:hint="eastAsia" w:ascii="宋体" w:hAnsi="宋体" w:cs="宋体"/>
                <w:color w:val="auto"/>
                <w:spacing w:val="-6"/>
                <w:sz w:val="24"/>
                <w:highlight w:val="none"/>
                <w:vertAlign w:val="superscript"/>
              </w:rPr>
              <w:t>2</w:t>
            </w:r>
            <w:r>
              <w:rPr>
                <w:rFonts w:hint="eastAsia" w:ascii="宋体" w:hAnsi="宋体" w:cs="宋体"/>
                <w:color w:val="auto"/>
                <w:spacing w:val="-6"/>
                <w:sz w:val="24"/>
                <w:highlight w:val="none"/>
              </w:rPr>
              <w:t>）</w:t>
            </w:r>
          </w:p>
        </w:tc>
        <w:tc>
          <w:tcPr>
            <w:tcW w:w="2912" w:type="dxa"/>
            <w:noWrap w:val="0"/>
            <w:vAlign w:val="center"/>
          </w:tcPr>
          <w:p>
            <w:pPr>
              <w:adjustRightInd w:val="0"/>
              <w:snapToGrid w:val="0"/>
              <w:jc w:val="center"/>
              <w:rPr>
                <w:rFonts w:hint="default" w:ascii="宋体" w:hAnsi="宋体" w:eastAsia="宋体" w:cs="宋体"/>
                <w:color w:val="auto"/>
                <w:sz w:val="24"/>
                <w:highlight w:val="none"/>
                <w:lang w:val="en-US" w:eastAsia="zh-CN"/>
              </w:rPr>
            </w:pPr>
            <w:r>
              <w:rPr>
                <w:rFonts w:hint="eastAsia" w:ascii="宋体" w:hAnsi="宋体" w:cs="宋体"/>
                <w:color w:val="auto"/>
                <w:sz w:val="24"/>
                <w:highlight w:val="none"/>
                <w:lang w:val="en-US" w:eastAsia="zh-CN"/>
              </w:rPr>
              <w:t>5800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43" w:type="dxa"/>
            <w:noWrap w:val="0"/>
            <w:vAlign w:val="center"/>
          </w:tcPr>
          <w:p>
            <w:pPr>
              <w:autoSpaceDE w:val="0"/>
              <w:autoSpaceDN w:val="0"/>
              <w:adjustRightInd w:val="0"/>
              <w:snapToGrid w:val="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专项评价设置情况</w:t>
            </w:r>
          </w:p>
        </w:tc>
        <w:tc>
          <w:tcPr>
            <w:tcW w:w="7127" w:type="dxa"/>
            <w:gridSpan w:val="4"/>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47" w:hRule="atLeast"/>
          <w:jc w:val="center"/>
        </w:trPr>
        <w:tc>
          <w:tcPr>
            <w:tcW w:w="1743" w:type="dxa"/>
            <w:noWrap w:val="0"/>
            <w:vAlign w:val="center"/>
          </w:tcPr>
          <w:p>
            <w:pPr>
              <w:adjustRightInd w:val="0"/>
              <w:snapToGrid w:val="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规划情况</w:t>
            </w:r>
          </w:p>
        </w:tc>
        <w:tc>
          <w:tcPr>
            <w:tcW w:w="7127" w:type="dxa"/>
            <w:gridSpan w:val="4"/>
            <w:noWrap w:val="0"/>
            <w:vAlign w:val="center"/>
          </w:tcPr>
          <w:p>
            <w:pPr>
              <w:adjustRightInd w:val="0"/>
              <w:snapToGrid w:val="0"/>
              <w:jc w:val="center"/>
              <w:rPr>
                <w:rFonts w:ascii="宋体" w:hAnsi="宋体" w:cs="宋体"/>
                <w:color w:val="auto"/>
                <w:kern w:val="0"/>
                <w:sz w:val="24"/>
                <w:highlight w:val="none"/>
              </w:rPr>
            </w:pPr>
            <w:r>
              <w:rPr>
                <w:rFonts w:hint="eastAsia" w:ascii="宋体" w:hAnsi="宋体" w:cs="宋体"/>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43" w:type="dxa"/>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sz w:val="24"/>
                <w:highlight w:val="none"/>
              </w:rPr>
              <w:t>规划环境影响</w:t>
            </w:r>
          </w:p>
          <w:p>
            <w:pPr>
              <w:adjustRightInd w:val="0"/>
              <w:snapToGrid w:val="0"/>
              <w:jc w:val="center"/>
              <w:rPr>
                <w:rFonts w:hint="eastAsia" w:ascii="宋体" w:hAnsi="宋体" w:cs="宋体"/>
                <w:color w:val="auto"/>
                <w:kern w:val="0"/>
                <w:sz w:val="24"/>
                <w:highlight w:val="none"/>
              </w:rPr>
            </w:pPr>
            <w:r>
              <w:rPr>
                <w:rFonts w:hint="eastAsia" w:ascii="宋体" w:hAnsi="宋体" w:cs="宋体"/>
                <w:color w:val="auto"/>
                <w:sz w:val="24"/>
                <w:highlight w:val="none"/>
              </w:rPr>
              <w:t>评价情况</w:t>
            </w:r>
          </w:p>
        </w:tc>
        <w:tc>
          <w:tcPr>
            <w:tcW w:w="7127" w:type="dxa"/>
            <w:gridSpan w:val="4"/>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1743" w:type="dxa"/>
            <w:noWrap w:val="0"/>
            <w:vAlign w:val="center"/>
          </w:tcPr>
          <w:p>
            <w:pPr>
              <w:autoSpaceDE w:val="0"/>
              <w:autoSpaceDN w:val="0"/>
              <w:adjustRightInd w:val="0"/>
              <w:snapToGrid w:val="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规划及规划环境影响评价符合性分析</w:t>
            </w:r>
          </w:p>
        </w:tc>
        <w:tc>
          <w:tcPr>
            <w:tcW w:w="7127" w:type="dxa"/>
            <w:gridSpan w:val="4"/>
            <w:noWrap w:val="0"/>
            <w:vAlign w:val="center"/>
          </w:tcPr>
          <w:p>
            <w:pPr>
              <w:adjustRightInd w:val="0"/>
              <w:snapToGrid w:val="0"/>
              <w:jc w:val="center"/>
              <w:rPr>
                <w:rFonts w:hint="eastAsia" w:ascii="宋体" w:hAnsi="宋体" w:cs="宋体"/>
                <w:color w:val="auto"/>
                <w:sz w:val="24"/>
                <w:highlight w:val="none"/>
              </w:rPr>
            </w:pPr>
            <w:r>
              <w:rPr>
                <w:rFonts w:hint="eastAsia" w:ascii="宋体" w:hAnsi="宋体" w:cs="宋体"/>
                <w:color w:val="auto"/>
                <w:kern w:val="0"/>
                <w:sz w:val="24"/>
                <w:highlight w:val="none"/>
              </w:rPr>
              <w:t>无</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62" w:hRule="atLeast"/>
          <w:jc w:val="center"/>
        </w:trPr>
        <w:tc>
          <w:tcPr>
            <w:tcW w:w="1743" w:type="dxa"/>
            <w:noWrap w:val="0"/>
            <w:vAlign w:val="center"/>
          </w:tcPr>
          <w:p>
            <w:pPr>
              <w:autoSpaceDE w:val="0"/>
              <w:autoSpaceDN w:val="0"/>
              <w:adjustRightInd w:val="0"/>
              <w:snapToGrid w:val="0"/>
              <w:jc w:val="center"/>
              <w:rPr>
                <w:rFonts w:hint="eastAsia" w:ascii="宋体" w:hAnsi="宋体" w:cs="宋体"/>
                <w:color w:val="auto"/>
                <w:kern w:val="0"/>
                <w:sz w:val="24"/>
                <w:highlight w:val="none"/>
              </w:rPr>
            </w:pPr>
            <w:r>
              <w:rPr>
                <w:rFonts w:hint="eastAsia" w:ascii="宋体" w:hAnsi="宋体" w:cs="宋体"/>
                <w:color w:val="auto"/>
                <w:kern w:val="0"/>
                <w:sz w:val="24"/>
                <w:highlight w:val="none"/>
              </w:rPr>
              <w:t>其他符合性分析</w:t>
            </w:r>
          </w:p>
        </w:tc>
        <w:tc>
          <w:tcPr>
            <w:tcW w:w="7127" w:type="dxa"/>
            <w:gridSpan w:val="4"/>
            <w:noWrap w:val="0"/>
            <w:vAlign w:val="center"/>
          </w:tcPr>
          <w:p>
            <w:pPr>
              <w:keepNext w:val="0"/>
              <w:keepLines w:val="0"/>
              <w:widowControl/>
              <w:suppressLineNumbers w:val="0"/>
              <w:spacing w:line="360" w:lineRule="auto"/>
              <w:jc w:val="both"/>
              <w:rPr>
                <w:color w:val="auto"/>
                <w:highlight w:val="none"/>
              </w:rPr>
            </w:pPr>
            <w:r>
              <w:rPr>
                <w:rFonts w:hint="default" w:ascii="Times New Roman" w:hAnsi="Times New Roman" w:eastAsia="宋体" w:cs="Times New Roman"/>
                <w:b/>
                <w:bCs/>
                <w:color w:val="auto"/>
                <w:kern w:val="0"/>
                <w:sz w:val="24"/>
                <w:szCs w:val="24"/>
                <w:highlight w:val="none"/>
                <w:lang w:val="en-US" w:eastAsia="zh-CN" w:bidi="ar"/>
              </w:rPr>
              <w:t>1</w:t>
            </w:r>
            <w:r>
              <w:rPr>
                <w:rFonts w:hint="eastAsia" w:ascii="宋体" w:hAnsi="宋体" w:eastAsia="宋体" w:cs="宋体"/>
                <w:b/>
                <w:bCs/>
                <w:color w:val="auto"/>
                <w:kern w:val="0"/>
                <w:sz w:val="24"/>
                <w:szCs w:val="24"/>
                <w:highlight w:val="none"/>
                <w:lang w:val="en-US" w:eastAsia="zh-CN" w:bidi="ar"/>
              </w:rPr>
              <w:t xml:space="preserve">、与产业政策相符性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本项目主要产品为塑料片，主要生产设备如表</w:t>
            </w:r>
            <w:r>
              <w:rPr>
                <w:rFonts w:hint="default" w:ascii="Times New Roman" w:hAnsi="Times New Roman" w:eastAsia="宋体" w:cs="Times New Roman"/>
                <w:color w:val="auto"/>
                <w:kern w:val="0"/>
                <w:sz w:val="24"/>
                <w:szCs w:val="24"/>
                <w:highlight w:val="none"/>
                <w:lang w:val="en-US" w:eastAsia="zh-CN" w:bidi="ar"/>
              </w:rPr>
              <w:t>2-3</w:t>
            </w:r>
            <w:r>
              <w:rPr>
                <w:rFonts w:hint="eastAsia" w:ascii="宋体" w:hAnsi="宋体" w:eastAsia="宋体" w:cs="宋体"/>
                <w:color w:val="auto"/>
                <w:kern w:val="0"/>
                <w:sz w:val="24"/>
                <w:szCs w:val="24"/>
                <w:highlight w:val="none"/>
                <w:lang w:val="en-US" w:eastAsia="zh-CN" w:bidi="ar"/>
              </w:rPr>
              <w:t>所示。由《产业结构调整指导目录（</w:t>
            </w:r>
            <w:r>
              <w:rPr>
                <w:rFonts w:hint="default" w:ascii="Times New Roman" w:hAnsi="Times New Roman" w:eastAsia="宋体" w:cs="Times New Roman"/>
                <w:color w:val="auto"/>
                <w:kern w:val="0"/>
                <w:sz w:val="24"/>
                <w:szCs w:val="24"/>
                <w:highlight w:val="none"/>
                <w:lang w:val="en-US" w:eastAsia="zh-CN" w:bidi="ar"/>
              </w:rPr>
              <w:t xml:space="preserve">2019 </w:t>
            </w:r>
            <w:r>
              <w:rPr>
                <w:rFonts w:hint="eastAsia" w:ascii="宋体" w:hAnsi="宋体" w:eastAsia="宋体" w:cs="宋体"/>
                <w:color w:val="auto"/>
                <w:kern w:val="0"/>
                <w:sz w:val="24"/>
                <w:szCs w:val="24"/>
                <w:highlight w:val="none"/>
                <w:lang w:val="en-US" w:eastAsia="zh-CN" w:bidi="ar"/>
              </w:rPr>
              <w:t>年版）》和《部分工业行业淘汰落后生产工艺装备和产品指导目录（</w:t>
            </w:r>
            <w:r>
              <w:rPr>
                <w:rFonts w:hint="default" w:ascii="Times New Roman" w:hAnsi="Times New Roman" w:eastAsia="宋体" w:cs="Times New Roman"/>
                <w:color w:val="auto"/>
                <w:kern w:val="0"/>
                <w:sz w:val="24"/>
                <w:szCs w:val="24"/>
                <w:highlight w:val="none"/>
                <w:lang w:val="en-US" w:eastAsia="zh-CN" w:bidi="ar"/>
              </w:rPr>
              <w:t xml:space="preserve">2010 </w:t>
            </w:r>
            <w:r>
              <w:rPr>
                <w:rFonts w:hint="eastAsia" w:ascii="宋体" w:hAnsi="宋体" w:eastAsia="宋体" w:cs="宋体"/>
                <w:color w:val="auto"/>
                <w:kern w:val="0"/>
                <w:sz w:val="24"/>
                <w:szCs w:val="24"/>
                <w:highlight w:val="none"/>
                <w:lang w:val="en-US" w:eastAsia="zh-CN" w:bidi="ar"/>
              </w:rPr>
              <w:t xml:space="preserve">年本及 </w:t>
            </w:r>
            <w:r>
              <w:rPr>
                <w:rFonts w:hint="default" w:ascii="Times New Roman" w:hAnsi="Times New Roman" w:eastAsia="宋体" w:cs="Times New Roman"/>
                <w:color w:val="auto"/>
                <w:kern w:val="0"/>
                <w:sz w:val="24"/>
                <w:szCs w:val="24"/>
                <w:highlight w:val="none"/>
                <w:lang w:val="en-US" w:eastAsia="zh-CN" w:bidi="ar"/>
              </w:rPr>
              <w:t xml:space="preserve">2012 </w:t>
            </w:r>
            <w:r>
              <w:rPr>
                <w:rFonts w:hint="eastAsia" w:ascii="宋体" w:hAnsi="宋体" w:eastAsia="宋体" w:cs="宋体"/>
                <w:color w:val="auto"/>
                <w:kern w:val="0"/>
                <w:sz w:val="24"/>
                <w:szCs w:val="24"/>
                <w:highlight w:val="none"/>
                <w:lang w:val="en-US" w:eastAsia="zh-CN" w:bidi="ar"/>
              </w:rPr>
              <w:t>年修订版）》可知，本项目不属于国家限制及淘汰类中提及的内容，属于《产业结构调整指导目录（</w:t>
            </w:r>
            <w:r>
              <w:rPr>
                <w:rFonts w:hint="default" w:ascii="Times New Roman" w:hAnsi="Times New Roman" w:eastAsia="宋体" w:cs="Times New Roman"/>
                <w:color w:val="auto"/>
                <w:kern w:val="0"/>
                <w:sz w:val="24"/>
                <w:szCs w:val="24"/>
                <w:highlight w:val="none"/>
                <w:lang w:val="en-US" w:eastAsia="zh-CN" w:bidi="ar"/>
              </w:rPr>
              <w:t>2019</w:t>
            </w:r>
            <w:r>
              <w:rPr>
                <w:rFonts w:hint="eastAsia" w:ascii="宋体" w:hAnsi="宋体" w:eastAsia="宋体" w:cs="宋体"/>
                <w:color w:val="auto"/>
                <w:kern w:val="0"/>
                <w:sz w:val="24"/>
                <w:szCs w:val="24"/>
                <w:highlight w:val="none"/>
                <w:lang w:val="en-US" w:eastAsia="zh-CN" w:bidi="ar"/>
              </w:rPr>
              <w:t xml:space="preserve">年版）》中鼓励发展的行业目录第四十三类环境保护与资源节约综合利用第 </w:t>
            </w:r>
            <w:r>
              <w:rPr>
                <w:rFonts w:hint="default" w:ascii="Times New Roman" w:hAnsi="Times New Roman" w:eastAsia="宋体" w:cs="Times New Roman"/>
                <w:color w:val="auto"/>
                <w:kern w:val="0"/>
                <w:sz w:val="24"/>
                <w:szCs w:val="24"/>
                <w:highlight w:val="none"/>
                <w:lang w:val="en-US" w:eastAsia="zh-CN" w:bidi="ar"/>
              </w:rPr>
              <w:t xml:space="preserve">26 </w:t>
            </w:r>
            <w:r>
              <w:rPr>
                <w:rFonts w:hint="eastAsia" w:ascii="宋体" w:hAnsi="宋体" w:eastAsia="宋体" w:cs="宋体"/>
                <w:color w:val="auto"/>
                <w:kern w:val="0"/>
                <w:sz w:val="24"/>
                <w:szCs w:val="24"/>
                <w:highlight w:val="none"/>
                <w:lang w:val="en-US" w:eastAsia="zh-CN" w:bidi="ar"/>
              </w:rPr>
              <w:t xml:space="preserve">条“再生资源、建筑垃圾资源化回收利用工程和产业化”及第 </w:t>
            </w:r>
            <w:r>
              <w:rPr>
                <w:rFonts w:hint="default" w:ascii="Times New Roman" w:hAnsi="Times New Roman" w:eastAsia="宋体" w:cs="Times New Roman"/>
                <w:color w:val="auto"/>
                <w:kern w:val="0"/>
                <w:sz w:val="24"/>
                <w:szCs w:val="24"/>
                <w:highlight w:val="none"/>
                <w:lang w:val="en-US" w:eastAsia="zh-CN" w:bidi="ar"/>
              </w:rPr>
              <w:t xml:space="preserve">27 </w:t>
            </w:r>
            <w:r>
              <w:rPr>
                <w:rFonts w:hint="eastAsia" w:ascii="宋体" w:hAnsi="宋体" w:eastAsia="宋体" w:cs="宋体"/>
                <w:color w:val="auto"/>
                <w:kern w:val="0"/>
                <w:sz w:val="24"/>
                <w:szCs w:val="24"/>
                <w:highlight w:val="none"/>
                <w:lang w:val="en-US" w:eastAsia="zh-CN" w:bidi="ar"/>
              </w:rPr>
              <w:t xml:space="preserve">条“废旧木材、废旧电器电子产品、废印刷电路板、废旧电池、 废旧船舶、废旧农机、废塑料、废旧纺织品及纺织废料和边角料、 废（碎）玻璃、废橡胶、废弃油脂等废旧物资等资源循环再利用技术、设备开发及应用”。因此项目建设符合国家现行产业政策。 </w:t>
            </w:r>
          </w:p>
          <w:p>
            <w:pPr>
              <w:keepNext w:val="0"/>
              <w:keepLines w:val="0"/>
              <w:widowControl/>
              <w:suppressLineNumbers w:val="0"/>
              <w:spacing w:line="360" w:lineRule="auto"/>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对照《资源综合利用目录（</w:t>
            </w:r>
            <w:r>
              <w:rPr>
                <w:rFonts w:hint="default" w:ascii="Times New Roman" w:hAnsi="Times New Roman" w:eastAsia="宋体" w:cs="Times New Roman"/>
                <w:color w:val="auto"/>
                <w:kern w:val="0"/>
                <w:sz w:val="24"/>
                <w:szCs w:val="24"/>
                <w:highlight w:val="none"/>
                <w:lang w:val="en-US" w:eastAsia="zh-CN" w:bidi="ar"/>
              </w:rPr>
              <w:t xml:space="preserve">2003 </w:t>
            </w:r>
            <w:r>
              <w:rPr>
                <w:rFonts w:hint="eastAsia" w:ascii="宋体" w:hAnsi="宋体" w:eastAsia="宋体" w:cs="宋体"/>
                <w:color w:val="auto"/>
                <w:kern w:val="0"/>
                <w:sz w:val="24"/>
                <w:szCs w:val="24"/>
                <w:highlight w:val="none"/>
                <w:lang w:val="en-US" w:eastAsia="zh-CN" w:bidi="ar"/>
              </w:rPr>
              <w:t>修订）》，本项目属于《资源综合利用目录（</w:t>
            </w:r>
            <w:r>
              <w:rPr>
                <w:rFonts w:hint="default" w:ascii="Times New Roman" w:hAnsi="Times New Roman" w:eastAsia="宋体" w:cs="Times New Roman"/>
                <w:color w:val="auto"/>
                <w:kern w:val="0"/>
                <w:sz w:val="24"/>
                <w:szCs w:val="24"/>
                <w:highlight w:val="none"/>
                <w:lang w:val="en-US" w:eastAsia="zh-CN" w:bidi="ar"/>
              </w:rPr>
              <w:t xml:space="preserve">2003 </w:t>
            </w:r>
            <w:r>
              <w:rPr>
                <w:rFonts w:hint="eastAsia" w:ascii="宋体" w:hAnsi="宋体" w:eastAsia="宋体" w:cs="宋体"/>
                <w:color w:val="auto"/>
                <w:kern w:val="0"/>
                <w:sz w:val="24"/>
                <w:szCs w:val="24"/>
                <w:highlight w:val="none"/>
                <w:lang w:val="en-US" w:eastAsia="zh-CN" w:bidi="ar"/>
              </w:rPr>
              <w:t xml:space="preserve">修订）》中“三、回收、综合利用再生资源生产的产品”中的第 </w:t>
            </w:r>
            <w:r>
              <w:rPr>
                <w:rFonts w:hint="default" w:ascii="Times New Roman" w:hAnsi="Times New Roman" w:eastAsia="宋体" w:cs="Times New Roman"/>
                <w:color w:val="auto"/>
                <w:kern w:val="0"/>
                <w:sz w:val="24"/>
                <w:szCs w:val="24"/>
                <w:highlight w:val="none"/>
                <w:lang w:val="en-US" w:eastAsia="zh-CN" w:bidi="ar"/>
              </w:rPr>
              <w:t>30</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31</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 xml:space="preserve">36 </w:t>
            </w:r>
            <w:r>
              <w:rPr>
                <w:rFonts w:hint="eastAsia" w:ascii="宋体" w:hAnsi="宋体" w:eastAsia="宋体" w:cs="宋体"/>
                <w:color w:val="auto"/>
                <w:kern w:val="0"/>
                <w:sz w:val="24"/>
                <w:szCs w:val="24"/>
                <w:highlight w:val="none"/>
                <w:lang w:val="en-US" w:eastAsia="zh-CN" w:bidi="ar"/>
              </w:rPr>
              <w:t>项的“回收生产和消费过程中产生的各种废旧金属、废旧轮胎、废旧塑料、废纸、废玻璃、废油、废旧家用电器、废旧电脑及其他废电子产品和办公设备”、“利用废家用电器、废电脑及其他废电子产品、废旧电子元器件提取的金属（包括稀贵金属）非金属和生产的产品”、“利用废塑料生产的塑料制品、建材产品、装饰材料、保温隔热材料”。符合《资源综合利用目录（</w:t>
            </w:r>
            <w:r>
              <w:rPr>
                <w:rFonts w:hint="default" w:ascii="Times New Roman" w:hAnsi="Times New Roman" w:eastAsia="宋体" w:cs="Times New Roman"/>
                <w:color w:val="auto"/>
                <w:kern w:val="0"/>
                <w:sz w:val="24"/>
                <w:szCs w:val="24"/>
                <w:highlight w:val="none"/>
                <w:lang w:val="en-US" w:eastAsia="zh-CN" w:bidi="ar"/>
              </w:rPr>
              <w:t xml:space="preserve">2003 </w:t>
            </w:r>
            <w:r>
              <w:rPr>
                <w:rFonts w:hint="eastAsia" w:ascii="宋体" w:hAnsi="宋体" w:eastAsia="宋体" w:cs="宋体"/>
                <w:color w:val="auto"/>
                <w:kern w:val="0"/>
                <w:sz w:val="24"/>
                <w:szCs w:val="24"/>
                <w:highlight w:val="none"/>
                <w:lang w:val="en-US" w:eastAsia="zh-CN" w:bidi="ar"/>
              </w:rPr>
              <w:t xml:space="preserve">修订）》的有关规定。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因此，本项目符合国家和地方产业政策。 </w:t>
            </w:r>
          </w:p>
          <w:p>
            <w:pPr>
              <w:keepNext w:val="0"/>
              <w:keepLines w:val="0"/>
              <w:widowControl/>
              <w:suppressLineNumbers w:val="0"/>
              <w:spacing w:line="360" w:lineRule="auto"/>
              <w:jc w:val="both"/>
              <w:rPr>
                <w:color w:val="auto"/>
                <w:highlight w:val="none"/>
              </w:rPr>
            </w:pPr>
            <w:r>
              <w:rPr>
                <w:rFonts w:hint="default" w:ascii="Times New Roman" w:hAnsi="Times New Roman" w:eastAsia="宋体" w:cs="Times New Roman"/>
                <w:b/>
                <w:bCs/>
                <w:color w:val="auto"/>
                <w:kern w:val="0"/>
                <w:sz w:val="24"/>
                <w:szCs w:val="24"/>
                <w:highlight w:val="none"/>
                <w:lang w:val="en-US" w:eastAsia="zh-CN" w:bidi="ar"/>
              </w:rPr>
              <w:t>2</w:t>
            </w:r>
            <w:r>
              <w:rPr>
                <w:rFonts w:hint="eastAsia" w:ascii="宋体" w:hAnsi="宋体" w:eastAsia="宋体" w:cs="宋体"/>
                <w:b/>
                <w:bCs/>
                <w:color w:val="auto"/>
                <w:kern w:val="0"/>
                <w:sz w:val="24"/>
                <w:szCs w:val="24"/>
                <w:highlight w:val="none"/>
                <w:lang w:val="en-US" w:eastAsia="zh-CN" w:bidi="ar"/>
              </w:rPr>
              <w:t>、三线一单</w:t>
            </w:r>
            <w:r>
              <w:rPr>
                <w:rFonts w:hint="default" w:ascii="Times New Roman" w:hAnsi="Times New Roman" w:eastAsia="宋体" w:cs="Times New Roman"/>
                <w:b/>
                <w:bCs/>
                <w:color w:val="auto"/>
                <w:kern w:val="0"/>
                <w:sz w:val="24"/>
                <w:szCs w:val="24"/>
                <w:highlight w:val="none"/>
                <w:lang w:val="en-US" w:eastAsia="zh-CN" w:bidi="ar"/>
              </w:rPr>
              <w:t>”</w:t>
            </w:r>
            <w:r>
              <w:rPr>
                <w:rFonts w:hint="eastAsia" w:ascii="宋体" w:hAnsi="宋体" w:eastAsia="宋体" w:cs="宋体"/>
                <w:b/>
                <w:bCs/>
                <w:color w:val="auto"/>
                <w:kern w:val="0"/>
                <w:sz w:val="24"/>
                <w:szCs w:val="24"/>
                <w:highlight w:val="none"/>
                <w:lang w:val="en-US" w:eastAsia="zh-CN" w:bidi="ar"/>
              </w:rPr>
              <w:t xml:space="preserve">相符性分析 </w:t>
            </w:r>
          </w:p>
          <w:p>
            <w:pPr>
              <w:keepNext w:val="0"/>
              <w:keepLines w:val="0"/>
              <w:widowControl/>
              <w:suppressLineNumbers w:val="0"/>
              <w:spacing w:line="360" w:lineRule="auto"/>
              <w:jc w:val="center"/>
              <w:rPr>
                <w:rFonts w:hint="eastAsia" w:ascii="宋体" w:hAnsi="宋体" w:eastAsia="宋体" w:cs="宋体"/>
                <w:b/>
                <w:bCs/>
                <w:color w:val="auto"/>
                <w:kern w:val="0"/>
                <w:sz w:val="21"/>
                <w:szCs w:val="21"/>
                <w:highlight w:val="none"/>
                <w:lang w:val="en-US" w:eastAsia="zh-CN" w:bidi="ar"/>
              </w:rPr>
            </w:pPr>
            <w:r>
              <w:rPr>
                <w:rFonts w:hint="eastAsia" w:ascii="宋体" w:hAnsi="宋体" w:eastAsia="宋体" w:cs="宋体"/>
                <w:b/>
                <w:bCs/>
                <w:color w:val="auto"/>
                <w:kern w:val="0"/>
                <w:sz w:val="21"/>
                <w:szCs w:val="21"/>
                <w:highlight w:val="none"/>
                <w:lang w:val="en-US" w:eastAsia="zh-CN" w:bidi="ar"/>
              </w:rPr>
              <w:t xml:space="preserve">表 </w:t>
            </w:r>
            <w:r>
              <w:rPr>
                <w:rFonts w:hint="default" w:ascii="Times New Roman" w:hAnsi="Times New Roman" w:eastAsia="宋体" w:cs="Times New Roman"/>
                <w:b/>
                <w:bCs/>
                <w:color w:val="auto"/>
                <w:kern w:val="0"/>
                <w:sz w:val="21"/>
                <w:szCs w:val="21"/>
                <w:highlight w:val="none"/>
                <w:lang w:val="en-US" w:eastAsia="zh-CN" w:bidi="ar"/>
              </w:rPr>
              <w:t>1-</w:t>
            </w:r>
            <w:r>
              <w:rPr>
                <w:rFonts w:hint="eastAsia" w:ascii="Times New Roman" w:hAnsi="Times New Roman" w:eastAsia="宋体" w:cs="Times New Roman"/>
                <w:b/>
                <w:bCs/>
                <w:color w:val="auto"/>
                <w:kern w:val="0"/>
                <w:sz w:val="21"/>
                <w:szCs w:val="21"/>
                <w:highlight w:val="none"/>
                <w:lang w:val="en-US" w:eastAsia="zh-CN" w:bidi="ar"/>
              </w:rPr>
              <w:t>1</w:t>
            </w:r>
            <w:r>
              <w:rPr>
                <w:rFonts w:hint="default" w:ascii="Times New Roman" w:hAnsi="Times New Roman" w:eastAsia="宋体" w:cs="Times New Roman"/>
                <w:b/>
                <w:bCs/>
                <w:color w:val="auto"/>
                <w:kern w:val="0"/>
                <w:sz w:val="21"/>
                <w:szCs w:val="21"/>
                <w:highlight w:val="none"/>
                <w:lang w:val="en-US" w:eastAsia="zh-CN" w:bidi="ar"/>
              </w:rPr>
              <w:t xml:space="preserve"> </w:t>
            </w:r>
            <w:r>
              <w:rPr>
                <w:rFonts w:hint="eastAsia" w:ascii="宋体" w:hAnsi="宋体" w:eastAsia="宋体" w:cs="宋体"/>
                <w:b/>
                <w:bCs/>
                <w:color w:val="auto"/>
                <w:kern w:val="0"/>
                <w:sz w:val="21"/>
                <w:szCs w:val="21"/>
                <w:highlight w:val="none"/>
                <w:lang w:val="en-US" w:eastAsia="zh-CN" w:bidi="ar"/>
              </w:rPr>
              <w:t>建设项目</w:t>
            </w:r>
            <w:r>
              <w:rPr>
                <w:rFonts w:hint="default" w:ascii="Times New Roman" w:hAnsi="Times New Roman" w:eastAsia="宋体" w:cs="Times New Roman"/>
                <w:b/>
                <w:bCs/>
                <w:color w:val="auto"/>
                <w:kern w:val="0"/>
                <w:sz w:val="21"/>
                <w:szCs w:val="21"/>
                <w:highlight w:val="none"/>
                <w:lang w:val="en-US" w:eastAsia="zh-CN" w:bidi="ar"/>
              </w:rPr>
              <w:t>“</w:t>
            </w:r>
            <w:r>
              <w:rPr>
                <w:rFonts w:hint="eastAsia" w:ascii="宋体" w:hAnsi="宋体" w:eastAsia="宋体" w:cs="宋体"/>
                <w:b/>
                <w:bCs/>
                <w:color w:val="auto"/>
                <w:kern w:val="0"/>
                <w:sz w:val="21"/>
                <w:szCs w:val="21"/>
                <w:highlight w:val="none"/>
                <w:lang w:val="en-US" w:eastAsia="zh-CN" w:bidi="ar"/>
              </w:rPr>
              <w:t>三线一单</w:t>
            </w:r>
            <w:r>
              <w:rPr>
                <w:rFonts w:hint="default" w:ascii="Times New Roman" w:hAnsi="Times New Roman" w:eastAsia="宋体" w:cs="Times New Roman"/>
                <w:b/>
                <w:bCs/>
                <w:color w:val="auto"/>
                <w:kern w:val="0"/>
                <w:sz w:val="21"/>
                <w:szCs w:val="21"/>
                <w:highlight w:val="none"/>
                <w:lang w:val="en-US" w:eastAsia="zh-CN" w:bidi="ar"/>
              </w:rPr>
              <w:t>”</w:t>
            </w:r>
            <w:r>
              <w:rPr>
                <w:rFonts w:hint="eastAsia" w:ascii="宋体" w:hAnsi="宋体" w:eastAsia="宋体" w:cs="宋体"/>
                <w:b/>
                <w:bCs/>
                <w:color w:val="auto"/>
                <w:kern w:val="0"/>
                <w:sz w:val="21"/>
                <w:szCs w:val="21"/>
                <w:highlight w:val="none"/>
                <w:lang w:val="en-US" w:eastAsia="zh-CN" w:bidi="ar"/>
              </w:rPr>
              <w:t>相符性分析</w:t>
            </w:r>
          </w:p>
          <w:tbl>
            <w:tblPr>
              <w:tblStyle w:val="26"/>
              <w:tblW w:w="676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72"/>
              <w:gridCol w:w="650"/>
              <w:gridCol w:w="533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bCs/>
                      <w:color w:val="auto"/>
                      <w:highlight w:val="none"/>
                      <w:lang w:val="en-US" w:eastAsia="zh-CN"/>
                    </w:rPr>
                  </w:pPr>
                  <w:r>
                    <w:rPr>
                      <w:rFonts w:hint="eastAsia"/>
                      <w:b/>
                      <w:bCs/>
                      <w:color w:val="auto"/>
                      <w:highlight w:val="none"/>
                      <w:lang w:val="en-US" w:eastAsia="zh-CN"/>
                    </w:rPr>
                    <w:t>序号</w:t>
                  </w:r>
                </w:p>
              </w:tc>
              <w:tc>
                <w:tcPr>
                  <w:tcW w:w="6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bCs/>
                      <w:color w:val="auto"/>
                      <w:highlight w:val="none"/>
                      <w:lang w:val="en-US" w:eastAsia="zh-CN"/>
                    </w:rPr>
                  </w:pPr>
                  <w:r>
                    <w:rPr>
                      <w:rFonts w:hint="eastAsia"/>
                      <w:b/>
                      <w:bCs/>
                      <w:color w:val="auto"/>
                      <w:highlight w:val="none"/>
                      <w:lang w:val="en-US" w:eastAsia="zh-CN"/>
                    </w:rPr>
                    <w:t>内容</w:t>
                  </w:r>
                </w:p>
              </w:tc>
              <w:tc>
                <w:tcPr>
                  <w:tcW w:w="533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b/>
                      <w:bCs/>
                      <w:color w:val="auto"/>
                      <w:highlight w:val="none"/>
                      <w:lang w:val="en-US" w:eastAsia="zh-CN"/>
                    </w:rPr>
                  </w:pPr>
                  <w:r>
                    <w:rPr>
                      <w:rFonts w:hint="eastAsia"/>
                      <w:b/>
                      <w:bCs/>
                      <w:color w:val="auto"/>
                      <w:highlight w:val="none"/>
                      <w:lang w:val="en-US" w:eastAsia="zh-CN"/>
                    </w:rPr>
                    <w:t>相符性</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highlight w:val="none"/>
                      <w:lang w:val="en-US" w:eastAsia="zh-CN"/>
                    </w:rPr>
                  </w:pPr>
                  <w:r>
                    <w:rPr>
                      <w:rFonts w:hint="eastAsia"/>
                      <w:color w:val="auto"/>
                      <w:highlight w:val="none"/>
                      <w:lang w:val="en-US" w:eastAsia="zh-CN"/>
                    </w:rPr>
                    <w:t>1</w:t>
                  </w:r>
                </w:p>
              </w:tc>
              <w:tc>
                <w:tcPr>
                  <w:tcW w:w="6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生态保护红线</w:t>
                  </w:r>
                </w:p>
              </w:tc>
              <w:tc>
                <w:tcPr>
                  <w:tcW w:w="533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根据《关于以改善环境质量为核心加强环境影响评价管理的通知》（环环评</w:t>
                  </w:r>
                  <w:r>
                    <w:rPr>
                      <w:rFonts w:hint="default"/>
                      <w:color w:val="auto"/>
                      <w:highlight w:val="none"/>
                      <w:lang w:val="en-US" w:eastAsia="zh-CN"/>
                    </w:rPr>
                    <w:t xml:space="preserve">[2016]150 </w:t>
                  </w:r>
                  <w:r>
                    <w:rPr>
                      <w:rFonts w:hint="eastAsia"/>
                      <w:color w:val="auto"/>
                      <w:highlight w:val="none"/>
                      <w:lang w:val="en-US" w:eastAsia="zh-CN"/>
                    </w:rPr>
                    <w:t>号），生态保护红线是生态空间范围内具有特殊重要生态功能必须实行强制性严格保护的区域，除受自然条件限制、确实无法避让的铁路、公路、航道、防洪、管道、干渠、通讯、输变电等重要基础设施项目外，在生态保护红线范围内，严控各类开发建设活动，依法不予审批新建工业项目和矿产开发项目的环评文件。</w:t>
                  </w:r>
                </w:p>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根据《湖南省人民政府关于印发</w:t>
                  </w:r>
                  <w:r>
                    <w:rPr>
                      <w:rFonts w:hint="default"/>
                      <w:color w:val="auto"/>
                      <w:highlight w:val="none"/>
                      <w:lang w:val="en-US" w:eastAsia="zh-CN"/>
                    </w:rPr>
                    <w:t>&lt;</w:t>
                  </w:r>
                  <w:r>
                    <w:rPr>
                      <w:rFonts w:hint="eastAsia"/>
                      <w:color w:val="auto"/>
                      <w:highlight w:val="none"/>
                      <w:lang w:val="en-US" w:eastAsia="zh-CN"/>
                    </w:rPr>
                    <w:t>湖南省生态保护红线</w:t>
                  </w:r>
                  <w:r>
                    <w:rPr>
                      <w:rFonts w:hint="default"/>
                      <w:color w:val="auto"/>
                      <w:highlight w:val="none"/>
                      <w:lang w:val="en-US" w:eastAsia="zh-CN"/>
                    </w:rPr>
                    <w:t>&gt;</w:t>
                  </w:r>
                  <w:r>
                    <w:rPr>
                      <w:rFonts w:hint="eastAsia"/>
                      <w:color w:val="auto"/>
                      <w:highlight w:val="none"/>
                      <w:lang w:val="en-US" w:eastAsia="zh-CN"/>
                    </w:rPr>
                    <w:t>的通知》（湘政发〔</w:t>
                  </w:r>
                  <w:r>
                    <w:rPr>
                      <w:rFonts w:hint="default"/>
                      <w:color w:val="auto"/>
                      <w:highlight w:val="none"/>
                      <w:lang w:val="en-US" w:eastAsia="zh-CN"/>
                    </w:rPr>
                    <w:t>2018</w:t>
                  </w:r>
                  <w:r>
                    <w:rPr>
                      <w:rFonts w:hint="eastAsia"/>
                      <w:color w:val="auto"/>
                      <w:highlight w:val="none"/>
                      <w:lang w:val="en-US" w:eastAsia="zh-CN"/>
                    </w:rPr>
                    <w:t>〕</w:t>
                  </w:r>
                  <w:r>
                    <w:rPr>
                      <w:rFonts w:hint="default"/>
                      <w:color w:val="auto"/>
                      <w:highlight w:val="none"/>
                      <w:lang w:val="en-US" w:eastAsia="zh-CN"/>
                    </w:rPr>
                    <w:t xml:space="preserve">20 </w:t>
                  </w:r>
                  <w:r>
                    <w:rPr>
                      <w:rFonts w:hint="eastAsia"/>
                      <w:color w:val="auto"/>
                      <w:highlight w:val="none"/>
                      <w:lang w:val="en-US" w:eastAsia="zh-CN"/>
                    </w:rPr>
                    <w:t>号），项目所在地不在华容县生态保护红线范围内，不会导致评价范围内重要生态功能保护区生态服务功能下降，符合相关要求。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highlight w:val="none"/>
                      <w:lang w:val="en-US" w:eastAsia="zh-CN"/>
                    </w:rPr>
                  </w:pPr>
                  <w:r>
                    <w:rPr>
                      <w:rFonts w:hint="eastAsia"/>
                      <w:color w:val="auto"/>
                      <w:highlight w:val="none"/>
                      <w:lang w:val="en-US" w:eastAsia="zh-CN"/>
                    </w:rPr>
                    <w:t>2</w:t>
                  </w:r>
                </w:p>
              </w:tc>
              <w:tc>
                <w:tcPr>
                  <w:tcW w:w="6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环境质量底线</w:t>
                  </w:r>
                </w:p>
              </w:tc>
              <w:tc>
                <w:tcPr>
                  <w:tcW w:w="533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环境质量底线是国家和地方设置的大气、水和土壤环境质量目标，也是改善环境质量的基准线。项目环评对照区域环境质量目标，分析预测项目建设对环境质量的影响，强化污染防治措施和污染物排放控制要求。</w:t>
                  </w:r>
                </w:p>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 xml:space="preserve">根据表 </w:t>
                  </w:r>
                  <w:r>
                    <w:rPr>
                      <w:rFonts w:hint="default"/>
                      <w:color w:val="auto"/>
                      <w:highlight w:val="none"/>
                      <w:lang w:val="en-US" w:eastAsia="zh-CN"/>
                    </w:rPr>
                    <w:t xml:space="preserve">3-1 </w:t>
                  </w:r>
                  <w:r>
                    <w:rPr>
                      <w:rFonts w:hint="eastAsia"/>
                      <w:color w:val="auto"/>
                      <w:highlight w:val="none"/>
                      <w:lang w:val="en-US" w:eastAsia="zh-CN"/>
                    </w:rPr>
                    <w:t xml:space="preserve">中 </w:t>
                  </w:r>
                  <w:r>
                    <w:rPr>
                      <w:rFonts w:hint="default"/>
                      <w:color w:val="auto"/>
                      <w:highlight w:val="none"/>
                      <w:lang w:val="en-US" w:eastAsia="zh-CN"/>
                    </w:rPr>
                    <w:t>202</w:t>
                  </w:r>
                  <w:r>
                    <w:rPr>
                      <w:rFonts w:hint="eastAsia"/>
                      <w:color w:val="auto"/>
                      <w:highlight w:val="none"/>
                      <w:lang w:val="en-US" w:eastAsia="zh-CN"/>
                    </w:rPr>
                    <w:t>2</w:t>
                  </w:r>
                  <w:r>
                    <w:rPr>
                      <w:rFonts w:hint="default"/>
                      <w:color w:val="auto"/>
                      <w:highlight w:val="none"/>
                      <w:lang w:val="en-US" w:eastAsia="zh-CN"/>
                    </w:rPr>
                    <w:t xml:space="preserve"> </w:t>
                  </w:r>
                  <w:r>
                    <w:rPr>
                      <w:rFonts w:hint="eastAsia"/>
                      <w:color w:val="auto"/>
                      <w:highlight w:val="none"/>
                      <w:lang w:val="en-US" w:eastAsia="zh-CN"/>
                    </w:rPr>
                    <w:t>年环境空气质量现状对比可知，华容县环境空气质量正在逐步改善，环境空气质量呈现好转。结合本项目大气环境影响及污染防治措施分析，建设单位依照本环评要求的措施合理处置各项污染物，则本项目各项污染物排放在接纳范围之内。项目建成后不改变周边环境功能，不突破环境质量底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highlight w:val="none"/>
                      <w:lang w:val="en-US" w:eastAsia="zh-CN"/>
                    </w:rPr>
                  </w:pPr>
                  <w:r>
                    <w:rPr>
                      <w:rFonts w:hint="eastAsia"/>
                      <w:color w:val="auto"/>
                      <w:highlight w:val="none"/>
                      <w:lang w:val="en-US" w:eastAsia="zh-CN"/>
                    </w:rPr>
                    <w:t>3</w:t>
                  </w:r>
                </w:p>
              </w:tc>
              <w:tc>
                <w:tcPr>
                  <w:tcW w:w="6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资源利用上线</w:t>
                  </w:r>
                </w:p>
              </w:tc>
              <w:tc>
                <w:tcPr>
                  <w:tcW w:w="533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highlight w:val="none"/>
                      <w:lang w:val="en-US" w:eastAsia="zh-CN"/>
                    </w:rPr>
                  </w:pPr>
                  <w:r>
                    <w:rPr>
                      <w:rFonts w:hint="eastAsia"/>
                      <w:color w:val="auto"/>
                      <w:highlight w:val="none"/>
                      <w:lang w:val="en-US" w:eastAsia="zh-CN"/>
                    </w:rPr>
                    <w:t>资源是环境的载体，资源利用上线是各地区能源、水、土地等资源消耗不得突破的“天花板”。</w:t>
                  </w:r>
                </w:p>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建设项目供电等由电网统一供给，项目所选工艺设备选用了高效、先进、自动化的污水处理厂设备，提高了污水处理效率，节省了物资和能源。因此，项目建设符合《关于以改善环境质量为核心加强环境影响评价管理的通知》（环环评</w:t>
                  </w:r>
                  <w:r>
                    <w:rPr>
                      <w:rFonts w:hint="default"/>
                      <w:color w:val="auto"/>
                      <w:highlight w:val="none"/>
                      <w:lang w:val="en-US" w:eastAsia="zh-CN"/>
                    </w:rPr>
                    <w:t xml:space="preserve">[2016]150 </w:t>
                  </w:r>
                  <w:r>
                    <w:rPr>
                      <w:rFonts w:hint="eastAsia"/>
                      <w:color w:val="auto"/>
                      <w:highlight w:val="none"/>
                      <w:lang w:val="en-US" w:eastAsia="zh-CN"/>
                    </w:rPr>
                    <w:t>号）中的资源利用上线要求。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72"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rFonts w:hint="eastAsia"/>
                      <w:color w:val="auto"/>
                      <w:highlight w:val="none"/>
                      <w:lang w:val="en-US" w:eastAsia="zh-CN"/>
                    </w:rPr>
                  </w:pPr>
                  <w:r>
                    <w:rPr>
                      <w:rFonts w:hint="eastAsia"/>
                      <w:color w:val="auto"/>
                      <w:highlight w:val="none"/>
                      <w:lang w:val="en-US" w:eastAsia="zh-CN"/>
                    </w:rPr>
                    <w:t>4</w:t>
                  </w:r>
                </w:p>
              </w:tc>
              <w:tc>
                <w:tcPr>
                  <w:tcW w:w="650"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环境准入负面清单</w:t>
                  </w:r>
                </w:p>
              </w:tc>
              <w:tc>
                <w:tcPr>
                  <w:tcW w:w="5339" w:type="dxa"/>
                  <w:vAlign w:val="center"/>
                </w:tcPr>
                <w:p>
                  <w:pPr>
                    <w:keepNext w:val="0"/>
                    <w:keepLines w:val="0"/>
                    <w:pageBreakBefore w:val="0"/>
                    <w:widowControl w:val="0"/>
                    <w:kinsoku/>
                    <w:wordWrap/>
                    <w:overflowPunct/>
                    <w:topLinePunct w:val="0"/>
                    <w:autoSpaceDE/>
                    <w:autoSpaceDN/>
                    <w:bidi w:val="0"/>
                    <w:adjustRightInd/>
                    <w:snapToGrid/>
                    <w:jc w:val="center"/>
                    <w:textAlignment w:val="auto"/>
                    <w:rPr>
                      <w:color w:val="auto"/>
                      <w:highlight w:val="none"/>
                    </w:rPr>
                  </w:pPr>
                  <w:r>
                    <w:rPr>
                      <w:rFonts w:hint="eastAsia"/>
                      <w:color w:val="auto"/>
                      <w:highlight w:val="none"/>
                      <w:lang w:val="en-US" w:eastAsia="zh-CN"/>
                    </w:rPr>
                    <w:t>本项目不在《市场准入负面清单</w:t>
                  </w:r>
                  <w:r>
                    <w:rPr>
                      <w:rFonts w:hint="default"/>
                      <w:color w:val="auto"/>
                      <w:highlight w:val="none"/>
                      <w:lang w:val="en-US" w:eastAsia="zh-CN"/>
                    </w:rPr>
                    <w:t xml:space="preserve">(2020 </w:t>
                  </w:r>
                  <w:r>
                    <w:rPr>
                      <w:rFonts w:hint="eastAsia"/>
                      <w:color w:val="auto"/>
                      <w:highlight w:val="none"/>
                      <w:lang w:val="en-US" w:eastAsia="zh-CN"/>
                    </w:rPr>
                    <w:t>年版</w:t>
                  </w:r>
                  <w:r>
                    <w:rPr>
                      <w:rFonts w:hint="default"/>
                      <w:color w:val="auto"/>
                      <w:highlight w:val="none"/>
                      <w:lang w:val="en-US" w:eastAsia="zh-CN"/>
                    </w:rPr>
                    <w:t>)</w:t>
                  </w:r>
                  <w:r>
                    <w:rPr>
                      <w:rFonts w:hint="eastAsia"/>
                      <w:color w:val="auto"/>
                      <w:highlight w:val="none"/>
                      <w:lang w:val="en-US" w:eastAsia="zh-CN"/>
                    </w:rPr>
                    <w:t>》范围内，不属于《产业结构调整指导目录（</w:t>
                  </w:r>
                  <w:r>
                    <w:rPr>
                      <w:rFonts w:hint="default"/>
                      <w:color w:val="auto"/>
                      <w:highlight w:val="none"/>
                      <w:lang w:val="en-US" w:eastAsia="zh-CN"/>
                    </w:rPr>
                    <w:t xml:space="preserve">2019 </w:t>
                  </w:r>
                  <w:r>
                    <w:rPr>
                      <w:rFonts w:hint="eastAsia"/>
                      <w:color w:val="auto"/>
                      <w:highlight w:val="none"/>
                      <w:lang w:val="en-US" w:eastAsia="zh-CN"/>
                    </w:rPr>
                    <w:t>年本）》、限制类、淘汰类，不属于《岳阳市人民政府关于实施岳阳市“三线一单”生态环境分区管控的意见（岳政发〔</w:t>
                  </w:r>
                  <w:r>
                    <w:rPr>
                      <w:rFonts w:hint="default"/>
                      <w:color w:val="auto"/>
                      <w:highlight w:val="none"/>
                      <w:lang w:val="en-US" w:eastAsia="zh-CN"/>
                    </w:rPr>
                    <w:t>2021</w:t>
                  </w:r>
                  <w:r>
                    <w:rPr>
                      <w:rFonts w:hint="eastAsia"/>
                      <w:color w:val="auto"/>
                      <w:highlight w:val="none"/>
                      <w:lang w:val="en-US" w:eastAsia="zh-CN"/>
                    </w:rPr>
                    <w:t>〕</w:t>
                  </w:r>
                  <w:r>
                    <w:rPr>
                      <w:rFonts w:hint="default"/>
                      <w:color w:val="auto"/>
                      <w:highlight w:val="none"/>
                      <w:lang w:val="en-US" w:eastAsia="zh-CN"/>
                    </w:rPr>
                    <w:t xml:space="preserve">2 </w:t>
                  </w:r>
                  <w:r>
                    <w:rPr>
                      <w:rFonts w:hint="eastAsia"/>
                      <w:color w:val="auto"/>
                      <w:highlight w:val="none"/>
                      <w:lang w:val="en-US" w:eastAsia="zh-CN"/>
                    </w:rPr>
                    <w:t>号）》中负面项目。</w:t>
                  </w:r>
                </w:p>
              </w:tc>
            </w:tr>
          </w:tbl>
          <w:p>
            <w:pPr>
              <w:bidi w:val="0"/>
              <w:spacing w:line="360" w:lineRule="auto"/>
              <w:ind w:firstLine="480" w:firstLineChars="200"/>
              <w:jc w:val="both"/>
              <w:rPr>
                <w:rFonts w:hint="eastAsia"/>
                <w:color w:val="auto"/>
                <w:sz w:val="24"/>
                <w:szCs w:val="24"/>
                <w:highlight w:val="none"/>
              </w:rPr>
            </w:pPr>
            <w:r>
              <w:rPr>
                <w:rFonts w:hint="eastAsia"/>
                <w:color w:val="auto"/>
                <w:sz w:val="24"/>
                <w:szCs w:val="24"/>
                <w:highlight w:val="none"/>
                <w:lang w:val="en-US" w:eastAsia="zh-CN"/>
              </w:rPr>
              <w:t>根据上表分析，建设项目符合生态保护红线、环境质量底线、资源利用上线及环境准入负面清单（三线一单）要求。</w:t>
            </w:r>
          </w:p>
          <w:p>
            <w:pPr>
              <w:pStyle w:val="29"/>
              <w:spacing w:line="360" w:lineRule="auto"/>
              <w:rPr>
                <w:rFonts w:hint="default"/>
                <w:b/>
                <w:color w:val="auto"/>
                <w:kern w:val="2"/>
                <w:sz w:val="24"/>
                <w:szCs w:val="32"/>
                <w:highlight w:val="none"/>
                <w:u w:val="none"/>
              </w:rPr>
            </w:pPr>
            <w:r>
              <w:rPr>
                <w:rFonts w:hint="default"/>
                <w:b/>
                <w:color w:val="auto"/>
                <w:kern w:val="21"/>
                <w:sz w:val="24"/>
                <w:highlight w:val="none"/>
                <w:u w:val="none"/>
              </w:rPr>
              <w:t>3、</w:t>
            </w:r>
            <w:r>
              <w:rPr>
                <w:rFonts w:hint="eastAsia"/>
                <w:b/>
                <w:color w:val="auto"/>
                <w:kern w:val="21"/>
                <w:sz w:val="24"/>
                <w:highlight w:val="none"/>
                <w:u w:val="none"/>
                <w:lang w:val="en-US" w:eastAsia="zh-CN"/>
              </w:rPr>
              <w:t>本项目</w:t>
            </w:r>
            <w:r>
              <w:rPr>
                <w:rFonts w:hint="default"/>
                <w:b/>
                <w:color w:val="auto"/>
                <w:kern w:val="2"/>
                <w:sz w:val="24"/>
                <w:szCs w:val="32"/>
                <w:highlight w:val="none"/>
                <w:u w:val="none"/>
              </w:rPr>
              <w:t>与岳阳市“三线一单”生态环境分区管控的意见（岳政发〔2021〕2号）合理性分析</w:t>
            </w:r>
          </w:p>
          <w:p>
            <w:pPr>
              <w:widowControl/>
              <w:spacing w:line="360" w:lineRule="auto"/>
              <w:ind w:firstLine="480" w:firstLineChars="200"/>
              <w:rPr>
                <w:color w:val="auto"/>
                <w:sz w:val="24"/>
                <w:highlight w:val="none"/>
                <w:u w:val="none"/>
              </w:rPr>
            </w:pPr>
            <w:r>
              <w:rPr>
                <w:rFonts w:hint="eastAsia"/>
                <w:color w:val="auto"/>
                <w:sz w:val="24"/>
                <w:highlight w:val="none"/>
                <w:u w:val="none"/>
              </w:rPr>
              <w:t>根据岳阳市“三线一单”生态环境分区管控的意见（岳政发〔2021〕2号）文件，章华镇华容县城区部分属于重点管控单元，环境管控单元编码ZH43062320001。</w:t>
            </w:r>
          </w:p>
          <w:p>
            <w:pPr>
              <w:pStyle w:val="9"/>
              <w:spacing w:after="0"/>
              <w:jc w:val="center"/>
              <w:rPr>
                <w:b/>
                <w:bCs/>
                <w:color w:val="auto"/>
                <w:sz w:val="21"/>
                <w:szCs w:val="21"/>
                <w:highlight w:val="none"/>
                <w:u w:val="none"/>
              </w:rPr>
            </w:pPr>
            <w:r>
              <w:rPr>
                <w:rFonts w:hint="eastAsia"/>
                <w:b/>
                <w:bCs/>
                <w:color w:val="auto"/>
                <w:sz w:val="21"/>
                <w:szCs w:val="21"/>
                <w:highlight w:val="none"/>
                <w:u w:val="none"/>
              </w:rPr>
              <w:t>表1-</w:t>
            </w:r>
            <w:r>
              <w:rPr>
                <w:rFonts w:hint="eastAsia"/>
                <w:b/>
                <w:bCs/>
                <w:color w:val="auto"/>
                <w:sz w:val="21"/>
                <w:szCs w:val="21"/>
                <w:highlight w:val="none"/>
                <w:u w:val="none"/>
                <w:lang w:val="en-US" w:eastAsia="zh-CN"/>
              </w:rPr>
              <w:t xml:space="preserve">2 </w:t>
            </w:r>
            <w:r>
              <w:rPr>
                <w:rFonts w:hint="eastAsia"/>
                <w:b/>
                <w:bCs/>
                <w:color w:val="auto"/>
                <w:sz w:val="21"/>
                <w:szCs w:val="21"/>
                <w:highlight w:val="none"/>
                <w:u w:val="none"/>
              </w:rPr>
              <w:t>项目与岳政发〔</w:t>
            </w:r>
            <w:r>
              <w:rPr>
                <w:b/>
                <w:bCs/>
                <w:color w:val="auto"/>
                <w:sz w:val="21"/>
                <w:szCs w:val="21"/>
                <w:highlight w:val="none"/>
                <w:u w:val="none"/>
              </w:rPr>
              <w:t>2021</w:t>
            </w:r>
            <w:r>
              <w:rPr>
                <w:rFonts w:hint="eastAsia"/>
                <w:b/>
                <w:bCs/>
                <w:color w:val="auto"/>
                <w:sz w:val="21"/>
                <w:szCs w:val="21"/>
                <w:highlight w:val="none"/>
                <w:u w:val="none"/>
              </w:rPr>
              <w:t>〕</w:t>
            </w:r>
            <w:r>
              <w:rPr>
                <w:b/>
                <w:bCs/>
                <w:color w:val="auto"/>
                <w:sz w:val="21"/>
                <w:szCs w:val="21"/>
                <w:highlight w:val="none"/>
                <w:u w:val="none"/>
              </w:rPr>
              <w:t>2</w:t>
            </w:r>
            <w:r>
              <w:rPr>
                <w:rFonts w:hint="eastAsia"/>
                <w:b/>
                <w:bCs/>
                <w:color w:val="auto"/>
                <w:sz w:val="21"/>
                <w:szCs w:val="21"/>
                <w:highlight w:val="none"/>
                <w:u w:val="none"/>
              </w:rPr>
              <w:t>号符合性一览表</w:t>
            </w:r>
          </w:p>
          <w:tbl>
            <w:tblPr>
              <w:tblStyle w:val="26"/>
              <w:tblW w:w="4994"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
              <w:gridCol w:w="4191"/>
              <w:gridCol w:w="1303"/>
              <w:gridCol w:w="80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94" w:type="dxa"/>
                  <w:tcMar>
                    <w:top w:w="0" w:type="dxa"/>
                    <w:left w:w="17" w:type="dxa"/>
                    <w:bottom w:w="0" w:type="dxa"/>
                    <w:right w:w="17"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内容</w:t>
                  </w:r>
                </w:p>
              </w:tc>
              <w:tc>
                <w:tcPr>
                  <w:tcW w:w="4192" w:type="dxa"/>
                  <w:tcMar>
                    <w:top w:w="0" w:type="dxa"/>
                    <w:left w:w="17" w:type="dxa"/>
                    <w:bottom w:w="0" w:type="dxa"/>
                    <w:right w:w="17"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管控维度</w:t>
                  </w:r>
                </w:p>
              </w:tc>
              <w:tc>
                <w:tcPr>
                  <w:tcW w:w="1303" w:type="dxa"/>
                  <w:tcMar>
                    <w:top w:w="0" w:type="dxa"/>
                    <w:left w:w="17" w:type="dxa"/>
                    <w:bottom w:w="0" w:type="dxa"/>
                    <w:right w:w="17"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符合性分析</w:t>
                  </w:r>
                </w:p>
              </w:tc>
              <w:tc>
                <w:tcPr>
                  <w:tcW w:w="805" w:type="dxa"/>
                  <w:tcMar>
                    <w:top w:w="0" w:type="dxa"/>
                    <w:left w:w="17" w:type="dxa"/>
                    <w:bottom w:w="0" w:type="dxa"/>
                    <w:right w:w="17"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符合情况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空间布局约束</w:t>
                  </w:r>
                </w:p>
              </w:tc>
              <w:tc>
                <w:tcPr>
                  <w:tcW w:w="4192" w:type="dxa"/>
                  <w:tcMar>
                    <w:top w:w="0" w:type="dxa"/>
                    <w:left w:w="17" w:type="dxa"/>
                    <w:bottom w:w="0" w:type="dxa"/>
                    <w:right w:w="17"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1.1依法划定畜禽养殖禁养区，依法处理违规畜禽养殖行为</w:t>
                  </w:r>
                </w:p>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1.2严格禁养区管理，禁养区内禁止新建畜禽规模养殖场（小区）和养殖专业户</w:t>
                  </w:r>
                </w:p>
              </w:tc>
              <w:tc>
                <w:tcPr>
                  <w:tcW w:w="1303"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不涉及所列限制情况</w:t>
                  </w:r>
                </w:p>
              </w:tc>
              <w:tc>
                <w:tcPr>
                  <w:tcW w:w="805"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dxa"/>
                  <w:tcMar>
                    <w:top w:w="0" w:type="dxa"/>
                    <w:left w:w="17" w:type="dxa"/>
                    <w:bottom w:w="0" w:type="dxa"/>
                    <w:right w:w="17" w:type="dxa"/>
                  </w:tcMar>
                  <w:vAlign w:val="center"/>
                </w:tcPr>
                <w:p>
                  <w:pPr>
                    <w:keepNext w:val="0"/>
                    <w:keepLines w:val="0"/>
                    <w:pageBreakBefore w:val="0"/>
                    <w:kinsoku/>
                    <w:wordWrap/>
                    <w:overflowPunct/>
                    <w:topLinePunct w:val="0"/>
                    <w:autoSpaceDE/>
                    <w:autoSpaceDN/>
                    <w:bidi w:val="0"/>
                    <w:adjustRightInd/>
                    <w:snapToGrid/>
                    <w:spacing w:line="240" w:lineRule="auto"/>
                    <w:jc w:val="center"/>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污染排</w:t>
                  </w:r>
                </w:p>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放管控</w:t>
                  </w:r>
                </w:p>
              </w:tc>
              <w:tc>
                <w:tcPr>
                  <w:tcW w:w="4192" w:type="dxa"/>
                  <w:tcMar>
                    <w:top w:w="0" w:type="dxa"/>
                    <w:left w:w="17" w:type="dxa"/>
                    <w:bottom w:w="0" w:type="dxa"/>
                    <w:right w:w="17"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2.1加快推进规模化畜禽养殖场（小区）配套建设畜禽粪污贮存、处理、利用设施。全面推动畜禽养殖废弃物资源化利用</w:t>
                  </w:r>
                </w:p>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2.2推广测土配方施肥、绿肥种植、水肥一体化、有机肥替代等技术，减少化肥施用量；推广低毒、低残留农药使用补助试点经验，开展农作物病虫害绿色防控和统防统治</w:t>
                  </w:r>
                </w:p>
              </w:tc>
              <w:tc>
                <w:tcPr>
                  <w:tcW w:w="1303"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不违背所列要求</w:t>
                  </w:r>
                </w:p>
              </w:tc>
              <w:tc>
                <w:tcPr>
                  <w:tcW w:w="805"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dxa"/>
                  <w:tcMar>
                    <w:top w:w="0" w:type="dxa"/>
                    <w:left w:w="17" w:type="dxa"/>
                    <w:bottom w:w="0" w:type="dxa"/>
                    <w:right w:w="17"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环境风险防控</w:t>
                  </w:r>
                </w:p>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p>
              </w:tc>
              <w:tc>
                <w:tcPr>
                  <w:tcW w:w="4192" w:type="dxa"/>
                  <w:tcMar>
                    <w:top w:w="0" w:type="dxa"/>
                    <w:left w:w="17" w:type="dxa"/>
                    <w:bottom w:w="0" w:type="dxa"/>
                    <w:right w:w="17"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kern w:val="0"/>
                      <w:szCs w:val="21"/>
                      <w:highlight w:val="none"/>
                      <w:lang w:bidi="ar"/>
                    </w:rPr>
                  </w:pPr>
                  <w:r>
                    <w:rPr>
                      <w:rFonts w:hint="eastAsia" w:asciiTheme="minorEastAsia" w:hAnsiTheme="minorEastAsia" w:cstheme="minorEastAsia"/>
                      <w:color w:val="auto"/>
                      <w:kern w:val="0"/>
                      <w:szCs w:val="21"/>
                      <w:highlight w:val="none"/>
                      <w:lang w:bidi="ar"/>
                    </w:rPr>
                    <w:t>3加强农业农村生态环境监测体系建设，加强对农村集中式饮用水水源、日处理能力20吨以上的农村生活污水处理设施出水和畜禽规模养殖场排污口的水质监测，建立农村环境监测信息发布制度</w:t>
                  </w:r>
                </w:p>
              </w:tc>
              <w:tc>
                <w:tcPr>
                  <w:tcW w:w="1303"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不违背所列要求</w:t>
                  </w:r>
                </w:p>
              </w:tc>
              <w:tc>
                <w:tcPr>
                  <w:tcW w:w="805"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94"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资源开发效率要求</w:t>
                  </w:r>
                </w:p>
              </w:tc>
              <w:tc>
                <w:tcPr>
                  <w:tcW w:w="4192" w:type="dxa"/>
                  <w:tcMar>
                    <w:top w:w="0" w:type="dxa"/>
                    <w:left w:w="17" w:type="dxa"/>
                    <w:bottom w:w="0" w:type="dxa"/>
                    <w:right w:w="17" w:type="dxa"/>
                  </w:tcMar>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4.1水资源：2020年，华容县万元国内生产总值用水量99m3/万元，万元工业增加值用水量32m3/万元，农田灌溉水有效利用系数0.52。</w:t>
                  </w:r>
                </w:p>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4.2能源：华容县“十三五”能耗强度降低目标18.5%，“十三五”能耗控制目标20万吨标准煤</w:t>
                  </w:r>
                </w:p>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kern w:val="0"/>
                      <w:szCs w:val="21"/>
                      <w:highlight w:val="none"/>
                      <w:lang w:bidi="ar"/>
                    </w:rPr>
                    <w:t>4.3土地资源：耕地保有量4790公顷，基本农田保护面积3400公顷，城乡建设用地规模3237.13公顷</w:t>
                  </w:r>
                </w:p>
              </w:tc>
              <w:tc>
                <w:tcPr>
                  <w:tcW w:w="1303"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与所列要求不冲突</w:t>
                  </w:r>
                </w:p>
              </w:tc>
              <w:tc>
                <w:tcPr>
                  <w:tcW w:w="805" w:type="dxa"/>
                  <w:tcMar>
                    <w:top w:w="0" w:type="dxa"/>
                    <w:left w:w="17" w:type="dxa"/>
                    <w:bottom w:w="0" w:type="dxa"/>
                    <w:right w:w="17" w:type="dxa"/>
                  </w:tcMar>
                  <w:vAlign w:val="center"/>
                </w:tcPr>
                <w:p>
                  <w:pPr>
                    <w:pStyle w:val="30"/>
                    <w:keepNext w:val="0"/>
                    <w:keepLines w:val="0"/>
                    <w:pageBreakBefore w:val="0"/>
                    <w:kinsoku/>
                    <w:wordWrap/>
                    <w:overflowPunct/>
                    <w:topLinePunct w:val="0"/>
                    <w:autoSpaceDE/>
                    <w:autoSpaceDN/>
                    <w:bidi w:val="0"/>
                    <w:adjustRightInd/>
                    <w:snapToGrid/>
                    <w:spacing w:line="240" w:lineRule="auto"/>
                    <w:textAlignment w:val="auto"/>
                    <w:rPr>
                      <w:rFonts w:asciiTheme="minorEastAsia" w:hAnsiTheme="minorEastAsia" w:cstheme="minorEastAsia"/>
                      <w:color w:val="auto"/>
                      <w:szCs w:val="21"/>
                      <w:highlight w:val="none"/>
                    </w:rPr>
                  </w:pPr>
                  <w:r>
                    <w:rPr>
                      <w:rFonts w:hint="eastAsia" w:asciiTheme="minorEastAsia" w:hAnsiTheme="minorEastAsia" w:cstheme="minorEastAsia"/>
                      <w:color w:val="auto"/>
                      <w:szCs w:val="21"/>
                      <w:highlight w:val="none"/>
                    </w:rPr>
                    <w:t>符合</w:t>
                  </w:r>
                </w:p>
              </w:tc>
            </w:tr>
          </w:tbl>
          <w:p>
            <w:pPr>
              <w:autoSpaceDE w:val="0"/>
              <w:autoSpaceDN w:val="0"/>
              <w:adjustRightInd w:val="0"/>
              <w:snapToGrid w:val="0"/>
              <w:spacing w:line="360" w:lineRule="auto"/>
              <w:ind w:firstLine="480" w:firstLineChars="200"/>
              <w:rPr>
                <w:color w:val="auto"/>
                <w:sz w:val="24"/>
                <w:szCs w:val="24"/>
                <w:highlight w:val="none"/>
              </w:rPr>
            </w:pPr>
            <w:r>
              <w:rPr>
                <w:rFonts w:hint="eastAsia"/>
                <w:color w:val="auto"/>
                <w:sz w:val="24"/>
                <w:highlight w:val="none"/>
              </w:rPr>
              <w:t>综上，本项目与岳阳市“三线一单”生态环境分区管控的意见</w:t>
            </w:r>
            <w:r>
              <w:rPr>
                <w:rFonts w:hint="eastAsia"/>
                <w:color w:val="auto"/>
                <w:sz w:val="24"/>
                <w:szCs w:val="24"/>
                <w:highlight w:val="none"/>
              </w:rPr>
              <w:t>（岳政发〔</w:t>
            </w:r>
            <w:r>
              <w:rPr>
                <w:color w:val="auto"/>
                <w:sz w:val="24"/>
                <w:szCs w:val="24"/>
                <w:highlight w:val="none"/>
              </w:rPr>
              <w:t>2021</w:t>
            </w:r>
            <w:r>
              <w:rPr>
                <w:rFonts w:hint="eastAsia"/>
                <w:color w:val="auto"/>
                <w:sz w:val="24"/>
                <w:szCs w:val="24"/>
                <w:highlight w:val="none"/>
              </w:rPr>
              <w:t>〕</w:t>
            </w:r>
            <w:r>
              <w:rPr>
                <w:color w:val="auto"/>
                <w:sz w:val="24"/>
                <w:szCs w:val="24"/>
                <w:highlight w:val="none"/>
              </w:rPr>
              <w:t>2</w:t>
            </w:r>
            <w:r>
              <w:rPr>
                <w:rFonts w:hint="eastAsia"/>
                <w:color w:val="auto"/>
                <w:sz w:val="24"/>
                <w:szCs w:val="24"/>
                <w:highlight w:val="none"/>
              </w:rPr>
              <w:t>号）相符合。</w:t>
            </w:r>
          </w:p>
          <w:p>
            <w:pPr>
              <w:keepNext w:val="0"/>
              <w:keepLines w:val="0"/>
              <w:widowControl/>
              <w:suppressLineNumbers w:val="0"/>
              <w:spacing w:line="360" w:lineRule="auto"/>
              <w:jc w:val="left"/>
              <w:rPr>
                <w:color w:val="auto"/>
                <w:highlight w:val="none"/>
                <w:u w:val="none"/>
              </w:rPr>
            </w:pPr>
            <w:r>
              <w:rPr>
                <w:rFonts w:hint="default" w:ascii="Times New Roman" w:hAnsi="Times New Roman" w:eastAsia="宋体" w:cs="Times New Roman"/>
                <w:b/>
                <w:bCs/>
                <w:color w:val="auto"/>
                <w:kern w:val="0"/>
                <w:sz w:val="24"/>
                <w:szCs w:val="24"/>
                <w:highlight w:val="none"/>
                <w:u w:val="none"/>
                <w:lang w:val="en-US" w:eastAsia="zh-CN" w:bidi="ar"/>
              </w:rPr>
              <w:t>4</w:t>
            </w:r>
            <w:r>
              <w:rPr>
                <w:rFonts w:hint="eastAsia" w:ascii="宋体" w:hAnsi="宋体" w:eastAsia="宋体" w:cs="宋体"/>
                <w:b/>
                <w:bCs/>
                <w:color w:val="auto"/>
                <w:kern w:val="0"/>
                <w:sz w:val="24"/>
                <w:szCs w:val="24"/>
                <w:highlight w:val="none"/>
                <w:u w:val="none"/>
                <w:lang w:val="en-US" w:eastAsia="zh-CN" w:bidi="ar"/>
              </w:rPr>
              <w:t>、与《废塑料污染控制技术规范》（</w:t>
            </w:r>
            <w:r>
              <w:rPr>
                <w:rFonts w:hint="default" w:ascii="Times New Roman" w:hAnsi="Times New Roman" w:eastAsia="宋体" w:cs="Times New Roman"/>
                <w:b/>
                <w:bCs/>
                <w:color w:val="auto"/>
                <w:kern w:val="0"/>
                <w:sz w:val="24"/>
                <w:szCs w:val="24"/>
                <w:highlight w:val="none"/>
                <w:u w:val="none"/>
                <w:lang w:val="en-US" w:eastAsia="zh-CN" w:bidi="ar"/>
              </w:rPr>
              <w:t>HJ364—2022</w:t>
            </w:r>
            <w:r>
              <w:rPr>
                <w:rFonts w:hint="eastAsia" w:ascii="宋体" w:hAnsi="宋体" w:eastAsia="宋体" w:cs="宋体"/>
                <w:b/>
                <w:bCs/>
                <w:color w:val="auto"/>
                <w:kern w:val="0"/>
                <w:sz w:val="24"/>
                <w:szCs w:val="24"/>
                <w:highlight w:val="none"/>
                <w:u w:val="none"/>
                <w:lang w:val="en-US" w:eastAsia="zh-CN" w:bidi="ar"/>
              </w:rPr>
              <w:t xml:space="preserve">）符合性分析 </w:t>
            </w:r>
          </w:p>
          <w:p>
            <w:pPr>
              <w:keepNext w:val="0"/>
              <w:keepLines w:val="0"/>
              <w:widowControl/>
              <w:suppressLineNumbers w:val="0"/>
              <w:spacing w:line="360" w:lineRule="auto"/>
              <w:ind w:firstLine="480" w:firstLineChars="200"/>
              <w:jc w:val="left"/>
              <w:rPr>
                <w:color w:val="auto"/>
                <w:highlight w:val="none"/>
                <w:u w:val="none"/>
              </w:rPr>
            </w:pPr>
            <w:r>
              <w:rPr>
                <w:rFonts w:hint="eastAsia" w:ascii="宋体" w:hAnsi="宋体" w:eastAsia="宋体" w:cs="宋体"/>
                <w:color w:val="auto"/>
                <w:kern w:val="0"/>
                <w:sz w:val="24"/>
                <w:szCs w:val="24"/>
                <w:highlight w:val="none"/>
                <w:u w:val="none"/>
                <w:lang w:val="en-US" w:eastAsia="zh-CN" w:bidi="ar"/>
              </w:rPr>
              <w:t>本项目与《废塑料污染控制技术规范》（</w:t>
            </w:r>
            <w:r>
              <w:rPr>
                <w:rFonts w:hint="default" w:ascii="Times New Roman" w:hAnsi="Times New Roman" w:eastAsia="宋体" w:cs="Times New Roman"/>
                <w:color w:val="auto"/>
                <w:kern w:val="0"/>
                <w:sz w:val="24"/>
                <w:szCs w:val="24"/>
                <w:highlight w:val="none"/>
                <w:u w:val="none"/>
                <w:lang w:val="en-US" w:eastAsia="zh-CN" w:bidi="ar"/>
              </w:rPr>
              <w:t>HJ364</w:t>
            </w:r>
            <w:r>
              <w:rPr>
                <w:rFonts w:hint="eastAsia" w:ascii="宋体" w:hAnsi="宋体" w:eastAsia="宋体" w:cs="宋体"/>
                <w:color w:val="auto"/>
                <w:kern w:val="0"/>
                <w:sz w:val="24"/>
                <w:szCs w:val="24"/>
                <w:highlight w:val="none"/>
                <w:u w:val="none"/>
                <w:lang w:val="en-US" w:eastAsia="zh-CN" w:bidi="ar"/>
              </w:rPr>
              <w:t>—</w:t>
            </w:r>
            <w:r>
              <w:rPr>
                <w:rFonts w:hint="default" w:ascii="Times New Roman" w:hAnsi="Times New Roman" w:eastAsia="宋体" w:cs="Times New Roman"/>
                <w:color w:val="auto"/>
                <w:kern w:val="0"/>
                <w:sz w:val="24"/>
                <w:szCs w:val="24"/>
                <w:highlight w:val="none"/>
                <w:u w:val="none"/>
                <w:lang w:val="en-US" w:eastAsia="zh-CN" w:bidi="ar"/>
              </w:rPr>
              <w:t>2022</w:t>
            </w:r>
            <w:r>
              <w:rPr>
                <w:rFonts w:hint="eastAsia" w:ascii="宋体" w:hAnsi="宋体" w:eastAsia="宋体" w:cs="宋体"/>
                <w:color w:val="auto"/>
                <w:kern w:val="0"/>
                <w:sz w:val="24"/>
                <w:szCs w:val="24"/>
                <w:highlight w:val="none"/>
                <w:u w:val="none"/>
                <w:lang w:val="en-US" w:eastAsia="zh-CN" w:bidi="ar"/>
              </w:rPr>
              <w:t>）符合性分析如下：</w:t>
            </w:r>
          </w:p>
          <w:p>
            <w:pPr>
              <w:keepNext w:val="0"/>
              <w:keepLines w:val="0"/>
              <w:widowControl/>
              <w:suppressLineNumbers w:val="0"/>
              <w:spacing w:line="360" w:lineRule="auto"/>
              <w:jc w:val="center"/>
              <w:rPr>
                <w:color w:val="auto"/>
                <w:highlight w:val="none"/>
                <w:u w:val="none"/>
              </w:rPr>
            </w:pPr>
            <w:r>
              <w:rPr>
                <w:rFonts w:hint="eastAsia" w:ascii="宋体" w:hAnsi="宋体" w:eastAsia="宋体" w:cs="宋体"/>
                <w:b/>
                <w:bCs/>
                <w:color w:val="auto"/>
                <w:kern w:val="0"/>
                <w:sz w:val="21"/>
                <w:szCs w:val="21"/>
                <w:highlight w:val="none"/>
                <w:u w:val="none"/>
                <w:lang w:val="en-US" w:eastAsia="zh-CN" w:bidi="ar"/>
              </w:rPr>
              <w:t xml:space="preserve">表 </w:t>
            </w:r>
            <w:r>
              <w:rPr>
                <w:rFonts w:hint="default" w:ascii="Times New Roman" w:hAnsi="Times New Roman" w:eastAsia="宋体" w:cs="Times New Roman"/>
                <w:b/>
                <w:bCs/>
                <w:color w:val="auto"/>
                <w:kern w:val="0"/>
                <w:sz w:val="21"/>
                <w:szCs w:val="21"/>
                <w:highlight w:val="none"/>
                <w:u w:val="none"/>
                <w:lang w:val="en-US" w:eastAsia="zh-CN" w:bidi="ar"/>
              </w:rPr>
              <w:t xml:space="preserve">1-4 </w:t>
            </w:r>
            <w:r>
              <w:rPr>
                <w:rFonts w:hint="eastAsia" w:ascii="宋体" w:hAnsi="宋体" w:eastAsia="宋体" w:cs="宋体"/>
                <w:b/>
                <w:bCs/>
                <w:color w:val="auto"/>
                <w:kern w:val="0"/>
                <w:sz w:val="21"/>
                <w:szCs w:val="21"/>
                <w:highlight w:val="none"/>
                <w:u w:val="none"/>
                <w:lang w:val="en-US" w:eastAsia="zh-CN" w:bidi="ar"/>
              </w:rPr>
              <w:t>本项目与《废塑料污染控制技术规范》（</w:t>
            </w:r>
            <w:r>
              <w:rPr>
                <w:rFonts w:hint="default" w:ascii="Times New Roman" w:hAnsi="Times New Roman" w:eastAsia="宋体" w:cs="Times New Roman"/>
                <w:b/>
                <w:bCs/>
                <w:color w:val="auto"/>
                <w:kern w:val="0"/>
                <w:sz w:val="21"/>
                <w:szCs w:val="21"/>
                <w:highlight w:val="none"/>
                <w:u w:val="none"/>
                <w:lang w:val="en-US" w:eastAsia="zh-CN" w:bidi="ar"/>
              </w:rPr>
              <w:t>HJ364</w:t>
            </w:r>
            <w:r>
              <w:rPr>
                <w:rFonts w:hint="eastAsia" w:ascii="宋体" w:hAnsi="宋体" w:eastAsia="宋体" w:cs="宋体"/>
                <w:b/>
                <w:bCs/>
                <w:color w:val="auto"/>
                <w:kern w:val="0"/>
                <w:sz w:val="21"/>
                <w:szCs w:val="21"/>
                <w:highlight w:val="none"/>
                <w:u w:val="none"/>
                <w:lang w:val="en-US" w:eastAsia="zh-CN" w:bidi="ar"/>
              </w:rPr>
              <w:t>—</w:t>
            </w:r>
            <w:r>
              <w:rPr>
                <w:rFonts w:hint="default" w:ascii="Times New Roman" w:hAnsi="Times New Roman" w:eastAsia="宋体" w:cs="Times New Roman"/>
                <w:b/>
                <w:bCs/>
                <w:color w:val="auto"/>
                <w:kern w:val="0"/>
                <w:sz w:val="21"/>
                <w:szCs w:val="21"/>
                <w:highlight w:val="none"/>
                <w:u w:val="none"/>
                <w:lang w:val="en-US" w:eastAsia="zh-CN" w:bidi="ar"/>
              </w:rPr>
              <w:t>2022</w:t>
            </w:r>
            <w:r>
              <w:rPr>
                <w:rFonts w:hint="eastAsia" w:ascii="宋体" w:hAnsi="宋体" w:eastAsia="宋体" w:cs="宋体"/>
                <w:b/>
                <w:bCs/>
                <w:color w:val="auto"/>
                <w:kern w:val="0"/>
                <w:sz w:val="21"/>
                <w:szCs w:val="21"/>
                <w:highlight w:val="none"/>
                <w:u w:val="none"/>
                <w:lang w:val="en-US" w:eastAsia="zh-CN" w:bidi="ar"/>
              </w:rPr>
              <w:t>）符合性分析</w:t>
            </w:r>
          </w:p>
          <w:tbl>
            <w:tblPr>
              <w:tblStyle w:val="25"/>
              <w:tblW w:w="85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26"/>
              <w:gridCol w:w="3108"/>
              <w:gridCol w:w="2409"/>
              <w:gridCol w:w="755"/>
              <w:gridCol w:w="187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772" w:hRule="atLeast"/>
              </w:trPr>
              <w:tc>
                <w:tcPr>
                  <w:tcW w:w="426" w:type="dxa"/>
                  <w:noWrap w:val="0"/>
                  <w:vAlign w:val="center"/>
                </w:tcPr>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序</w:t>
                  </w:r>
                </w:p>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号</w:t>
                  </w:r>
                </w:p>
              </w:tc>
              <w:tc>
                <w:tcPr>
                  <w:tcW w:w="3108" w:type="dxa"/>
                  <w:noWrap w:val="0"/>
                  <w:vAlign w:val="center"/>
                </w:tcPr>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《废塑料回收与再生利用污染控制技术规范》要求</w:t>
                  </w:r>
                </w:p>
              </w:tc>
              <w:tc>
                <w:tcPr>
                  <w:tcW w:w="2409" w:type="dxa"/>
                  <w:noWrap w:val="0"/>
                  <w:vAlign w:val="center"/>
                </w:tcPr>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项目落实情况</w:t>
                  </w:r>
                </w:p>
              </w:tc>
              <w:tc>
                <w:tcPr>
                  <w:tcW w:w="755" w:type="dxa"/>
                  <w:noWrap w:val="0"/>
                  <w:vAlign w:val="center"/>
                </w:tcPr>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是否符</w:t>
                  </w:r>
                </w:p>
                <w:p>
                  <w:pPr>
                    <w:pStyle w:val="39"/>
                    <w:kinsoku w:val="0"/>
                    <w:overflowPunct w:val="0"/>
                    <w:jc w:val="center"/>
                    <w:rPr>
                      <w:rFonts w:ascii="Times New Roman" w:hAnsi="Times New Roman" w:cs="Times New Roman"/>
                      <w:sz w:val="21"/>
                      <w:szCs w:val="21"/>
                      <w:u w:val="none"/>
                    </w:rPr>
                  </w:pPr>
                  <w:r>
                    <w:rPr>
                      <w:rFonts w:ascii="Times New Roman" w:hAnsi="Times New Roman" w:cs="Times New Roman"/>
                      <w:b/>
                      <w:bCs/>
                      <w:sz w:val="21"/>
                      <w:szCs w:val="21"/>
                      <w:u w:val="none"/>
                    </w:rPr>
                    <w:t>合要求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30" w:hRule="atLeast"/>
              </w:trPr>
              <w:tc>
                <w:tcPr>
                  <w:tcW w:w="6698" w:type="dxa"/>
                  <w:gridSpan w:val="4"/>
                  <w:noWrap w:val="0"/>
                  <w:vAlign w:val="center"/>
                </w:tcPr>
                <w:p>
                  <w:pPr>
                    <w:pStyle w:val="39"/>
                    <w:kinsoku w:val="0"/>
                    <w:overflowPunct w:val="0"/>
                    <w:rPr>
                      <w:rFonts w:hint="eastAsia" w:ascii="Times New Roman" w:hAnsi="Times New Roman" w:cs="Times New Roman"/>
                      <w:b/>
                      <w:bCs/>
                      <w:sz w:val="21"/>
                      <w:szCs w:val="21"/>
                      <w:u w:val="none"/>
                    </w:rPr>
                  </w:pPr>
                  <w:r>
                    <w:rPr>
                      <w:rFonts w:hint="eastAsia" w:ascii="Times New Roman" w:hAnsi="Times New Roman" w:cs="Times New Roman"/>
                      <w:b/>
                      <w:bCs/>
                      <w:sz w:val="21"/>
                      <w:szCs w:val="21"/>
                      <w:u w:val="none"/>
                    </w:rPr>
                    <w:t>一、废塑料的回收、运输和贮存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sz w:val="21"/>
                      <w:szCs w:val="21"/>
                      <w:u w:val="none"/>
                    </w:rPr>
                  </w:pPr>
                  <w:r>
                    <w:rPr>
                      <w:rFonts w:hint="eastAsia" w:ascii="Times New Roman" w:hAnsi="Times New Roman" w:cs="Times New Roman"/>
                      <w:sz w:val="21"/>
                      <w:szCs w:val="21"/>
                      <w:u w:val="none"/>
                    </w:rPr>
                    <w:t>1</w:t>
                  </w:r>
                </w:p>
              </w:tc>
              <w:tc>
                <w:tcPr>
                  <w:tcW w:w="3108" w:type="dxa"/>
                  <w:noWrap w:val="0"/>
                  <w:vAlign w:val="center"/>
                </w:tcPr>
                <w:p>
                  <w:pPr>
                    <w:pStyle w:val="39"/>
                    <w:kinsoku w:val="0"/>
                    <w:overflowPunct w:val="0"/>
                    <w:adjustRightInd w:val="0"/>
                    <w:snapToGrid w:val="0"/>
                    <w:rPr>
                      <w:rFonts w:ascii="Times New Roman" w:hAnsi="Times New Roman" w:cs="Times New Roman"/>
                      <w:sz w:val="21"/>
                      <w:szCs w:val="21"/>
                      <w:u w:val="none"/>
                    </w:rPr>
                  </w:pPr>
                  <w:r>
                    <w:rPr>
                      <w:rFonts w:ascii="Times New Roman" w:hAnsi="Times New Roman" w:cs="Times New Roman"/>
                      <w:sz w:val="21"/>
                      <w:szCs w:val="21"/>
                      <w:u w:val="none"/>
                    </w:rPr>
                    <w:t>废塑料的回收应按原料树脂种类进行分类回收，并严格区分废塑料来源和原用途。不得回收和再生利用属于医疗废物和危险废物的废塑料。</w:t>
                  </w:r>
                </w:p>
              </w:tc>
              <w:tc>
                <w:tcPr>
                  <w:tcW w:w="2409" w:type="dxa"/>
                  <w:noWrap w:val="0"/>
                  <w:vAlign w:val="center"/>
                </w:tcPr>
                <w:p>
                  <w:pPr>
                    <w:pStyle w:val="39"/>
                    <w:kinsoku w:val="0"/>
                    <w:overflowPunct w:val="0"/>
                    <w:adjustRightInd w:val="0"/>
                    <w:snapToGrid w:val="0"/>
                    <w:rPr>
                      <w:rFonts w:hint="eastAsia" w:ascii="Times New Roman" w:hAnsi="Times New Roman" w:cs="Times New Roman"/>
                      <w:sz w:val="21"/>
                      <w:szCs w:val="21"/>
                      <w:u w:val="none"/>
                    </w:rPr>
                  </w:pPr>
                  <w:r>
                    <w:rPr>
                      <w:rFonts w:hint="eastAsia" w:ascii="Times New Roman" w:hAnsi="Times New Roman" w:cs="Times New Roman"/>
                      <w:sz w:val="21"/>
                      <w:szCs w:val="21"/>
                      <w:u w:val="none"/>
                    </w:rPr>
                    <w:t>本项目按</w:t>
                  </w:r>
                  <w:r>
                    <w:rPr>
                      <w:rFonts w:ascii="Times New Roman" w:hAnsi="Times New Roman" w:cs="Times New Roman"/>
                      <w:sz w:val="21"/>
                      <w:szCs w:val="21"/>
                      <w:u w:val="none"/>
                    </w:rPr>
                    <w:t>树脂种类进行分类回收</w:t>
                  </w:r>
                  <w:r>
                    <w:rPr>
                      <w:rFonts w:hint="eastAsia" w:ascii="Times New Roman" w:hAnsi="Times New Roman" w:cs="Times New Roman"/>
                      <w:sz w:val="21"/>
                      <w:szCs w:val="21"/>
                      <w:u w:val="none"/>
                    </w:rPr>
                    <w:t>并分区暂存，</w:t>
                  </w:r>
                  <w:r>
                    <w:rPr>
                      <w:rFonts w:ascii="Times New Roman" w:hAnsi="Times New Roman" w:cs="Times New Roman"/>
                      <w:sz w:val="21"/>
                      <w:szCs w:val="21"/>
                      <w:u w:val="none"/>
                    </w:rPr>
                    <w:t>严格区分废塑料来源和原用途</w:t>
                  </w:r>
                  <w:r>
                    <w:rPr>
                      <w:rFonts w:hint="eastAsia" w:ascii="Times New Roman" w:hAnsi="Times New Roman" w:cs="Times New Roman"/>
                      <w:sz w:val="21"/>
                      <w:szCs w:val="21"/>
                      <w:u w:val="none"/>
                    </w:rPr>
                    <w:t>，不回收</w:t>
                  </w:r>
                  <w:r>
                    <w:rPr>
                      <w:rFonts w:ascii="Times New Roman" w:hAnsi="Times New Roman" w:cs="Times New Roman"/>
                      <w:sz w:val="21"/>
                      <w:szCs w:val="21"/>
                      <w:u w:val="none"/>
                    </w:rPr>
                    <w:t>和再生利用属于医疗废物和危险废物的废塑料</w:t>
                  </w:r>
                  <w:r>
                    <w:rPr>
                      <w:rFonts w:hint="eastAsia" w:ascii="Times New Roman" w:hAnsi="Times New Roman" w:cs="Times New Roman"/>
                      <w:sz w:val="21"/>
                      <w:szCs w:val="21"/>
                      <w:u w:val="none"/>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sz w:val="21"/>
                      <w:szCs w:val="21"/>
                      <w:u w:val="none"/>
                    </w:rPr>
                  </w:pPr>
                  <w:r>
                    <w:rPr>
                      <w:rFonts w:ascii="Times New Roman" w:hAnsi="Times New Roman" w:cs="Times New Roman"/>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sz w:val="21"/>
                      <w:szCs w:val="21"/>
                      <w:u w:val="none"/>
                    </w:rPr>
                  </w:pPr>
                  <w:r>
                    <w:rPr>
                      <w:rFonts w:hint="eastAsia" w:ascii="Times New Roman" w:hAnsi="Times New Roman" w:cs="Times New Roman"/>
                      <w:sz w:val="21"/>
                      <w:szCs w:val="21"/>
                      <w:u w:val="none"/>
                    </w:rPr>
                    <w:t>2</w:t>
                  </w:r>
                </w:p>
              </w:tc>
              <w:tc>
                <w:tcPr>
                  <w:tcW w:w="3108" w:type="dxa"/>
                  <w:noWrap w:val="0"/>
                  <w:vAlign w:val="center"/>
                </w:tcPr>
                <w:p>
                  <w:pPr>
                    <w:pStyle w:val="39"/>
                    <w:kinsoku w:val="0"/>
                    <w:overflowPunct w:val="0"/>
                    <w:adjustRightInd w:val="0"/>
                    <w:snapToGrid w:val="0"/>
                    <w:rPr>
                      <w:rFonts w:hint="eastAsia" w:ascii="Times New Roman" w:hAnsi="Times New Roman" w:cs="Times New Roman"/>
                      <w:sz w:val="21"/>
                      <w:szCs w:val="21"/>
                      <w:u w:val="none"/>
                    </w:rPr>
                  </w:pPr>
                  <w:r>
                    <w:rPr>
                      <w:rFonts w:ascii="Times New Roman" w:hAnsi="Times New Roman" w:cs="Times New Roman"/>
                      <w:sz w:val="21"/>
                      <w:szCs w:val="21"/>
                      <w:u w:val="none"/>
                    </w:rPr>
                    <w:t>含卤素废塑料的回收和再生利用应与其他废塑料分开进行</w:t>
                  </w:r>
                  <w:r>
                    <w:rPr>
                      <w:rFonts w:hint="eastAsia" w:ascii="Times New Roman" w:hAnsi="Times New Roman" w:cs="Times New Roman"/>
                      <w:sz w:val="21"/>
                      <w:szCs w:val="21"/>
                      <w:u w:val="none"/>
                    </w:rPr>
                    <w:t>。</w:t>
                  </w:r>
                </w:p>
              </w:tc>
              <w:tc>
                <w:tcPr>
                  <w:tcW w:w="2409" w:type="dxa"/>
                  <w:noWrap w:val="0"/>
                  <w:vAlign w:val="center"/>
                </w:tcPr>
                <w:p>
                  <w:pPr>
                    <w:pStyle w:val="39"/>
                    <w:kinsoku w:val="0"/>
                    <w:overflowPunct w:val="0"/>
                    <w:adjustRightInd w:val="0"/>
                    <w:snapToGrid w:val="0"/>
                    <w:rPr>
                      <w:rFonts w:hint="default" w:ascii="Times New Roman" w:hAnsi="Times New Roman" w:eastAsia="宋体" w:cs="Times New Roman"/>
                      <w:sz w:val="21"/>
                      <w:szCs w:val="21"/>
                      <w:u w:val="none"/>
                      <w:lang w:val="en-US" w:eastAsia="zh-CN"/>
                    </w:rPr>
                  </w:pPr>
                  <w:r>
                    <w:rPr>
                      <w:rFonts w:hint="eastAsia" w:ascii="Times New Roman" w:hAnsi="Times New Roman" w:cs="Times New Roman"/>
                      <w:sz w:val="21"/>
                      <w:szCs w:val="21"/>
                      <w:u w:val="none"/>
                    </w:rPr>
                    <w:t>本项目回收</w:t>
                  </w:r>
                  <w:r>
                    <w:rPr>
                      <w:rFonts w:hint="eastAsia" w:ascii="Times New Roman" w:hAnsi="Times New Roman" w:cs="Times New Roman"/>
                      <w:sz w:val="21"/>
                      <w:szCs w:val="21"/>
                      <w:u w:val="none"/>
                      <w:lang w:val="en-US" w:eastAsia="zh-CN"/>
                    </w:rPr>
                    <w:t>的含</w:t>
                  </w:r>
                  <w:r>
                    <w:rPr>
                      <w:rFonts w:ascii="Times New Roman" w:hAnsi="Times New Roman" w:cs="Times New Roman"/>
                      <w:sz w:val="21"/>
                      <w:szCs w:val="21"/>
                      <w:u w:val="none"/>
                    </w:rPr>
                    <w:t>卤素废塑料</w:t>
                  </w:r>
                  <w:r>
                    <w:rPr>
                      <w:rFonts w:hint="eastAsia" w:ascii="Times New Roman" w:hAnsi="Times New Roman" w:cs="Times New Roman"/>
                      <w:sz w:val="21"/>
                      <w:szCs w:val="21"/>
                      <w:u w:val="none"/>
                      <w:lang w:val="en-US" w:eastAsia="zh-CN"/>
                    </w:rPr>
                    <w:t>为聚氯乙烯（PVC）</w:t>
                  </w:r>
                  <w:r>
                    <w:rPr>
                      <w:rFonts w:hint="eastAsia" w:ascii="Times New Roman" w:hAnsi="Times New Roman" w:cs="Times New Roman"/>
                      <w:sz w:val="21"/>
                      <w:szCs w:val="21"/>
                      <w:u w:val="none"/>
                    </w:rPr>
                    <w:t>。</w:t>
                  </w:r>
                  <w:r>
                    <w:rPr>
                      <w:rFonts w:hint="eastAsia" w:ascii="Times New Roman" w:hAnsi="Times New Roman" w:cs="Times New Roman"/>
                      <w:sz w:val="21"/>
                      <w:szCs w:val="21"/>
                      <w:u w:val="none"/>
                      <w:lang w:val="en-US" w:eastAsia="zh-CN"/>
                    </w:rPr>
                    <w:t>项目对回收的各种类废塑料均分区设置独立的生产线进行破碎、清洗。</w:t>
                  </w:r>
                </w:p>
              </w:tc>
              <w:tc>
                <w:tcPr>
                  <w:tcW w:w="755" w:type="dxa"/>
                  <w:noWrap w:val="0"/>
                  <w:vAlign w:val="center"/>
                </w:tcPr>
                <w:p>
                  <w:pPr>
                    <w:pStyle w:val="39"/>
                    <w:kinsoku w:val="0"/>
                    <w:overflowPunct w:val="0"/>
                    <w:adjustRightInd w:val="0"/>
                    <w:snapToGrid w:val="0"/>
                    <w:jc w:val="center"/>
                    <w:rPr>
                      <w:rFonts w:ascii="Times New Roman" w:hAnsi="Times New Roman" w:cs="Times New Roman"/>
                      <w:sz w:val="21"/>
                      <w:szCs w:val="21"/>
                      <w:u w:val="none"/>
                    </w:rPr>
                  </w:pPr>
                  <w:r>
                    <w:rPr>
                      <w:rFonts w:ascii="Times New Roman" w:hAnsi="Times New Roman" w:cs="Times New Roman"/>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3</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废塑料的回收中转或贮存场所(企业)必须经过当地人民政府环境保护行政主管部门的环保审批，并有相应的污染防治设施和设备</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本项目已</w:t>
                  </w:r>
                  <w:r>
                    <w:rPr>
                      <w:rFonts w:hint="default" w:ascii="Times New Roman" w:hAnsi="Times New Roman" w:cs="Times New Roman"/>
                      <w:color w:val="auto"/>
                      <w:sz w:val="21"/>
                      <w:szCs w:val="21"/>
                      <w:u w:val="none"/>
                    </w:rPr>
                    <w:t>经过当地人民政府环境保护行政主管部门的环保审批，并有相应的污染防治设施和设备</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4</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废塑料的回收过程中不得进行就地清洗，如需进行减容破碎处理，应使用干法破碎技术，并配备相应的防尘、防噪声设备</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kinsoku w:val="0"/>
                    <w:overflowPunct w:val="0"/>
                    <w:adjustRightInd w:val="0"/>
                    <w:snapToGrid w:val="0"/>
                    <w:rPr>
                      <w:rFonts w:hint="eastAsia" w:ascii="Times New Roman" w:hAnsi="Times New Roman" w:eastAsia="宋体" w:cs="Times New Roman"/>
                      <w:color w:val="auto"/>
                      <w:sz w:val="21"/>
                      <w:szCs w:val="21"/>
                      <w:u w:val="none"/>
                      <w:lang w:eastAsia="zh-CN"/>
                    </w:rPr>
                  </w:pPr>
                  <w:r>
                    <w:rPr>
                      <w:rFonts w:hint="default" w:ascii="Times New Roman" w:hAnsi="Times New Roman" w:cs="Times New Roman"/>
                      <w:color w:val="auto"/>
                      <w:sz w:val="21"/>
                      <w:szCs w:val="21"/>
                      <w:u w:val="none"/>
                      <w:lang w:val="en-US" w:eastAsia="zh-CN"/>
                    </w:rPr>
                    <w:t>本项目废旧塑料</w:t>
                  </w:r>
                  <w:r>
                    <w:rPr>
                      <w:rFonts w:hint="eastAsia" w:ascii="Times New Roman" w:hAnsi="Times New Roman" w:cs="Times New Roman"/>
                      <w:color w:val="auto"/>
                      <w:sz w:val="21"/>
                      <w:szCs w:val="21"/>
                      <w:u w:val="none"/>
                      <w:lang w:val="en-US" w:eastAsia="zh-CN"/>
                    </w:rPr>
                    <w:t>回收到生产加工厂区进行</w:t>
                  </w:r>
                  <w:r>
                    <w:rPr>
                      <w:rFonts w:hint="default" w:ascii="Times New Roman" w:hAnsi="Times New Roman" w:cs="Times New Roman"/>
                      <w:color w:val="auto"/>
                      <w:sz w:val="21"/>
                      <w:szCs w:val="21"/>
                      <w:u w:val="none"/>
                    </w:rPr>
                    <w:t>清洗</w:t>
                  </w:r>
                  <w:r>
                    <w:rPr>
                      <w:rFonts w:hint="default" w:ascii="Times New Roman" w:hAnsi="Times New Roman" w:cs="Times New Roman"/>
                      <w:color w:val="auto"/>
                      <w:sz w:val="21"/>
                      <w:szCs w:val="21"/>
                      <w:u w:val="none"/>
                      <w:lang w:eastAsia="zh-CN"/>
                    </w:rPr>
                    <w:t>和</w:t>
                  </w:r>
                  <w:r>
                    <w:rPr>
                      <w:rFonts w:hint="default" w:ascii="Times New Roman" w:hAnsi="Times New Roman" w:cs="Times New Roman"/>
                      <w:color w:val="auto"/>
                      <w:sz w:val="21"/>
                      <w:szCs w:val="21"/>
                      <w:u w:val="none"/>
                    </w:rPr>
                    <w:t>减容破碎处理</w:t>
                  </w:r>
                  <w:r>
                    <w:rPr>
                      <w:rFonts w:hint="eastAsia"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使用</w:t>
                  </w:r>
                  <w:r>
                    <w:rPr>
                      <w:rFonts w:hint="eastAsia" w:ascii="Times New Roman" w:hAnsi="Times New Roman" w:cs="Times New Roman"/>
                      <w:color w:val="auto"/>
                      <w:sz w:val="21"/>
                      <w:szCs w:val="21"/>
                      <w:u w:val="none"/>
                      <w:lang w:val="en-US" w:eastAsia="zh-CN"/>
                    </w:rPr>
                    <w:t>湿</w:t>
                  </w:r>
                  <w:r>
                    <w:rPr>
                      <w:rFonts w:hint="default" w:ascii="Times New Roman" w:hAnsi="Times New Roman" w:cs="Times New Roman"/>
                      <w:color w:val="auto"/>
                      <w:sz w:val="21"/>
                      <w:szCs w:val="21"/>
                      <w:u w:val="none"/>
                    </w:rPr>
                    <w:t>法破碎技术，并配备相应的防尘、防噪声设备</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5</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废塑料的回收过程中应避免遗洒</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w:t>
                  </w:r>
                  <w:r>
                    <w:rPr>
                      <w:rFonts w:hint="default" w:ascii="Times New Roman" w:hAnsi="Times New Roman" w:cs="Times New Roman"/>
                      <w:color w:val="auto"/>
                      <w:sz w:val="21"/>
                      <w:szCs w:val="21"/>
                      <w:u w:val="none"/>
                    </w:rPr>
                    <w:t>回收的废塑料均用密封袋装</w:t>
                  </w:r>
                  <w:r>
                    <w:rPr>
                      <w:rFonts w:hint="default" w:ascii="Times New Roman" w:hAnsi="Times New Roman" w:cs="Times New Roman"/>
                      <w:color w:val="auto"/>
                      <w:sz w:val="21"/>
                      <w:szCs w:val="21"/>
                      <w:u w:val="none"/>
                      <w:lang w:eastAsia="zh-CN"/>
                    </w:rPr>
                    <w:t>，不</w:t>
                  </w:r>
                  <w:r>
                    <w:rPr>
                      <w:rFonts w:hint="default" w:ascii="Times New Roman" w:hAnsi="Times New Roman" w:cs="Times New Roman"/>
                      <w:color w:val="auto"/>
                      <w:sz w:val="21"/>
                      <w:szCs w:val="21"/>
                      <w:u w:val="none"/>
                    </w:rPr>
                    <w:t>遗洒</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6</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废塑料运输前应进行包装，或用封闭的交通工具运输，不得裸露运输废塑料。</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本项目回收的废塑料均用密封袋装进行运输。</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7</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废塑料的包装应在通过环保审批的回收中转场所内进行。</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w:t>
                  </w:r>
                  <w:r>
                    <w:rPr>
                      <w:rFonts w:hint="default" w:ascii="Times New Roman" w:hAnsi="Times New Roman" w:cs="Times New Roman"/>
                      <w:color w:val="auto"/>
                      <w:sz w:val="21"/>
                      <w:szCs w:val="21"/>
                      <w:u w:val="none"/>
                    </w:rPr>
                    <w:t>回收的废塑料</w:t>
                  </w:r>
                  <w:r>
                    <w:rPr>
                      <w:rFonts w:hint="default" w:ascii="Times New Roman" w:hAnsi="Times New Roman" w:cs="Times New Roman"/>
                      <w:color w:val="auto"/>
                      <w:sz w:val="21"/>
                      <w:szCs w:val="21"/>
                      <w:u w:val="none"/>
                      <w:lang w:eastAsia="zh-CN"/>
                    </w:rPr>
                    <w:t>包装均在</w:t>
                  </w:r>
                  <w:r>
                    <w:rPr>
                      <w:rFonts w:hint="default" w:ascii="Times New Roman" w:hAnsi="Times New Roman" w:cs="Times New Roman"/>
                      <w:color w:val="auto"/>
                      <w:sz w:val="21"/>
                      <w:szCs w:val="21"/>
                      <w:u w:val="none"/>
                    </w:rPr>
                    <w:t>回收中转场所内进行</w:t>
                  </w:r>
                  <w:r>
                    <w:rPr>
                      <w:rFonts w:hint="default" w:ascii="Times New Roman" w:hAnsi="Times New Roman" w:cs="Times New Roman"/>
                      <w:color w:val="auto"/>
                      <w:sz w:val="21"/>
                      <w:szCs w:val="21"/>
                      <w:u w:val="none"/>
                      <w:lang w:val="en-US"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8</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废塑料包装物应防水、耐压、遮蔽性好，可多次重复使用；在装卸、运输过程中应确保包装完好，无废塑料遗洒。</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本项目废塑料包装使用油布麻袋防水、耐压、遮蔽性好，可多次重复使用。在装卸、运输过程中确保包装完好，无废塑料遗洒。</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9</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包装物表面必须有回收标志和废塑料种类标志，标志应清晰、易于识别、 不易擦掉，并应标明废塑料的来源、原用途和去向等信息。</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本项目回收的废塑料包装物表面有回收标志和废塑料种类标志。</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10</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不得超高、超宽、超载运输废塑料，宜采用密闭集装箱或带有压缩装置的箱式货车运输。</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本项目按要求运输</w:t>
                  </w:r>
                  <w:r>
                    <w:rPr>
                      <w:rFonts w:hint="default" w:ascii="Times New Roman" w:hAnsi="Times New Roman" w:cs="Times New Roman"/>
                      <w:color w:val="auto"/>
                      <w:sz w:val="21"/>
                      <w:szCs w:val="21"/>
                      <w:u w:val="none"/>
                    </w:rPr>
                    <w:t>废塑料</w:t>
                  </w:r>
                  <w:r>
                    <w:rPr>
                      <w:rFonts w:hint="default" w:ascii="Times New Roman" w:hAnsi="Times New Roman" w:cs="Times New Roman"/>
                      <w:color w:val="auto"/>
                      <w:sz w:val="21"/>
                      <w:szCs w:val="21"/>
                      <w:u w:val="none"/>
                      <w:lang w:eastAsia="zh-CN"/>
                    </w:rPr>
                    <w:t>，不超高</w:t>
                  </w:r>
                  <w:r>
                    <w:rPr>
                      <w:rFonts w:hint="default" w:ascii="Times New Roman" w:hAnsi="Times New Roman" w:cs="Times New Roman"/>
                      <w:color w:val="auto"/>
                      <w:sz w:val="21"/>
                      <w:szCs w:val="21"/>
                      <w:u w:val="none"/>
                    </w:rPr>
                    <w:t>、超宽、超载运输</w:t>
                  </w:r>
                  <w:r>
                    <w:rPr>
                      <w:rFonts w:hint="default" w:ascii="Times New Roman" w:hAnsi="Times New Roman" w:cs="Times New Roman"/>
                      <w:color w:val="auto"/>
                      <w:sz w:val="21"/>
                      <w:szCs w:val="21"/>
                      <w:u w:val="none"/>
                      <w:lang w:eastAsia="zh-CN"/>
                    </w:rPr>
                    <w:t>，采用</w:t>
                  </w:r>
                  <w:r>
                    <w:rPr>
                      <w:rFonts w:hint="default" w:ascii="Times New Roman" w:hAnsi="Times New Roman" w:cs="Times New Roman"/>
                      <w:color w:val="auto"/>
                      <w:sz w:val="21"/>
                      <w:szCs w:val="21"/>
                      <w:u w:val="none"/>
                    </w:rPr>
                    <w:t>箱式货车运输</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11</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废塑料应贮存在通过环保审批的专门贮存场所内</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本项目正在进行环境影响评价，通过岳阳市生态环境局审批后可</w:t>
                  </w:r>
                  <w:r>
                    <w:rPr>
                      <w:rFonts w:hint="default" w:ascii="Times New Roman" w:hAnsi="Times New Roman" w:cs="Times New Roman"/>
                      <w:color w:val="auto"/>
                      <w:sz w:val="21"/>
                      <w:szCs w:val="21"/>
                      <w:u w:val="none"/>
                      <w:lang w:eastAsia="zh-CN"/>
                    </w:rPr>
                    <w:t>进行</w:t>
                  </w:r>
                  <w:r>
                    <w:rPr>
                      <w:rFonts w:hint="default" w:ascii="Times New Roman" w:hAnsi="Times New Roman" w:cs="Times New Roman"/>
                      <w:color w:val="auto"/>
                      <w:sz w:val="21"/>
                      <w:szCs w:val="21"/>
                      <w:u w:val="none"/>
                    </w:rPr>
                    <w:t>贮存</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12</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贮存场所必须为封闭或半封闭型设施，应有防雨、防晒、防渗、防尘、防扬散和防火措施。</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项目贮存场所在车间内，为封闭型设施，有防雨、防晒、防渗、防尘、防扬散和防火措施。</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adjustRightInd w:val="0"/>
                    <w:snapToGrid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13</w:t>
                  </w:r>
                </w:p>
              </w:tc>
              <w:tc>
                <w:tcPr>
                  <w:tcW w:w="3108"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不同种类、不同来源的废塑料，应分开存放。</w:t>
                  </w:r>
                </w:p>
              </w:tc>
              <w:tc>
                <w:tcPr>
                  <w:tcW w:w="2409" w:type="dxa"/>
                  <w:noWrap w:val="0"/>
                  <w:vAlign w:val="center"/>
                </w:tcPr>
                <w:p>
                  <w:pPr>
                    <w:pStyle w:val="39"/>
                    <w:kinsoku w:val="0"/>
                    <w:overflowPunct w:val="0"/>
                    <w:adjustRightInd w:val="0"/>
                    <w:snapToGrid w:val="0"/>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本项目按树脂种类进行分类回收并分区暂存。</w:t>
                  </w:r>
                </w:p>
              </w:tc>
              <w:tc>
                <w:tcPr>
                  <w:tcW w:w="755" w:type="dxa"/>
                  <w:noWrap w:val="0"/>
                  <w:vAlign w:val="center"/>
                </w:tcPr>
                <w:p>
                  <w:pPr>
                    <w:pStyle w:val="39"/>
                    <w:kinsoku w:val="0"/>
                    <w:overflowPunct w:val="0"/>
                    <w:adjustRightInd w:val="0"/>
                    <w:snapToGrid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30" w:hRule="atLeast"/>
              </w:trPr>
              <w:tc>
                <w:tcPr>
                  <w:tcW w:w="6698" w:type="dxa"/>
                  <w:gridSpan w:val="4"/>
                  <w:noWrap w:val="0"/>
                  <w:vAlign w:val="center"/>
                </w:tcPr>
                <w:p>
                  <w:pPr>
                    <w:pStyle w:val="39"/>
                    <w:kinsoku w:val="0"/>
                    <w:overflowPunct w:val="0"/>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二</w:t>
                  </w:r>
                  <w:r>
                    <w:rPr>
                      <w:rFonts w:ascii="Times New Roman" w:hAnsi="Times New Roman" w:cs="Times New Roman"/>
                      <w:b/>
                      <w:bCs/>
                      <w:color w:val="auto"/>
                      <w:sz w:val="21"/>
                      <w:szCs w:val="21"/>
                      <w:u w:val="none"/>
                    </w:rPr>
                    <w:t>、废塑料的预处理和再生利用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29"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1</w:t>
                  </w:r>
                </w:p>
              </w:tc>
              <w:tc>
                <w:tcPr>
                  <w:tcW w:w="3108"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废塑料预处理工艺应当遵循先进、稳定、无二次污染的原则，应采用节水、节能、高效、低污染的技术和设备</w:t>
                  </w:r>
                  <w:r>
                    <w:rPr>
                      <w:rFonts w:hint="eastAsia" w:ascii="Times New Roman" w:hAnsi="Times New Roman" w:cs="Times New Roman"/>
                      <w:color w:val="auto"/>
                      <w:sz w:val="21"/>
                      <w:szCs w:val="21"/>
                      <w:u w:val="none"/>
                    </w:rPr>
                    <w:t>；</w:t>
                  </w:r>
                  <w:r>
                    <w:rPr>
                      <w:rFonts w:ascii="Times New Roman" w:hAnsi="Times New Roman" w:cs="Times New Roman"/>
                      <w:color w:val="auto"/>
                      <w:sz w:val="21"/>
                      <w:szCs w:val="21"/>
                      <w:u w:val="none"/>
                    </w:rPr>
                    <w:t>宜采用机械化和自动化作业，减少手工操作。</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本项目采用</w:t>
                  </w:r>
                  <w:r>
                    <w:rPr>
                      <w:rFonts w:ascii="Times New Roman" w:hAnsi="Times New Roman" w:cs="Times New Roman"/>
                      <w:color w:val="auto"/>
                      <w:sz w:val="21"/>
                      <w:szCs w:val="21"/>
                      <w:u w:val="none"/>
                    </w:rPr>
                    <w:t>节水、节能、高效、低污染的技术和设备</w:t>
                  </w:r>
                  <w:r>
                    <w:rPr>
                      <w:rFonts w:hint="eastAsia" w:ascii="Times New Roman" w:hAnsi="Times New Roman" w:cs="Times New Roman"/>
                      <w:color w:val="auto"/>
                      <w:sz w:val="21"/>
                      <w:szCs w:val="21"/>
                      <w:u w:val="none"/>
                    </w:rPr>
                    <w:t>，设备大多为</w:t>
                  </w:r>
                  <w:r>
                    <w:rPr>
                      <w:rFonts w:ascii="Times New Roman" w:hAnsi="Times New Roman" w:cs="Times New Roman"/>
                      <w:color w:val="auto"/>
                      <w:sz w:val="21"/>
                      <w:szCs w:val="21"/>
                      <w:u w:val="none"/>
                    </w:rPr>
                    <w:t>机械化和自动化</w:t>
                  </w:r>
                  <w:r>
                    <w:rPr>
                      <w:rFonts w:hint="eastAsia" w:ascii="Times New Roman" w:hAnsi="Times New Roman" w:cs="Times New Roman"/>
                      <w:color w:val="auto"/>
                      <w:sz w:val="21"/>
                      <w:szCs w:val="21"/>
                      <w:u w:val="none"/>
                    </w:rPr>
                    <w:t>设备，</w:t>
                  </w:r>
                  <w:r>
                    <w:rPr>
                      <w:rFonts w:ascii="Times New Roman" w:hAnsi="Times New Roman" w:cs="Times New Roman"/>
                      <w:color w:val="auto"/>
                      <w:sz w:val="21"/>
                      <w:szCs w:val="21"/>
                      <w:u w:val="none"/>
                    </w:rPr>
                    <w:t>手工操作</w:t>
                  </w:r>
                  <w:r>
                    <w:rPr>
                      <w:rFonts w:hint="eastAsia" w:ascii="Times New Roman" w:hAnsi="Times New Roman" w:cs="Times New Roman"/>
                      <w:color w:val="auto"/>
                      <w:sz w:val="21"/>
                      <w:szCs w:val="21"/>
                      <w:u w:val="none"/>
                    </w:rPr>
                    <w:t>较少。</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330"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2</w:t>
                  </w:r>
                </w:p>
              </w:tc>
              <w:tc>
                <w:tcPr>
                  <w:tcW w:w="3108" w:type="dxa"/>
                  <w:noWrap w:val="0"/>
                  <w:vAlign w:val="center"/>
                </w:tcPr>
                <w:p>
                  <w:pPr>
                    <w:pStyle w:val="39"/>
                    <w:jc w:val="both"/>
                    <w:rPr>
                      <w:rFonts w:hint="eastAsia" w:ascii="Times New Roman" w:hAnsi="Times New Roman" w:cs="Times New Roman"/>
                      <w:color w:val="auto"/>
                      <w:sz w:val="21"/>
                      <w:szCs w:val="21"/>
                      <w:u w:val="none"/>
                    </w:rPr>
                  </w:pPr>
                  <w:r>
                    <w:rPr>
                      <w:rFonts w:ascii="Times New Roman" w:hAnsi="Times New Roman" w:cs="Times New Roman"/>
                      <w:color w:val="auto"/>
                      <w:sz w:val="21"/>
                      <w:szCs w:val="21"/>
                      <w:u w:val="none"/>
                    </w:rPr>
                    <w:t>废塑料的分选宜采用浮选和光学分选等先进技术</w:t>
                  </w:r>
                  <w:r>
                    <w:rPr>
                      <w:rFonts w:hint="eastAsia" w:ascii="Times New Roman" w:hAnsi="Times New Roman" w:cs="Times New Roman"/>
                      <w:color w:val="auto"/>
                      <w:sz w:val="21"/>
                      <w:szCs w:val="21"/>
                      <w:u w:val="none"/>
                    </w:rPr>
                    <w:t>；</w:t>
                  </w:r>
                  <w:r>
                    <w:rPr>
                      <w:rFonts w:ascii="Times New Roman" w:hAnsi="Times New Roman" w:cs="Times New Roman"/>
                      <w:color w:val="auto"/>
                      <w:sz w:val="21"/>
                      <w:szCs w:val="21"/>
                      <w:u w:val="none"/>
                    </w:rPr>
                    <w:t>人工分选应采取措施确保操作人员的健康和安全</w:t>
                  </w:r>
                  <w:r>
                    <w:rPr>
                      <w:rFonts w:hint="eastAsia" w:ascii="Times New Roman" w:hAnsi="Times New Roman" w:cs="Times New Roman"/>
                      <w:color w:val="auto"/>
                      <w:sz w:val="21"/>
                      <w:szCs w:val="21"/>
                      <w:u w:val="none"/>
                    </w:rPr>
                    <w:t>。</w:t>
                  </w:r>
                </w:p>
              </w:tc>
              <w:tc>
                <w:tcPr>
                  <w:tcW w:w="2409" w:type="dxa"/>
                  <w:noWrap w:val="0"/>
                  <w:vAlign w:val="center"/>
                </w:tcPr>
                <w:p>
                  <w:pPr>
                    <w:pStyle w:val="39"/>
                    <w:jc w:val="both"/>
                    <w:rPr>
                      <w:rFonts w:hint="default" w:ascii="Times New Roman" w:hAnsi="Times New Roman" w:eastAsia="宋体" w:cs="Times New Roman"/>
                      <w:color w:val="auto"/>
                      <w:sz w:val="21"/>
                      <w:szCs w:val="21"/>
                      <w:u w:val="none"/>
                      <w:lang w:val="en-US" w:eastAsia="zh-CN"/>
                    </w:rPr>
                  </w:pPr>
                  <w:r>
                    <w:rPr>
                      <w:rFonts w:hint="eastAsia" w:ascii="Times New Roman" w:hAnsi="Times New Roman" w:cs="Times New Roman"/>
                      <w:sz w:val="21"/>
                      <w:szCs w:val="21"/>
                      <w:u w:val="none"/>
                      <w:lang w:val="en-US" w:eastAsia="zh-CN"/>
                    </w:rPr>
                    <w:t>分选人员戴口罩和手套。</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330"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rPr>
                    <w:t>3</w:t>
                  </w:r>
                </w:p>
              </w:tc>
              <w:tc>
                <w:tcPr>
                  <w:tcW w:w="3108" w:type="dxa"/>
                  <w:noWrap w:val="0"/>
                  <w:vAlign w:val="center"/>
                </w:tcPr>
                <w:p>
                  <w:pPr>
                    <w:pStyle w:val="39"/>
                    <w:jc w:val="both"/>
                    <w:rPr>
                      <w:rFonts w:hint="eastAsia" w:ascii="Times New Roman" w:hAnsi="Times New Roman" w:cs="Times New Roman"/>
                      <w:color w:val="auto"/>
                      <w:sz w:val="21"/>
                      <w:szCs w:val="21"/>
                      <w:u w:val="none"/>
                    </w:rPr>
                  </w:pPr>
                  <w:r>
                    <w:rPr>
                      <w:rFonts w:ascii="Times New Roman" w:hAnsi="Times New Roman" w:cs="Times New Roman"/>
                      <w:color w:val="auto"/>
                      <w:sz w:val="21"/>
                      <w:szCs w:val="21"/>
                      <w:u w:val="none"/>
                    </w:rPr>
                    <w:t>废塑料的清洗方法可分为物理清洗和化学清洗，应根据废塑料来源和污染情况选择清洗工艺</w:t>
                  </w:r>
                  <w:r>
                    <w:rPr>
                      <w:rFonts w:hint="eastAsia" w:ascii="Times New Roman" w:hAnsi="Times New Roman" w:cs="Times New Roman"/>
                      <w:color w:val="auto"/>
                      <w:sz w:val="21"/>
                      <w:szCs w:val="21"/>
                      <w:u w:val="none"/>
                    </w:rPr>
                    <w:t>；</w:t>
                  </w:r>
                  <w:r>
                    <w:rPr>
                      <w:rFonts w:ascii="Times New Roman" w:hAnsi="Times New Roman" w:cs="Times New Roman"/>
                      <w:color w:val="auto"/>
                      <w:sz w:val="21"/>
                      <w:szCs w:val="21"/>
                      <w:u w:val="none"/>
                    </w:rPr>
                    <w:t>宜采用节水的机械清洗技术</w:t>
                  </w:r>
                  <w:r>
                    <w:rPr>
                      <w:rFonts w:hint="eastAsia" w:ascii="Times New Roman" w:hAnsi="Times New Roman" w:cs="Times New Roman"/>
                      <w:color w:val="auto"/>
                      <w:sz w:val="21"/>
                      <w:szCs w:val="21"/>
                      <w:u w:val="none"/>
                    </w:rPr>
                    <w:t>；</w:t>
                  </w:r>
                  <w:r>
                    <w:rPr>
                      <w:rFonts w:ascii="Times New Roman" w:hAnsi="Times New Roman" w:cs="Times New Roman"/>
                      <w:color w:val="auto"/>
                      <w:sz w:val="21"/>
                      <w:szCs w:val="21"/>
                      <w:u w:val="none"/>
                    </w:rPr>
                    <w:t>化学清洗不得使用有毒有害的化学清洗剂，宜采用无磷清洗剂</w:t>
                  </w:r>
                  <w:r>
                    <w:rPr>
                      <w:rFonts w:hint="eastAsia" w:ascii="Times New Roman" w:hAnsi="Times New Roman" w:cs="Times New Roman"/>
                      <w:color w:val="auto"/>
                      <w:sz w:val="21"/>
                      <w:szCs w:val="21"/>
                      <w:u w:val="none"/>
                    </w:rPr>
                    <w:t>。</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本项目</w:t>
                  </w:r>
                  <w:r>
                    <w:rPr>
                      <w:rFonts w:ascii="Times New Roman" w:hAnsi="Times New Roman" w:cs="Times New Roman"/>
                      <w:color w:val="auto"/>
                      <w:sz w:val="21"/>
                      <w:szCs w:val="21"/>
                      <w:u w:val="none"/>
                    </w:rPr>
                    <w:t>废塑料的清洗方法为物理清洗</w:t>
                  </w:r>
                  <w:r>
                    <w:rPr>
                      <w:rFonts w:hint="eastAsia" w:ascii="Times New Roman" w:hAnsi="Times New Roman" w:cs="Times New Roman"/>
                      <w:color w:val="auto"/>
                      <w:sz w:val="21"/>
                      <w:szCs w:val="21"/>
                      <w:u w:val="none"/>
                    </w:rPr>
                    <w:t>，不使用</w:t>
                  </w:r>
                  <w:r>
                    <w:rPr>
                      <w:rFonts w:ascii="Times New Roman" w:hAnsi="Times New Roman" w:cs="Times New Roman"/>
                      <w:color w:val="auto"/>
                      <w:sz w:val="21"/>
                      <w:szCs w:val="21"/>
                      <w:u w:val="none"/>
                    </w:rPr>
                    <w:t>有毒有害的</w:t>
                  </w:r>
                  <w:r>
                    <w:rPr>
                      <w:rFonts w:hint="eastAsia" w:ascii="Times New Roman" w:hAnsi="Times New Roman" w:cs="Times New Roman"/>
                      <w:color w:val="auto"/>
                      <w:sz w:val="21"/>
                      <w:szCs w:val="21"/>
                      <w:u w:val="none"/>
                    </w:rPr>
                    <w:t>化学清洗剂。</w:t>
                  </w:r>
                </w:p>
              </w:tc>
              <w:tc>
                <w:tcPr>
                  <w:tcW w:w="755"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29"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rPr>
                    <w:t>4</w:t>
                  </w:r>
                </w:p>
              </w:tc>
              <w:tc>
                <w:tcPr>
                  <w:tcW w:w="3108"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废塑料的破碎宜采用干法破碎技术</w:t>
                  </w:r>
                  <w:r>
                    <w:rPr>
                      <w:rFonts w:ascii="Times New Roman" w:hAnsi="Times New Roman" w:cs="Times New Roman"/>
                      <w:color w:val="auto"/>
                      <w:spacing w:val="-2"/>
                      <w:sz w:val="21"/>
                      <w:szCs w:val="21"/>
                      <w:u w:val="none"/>
                    </w:rPr>
                    <w:t>并应配有防治粉尘和噪声污染的设备</w:t>
                  </w:r>
                </w:p>
              </w:tc>
              <w:tc>
                <w:tcPr>
                  <w:tcW w:w="2409" w:type="dxa"/>
                  <w:noWrap w:val="0"/>
                  <w:vAlign w:val="center"/>
                </w:tcPr>
                <w:p>
                  <w:pPr>
                    <w:pStyle w:val="39"/>
                    <w:jc w:val="both"/>
                    <w:rPr>
                      <w:rFonts w:ascii="Times New Roman" w:hAnsi="Times New Roman" w:cs="Times New Roman"/>
                      <w:color w:val="auto"/>
                      <w:spacing w:val="-3"/>
                      <w:sz w:val="21"/>
                      <w:szCs w:val="21"/>
                      <w:u w:val="none"/>
                    </w:rPr>
                  </w:pPr>
                  <w:r>
                    <w:rPr>
                      <w:rFonts w:ascii="Times New Roman" w:hAnsi="Times New Roman" w:cs="Times New Roman"/>
                      <w:color w:val="auto"/>
                      <w:spacing w:val="-3"/>
                      <w:sz w:val="21"/>
                      <w:szCs w:val="21"/>
                      <w:u w:val="none"/>
                    </w:rPr>
                    <w:t>项目破碎为</w:t>
                  </w:r>
                  <w:r>
                    <w:rPr>
                      <w:rFonts w:hint="eastAsia" w:ascii="Times New Roman" w:hAnsi="Times New Roman" w:cs="Times New Roman"/>
                      <w:color w:val="auto"/>
                      <w:spacing w:val="-3"/>
                      <w:sz w:val="21"/>
                      <w:szCs w:val="21"/>
                      <w:u w:val="none"/>
                      <w:lang w:val="en-US" w:eastAsia="zh-CN"/>
                    </w:rPr>
                    <w:t>湿</w:t>
                  </w:r>
                  <w:r>
                    <w:rPr>
                      <w:rFonts w:ascii="Times New Roman" w:hAnsi="Times New Roman" w:cs="Times New Roman"/>
                      <w:color w:val="auto"/>
                      <w:spacing w:val="-3"/>
                      <w:sz w:val="21"/>
                      <w:szCs w:val="21"/>
                      <w:u w:val="none"/>
                    </w:rPr>
                    <w:t>法破碎，破碎过程粉尘产生</w:t>
                  </w:r>
                  <w:r>
                    <w:rPr>
                      <w:rFonts w:hint="eastAsia" w:ascii="Times New Roman" w:hAnsi="Times New Roman" w:cs="Times New Roman"/>
                      <w:color w:val="auto"/>
                      <w:spacing w:val="-3"/>
                      <w:sz w:val="21"/>
                      <w:szCs w:val="21"/>
                      <w:u w:val="none"/>
                    </w:rPr>
                    <w:t>量较小</w:t>
                  </w:r>
                  <w:r>
                    <w:rPr>
                      <w:rFonts w:ascii="Times New Roman" w:hAnsi="Times New Roman" w:cs="Times New Roman"/>
                      <w:color w:val="auto"/>
                      <w:sz w:val="21"/>
                      <w:szCs w:val="21"/>
                      <w:u w:val="none"/>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29"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rPr>
                    <w:t>5</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废塑料的干燥方法可分为人工干燥和自然干燥。人工干燥宜采用节能、高效的干燥技术，如冷凝干燥、真空干燥等</w:t>
                  </w:r>
                  <w:r>
                    <w:rPr>
                      <w:rFonts w:hint="default"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自然干燥的场所应采取防风措施</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ascii="Times New Roman" w:hAnsi="Times New Roman" w:cs="Times New Roman"/>
                      <w:color w:val="auto"/>
                      <w:spacing w:val="-3"/>
                      <w:sz w:val="21"/>
                      <w:szCs w:val="21"/>
                      <w:u w:val="none"/>
                    </w:rPr>
                  </w:pPr>
                  <w:r>
                    <w:rPr>
                      <w:rFonts w:hint="default" w:ascii="Times New Roman" w:hAnsi="Times New Roman" w:cs="Times New Roman"/>
                      <w:color w:val="auto"/>
                      <w:spacing w:val="-3"/>
                      <w:sz w:val="21"/>
                      <w:szCs w:val="21"/>
                      <w:u w:val="none"/>
                      <w:lang w:eastAsia="zh-CN"/>
                    </w:rPr>
                    <w:t>本项目采用脱水设备脱水后自然干燥，自然干燥场所在车间成品区，车间为密闭车间有防风措施。</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基本符合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6</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废塑料应按照直接再生、改性再生、能量回收的优先顺序进行再生利用</w:t>
                  </w:r>
                  <w:r>
                    <w:rPr>
                      <w:rFonts w:hint="default" w:ascii="Times New Roman" w:hAnsi="Times New Roman" w:cs="Times New Roman"/>
                      <w:color w:val="auto"/>
                      <w:sz w:val="21"/>
                      <w:szCs w:val="21"/>
                      <w:u w:val="none"/>
                      <w:lang w:eastAsia="zh-CN"/>
                    </w:rPr>
                    <w:t>；宜开发和应用针对热固性塑料、混合废塑料和质量降低的废塑料的新型环保再生利用技术。含卤素的废塑料宜采用低温工艺再生，不宜焚烧处理；进行焚烧处理时应配备烟气处理设备，焚烧设施的烟气排放应符合GB18484的要求。不宜以废塑料为原料炼油。</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项目废旧塑料仅进行破碎清洗等预处理工艺，不进行再生利用后续加工。</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6698" w:type="dxa"/>
                  <w:gridSpan w:val="4"/>
                  <w:noWrap w:val="0"/>
                  <w:vAlign w:val="center"/>
                </w:tcPr>
                <w:p>
                  <w:pPr>
                    <w:pStyle w:val="39"/>
                    <w:kinsoku w:val="0"/>
                    <w:overflowPunct w:val="0"/>
                    <w:rPr>
                      <w:rFonts w:hint="eastAsia"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三、环境保护要求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rPr>
                    <w:t>1</w:t>
                  </w:r>
                </w:p>
              </w:tc>
              <w:tc>
                <w:tcPr>
                  <w:tcW w:w="3108"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废塑料的再生利用项目必须经过县级以上地方人民政府环境保护行政主管部门的环保审批，严格执行环境影响评价和“三同时”制度。未获环保审批的企业或个人不得从事废塑料的处理和加工。</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eastAsia" w:ascii="Times New Roman" w:hAnsi="Times New Roman" w:cs="Times New Roman"/>
                      <w:color w:val="auto"/>
                      <w:sz w:val="21"/>
                      <w:szCs w:val="21"/>
                      <w:u w:val="none"/>
                    </w:rPr>
                    <w:t>本项目正在进行环境影响评价，通过</w:t>
                  </w:r>
                  <w:r>
                    <w:rPr>
                      <w:rFonts w:hint="eastAsia" w:ascii="Times New Roman" w:hAnsi="Times New Roman" w:cs="Times New Roman"/>
                      <w:color w:val="auto"/>
                      <w:sz w:val="21"/>
                      <w:szCs w:val="21"/>
                      <w:u w:val="none"/>
                      <w:lang w:val="en-US" w:eastAsia="zh-CN"/>
                    </w:rPr>
                    <w:t>华容县</w:t>
                  </w:r>
                  <w:r>
                    <w:rPr>
                      <w:rFonts w:hint="eastAsia" w:ascii="Times New Roman" w:hAnsi="Times New Roman" w:cs="Times New Roman"/>
                      <w:color w:val="auto"/>
                      <w:sz w:val="21"/>
                      <w:szCs w:val="21"/>
                      <w:u w:val="none"/>
                    </w:rPr>
                    <w:t>生态环境局审批后可开工。</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2</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进口废塑料作为生产原料的企业应具有固体废物进口许可证，进口的废塑料应符合 GB16487.12 要求</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本项目不回收进口废塑料。</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3</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新建废塑料再生利用项目的选址应符合环境保护要求，不得建在城市居民区、商业区及其他环境敏感区内</w:t>
                  </w:r>
                  <w:r>
                    <w:rPr>
                      <w:rFonts w:hint="default"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现有再生利用企业如在上述区域内，必须按照当地规划和环境保护行政主管部门的要求限期搬迁</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本项目不处于</w:t>
                  </w:r>
                  <w:r>
                    <w:rPr>
                      <w:rFonts w:hint="default" w:ascii="Times New Roman" w:hAnsi="Times New Roman" w:cs="Times New Roman"/>
                      <w:color w:val="auto"/>
                      <w:sz w:val="21"/>
                      <w:szCs w:val="21"/>
                      <w:u w:val="none"/>
                    </w:rPr>
                    <w:t>城市居民区、商业区及其他环境敏感区内</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492"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4</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再生利用项目必须建有围墙并按功能划分厂区，包括管理区、原料区、生产区、产品贮存区、污染控制区(包括不可利用的废物的贮存和处理区)。各功能区应有明显的界线和标志</w:t>
                  </w:r>
                  <w:r>
                    <w:rPr>
                      <w:rFonts w:hint="default" w:ascii="Times New Roman" w:hAnsi="Times New Roman" w:cs="Times New Roman"/>
                      <w:color w:val="auto"/>
                      <w:sz w:val="21"/>
                      <w:szCs w:val="21"/>
                      <w:u w:val="none"/>
                      <w:lang w:eastAsia="zh-CN"/>
                    </w:rPr>
                    <w:t>。所有功能区必须有封闭或半封闭设施，采取防风、防雨、防渗、防火等措施，并有足够的疏散通道。</w:t>
                  </w:r>
                </w:p>
              </w:tc>
              <w:tc>
                <w:tcPr>
                  <w:tcW w:w="2409" w:type="dxa"/>
                  <w:noWrap w:val="0"/>
                  <w:vAlign w:val="center"/>
                </w:tcPr>
                <w:p>
                  <w:pPr>
                    <w:pStyle w:val="39"/>
                    <w:jc w:val="both"/>
                    <w:rPr>
                      <w:rFonts w:hint="eastAsia"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本项目为废塑料预处理企业，不进行</w:t>
                  </w:r>
                  <w:r>
                    <w:rPr>
                      <w:rFonts w:hint="default" w:ascii="Times New Roman" w:hAnsi="Times New Roman" w:cs="Times New Roman"/>
                      <w:color w:val="auto"/>
                      <w:sz w:val="21"/>
                      <w:szCs w:val="21"/>
                      <w:u w:val="none"/>
                    </w:rPr>
                    <w:t>再生利用</w:t>
                  </w:r>
                  <w:r>
                    <w:rPr>
                      <w:rFonts w:hint="default" w:ascii="Times New Roman" w:hAnsi="Times New Roman" w:cs="Times New Roman"/>
                      <w:color w:val="auto"/>
                      <w:sz w:val="21"/>
                      <w:szCs w:val="21"/>
                      <w:u w:val="none"/>
                      <w:lang w:eastAsia="zh-CN"/>
                    </w:rPr>
                    <w:t>加工。</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507" w:hRule="atLeast"/>
              </w:trPr>
              <w:tc>
                <w:tcPr>
                  <w:tcW w:w="6698" w:type="dxa"/>
                  <w:gridSpan w:val="4"/>
                  <w:noWrap w:val="0"/>
                  <w:vAlign w:val="center"/>
                </w:tcPr>
                <w:p>
                  <w:pPr>
                    <w:pStyle w:val="39"/>
                    <w:kinsoku w:val="0"/>
                    <w:overflowPunct w:val="0"/>
                    <w:rPr>
                      <w:rFonts w:ascii="Times New Roman" w:hAnsi="Times New Roman" w:cs="Times New Roman"/>
                      <w:b/>
                      <w:bCs/>
                      <w:color w:val="auto"/>
                      <w:sz w:val="21"/>
                      <w:szCs w:val="21"/>
                      <w:u w:val="none"/>
                    </w:rPr>
                  </w:pPr>
                  <w:r>
                    <w:rPr>
                      <w:rFonts w:hint="eastAsia" w:ascii="Times New Roman" w:hAnsi="Times New Roman" w:cs="Times New Roman"/>
                      <w:b/>
                      <w:bCs/>
                      <w:color w:val="auto"/>
                      <w:sz w:val="21"/>
                      <w:szCs w:val="21"/>
                      <w:u w:val="none"/>
                    </w:rPr>
                    <w:t>四</w:t>
                  </w:r>
                  <w:r>
                    <w:rPr>
                      <w:rFonts w:ascii="Times New Roman" w:hAnsi="Times New Roman" w:cs="Times New Roman"/>
                      <w:b/>
                      <w:bCs/>
                      <w:color w:val="auto"/>
                      <w:sz w:val="21"/>
                      <w:szCs w:val="21"/>
                      <w:u w:val="none"/>
                    </w:rPr>
                    <w:t>、污染控制要求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1</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废塑料预处理、再生利用等过程中产生的废水和厂区产生的生活废水，企 业应有配套的废水收集设施。废水宜在厂区内处理并循环利用</w:t>
                  </w:r>
                  <w:r>
                    <w:rPr>
                      <w:rFonts w:hint="default"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处理后的废水排放应按企业所在环境功能区类别，应执行GB8978。</w:t>
                  </w:r>
                </w:p>
              </w:tc>
              <w:tc>
                <w:tcPr>
                  <w:tcW w:w="2409" w:type="dxa"/>
                  <w:noWrap w:val="0"/>
                  <w:vAlign w:val="center"/>
                </w:tcPr>
                <w:p>
                  <w:pPr>
                    <w:pStyle w:val="39"/>
                    <w:jc w:val="both"/>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生产废水等经自建污水处理设施处理后，外排至市政污水管网，最后进入华容县桥东污水处理厂处置。</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2</w:t>
                  </w:r>
                </w:p>
              </w:tc>
              <w:tc>
                <w:tcPr>
                  <w:tcW w:w="3108"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预处理、再生利用过程中产生的废气，企业应有集气装置收集，经净化处理的废气排放应按企业所在环境功能区类别，应执行</w:t>
                  </w:r>
                  <w:r>
                    <w:rPr>
                      <w:rFonts w:ascii="Times New Roman" w:hAnsi="Times New Roman" w:cs="Times New Roman"/>
                      <w:color w:val="auto"/>
                      <w:spacing w:val="-55"/>
                      <w:sz w:val="21"/>
                      <w:szCs w:val="21"/>
                      <w:u w:val="none"/>
                    </w:rPr>
                    <w:t xml:space="preserve"> </w:t>
                  </w:r>
                  <w:r>
                    <w:rPr>
                      <w:rFonts w:ascii="Times New Roman" w:hAnsi="Times New Roman" w:cs="Times New Roman"/>
                      <w:color w:val="auto"/>
                      <w:sz w:val="21"/>
                      <w:szCs w:val="21"/>
                      <w:u w:val="none"/>
                    </w:rPr>
                    <w:t>GB16297和</w:t>
                  </w:r>
                  <w:r>
                    <w:rPr>
                      <w:rFonts w:ascii="Times New Roman" w:hAnsi="Times New Roman" w:cs="Times New Roman"/>
                      <w:color w:val="auto"/>
                      <w:spacing w:val="-103"/>
                      <w:sz w:val="21"/>
                      <w:szCs w:val="21"/>
                      <w:u w:val="none"/>
                    </w:rPr>
                    <w:t xml:space="preserve"> </w:t>
                  </w:r>
                  <w:r>
                    <w:rPr>
                      <w:rFonts w:ascii="Times New Roman" w:hAnsi="Times New Roman" w:cs="Times New Roman"/>
                      <w:color w:val="auto"/>
                      <w:spacing w:val="-7"/>
                      <w:sz w:val="21"/>
                      <w:szCs w:val="21"/>
                      <w:u w:val="none"/>
                    </w:rPr>
                    <w:t>GB14554；重点控制的污染物包括颗</w:t>
                  </w:r>
                  <w:r>
                    <w:rPr>
                      <w:rFonts w:ascii="Times New Roman" w:hAnsi="Times New Roman" w:cs="Times New Roman"/>
                      <w:color w:val="auto"/>
                      <w:spacing w:val="-72"/>
                      <w:sz w:val="21"/>
                      <w:szCs w:val="21"/>
                      <w:u w:val="none"/>
                    </w:rPr>
                    <w:t xml:space="preserve"> </w:t>
                  </w:r>
                  <w:r>
                    <w:rPr>
                      <w:rFonts w:ascii="Times New Roman" w:hAnsi="Times New Roman" w:cs="Times New Roman"/>
                      <w:color w:val="auto"/>
                      <w:sz w:val="21"/>
                      <w:szCs w:val="21"/>
                      <w:u w:val="none"/>
                    </w:rPr>
                    <w:t>粒物、氟化物、汞、铬、铅、苯、</w:t>
                  </w:r>
                  <w:r>
                    <w:rPr>
                      <w:rFonts w:ascii="Times New Roman" w:hAnsi="Times New Roman" w:cs="Times New Roman"/>
                      <w:color w:val="auto"/>
                      <w:spacing w:val="-3"/>
                      <w:sz w:val="21"/>
                      <w:szCs w:val="21"/>
                      <w:u w:val="none"/>
                    </w:rPr>
                    <w:t>甲苯、酚类、苯胺类、光气、恶臭。</w:t>
                  </w:r>
                </w:p>
              </w:tc>
              <w:tc>
                <w:tcPr>
                  <w:tcW w:w="2409"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项目</w:t>
                  </w:r>
                  <w:r>
                    <w:rPr>
                      <w:rFonts w:ascii="Times New Roman" w:hAnsi="Times New Roman" w:cs="Times New Roman"/>
                      <w:color w:val="auto"/>
                      <w:spacing w:val="-3"/>
                      <w:sz w:val="21"/>
                      <w:szCs w:val="21"/>
                      <w:u w:val="none"/>
                    </w:rPr>
                    <w:t>破碎过程粉尘产生</w:t>
                  </w:r>
                  <w:r>
                    <w:rPr>
                      <w:rFonts w:hint="eastAsia" w:ascii="Times New Roman" w:hAnsi="Times New Roman" w:cs="Times New Roman"/>
                      <w:color w:val="auto"/>
                      <w:spacing w:val="-3"/>
                      <w:sz w:val="21"/>
                      <w:szCs w:val="21"/>
                      <w:u w:val="none"/>
                    </w:rPr>
                    <w:t>量较小</w:t>
                  </w:r>
                  <w:r>
                    <w:rPr>
                      <w:rFonts w:ascii="Times New Roman" w:hAnsi="Times New Roman" w:cs="Times New Roman"/>
                      <w:color w:val="auto"/>
                      <w:sz w:val="21"/>
                      <w:szCs w:val="21"/>
                      <w:u w:val="none"/>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3</w:t>
                  </w:r>
                </w:p>
              </w:tc>
              <w:tc>
                <w:tcPr>
                  <w:tcW w:w="3108"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处理和再生利用过程中应控制噪声污染，排放噪声应符合</w:t>
                  </w:r>
                  <w:r>
                    <w:rPr>
                      <w:rFonts w:ascii="Times New Roman" w:hAnsi="Times New Roman" w:cs="Times New Roman"/>
                      <w:color w:val="auto"/>
                      <w:spacing w:val="-54"/>
                      <w:sz w:val="21"/>
                      <w:szCs w:val="21"/>
                      <w:u w:val="none"/>
                    </w:rPr>
                    <w:t xml:space="preserve"> </w:t>
                  </w:r>
                  <w:r>
                    <w:rPr>
                      <w:rFonts w:ascii="Times New Roman" w:hAnsi="Times New Roman" w:cs="Times New Roman"/>
                      <w:color w:val="auto"/>
                      <w:sz w:val="21"/>
                      <w:szCs w:val="21"/>
                      <w:u w:val="none"/>
                    </w:rPr>
                    <w:t>GB12348</w:t>
                  </w:r>
                  <w:r>
                    <w:rPr>
                      <w:rFonts w:ascii="Times New Roman" w:hAnsi="Times New Roman" w:cs="Times New Roman"/>
                      <w:color w:val="auto"/>
                      <w:spacing w:val="-1"/>
                      <w:sz w:val="21"/>
                      <w:szCs w:val="21"/>
                      <w:u w:val="none"/>
                    </w:rPr>
                    <w:t xml:space="preserve"> </w:t>
                  </w:r>
                  <w:r>
                    <w:rPr>
                      <w:rFonts w:ascii="Times New Roman" w:hAnsi="Times New Roman" w:cs="Times New Roman"/>
                      <w:color w:val="auto"/>
                      <w:sz w:val="21"/>
                      <w:szCs w:val="21"/>
                      <w:u w:val="none"/>
                    </w:rPr>
                    <w:t>的要求。</w:t>
                  </w:r>
                </w:p>
              </w:tc>
              <w:tc>
                <w:tcPr>
                  <w:tcW w:w="2409" w:type="dxa"/>
                  <w:noWrap w:val="0"/>
                  <w:vAlign w:val="center"/>
                </w:tcPr>
                <w:p>
                  <w:pPr>
                    <w:pStyle w:val="39"/>
                    <w:jc w:val="both"/>
                    <w:rPr>
                      <w:rFonts w:ascii="Times New Roman" w:hAnsi="Times New Roman" w:cs="Times New Roman"/>
                      <w:color w:val="auto"/>
                      <w:sz w:val="21"/>
                      <w:szCs w:val="21"/>
                      <w:u w:val="none"/>
                    </w:rPr>
                  </w:pPr>
                  <w:r>
                    <w:rPr>
                      <w:rFonts w:ascii="Times New Roman" w:hAnsi="Times New Roman" w:cs="Times New Roman"/>
                      <w:color w:val="auto"/>
                      <w:sz w:val="21"/>
                      <w:szCs w:val="21"/>
                      <w:u w:val="none"/>
                    </w:rPr>
                    <w:t>项目采取相应的隔音、消音、减振等措施，噪声</w:t>
                  </w:r>
                  <w:r>
                    <w:rPr>
                      <w:rFonts w:ascii="Times New Roman" w:hAnsi="Times New Roman" w:cs="Times New Roman"/>
                      <w:color w:val="auto"/>
                      <w:spacing w:val="-55"/>
                      <w:sz w:val="21"/>
                      <w:szCs w:val="21"/>
                      <w:u w:val="none"/>
                    </w:rPr>
                    <w:t xml:space="preserve"> </w:t>
                  </w:r>
                  <w:r>
                    <w:rPr>
                      <w:rFonts w:ascii="Times New Roman" w:hAnsi="Times New Roman" w:cs="Times New Roman"/>
                      <w:color w:val="auto"/>
                      <w:sz w:val="21"/>
                      <w:szCs w:val="21"/>
                      <w:u w:val="none"/>
                    </w:rPr>
                    <w:t>GB12348</w:t>
                  </w:r>
                  <w:r>
                    <w:rPr>
                      <w:rFonts w:ascii="Times New Roman" w:hAnsi="Times New Roman" w:cs="Times New Roman"/>
                      <w:color w:val="auto"/>
                      <w:spacing w:val="-3"/>
                      <w:sz w:val="21"/>
                      <w:szCs w:val="21"/>
                      <w:u w:val="none"/>
                    </w:rPr>
                    <w:t>的要</w:t>
                  </w:r>
                  <w:r>
                    <w:rPr>
                      <w:rFonts w:ascii="Times New Roman" w:hAnsi="Times New Roman" w:cs="Times New Roman"/>
                      <w:color w:val="auto"/>
                      <w:sz w:val="21"/>
                      <w:szCs w:val="21"/>
                      <w:u w:val="none"/>
                    </w:rPr>
                    <w:t>求。</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4</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采用焚烧方式对废塑料进行能量回收时，焚烧设施应具有烟气处理设备， 焚烧设施的烟气排放应执行GB18485。 能量回收过程中，除尘设备收集的焚烧飞灰一般应按危险废物管理。其他气体净化装置收集的固体废物和焚烧炉渣，应按国家危险废物鉴别标准进行鉴 别，属于危险废物的按照危险废物管理，否则按一般工业固体废物管理。不得在无燃烧设备和烟气净化装置的条件下焚烧废塑料或用焚烧方式处理 塑料挤出机过滤网片</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本项目不涉及</w:t>
                  </w:r>
                  <w:r>
                    <w:rPr>
                      <w:rFonts w:hint="default" w:ascii="Times New Roman" w:hAnsi="Times New Roman" w:cs="Times New Roman"/>
                      <w:color w:val="auto"/>
                      <w:sz w:val="21"/>
                      <w:szCs w:val="21"/>
                      <w:u w:val="none"/>
                    </w:rPr>
                    <w:t>焚烧</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5</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废塑料预处理、再生利用过程中产生的固体废物，包括分选出的不宜再生利用的废塑料，应按工业固体废物处置，并执行相关环境保护标准。</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w:t>
                  </w:r>
                  <w:r>
                    <w:rPr>
                      <w:rFonts w:hint="default" w:ascii="Times New Roman" w:hAnsi="Times New Roman" w:cs="Times New Roman"/>
                      <w:color w:val="auto"/>
                      <w:sz w:val="21"/>
                      <w:szCs w:val="21"/>
                      <w:u w:val="none"/>
                    </w:rPr>
                    <w:t>产生的固体废物按工业固体废物处置</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11" w:hRule="atLeast"/>
              </w:trPr>
              <w:tc>
                <w:tcPr>
                  <w:tcW w:w="8574" w:type="dxa"/>
                  <w:gridSpan w:val="5"/>
                  <w:noWrap w:val="0"/>
                  <w:vAlign w:val="center"/>
                </w:tcPr>
                <w:p>
                  <w:pPr>
                    <w:pStyle w:val="39"/>
                    <w:kinsoku w:val="0"/>
                    <w:overflowPunct w:val="0"/>
                    <w:jc w:val="left"/>
                    <w:rPr>
                      <w:rFonts w:hint="default" w:ascii="Times New Roman" w:hAnsi="Times New Roman" w:cs="Times New Roman"/>
                      <w:color w:val="auto"/>
                      <w:sz w:val="21"/>
                      <w:szCs w:val="21"/>
                      <w:u w:val="none"/>
                    </w:rPr>
                  </w:pPr>
                  <w:r>
                    <w:rPr>
                      <w:rFonts w:hint="default" w:ascii="Times New Roman" w:hAnsi="Times New Roman" w:cs="Times New Roman"/>
                      <w:b/>
                      <w:bCs/>
                      <w:color w:val="auto"/>
                      <w:sz w:val="21"/>
                      <w:szCs w:val="21"/>
                      <w:u w:val="none"/>
                      <w:lang w:eastAsia="zh-CN"/>
                    </w:rPr>
                    <w:t>五、</w:t>
                  </w:r>
                  <w:r>
                    <w:rPr>
                      <w:rFonts w:hint="default" w:ascii="Times New Roman" w:hAnsi="Times New Roman" w:cs="Times New Roman"/>
                      <w:b/>
                      <w:bCs/>
                      <w:color w:val="auto"/>
                      <w:sz w:val="21"/>
                      <w:szCs w:val="21"/>
                      <w:u w:val="none"/>
                    </w:rPr>
                    <w:t>废塑料再生利用制品要求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1</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废塑料再生制品或材料应符合相关产品质量标准，表面应标有再生利用标志，具体要求执行GB/T 16288</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eastAsia="zh-CN"/>
                    </w:rPr>
                    <w:t>本项目建成后的</w:t>
                  </w:r>
                  <w:r>
                    <w:rPr>
                      <w:rFonts w:hint="default" w:ascii="Times New Roman" w:hAnsi="Times New Roman" w:cs="Times New Roman"/>
                      <w:color w:val="auto"/>
                      <w:sz w:val="21"/>
                      <w:szCs w:val="21"/>
                      <w:u w:val="none"/>
                    </w:rPr>
                    <w:t>废塑料</w:t>
                  </w:r>
                  <w:r>
                    <w:rPr>
                      <w:rFonts w:hint="default" w:ascii="Times New Roman" w:hAnsi="Times New Roman" w:cs="Times New Roman"/>
                      <w:color w:val="auto"/>
                      <w:sz w:val="21"/>
                      <w:szCs w:val="21"/>
                      <w:u w:val="none"/>
                      <w:lang w:eastAsia="zh-CN"/>
                    </w:rPr>
                    <w:t>片按GB/T16288要求进行标志。</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2</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不宜使用废塑料制造直接接触食品的包装、制品或材料。</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本项目</w:t>
                  </w:r>
                  <w:r>
                    <w:rPr>
                      <w:rFonts w:hint="default" w:ascii="Times New Roman" w:hAnsi="Times New Roman" w:cs="Times New Roman"/>
                      <w:color w:val="auto"/>
                      <w:sz w:val="21"/>
                      <w:szCs w:val="21"/>
                      <w:u w:val="none"/>
                      <w:lang w:eastAsia="zh-CN"/>
                    </w:rPr>
                    <w:t>为废塑料预处理企业，不进行</w:t>
                  </w:r>
                  <w:r>
                    <w:rPr>
                      <w:rFonts w:hint="default" w:ascii="Times New Roman" w:hAnsi="Times New Roman" w:cs="Times New Roman"/>
                      <w:color w:val="auto"/>
                      <w:sz w:val="21"/>
                      <w:szCs w:val="21"/>
                      <w:u w:val="none"/>
                    </w:rPr>
                    <w:t>再生利用</w:t>
                  </w:r>
                  <w:r>
                    <w:rPr>
                      <w:rFonts w:hint="default" w:ascii="Times New Roman" w:hAnsi="Times New Roman" w:cs="Times New Roman"/>
                      <w:color w:val="auto"/>
                      <w:sz w:val="21"/>
                      <w:szCs w:val="21"/>
                      <w:u w:val="none"/>
                      <w:lang w:eastAsia="zh-CN"/>
                    </w:rPr>
                    <w:t>加工。</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eastAsia" w:ascii="Times New Roman" w:hAnsi="Times New Roman" w:cs="Times New Roman"/>
                      <w:color w:val="auto"/>
                      <w:sz w:val="21"/>
                      <w:szCs w:val="21"/>
                      <w:u w:val="none"/>
                      <w:lang w:val="en-US" w:eastAsia="zh-CN"/>
                    </w:rPr>
                    <w:t>3</w:t>
                  </w:r>
                </w:p>
              </w:tc>
              <w:tc>
                <w:tcPr>
                  <w:tcW w:w="3108"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再生塑料制品或材料在生产过程中不得使用氟氯化碳类化合物作发泡剂</w:t>
                  </w:r>
                  <w:r>
                    <w:rPr>
                      <w:rFonts w:hint="default"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制造人体接触的再生塑料制品或材料时，不得添加有毒有害的化学助剂</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lang w:val="en-US" w:eastAsia="zh-CN"/>
                    </w:rPr>
                    <w:t>本项目不使用</w:t>
                  </w:r>
                  <w:r>
                    <w:rPr>
                      <w:rFonts w:hint="default" w:ascii="Times New Roman" w:hAnsi="Times New Roman" w:cs="Times New Roman"/>
                      <w:color w:val="auto"/>
                      <w:sz w:val="21"/>
                      <w:szCs w:val="21"/>
                      <w:u w:val="none"/>
                    </w:rPr>
                    <w:t>氟氯化碳类化合物作发泡剂</w:t>
                  </w:r>
                  <w:r>
                    <w:rPr>
                      <w:rFonts w:hint="default" w:ascii="Times New Roman" w:hAnsi="Times New Roman" w:cs="Times New Roman"/>
                      <w:color w:val="auto"/>
                      <w:sz w:val="21"/>
                      <w:szCs w:val="21"/>
                      <w:u w:val="none"/>
                      <w:lang w:eastAsia="zh-CN"/>
                    </w:rPr>
                    <w:t>，</w:t>
                  </w:r>
                  <w:r>
                    <w:rPr>
                      <w:rFonts w:hint="default" w:ascii="Times New Roman" w:hAnsi="Times New Roman" w:cs="Times New Roman"/>
                      <w:color w:val="auto"/>
                      <w:sz w:val="21"/>
                      <w:szCs w:val="21"/>
                      <w:u w:val="none"/>
                    </w:rPr>
                    <w:t>不</w:t>
                  </w:r>
                  <w:r>
                    <w:rPr>
                      <w:rFonts w:hint="default" w:ascii="Times New Roman" w:hAnsi="Times New Roman" w:cs="Times New Roman"/>
                      <w:color w:val="auto"/>
                      <w:sz w:val="21"/>
                      <w:szCs w:val="21"/>
                      <w:u w:val="none"/>
                      <w:lang w:eastAsia="zh-CN"/>
                    </w:rPr>
                    <w:t>涉及</w:t>
                  </w:r>
                  <w:r>
                    <w:rPr>
                      <w:rFonts w:hint="default" w:ascii="Times New Roman" w:hAnsi="Times New Roman" w:cs="Times New Roman"/>
                      <w:color w:val="auto"/>
                      <w:sz w:val="21"/>
                      <w:szCs w:val="21"/>
                      <w:u w:val="none"/>
                    </w:rPr>
                    <w:t>有毒有害的化学助剂</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351" w:hRule="atLeast"/>
              </w:trPr>
              <w:tc>
                <w:tcPr>
                  <w:tcW w:w="8574" w:type="dxa"/>
                  <w:gridSpan w:val="5"/>
                  <w:noWrap w:val="0"/>
                  <w:vAlign w:val="center"/>
                </w:tcPr>
                <w:p>
                  <w:pPr>
                    <w:pStyle w:val="39"/>
                    <w:kinsoku w:val="0"/>
                    <w:overflowPunct w:val="0"/>
                    <w:jc w:val="left"/>
                    <w:rPr>
                      <w:rFonts w:hint="default" w:ascii="Times New Roman" w:hAnsi="Times New Roman" w:eastAsia="宋体" w:cs="Times New Roman"/>
                      <w:color w:val="auto"/>
                      <w:sz w:val="21"/>
                      <w:szCs w:val="21"/>
                      <w:u w:val="none"/>
                      <w:lang w:val="en-US" w:eastAsia="zh-CN"/>
                    </w:rPr>
                  </w:pPr>
                  <w:r>
                    <w:rPr>
                      <w:rFonts w:hint="default" w:ascii="Times New Roman" w:hAnsi="Times New Roman" w:cs="Times New Roman"/>
                      <w:b/>
                      <w:bCs/>
                      <w:color w:val="auto"/>
                      <w:sz w:val="21"/>
                      <w:szCs w:val="21"/>
                      <w:u w:val="none"/>
                      <w:lang w:eastAsia="zh-CN"/>
                    </w:rPr>
                    <w:t>六、管理要求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1</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废塑料的回收和再生利用企业应建立、健全环境保护管理责任制度，设置环境保护部门或者专(兼)职人员，负责监督废塑料回收和再生利用过程中的环境 保护及相关管理工作</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项目建成后</w:t>
                  </w:r>
                  <w:r>
                    <w:rPr>
                      <w:rFonts w:hint="default" w:ascii="Times New Roman" w:hAnsi="Times New Roman" w:cs="Times New Roman"/>
                      <w:color w:val="auto"/>
                      <w:sz w:val="21"/>
                      <w:szCs w:val="21"/>
                      <w:u w:val="none"/>
                    </w:rPr>
                    <w:t>建立、健全环境保护管理责任制度，设置环境保护部门或者专(兼)职人员，负责监督废塑料回收和再生利用过程中的环境 保护及相关管理工作</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2</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废塑料的回收和再生利用企业应对所有工作人员进行环境保护培训。</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项目建成后</w:t>
                  </w:r>
                  <w:r>
                    <w:rPr>
                      <w:rFonts w:hint="default" w:ascii="Times New Roman" w:hAnsi="Times New Roman" w:cs="Times New Roman"/>
                      <w:color w:val="auto"/>
                      <w:sz w:val="21"/>
                      <w:szCs w:val="21"/>
                      <w:u w:val="none"/>
                    </w:rPr>
                    <w:t>对所有工作人员进行环境保护培训</w:t>
                  </w:r>
                  <w:r>
                    <w:rPr>
                      <w:rFonts w:hint="default" w:ascii="Times New Roman" w:hAnsi="Times New Roman" w:cs="Times New Roman"/>
                      <w:color w:val="auto"/>
                      <w:sz w:val="21"/>
                      <w:szCs w:val="21"/>
                      <w:u w:val="none"/>
                      <w:lang w:eastAsia="zh-CN"/>
                    </w:rPr>
                    <w:t>后再开工。</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3</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废塑料的回收和再生利用企业应建立废塑料回收和再生利用情况记录制度， 内容包括每批次废塑料的回收时间、地点、来源(包括名称和联系方式)、数量、 种类、预处理情况、再生利用时间、再生制品名称、再生制品数量、再生制品流向、再生制品用途，并做好月度和年度汇总工作。</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本项目运营过程中必须</w:t>
                  </w:r>
                  <w:r>
                    <w:rPr>
                      <w:rFonts w:hint="default" w:ascii="Times New Roman" w:hAnsi="Times New Roman" w:cs="Times New Roman"/>
                      <w:color w:val="auto"/>
                      <w:sz w:val="21"/>
                      <w:szCs w:val="21"/>
                      <w:u w:val="none"/>
                    </w:rPr>
                    <w:t>建立废塑料回收和再生利用情况记录制度， 内容包括每批次废塑料的回收时间、地点、来源(包括名称和联系方式)、数量、 种类、预处理情况、再生利用时间、再生制品名称、再生制品数量、再生制品流向、再生制品用途，并做好月度和年度汇总工作。</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4</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废塑料的回收和再生利用企业应建立环境保护监测制度，不同污染物的采样监测方法和频次执行相关国家或行业标准，并做好监测记录以及特殊情况记录。</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本项目运营后会根据</w:t>
                  </w:r>
                  <w:r>
                    <w:rPr>
                      <w:rFonts w:hint="default" w:ascii="Times New Roman" w:hAnsi="Times New Roman" w:cs="Times New Roman"/>
                      <w:color w:val="auto"/>
                      <w:sz w:val="21"/>
                      <w:szCs w:val="21"/>
                      <w:u w:val="none"/>
                    </w:rPr>
                    <w:t>相关国家或行业标准做好监测记录以及特殊情况记录</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5</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废塑料的回收和再生利用企业应建立废塑料回收和再生利用企业建设、生 产、消防、环保、工商、税务等档案台账，并设专人管理，资料至少应保存五年。</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项目建成后按照要求</w:t>
                  </w:r>
                  <w:r>
                    <w:rPr>
                      <w:rFonts w:hint="default" w:ascii="Times New Roman" w:hAnsi="Times New Roman" w:cs="Times New Roman"/>
                      <w:color w:val="auto"/>
                      <w:sz w:val="21"/>
                      <w:szCs w:val="21"/>
                      <w:u w:val="none"/>
                    </w:rPr>
                    <w:t>建立废塑料回收和再生利用企业建设、生 产、消防、环保、工商、税务等档案台账，并设专人管理，资料至少应保存五年。</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6</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废塑料的回收和再生利用企业应建立污染预防机制和处理环境污染事故的应急预案制度。</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项目建成后进行应急预案的编制，建立</w:t>
                  </w:r>
                  <w:r>
                    <w:rPr>
                      <w:rFonts w:hint="default" w:ascii="Times New Roman" w:hAnsi="Times New Roman" w:cs="Times New Roman"/>
                      <w:color w:val="auto"/>
                      <w:sz w:val="21"/>
                      <w:szCs w:val="21"/>
                      <w:u w:val="none"/>
                    </w:rPr>
                    <w:t>污染预防机制和处理环境污染事故的应急预案</w:t>
                  </w:r>
                  <w:r>
                    <w:rPr>
                      <w:rFonts w:hint="default" w:ascii="Times New Roman" w:hAnsi="Times New Roman" w:cs="Times New Roman"/>
                      <w:color w:val="auto"/>
                      <w:sz w:val="21"/>
                      <w:szCs w:val="21"/>
                      <w:u w:val="none"/>
                      <w:lang w:eastAsia="zh-CN"/>
                    </w:rPr>
                    <w:t>。</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gridAfter w:val="1"/>
                <w:wAfter w:w="1876" w:type="dxa"/>
                <w:trHeight w:val="661" w:hRule="atLeast"/>
              </w:trPr>
              <w:tc>
                <w:tcPr>
                  <w:tcW w:w="426" w:type="dxa"/>
                  <w:noWrap w:val="0"/>
                  <w:vAlign w:val="center"/>
                </w:tcPr>
                <w:p>
                  <w:pPr>
                    <w:pStyle w:val="39"/>
                    <w:kinsoku w:val="0"/>
                    <w:overflowPunct w:val="0"/>
                    <w:jc w:val="center"/>
                    <w:rPr>
                      <w:rFonts w:hint="eastAsia"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7</w:t>
                  </w:r>
                </w:p>
              </w:tc>
              <w:tc>
                <w:tcPr>
                  <w:tcW w:w="3108" w:type="dxa"/>
                  <w:noWrap w:val="0"/>
                  <w:vAlign w:val="center"/>
                </w:tcPr>
                <w:p>
                  <w:pPr>
                    <w:pStyle w:val="39"/>
                    <w:jc w:val="both"/>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废塑料的回收和再生利用企业应认真执行排污申报制度，按时缴纳排污费</w:t>
                  </w:r>
                  <w:r>
                    <w:rPr>
                      <w:rFonts w:hint="default" w:ascii="Times New Roman" w:hAnsi="Times New Roman" w:cs="Times New Roman"/>
                      <w:color w:val="auto"/>
                      <w:sz w:val="21"/>
                      <w:szCs w:val="21"/>
                      <w:u w:val="none"/>
                      <w:lang w:eastAsia="zh-CN"/>
                    </w:rPr>
                    <w:t>。</w:t>
                  </w:r>
                </w:p>
              </w:tc>
              <w:tc>
                <w:tcPr>
                  <w:tcW w:w="2409" w:type="dxa"/>
                  <w:noWrap w:val="0"/>
                  <w:vAlign w:val="center"/>
                </w:tcPr>
                <w:p>
                  <w:pPr>
                    <w:pStyle w:val="39"/>
                    <w:jc w:val="both"/>
                    <w:rPr>
                      <w:rFonts w:hint="default" w:ascii="Times New Roman" w:hAnsi="Times New Roman" w:cs="Times New Roman"/>
                      <w:color w:val="auto"/>
                      <w:sz w:val="21"/>
                      <w:szCs w:val="21"/>
                      <w:u w:val="none"/>
                      <w:lang w:val="en-US" w:eastAsia="zh-CN"/>
                    </w:rPr>
                  </w:pPr>
                  <w:r>
                    <w:rPr>
                      <w:rFonts w:hint="default" w:ascii="Times New Roman" w:hAnsi="Times New Roman" w:cs="Times New Roman"/>
                      <w:color w:val="auto"/>
                      <w:sz w:val="21"/>
                      <w:szCs w:val="21"/>
                      <w:u w:val="none"/>
                      <w:lang w:val="en-US" w:eastAsia="zh-CN"/>
                    </w:rPr>
                    <w:t>本项目废水外排</w:t>
                  </w:r>
                  <w:r>
                    <w:rPr>
                      <w:rFonts w:hint="eastAsia" w:ascii="Times New Roman" w:hAnsi="Times New Roman" w:cs="Times New Roman"/>
                      <w:color w:val="auto"/>
                      <w:sz w:val="21"/>
                      <w:szCs w:val="21"/>
                      <w:u w:val="none"/>
                      <w:lang w:val="en-US" w:eastAsia="zh-CN"/>
                    </w:rPr>
                    <w:t>按照需要</w:t>
                  </w:r>
                  <w:r>
                    <w:rPr>
                      <w:rFonts w:hint="default" w:ascii="Times New Roman" w:hAnsi="Times New Roman" w:cs="Times New Roman"/>
                      <w:color w:val="auto"/>
                      <w:sz w:val="21"/>
                      <w:szCs w:val="21"/>
                      <w:u w:val="none"/>
                      <w:lang w:val="en-US" w:eastAsia="zh-CN"/>
                    </w:rPr>
                    <w:t>申请总量。</w:t>
                  </w:r>
                </w:p>
              </w:tc>
              <w:tc>
                <w:tcPr>
                  <w:tcW w:w="755" w:type="dxa"/>
                  <w:noWrap w:val="0"/>
                  <w:vAlign w:val="center"/>
                </w:tcPr>
                <w:p>
                  <w:pPr>
                    <w:pStyle w:val="39"/>
                    <w:kinsoku w:val="0"/>
                    <w:overflowPunct w:val="0"/>
                    <w:jc w:val="center"/>
                    <w:rPr>
                      <w:rFonts w:hint="default" w:ascii="Times New Roman" w:hAnsi="Times New Roman" w:cs="Times New Roman"/>
                      <w:color w:val="auto"/>
                      <w:sz w:val="21"/>
                      <w:szCs w:val="21"/>
                      <w:u w:val="none"/>
                    </w:rPr>
                  </w:pPr>
                  <w:r>
                    <w:rPr>
                      <w:rFonts w:hint="default" w:ascii="Times New Roman" w:hAnsi="Times New Roman" w:cs="Times New Roman"/>
                      <w:color w:val="auto"/>
                      <w:sz w:val="21"/>
                      <w:szCs w:val="21"/>
                      <w:u w:val="none"/>
                    </w:rPr>
                    <w:t>符合</w:t>
                  </w:r>
                </w:p>
              </w:tc>
            </w:tr>
          </w:tbl>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综上所述，本项目符合《废塑料污染控制技术规范》（</w:t>
            </w:r>
            <w:r>
              <w:rPr>
                <w:rFonts w:hint="default" w:ascii="Times New Roman" w:hAnsi="Times New Roman" w:eastAsia="宋体" w:cs="Times New Roman"/>
                <w:color w:val="auto"/>
                <w:kern w:val="0"/>
                <w:sz w:val="24"/>
                <w:szCs w:val="24"/>
                <w:highlight w:val="none"/>
                <w:u w:val="none"/>
                <w:lang w:val="en-US" w:eastAsia="zh-CN" w:bidi="ar"/>
              </w:rPr>
              <w:t>HJ364</w:t>
            </w:r>
            <w:r>
              <w:rPr>
                <w:rFonts w:hint="eastAsia" w:ascii="宋体" w:hAnsi="宋体" w:eastAsia="宋体" w:cs="宋体"/>
                <w:color w:val="auto"/>
                <w:kern w:val="0"/>
                <w:sz w:val="24"/>
                <w:szCs w:val="24"/>
                <w:highlight w:val="none"/>
                <w:u w:val="none"/>
                <w:lang w:val="en-US" w:eastAsia="zh-CN" w:bidi="ar"/>
              </w:rPr>
              <w:t>—</w:t>
            </w:r>
            <w:r>
              <w:rPr>
                <w:rFonts w:hint="default" w:ascii="Times New Roman" w:hAnsi="Times New Roman" w:eastAsia="宋体" w:cs="Times New Roman"/>
                <w:color w:val="auto"/>
                <w:kern w:val="0"/>
                <w:sz w:val="24"/>
                <w:szCs w:val="24"/>
                <w:highlight w:val="none"/>
                <w:u w:val="none"/>
                <w:lang w:val="en-US" w:eastAsia="zh-CN" w:bidi="ar"/>
              </w:rPr>
              <w:t>2022</w:t>
            </w:r>
            <w:r>
              <w:rPr>
                <w:rFonts w:hint="eastAsia" w:ascii="宋体" w:hAnsi="宋体" w:eastAsia="宋体" w:cs="宋体"/>
                <w:color w:val="auto"/>
                <w:kern w:val="0"/>
                <w:sz w:val="24"/>
                <w:szCs w:val="24"/>
                <w:highlight w:val="none"/>
                <w:u w:val="none"/>
                <w:lang w:val="en-US" w:eastAsia="zh-CN" w:bidi="ar"/>
              </w:rPr>
              <w:t>）中相关要求。</w:t>
            </w:r>
          </w:p>
          <w:p>
            <w:pPr>
              <w:pStyle w:val="21"/>
              <w:keepNext w:val="0"/>
              <w:keepLines w:val="0"/>
              <w:pageBreakBefore w:val="0"/>
              <w:shd w:val="clear" w:color="auto" w:fill="FFFFFF"/>
              <w:kinsoku/>
              <w:wordWrap w:val="0"/>
              <w:overflowPunct/>
              <w:topLinePunct w:val="0"/>
              <w:autoSpaceDE/>
              <w:autoSpaceDN/>
              <w:bidi w:val="0"/>
              <w:adjustRightInd w:val="0"/>
              <w:snapToGrid w:val="0"/>
              <w:spacing w:before="0" w:beforeAutospacing="0" w:after="0" w:afterAutospacing="0" w:line="360" w:lineRule="auto"/>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5</w:t>
            </w:r>
            <w:r>
              <w:rPr>
                <w:rFonts w:hint="default" w:ascii="Times New Roman" w:hAnsi="Times New Roman" w:eastAsia="宋体" w:cs="Times New Roman"/>
                <w:b/>
                <w:bCs/>
                <w:color w:val="auto"/>
                <w:kern w:val="0"/>
                <w:sz w:val="24"/>
                <w:szCs w:val="24"/>
                <w:highlight w:val="none"/>
                <w:lang w:val="en-US" w:eastAsia="zh-CN" w:bidi="ar"/>
              </w:rPr>
              <w:t>、平面布局合理性分析</w:t>
            </w:r>
          </w:p>
          <w:p>
            <w:pPr>
              <w:pStyle w:val="31"/>
              <w:bidi w:val="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项目用地用地较为简单，厂房租用的是两个空置的仓库，不设置食宿区。厂房仓库设为原料堆存区、分拣区，仓库为破碎区、产品堆存区，平面布局简单明了，在满足安全、卫生的前提下，工艺流畅，物料运输快捷。结合周围居民分布情况</w:t>
            </w:r>
            <w:r>
              <w:rPr>
                <w:rFonts w:hint="eastAsia"/>
                <w:color w:val="auto"/>
                <w:highlight w:val="none"/>
              </w:rPr>
              <w:t>，</w:t>
            </w:r>
            <w:r>
              <w:rPr>
                <w:rFonts w:hint="eastAsia" w:ascii="宋体" w:hAnsi="宋体" w:cs="宋体"/>
                <w:color w:val="auto"/>
                <w:kern w:val="0"/>
                <w:sz w:val="24"/>
                <w:szCs w:val="24"/>
                <w:highlight w:val="none"/>
                <w:lang w:val="en-US" w:eastAsia="zh-CN" w:bidi="ar"/>
              </w:rPr>
              <w:t>建议</w:t>
            </w:r>
            <w:r>
              <w:rPr>
                <w:rFonts w:hint="eastAsia" w:ascii="宋体" w:hAnsi="宋体" w:eastAsia="宋体" w:cs="宋体"/>
                <w:color w:val="auto"/>
                <w:kern w:val="0"/>
                <w:sz w:val="24"/>
                <w:szCs w:val="24"/>
                <w:highlight w:val="none"/>
                <w:lang w:val="en-US" w:eastAsia="zh-CN" w:bidi="ar"/>
              </w:rPr>
              <w:t>破碎区</w:t>
            </w:r>
            <w:r>
              <w:rPr>
                <w:rFonts w:hint="eastAsia" w:ascii="宋体" w:hAnsi="宋体" w:cs="宋体"/>
                <w:color w:val="auto"/>
                <w:kern w:val="0"/>
                <w:sz w:val="24"/>
                <w:szCs w:val="24"/>
                <w:highlight w:val="none"/>
                <w:lang w:val="en-US" w:eastAsia="zh-CN" w:bidi="ar"/>
              </w:rPr>
              <w:t>布置</w:t>
            </w:r>
            <w:r>
              <w:rPr>
                <w:rFonts w:hint="eastAsia" w:ascii="宋体" w:hAnsi="宋体" w:eastAsia="宋体" w:cs="宋体"/>
                <w:color w:val="auto"/>
                <w:kern w:val="0"/>
                <w:sz w:val="24"/>
                <w:szCs w:val="24"/>
                <w:highlight w:val="none"/>
                <w:lang w:val="en-US" w:eastAsia="zh-CN" w:bidi="ar"/>
              </w:rPr>
              <w:t>在</w:t>
            </w:r>
            <w:r>
              <w:rPr>
                <w:rFonts w:hint="eastAsia" w:ascii="宋体" w:hAnsi="宋体" w:cs="宋体"/>
                <w:color w:val="auto"/>
                <w:kern w:val="0"/>
                <w:sz w:val="24"/>
                <w:szCs w:val="24"/>
                <w:highlight w:val="none"/>
                <w:lang w:val="en-US" w:eastAsia="zh-CN" w:bidi="ar"/>
              </w:rPr>
              <w:t>厂区南侧，南侧无</w:t>
            </w:r>
            <w:r>
              <w:rPr>
                <w:rFonts w:hint="eastAsia" w:ascii="宋体" w:hAnsi="宋体" w:eastAsia="宋体" w:cs="宋体"/>
                <w:color w:val="auto"/>
                <w:kern w:val="0"/>
                <w:sz w:val="24"/>
                <w:szCs w:val="24"/>
                <w:highlight w:val="none"/>
                <w:lang w:val="en-US" w:eastAsia="zh-CN" w:bidi="ar"/>
              </w:rPr>
              <w:t>居民点，</w:t>
            </w:r>
            <w:r>
              <w:rPr>
                <w:rFonts w:hint="eastAsia" w:ascii="宋体" w:hAnsi="宋体" w:cs="宋体"/>
                <w:color w:val="auto"/>
                <w:kern w:val="0"/>
                <w:sz w:val="24"/>
                <w:szCs w:val="24"/>
                <w:highlight w:val="none"/>
                <w:lang w:val="en-US" w:eastAsia="zh-CN" w:bidi="ar"/>
              </w:rPr>
              <w:t>也可以</w:t>
            </w:r>
            <w:r>
              <w:rPr>
                <w:rFonts w:hint="eastAsia" w:ascii="宋体" w:hAnsi="宋体" w:eastAsia="宋体" w:cs="宋体"/>
                <w:color w:val="auto"/>
                <w:kern w:val="0"/>
                <w:sz w:val="24"/>
                <w:szCs w:val="24"/>
                <w:highlight w:val="none"/>
                <w:lang w:val="en-US" w:eastAsia="zh-CN" w:bidi="ar"/>
              </w:rPr>
              <w:t>最大程度减少颗粒物排放对</w:t>
            </w:r>
            <w:r>
              <w:rPr>
                <w:rFonts w:hint="eastAsia" w:ascii="宋体" w:hAnsi="宋体" w:cs="宋体"/>
                <w:color w:val="auto"/>
                <w:kern w:val="0"/>
                <w:sz w:val="24"/>
                <w:szCs w:val="24"/>
                <w:highlight w:val="none"/>
                <w:lang w:val="en-US" w:eastAsia="zh-CN" w:bidi="ar"/>
              </w:rPr>
              <w:t>北</w:t>
            </w:r>
            <w:r>
              <w:rPr>
                <w:rFonts w:hint="eastAsia" w:ascii="宋体" w:hAnsi="宋体" w:eastAsia="宋体" w:cs="宋体"/>
                <w:color w:val="auto"/>
                <w:kern w:val="0"/>
                <w:sz w:val="24"/>
                <w:szCs w:val="24"/>
                <w:highlight w:val="none"/>
                <w:lang w:val="en-US" w:eastAsia="zh-CN" w:bidi="ar"/>
              </w:rPr>
              <w:t>侧居民的影响；危废暂存间设置在破碎区的</w:t>
            </w:r>
            <w:r>
              <w:rPr>
                <w:rFonts w:hint="eastAsia" w:ascii="宋体" w:hAnsi="宋体" w:cs="宋体"/>
                <w:color w:val="auto"/>
                <w:kern w:val="0"/>
                <w:sz w:val="24"/>
                <w:szCs w:val="24"/>
                <w:highlight w:val="none"/>
                <w:lang w:val="en-US" w:eastAsia="zh-CN" w:bidi="ar"/>
              </w:rPr>
              <w:t>东北</w:t>
            </w:r>
            <w:r>
              <w:rPr>
                <w:rFonts w:hint="eastAsia" w:ascii="宋体" w:hAnsi="宋体" w:eastAsia="宋体" w:cs="宋体"/>
                <w:color w:val="auto"/>
                <w:kern w:val="0"/>
                <w:sz w:val="24"/>
                <w:szCs w:val="24"/>
                <w:highlight w:val="none"/>
                <w:lang w:val="en-US" w:eastAsia="zh-CN" w:bidi="ar"/>
              </w:rPr>
              <w:t>角，方便破碎加工过程中产生的危废的转运；厂房周边再通过围墙与绿化带减少对周边环境的影响。</w:t>
            </w:r>
          </w:p>
          <w:p>
            <w:pPr>
              <w:pStyle w:val="31"/>
              <w:bidi w:val="0"/>
              <w:rPr>
                <w:rFonts w:hint="default" w:ascii="宋体" w:hAnsi="宋体" w:eastAsia="宋体" w:cs="宋体"/>
                <w:color w:val="auto"/>
                <w:kern w:val="0"/>
                <w:sz w:val="24"/>
                <w:szCs w:val="24"/>
                <w:highlight w:val="none"/>
                <w:lang w:val="en-US" w:eastAsia="zh-CN" w:bidi="ar"/>
              </w:rPr>
            </w:pPr>
            <w:r>
              <w:rPr>
                <w:rFonts w:hint="default" w:ascii="宋体" w:hAnsi="宋体" w:eastAsia="宋体" w:cs="宋体"/>
                <w:color w:val="auto"/>
                <w:kern w:val="0"/>
                <w:sz w:val="24"/>
                <w:szCs w:val="24"/>
                <w:highlight w:val="none"/>
                <w:lang w:val="en-US" w:eastAsia="zh-CN" w:bidi="ar"/>
              </w:rPr>
              <w:t>综上所述，项目平面布局合理可行。</w:t>
            </w:r>
          </w:p>
          <w:p>
            <w:pPr>
              <w:pStyle w:val="21"/>
              <w:keepNext w:val="0"/>
              <w:keepLines w:val="0"/>
              <w:pageBreakBefore w:val="0"/>
              <w:shd w:val="clear" w:color="auto" w:fill="FFFFFF"/>
              <w:kinsoku/>
              <w:wordWrap w:val="0"/>
              <w:overflowPunct/>
              <w:topLinePunct w:val="0"/>
              <w:autoSpaceDE/>
              <w:autoSpaceDN/>
              <w:bidi w:val="0"/>
              <w:adjustRightInd w:val="0"/>
              <w:snapToGrid w:val="0"/>
              <w:spacing w:before="0" w:beforeAutospacing="0" w:after="0" w:afterAutospacing="0" w:line="360" w:lineRule="auto"/>
              <w:textAlignment w:val="auto"/>
              <w:outlineLvl w:val="9"/>
              <w:rPr>
                <w:rFonts w:hint="default" w:ascii="Times New Roman" w:hAnsi="Times New Roman" w:eastAsia="宋体" w:cs="Times New Roman"/>
                <w:b/>
                <w:bCs/>
                <w:color w:val="auto"/>
                <w:kern w:val="0"/>
                <w:sz w:val="24"/>
                <w:szCs w:val="24"/>
                <w:highlight w:val="none"/>
                <w:lang w:val="en-US" w:eastAsia="zh-CN" w:bidi="ar"/>
              </w:rPr>
            </w:pPr>
            <w:r>
              <w:rPr>
                <w:rFonts w:hint="eastAsia" w:ascii="Times New Roman" w:hAnsi="Times New Roman" w:eastAsia="宋体" w:cs="Times New Roman"/>
                <w:b/>
                <w:bCs/>
                <w:color w:val="auto"/>
                <w:kern w:val="0"/>
                <w:sz w:val="24"/>
                <w:szCs w:val="24"/>
                <w:highlight w:val="none"/>
                <w:lang w:val="en-US" w:eastAsia="zh-CN" w:bidi="ar"/>
              </w:rPr>
              <w:t>6</w:t>
            </w:r>
            <w:r>
              <w:rPr>
                <w:rFonts w:hint="default" w:ascii="Times New Roman" w:hAnsi="Times New Roman" w:eastAsia="宋体" w:cs="Times New Roman"/>
                <w:b/>
                <w:bCs/>
                <w:color w:val="auto"/>
                <w:kern w:val="0"/>
                <w:sz w:val="24"/>
                <w:szCs w:val="24"/>
                <w:highlight w:val="none"/>
                <w:lang w:val="en-US" w:eastAsia="zh-CN" w:bidi="ar"/>
              </w:rPr>
              <w:t>、项目选址符合性</w:t>
            </w:r>
          </w:p>
          <w:p>
            <w:pPr>
              <w:pStyle w:val="31"/>
              <w:bidi w:val="0"/>
              <w:rPr>
                <w:rFonts w:hint="eastAsia" w:ascii="宋体" w:hAnsi="宋体" w:eastAsia="宋体" w:cs="宋体"/>
                <w:color w:val="auto"/>
                <w:kern w:val="0"/>
                <w:sz w:val="24"/>
                <w:szCs w:val="24"/>
                <w:highlight w:val="none"/>
                <w:lang w:val="en-US" w:eastAsia="zh-CN" w:bidi="ar"/>
              </w:rPr>
            </w:pPr>
            <w:r>
              <w:rPr>
                <w:rFonts w:hint="default" w:ascii="宋体" w:hAnsi="宋体" w:eastAsia="宋体" w:cs="宋体"/>
                <w:color w:val="auto"/>
                <w:kern w:val="0"/>
                <w:sz w:val="24"/>
                <w:szCs w:val="24"/>
                <w:highlight w:val="none"/>
                <w:lang w:val="en-US" w:eastAsia="zh-CN" w:bidi="ar"/>
              </w:rPr>
              <w:t>本项目位于</w:t>
            </w:r>
            <w:r>
              <w:rPr>
                <w:rFonts w:hint="eastAsia" w:ascii="宋体" w:hAnsi="宋体" w:eastAsia="宋体" w:cs="宋体"/>
                <w:color w:val="auto"/>
                <w:kern w:val="0"/>
                <w:sz w:val="24"/>
                <w:szCs w:val="24"/>
                <w:highlight w:val="none"/>
                <w:lang w:val="en-US" w:eastAsia="zh-CN" w:bidi="ar"/>
              </w:rPr>
              <w:t>湖南省岳阳市华容县章华镇兴南蔡兴村四组，项目用地属工业用地，因此</w:t>
            </w:r>
            <w:r>
              <w:rPr>
                <w:rFonts w:hint="default" w:ascii="宋体" w:hAnsi="宋体" w:eastAsia="宋体" w:cs="宋体"/>
                <w:color w:val="auto"/>
                <w:kern w:val="0"/>
                <w:sz w:val="24"/>
                <w:szCs w:val="24"/>
                <w:highlight w:val="none"/>
                <w:lang w:val="en-US" w:eastAsia="zh-CN" w:bidi="ar"/>
              </w:rPr>
              <w:t>建设项目性质与用地属性相符</w:t>
            </w:r>
            <w:r>
              <w:rPr>
                <w:rFonts w:hint="eastAsia" w:ascii="宋体" w:hAnsi="宋体" w:eastAsia="宋体" w:cs="宋体"/>
                <w:color w:val="auto"/>
                <w:kern w:val="0"/>
                <w:sz w:val="24"/>
                <w:szCs w:val="24"/>
                <w:highlight w:val="none"/>
                <w:lang w:val="en-US" w:eastAsia="zh-CN" w:bidi="ar"/>
              </w:rPr>
              <w:t>（详见附件）</w:t>
            </w:r>
            <w:r>
              <w:rPr>
                <w:rFonts w:hint="default" w:ascii="宋体" w:hAnsi="宋体" w:eastAsia="宋体" w:cs="宋体"/>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项目，被围墙、厂房及树林阻隔。同时，项目用地为生产多年的工业用地，原单位生产多年未发生噪音扰民、粉尘污染的情况。本项目生产工艺简单，流程清晰，污染物排放量较少，在严格执行本环评提出的污染控制措施后，项目不会对周边居民造成影响。</w:t>
            </w:r>
          </w:p>
          <w:p>
            <w:pPr>
              <w:pStyle w:val="31"/>
              <w:bidi w:val="0"/>
              <w:rPr>
                <w:rFonts w:hint="default" w:ascii="宋体" w:hAnsi="宋体" w:eastAsia="宋体" w:cs="宋体"/>
                <w:color w:val="auto"/>
                <w:kern w:val="0"/>
                <w:sz w:val="24"/>
                <w:szCs w:val="24"/>
                <w:highlight w:val="none"/>
                <w:lang w:val="en-US" w:eastAsia="zh-CN" w:bidi="ar"/>
              </w:rPr>
            </w:pPr>
            <w:r>
              <w:rPr>
                <w:rFonts w:hint="default" w:ascii="宋体" w:hAnsi="宋体" w:eastAsia="宋体" w:cs="宋体"/>
                <w:color w:val="auto"/>
                <w:kern w:val="0"/>
                <w:sz w:val="24"/>
                <w:szCs w:val="24"/>
                <w:highlight w:val="none"/>
                <w:lang w:val="en-US" w:eastAsia="zh-CN" w:bidi="ar"/>
              </w:rPr>
              <w:t>项目所在区域基础设施较为完善，供电、供水、通信等均能满足项目运营要求。</w:t>
            </w:r>
            <w:r>
              <w:rPr>
                <w:rFonts w:hint="eastAsia" w:ascii="宋体" w:hAnsi="宋体" w:eastAsia="宋体" w:cs="宋体"/>
                <w:color w:val="auto"/>
                <w:kern w:val="0"/>
                <w:sz w:val="24"/>
                <w:szCs w:val="24"/>
                <w:highlight w:val="none"/>
                <w:lang w:val="en-US" w:eastAsia="zh-CN" w:bidi="ar"/>
              </w:rPr>
              <w:t>又</w:t>
            </w:r>
            <w:r>
              <w:rPr>
                <w:rFonts w:hint="default" w:ascii="宋体" w:hAnsi="宋体" w:eastAsia="宋体" w:cs="宋体"/>
                <w:color w:val="auto"/>
                <w:kern w:val="0"/>
                <w:sz w:val="24"/>
                <w:szCs w:val="24"/>
                <w:highlight w:val="none"/>
                <w:lang w:val="en-US" w:eastAsia="zh-CN" w:bidi="ar"/>
              </w:rPr>
              <w:t>根据区域环境质量调查与评价结果可知，区域环境</w:t>
            </w:r>
            <w:r>
              <w:rPr>
                <w:rFonts w:hint="eastAsia" w:ascii="宋体" w:hAnsi="宋体" w:eastAsia="宋体" w:cs="宋体"/>
                <w:color w:val="auto"/>
                <w:kern w:val="0"/>
                <w:sz w:val="24"/>
                <w:szCs w:val="24"/>
                <w:highlight w:val="none"/>
                <w:lang w:val="en-US" w:eastAsia="zh-CN" w:bidi="ar"/>
              </w:rPr>
              <w:t>质量良好</w:t>
            </w:r>
            <w:r>
              <w:rPr>
                <w:rFonts w:hint="default" w:ascii="宋体" w:hAnsi="宋体" w:eastAsia="宋体" w:cs="宋体"/>
                <w:color w:val="auto"/>
                <w:kern w:val="0"/>
                <w:sz w:val="24"/>
                <w:szCs w:val="24"/>
                <w:highlight w:val="none"/>
                <w:lang w:val="en-US" w:eastAsia="zh-CN" w:bidi="ar"/>
              </w:rPr>
              <w:t>，项目采取本报告表提出的污染防治措施后，各污染源均可做到达标排放，建成后不会降低该区域现有环境</w:t>
            </w:r>
            <w:r>
              <w:rPr>
                <w:rFonts w:hint="eastAsia" w:ascii="宋体" w:hAnsi="宋体" w:eastAsia="宋体" w:cs="宋体"/>
                <w:color w:val="auto"/>
                <w:kern w:val="0"/>
                <w:sz w:val="24"/>
                <w:szCs w:val="24"/>
                <w:highlight w:val="none"/>
                <w:lang w:val="en-US" w:eastAsia="zh-CN" w:bidi="ar"/>
              </w:rPr>
              <w:t>质量</w:t>
            </w:r>
            <w:r>
              <w:rPr>
                <w:rFonts w:hint="default" w:ascii="宋体" w:hAnsi="宋体" w:eastAsia="宋体" w:cs="宋体"/>
                <w:color w:val="auto"/>
                <w:kern w:val="0"/>
                <w:sz w:val="24"/>
                <w:szCs w:val="24"/>
                <w:highlight w:val="none"/>
                <w:lang w:val="en-US" w:eastAsia="zh-CN" w:bidi="ar"/>
              </w:rPr>
              <w:t>等级。项目所在区域不属于农田保护区、林地保护区、周围无重点生态保护物种、不属于风景名胜区，无重大的环境制约因素。</w:t>
            </w:r>
          </w:p>
          <w:p>
            <w:pPr>
              <w:pStyle w:val="31"/>
              <w:bidi w:val="0"/>
              <w:rPr>
                <w:rFonts w:hint="default"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综上，项目选址可行。</w:t>
            </w:r>
          </w:p>
          <w:p>
            <w:pPr>
              <w:pStyle w:val="31"/>
              <w:bidi w:val="0"/>
              <w:rPr>
                <w:rFonts w:hint="eastAsia" w:ascii="宋体" w:hAnsi="宋体" w:eastAsia="宋体" w:cs="宋体"/>
                <w:color w:val="auto"/>
                <w:kern w:val="0"/>
                <w:sz w:val="24"/>
                <w:szCs w:val="24"/>
                <w:highlight w:val="none"/>
                <w:lang w:val="en-US" w:eastAsia="zh-CN" w:bidi="ar"/>
              </w:rPr>
            </w:pPr>
          </w:p>
          <w:p>
            <w:pPr>
              <w:widowControl/>
              <w:spacing w:line="360" w:lineRule="auto"/>
              <w:rPr>
                <w:rFonts w:ascii="宋体" w:hAnsi="宋体" w:cs="宋体"/>
                <w:color w:val="auto"/>
                <w:sz w:val="24"/>
                <w:highlight w:val="none"/>
              </w:rPr>
            </w:pPr>
          </w:p>
        </w:tc>
      </w:tr>
    </w:tbl>
    <w:p>
      <w:pPr>
        <w:bidi w:val="0"/>
        <w:rPr>
          <w:color w:val="auto"/>
          <w:highlight w:val="none"/>
        </w:rPr>
        <w:sectPr>
          <w:footerReference r:id="rId3" w:type="default"/>
          <w:pgSz w:w="11906" w:h="16838"/>
          <w:pgMar w:top="1440" w:right="1800" w:bottom="1440" w:left="1800" w:header="851" w:footer="992" w:gutter="0"/>
          <w:pgNumType w:fmt="decimal" w:start="1"/>
          <w:cols w:space="425" w:num="1"/>
          <w:docGrid w:type="lines" w:linePitch="312" w:charSpace="0"/>
        </w:sectPr>
      </w:pPr>
    </w:p>
    <w:p>
      <w:pPr>
        <w:pStyle w:val="21"/>
        <w:jc w:val="center"/>
        <w:outlineLvl w:val="0"/>
        <w:rPr>
          <w:rFonts w:hint="eastAsia" w:ascii="黑体" w:hAnsi="黑体" w:eastAsia="黑体" w:cs="Times New Roman"/>
          <w:snapToGrid w:val="0"/>
          <w:color w:val="auto"/>
          <w:sz w:val="30"/>
          <w:szCs w:val="30"/>
          <w:highlight w:val="none"/>
        </w:rPr>
      </w:pPr>
      <w:bookmarkStart w:id="4" w:name="_Toc24593"/>
      <w:bookmarkStart w:id="5" w:name="_Toc12540"/>
      <w:bookmarkStart w:id="6" w:name="_Toc22346"/>
      <w:r>
        <w:rPr>
          <w:rFonts w:hint="eastAsia" w:ascii="黑体" w:hAnsi="黑体" w:eastAsia="黑体" w:cs="Times New Roman"/>
          <w:snapToGrid w:val="0"/>
          <w:color w:val="auto"/>
          <w:sz w:val="30"/>
          <w:szCs w:val="30"/>
          <w:highlight w:val="none"/>
          <w:lang w:val="en-US" w:eastAsia="zh-CN"/>
        </w:rPr>
        <w:t>二、</w:t>
      </w:r>
      <w:r>
        <w:rPr>
          <w:rFonts w:hint="eastAsia" w:ascii="黑体" w:hAnsi="黑体" w:eastAsia="黑体" w:cs="Times New Roman"/>
          <w:snapToGrid w:val="0"/>
          <w:color w:val="auto"/>
          <w:sz w:val="30"/>
          <w:szCs w:val="30"/>
          <w:highlight w:val="none"/>
        </w:rPr>
        <w:t>建设项目工程分析</w:t>
      </w:r>
      <w:bookmarkEnd w:id="4"/>
      <w:bookmarkEnd w:id="5"/>
      <w:bookmarkEnd w:id="6"/>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744"/>
        <w:gridCol w:w="777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90" w:hRule="atLeast"/>
          <w:jc w:val="center"/>
        </w:trPr>
        <w:tc>
          <w:tcPr>
            <w:tcW w:w="744" w:type="dxa"/>
            <w:vAlign w:val="center"/>
          </w:tcPr>
          <w:p>
            <w:pPr>
              <w:pStyle w:val="21"/>
              <w:adjustRightInd w:val="0"/>
              <w:snapToGrid w:val="0"/>
              <w:spacing w:before="0" w:beforeAutospacing="0" w:after="0" w:afterAutospacing="0"/>
              <w:jc w:val="center"/>
              <w:rPr>
                <w:rFonts w:ascii="Times New Roman" w:hAnsi="Times New Roman"/>
                <w:color w:val="auto"/>
                <w:sz w:val="21"/>
                <w:szCs w:val="21"/>
                <w:highlight w:val="none"/>
              </w:rPr>
            </w:pPr>
            <w:r>
              <w:rPr>
                <w:rFonts w:ascii="Times New Roman" w:hAnsi="Times New Roman"/>
                <w:color w:val="auto"/>
                <w:szCs w:val="24"/>
                <w:highlight w:val="none"/>
              </w:rPr>
              <w:t>建设内容</w:t>
            </w:r>
          </w:p>
        </w:tc>
        <w:tc>
          <w:tcPr>
            <w:tcW w:w="7778" w:type="dxa"/>
          </w:tcPr>
          <w:p>
            <w:pPr>
              <w:pStyle w:val="32"/>
              <w:ind w:firstLine="0" w:firstLineChars="0"/>
              <w:rPr>
                <w:rFonts w:eastAsiaTheme="minorEastAsia"/>
                <w:color w:val="auto"/>
                <w:szCs w:val="24"/>
                <w:highlight w:val="none"/>
              </w:rPr>
            </w:pPr>
            <w:r>
              <w:rPr>
                <w:rFonts w:eastAsiaTheme="minorEastAsia"/>
                <w:b/>
                <w:bCs/>
                <w:color w:val="auto"/>
                <w:szCs w:val="24"/>
                <w:highlight w:val="none"/>
              </w:rPr>
              <w:t>1、项目由来</w:t>
            </w:r>
          </w:p>
          <w:p>
            <w:pPr>
              <w:keepNext w:val="0"/>
              <w:keepLines w:val="0"/>
              <w:widowControl/>
              <w:suppressLineNumbers w:val="0"/>
              <w:spacing w:line="360" w:lineRule="auto"/>
              <w:ind w:firstLine="480" w:firstLineChars="200"/>
              <w:jc w:val="left"/>
              <w:rPr>
                <w:color w:val="auto"/>
                <w:highlight w:val="none"/>
              </w:rPr>
            </w:pPr>
            <w:r>
              <w:rPr>
                <w:rFonts w:hint="eastAsia" w:ascii="Times New Roman" w:hAnsi="Times New Roman" w:eastAsia="宋体" w:cs="Times New Roman"/>
                <w:b w:val="0"/>
                <w:bCs w:val="0"/>
                <w:color w:val="auto"/>
                <w:sz w:val="24"/>
                <w:szCs w:val="24"/>
                <w:highlight w:val="none"/>
                <w:lang w:val="en-US" w:eastAsia="zh-CN"/>
              </w:rPr>
              <w:t>华容县华腾塑料厂</w:t>
            </w:r>
            <w:r>
              <w:rPr>
                <w:rFonts w:hint="eastAsia" w:ascii="宋体" w:hAnsi="宋体" w:eastAsia="宋体" w:cs="宋体"/>
                <w:color w:val="auto"/>
                <w:kern w:val="0"/>
                <w:sz w:val="24"/>
                <w:szCs w:val="24"/>
                <w:highlight w:val="none"/>
                <w:lang w:val="en-US" w:eastAsia="zh-CN" w:bidi="ar"/>
              </w:rPr>
              <w:t xml:space="preserve">成立于 </w:t>
            </w:r>
            <w:r>
              <w:rPr>
                <w:rFonts w:hint="eastAsia" w:cs="Times New Roman"/>
                <w:color w:val="auto"/>
                <w:kern w:val="0"/>
                <w:sz w:val="24"/>
                <w:szCs w:val="24"/>
                <w:highlight w:val="none"/>
                <w:lang w:val="en-US" w:eastAsia="zh-CN" w:bidi="ar"/>
              </w:rPr>
              <w:t>2013</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 xml:space="preserve">年 </w:t>
            </w:r>
            <w:r>
              <w:rPr>
                <w:rFonts w:hint="eastAsia" w:ascii="宋体" w:hAnsi="宋体" w:cs="宋体"/>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 xml:space="preserve">月 </w:t>
            </w:r>
            <w:r>
              <w:rPr>
                <w:rFonts w:hint="eastAsia" w:ascii="宋体" w:hAnsi="宋体" w:cs="宋体"/>
                <w:color w:val="auto"/>
                <w:kern w:val="0"/>
                <w:sz w:val="24"/>
                <w:szCs w:val="24"/>
                <w:highlight w:val="none"/>
                <w:lang w:val="en-US" w:eastAsia="zh-CN" w:bidi="ar"/>
              </w:rPr>
              <w:t>5</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日，注册地址为</w:t>
            </w:r>
            <w:r>
              <w:rPr>
                <w:rFonts w:hint="eastAsia"/>
                <w:b w:val="0"/>
                <w:bCs w:val="0"/>
                <w:color w:val="auto"/>
                <w:sz w:val="24"/>
                <w:szCs w:val="24"/>
                <w:highlight w:val="none"/>
              </w:rPr>
              <w:t>华容县护城乡蔡兴村村部</w:t>
            </w:r>
            <w:r>
              <w:rPr>
                <w:rFonts w:hint="eastAsia" w:ascii="宋体" w:hAnsi="宋体" w:eastAsia="宋体" w:cs="宋体"/>
                <w:color w:val="auto"/>
                <w:kern w:val="0"/>
                <w:sz w:val="24"/>
                <w:szCs w:val="24"/>
                <w:highlight w:val="none"/>
                <w:lang w:val="en-US" w:eastAsia="zh-CN" w:bidi="ar"/>
              </w:rPr>
              <w:t>，类型为个体工商户。为适应市场发展需求，解决华容县废旧塑料回收问题，</w:t>
            </w:r>
            <w:r>
              <w:rPr>
                <w:rFonts w:hint="eastAsia" w:ascii="Times New Roman" w:hAnsi="Times New Roman" w:eastAsia="宋体" w:cs="Times New Roman"/>
                <w:b w:val="0"/>
                <w:bCs w:val="0"/>
                <w:color w:val="auto"/>
                <w:sz w:val="24"/>
                <w:szCs w:val="24"/>
                <w:highlight w:val="none"/>
                <w:lang w:val="en-US" w:eastAsia="zh-CN"/>
              </w:rPr>
              <w:t>华容县华腾塑料厂</w:t>
            </w:r>
            <w:r>
              <w:rPr>
                <w:rFonts w:hint="eastAsia" w:ascii="宋体" w:hAnsi="宋体" w:eastAsia="宋体" w:cs="宋体"/>
                <w:color w:val="auto"/>
                <w:kern w:val="0"/>
                <w:sz w:val="24"/>
                <w:szCs w:val="24"/>
                <w:highlight w:val="none"/>
                <w:lang w:val="en-US" w:eastAsia="zh-CN" w:bidi="ar"/>
              </w:rPr>
              <w:t xml:space="preserve">拟投资 </w:t>
            </w:r>
            <w:r>
              <w:rPr>
                <w:rFonts w:hint="eastAsia" w:ascii="宋体" w:hAnsi="宋体" w:cs="宋体"/>
                <w:color w:val="auto"/>
                <w:kern w:val="0"/>
                <w:sz w:val="24"/>
                <w:szCs w:val="24"/>
                <w:highlight w:val="none"/>
                <w:lang w:val="en-US" w:eastAsia="zh-CN" w:bidi="ar"/>
              </w:rPr>
              <w:t>200</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万元，</w:t>
            </w:r>
            <w:r>
              <w:rPr>
                <w:rFonts w:hint="eastAsia" w:ascii="宋体" w:hAnsi="宋体" w:cs="宋体"/>
                <w:color w:val="auto"/>
                <w:kern w:val="0"/>
                <w:sz w:val="24"/>
                <w:szCs w:val="24"/>
                <w:highlight w:val="none"/>
                <w:lang w:val="en-US" w:eastAsia="zh-CN" w:bidi="ar"/>
              </w:rPr>
              <w:t>与</w:t>
            </w:r>
            <w:r>
              <w:rPr>
                <w:rFonts w:hint="eastAsia" w:cs="Times New Roman"/>
                <w:b w:val="0"/>
                <w:bCs w:val="0"/>
                <w:color w:val="auto"/>
                <w:sz w:val="24"/>
                <w:szCs w:val="24"/>
                <w:highlight w:val="none"/>
                <w:lang w:val="en-US" w:eastAsia="zh-CN"/>
              </w:rPr>
              <w:t>兴南村村委会签订租赁合同租用空置仓库为生产经营场所</w:t>
            </w:r>
            <w:r>
              <w:rPr>
                <w:rFonts w:hint="eastAsia" w:ascii="宋体" w:hAnsi="宋体" w:eastAsia="宋体" w:cs="宋体"/>
                <w:color w:val="auto"/>
                <w:kern w:val="0"/>
                <w:sz w:val="24"/>
                <w:szCs w:val="24"/>
                <w:highlight w:val="none"/>
                <w:lang w:val="en-US" w:eastAsia="zh-CN" w:bidi="ar"/>
              </w:rPr>
              <w:t>开展本项目。项目建成后，预计年产废旧塑料碎片</w:t>
            </w:r>
            <w:r>
              <w:rPr>
                <w:rFonts w:hint="eastAsia" w:cs="Times New Roman"/>
                <w:color w:val="auto"/>
                <w:kern w:val="0"/>
                <w:sz w:val="24"/>
                <w:szCs w:val="24"/>
                <w:highlight w:val="none"/>
                <w:lang w:val="en-US" w:eastAsia="zh-CN" w:bidi="ar"/>
              </w:rPr>
              <w:t>480</w:t>
            </w:r>
            <w:r>
              <w:rPr>
                <w:rFonts w:hint="eastAsia" w:ascii="宋体" w:hAnsi="宋体" w:eastAsia="宋体" w:cs="宋体"/>
                <w:color w:val="auto"/>
                <w:kern w:val="0"/>
                <w:sz w:val="24"/>
                <w:szCs w:val="24"/>
                <w:highlight w:val="none"/>
                <w:lang w:val="en-US" w:eastAsia="zh-CN" w:bidi="ar"/>
              </w:rPr>
              <w:t>吨。建设单位注册类型为类型为个体工商户，不属于一般纳税人，无需办理发改备案，故本项目未办理发改备案。</w:t>
            </w:r>
          </w:p>
          <w:p>
            <w:pPr>
              <w:pStyle w:val="32"/>
              <w:spacing w:line="360" w:lineRule="auto"/>
              <w:ind w:firstLine="480" w:firstLineChars="200"/>
              <w:jc w:val="left"/>
              <w:textAlignment w:val="baseline"/>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本项目在生产工艺主要为清洗、破碎过程。根据《中华人民共和国环境保护法》（2015 年 1 月 1 日）、《中华人民共和国环境影响评价法》（2018 年 12 月 29 日）、《建设项目环境影响评价分类管理名录》（生态环境部令第 16 号）的有关规定，本项目属于“三十九、废弃资源综合利用业—非金属废料和碎屑加工处理 422”中“含水洗工艺的其他废料和碎屑加工处理”按要求应编制环境影响报告表。因此建设单位委托承担该项目的环境影响评价编制工作。评价单位在充分收集有关资料并深入进行现场踏勘后，依据国家、地方的有关环保法律、法规，在建设单位大力支持下，完成了项目环境影响报告表的编制工作，上报审批。</w:t>
            </w:r>
          </w:p>
          <w:p>
            <w:pPr>
              <w:pStyle w:val="32"/>
              <w:spacing w:line="360" w:lineRule="auto"/>
              <w:ind w:firstLine="0" w:firstLineChars="0"/>
              <w:textAlignment w:val="baseline"/>
              <w:rPr>
                <w:rFonts w:eastAsiaTheme="minorEastAsia"/>
                <w:b/>
                <w:bCs/>
                <w:color w:val="auto"/>
                <w:szCs w:val="24"/>
                <w:highlight w:val="none"/>
              </w:rPr>
            </w:pPr>
            <w:r>
              <w:rPr>
                <w:rFonts w:eastAsiaTheme="minorEastAsia"/>
                <w:b/>
                <w:bCs/>
                <w:color w:val="auto"/>
                <w:szCs w:val="24"/>
                <w:highlight w:val="none"/>
              </w:rPr>
              <w:t>2、项目概况</w:t>
            </w:r>
          </w:p>
          <w:p>
            <w:pPr>
              <w:pStyle w:val="32"/>
              <w:spacing w:line="360" w:lineRule="auto"/>
              <w:ind w:firstLine="480" w:firstLineChars="200"/>
              <w:textAlignment w:val="baseline"/>
              <w:rPr>
                <w:rFonts w:eastAsiaTheme="minorEastAsia"/>
                <w:color w:val="auto"/>
                <w:szCs w:val="24"/>
                <w:highlight w:val="none"/>
              </w:rPr>
            </w:pPr>
            <w:r>
              <w:rPr>
                <w:rFonts w:eastAsiaTheme="minorEastAsia"/>
                <w:color w:val="auto"/>
                <w:szCs w:val="24"/>
                <w:highlight w:val="none"/>
              </w:rPr>
              <w:t>（1）项目名称、地点、性质</w:t>
            </w:r>
          </w:p>
          <w:p>
            <w:pPr>
              <w:pStyle w:val="32"/>
              <w:spacing w:line="360" w:lineRule="auto"/>
              <w:ind w:firstLine="480"/>
              <w:textAlignment w:val="baseline"/>
              <w:rPr>
                <w:rFonts w:eastAsiaTheme="minorEastAsia"/>
                <w:color w:val="auto"/>
                <w:szCs w:val="24"/>
                <w:highlight w:val="none"/>
              </w:rPr>
            </w:pPr>
            <w:r>
              <w:rPr>
                <w:rFonts w:eastAsiaTheme="minorEastAsia"/>
                <w:color w:val="auto"/>
                <w:szCs w:val="24"/>
                <w:highlight w:val="none"/>
              </w:rPr>
              <w:t>项目名称：</w:t>
            </w:r>
            <w:r>
              <w:rPr>
                <w:rFonts w:hint="eastAsia" w:ascii="宋体" w:hAnsi="宋体" w:cs="宋体"/>
                <w:color w:val="auto"/>
                <w:sz w:val="24"/>
                <w:highlight w:val="none"/>
                <w:lang w:val="en-US" w:eastAsia="zh-CN"/>
              </w:rPr>
              <w:t>再生资源废品回收加工</w:t>
            </w:r>
            <w:r>
              <w:rPr>
                <w:rFonts w:eastAsiaTheme="minorEastAsia"/>
                <w:color w:val="auto"/>
                <w:szCs w:val="24"/>
                <w:highlight w:val="none"/>
              </w:rPr>
              <w:t>建设单位：</w:t>
            </w:r>
            <w:r>
              <w:rPr>
                <w:rFonts w:hint="eastAsia" w:ascii="宋体" w:hAnsi="宋体" w:cs="宋体"/>
                <w:color w:val="auto"/>
                <w:sz w:val="24"/>
                <w:highlight w:val="none"/>
                <w:lang w:val="en-US" w:eastAsia="zh-CN"/>
              </w:rPr>
              <w:t>华容县鼎立通再生资源加工厂</w:t>
            </w:r>
          </w:p>
          <w:p>
            <w:pPr>
              <w:pStyle w:val="32"/>
              <w:spacing w:line="360" w:lineRule="auto"/>
              <w:ind w:firstLine="480"/>
              <w:textAlignment w:val="baseline"/>
              <w:rPr>
                <w:rFonts w:eastAsiaTheme="minorEastAsia"/>
                <w:color w:val="auto"/>
                <w:szCs w:val="24"/>
                <w:highlight w:val="none"/>
              </w:rPr>
            </w:pPr>
            <w:r>
              <w:rPr>
                <w:rFonts w:eastAsiaTheme="minorEastAsia"/>
                <w:color w:val="auto"/>
                <w:szCs w:val="24"/>
                <w:highlight w:val="none"/>
              </w:rPr>
              <w:t>建设性质：新建</w:t>
            </w:r>
          </w:p>
          <w:p>
            <w:pPr>
              <w:pStyle w:val="32"/>
              <w:spacing w:line="360" w:lineRule="auto"/>
              <w:ind w:firstLine="480"/>
              <w:textAlignment w:val="baseline"/>
              <w:rPr>
                <w:rFonts w:hint="eastAsia" w:ascii="Times New Roman" w:hAnsi="Times New Roman" w:cs="Times New Roman" w:eastAsiaTheme="minorEastAsia"/>
                <w:color w:val="auto"/>
                <w:szCs w:val="24"/>
                <w:highlight w:val="none"/>
              </w:rPr>
            </w:pPr>
            <w:r>
              <w:rPr>
                <w:rFonts w:ascii="Times New Roman" w:hAnsi="Times New Roman" w:cs="Times New Roman" w:eastAsiaTheme="minorEastAsia"/>
                <w:color w:val="auto"/>
                <w:szCs w:val="24"/>
                <w:highlight w:val="none"/>
              </w:rPr>
              <w:t>建设地点：</w:t>
            </w:r>
            <w:r>
              <w:rPr>
                <w:rFonts w:hint="eastAsia" w:ascii="Times New Roman" w:hAnsi="Times New Roman" w:cs="Times New Roman" w:eastAsiaTheme="minorEastAsia"/>
                <w:color w:val="auto"/>
                <w:szCs w:val="24"/>
                <w:highlight w:val="none"/>
              </w:rPr>
              <w:t>华容县章华镇兴南蔡兴村四组</w:t>
            </w:r>
          </w:p>
          <w:p>
            <w:pPr>
              <w:pStyle w:val="32"/>
              <w:spacing w:line="360" w:lineRule="auto"/>
              <w:ind w:firstLine="480"/>
              <w:textAlignment w:val="baseline"/>
              <w:rPr>
                <w:rFonts w:ascii="Times New Roman" w:hAnsi="Times New Roman" w:cs="Times New Roman" w:eastAsiaTheme="minorEastAsia"/>
                <w:color w:val="auto"/>
                <w:szCs w:val="24"/>
                <w:highlight w:val="none"/>
              </w:rPr>
            </w:pPr>
            <w:r>
              <w:rPr>
                <w:rFonts w:ascii="Times New Roman" w:hAnsi="Times New Roman" w:cs="Times New Roman" w:eastAsiaTheme="minorEastAsia"/>
                <w:color w:val="auto"/>
                <w:szCs w:val="24"/>
                <w:highlight w:val="none"/>
              </w:rPr>
              <w:t>项目投资总额：</w:t>
            </w:r>
            <w:r>
              <w:rPr>
                <w:rFonts w:hint="eastAsia" w:ascii="Times New Roman" w:hAnsi="Times New Roman" w:cs="Times New Roman" w:eastAsiaTheme="minorEastAsia"/>
                <w:color w:val="auto"/>
                <w:szCs w:val="24"/>
                <w:highlight w:val="none"/>
                <w:lang w:val="en-US" w:eastAsia="zh-CN"/>
              </w:rPr>
              <w:t>项目总投资</w:t>
            </w:r>
            <w:r>
              <w:rPr>
                <w:rFonts w:hint="eastAsia" w:cs="Times New Roman" w:eastAsiaTheme="minorEastAsia"/>
                <w:color w:val="auto"/>
                <w:szCs w:val="24"/>
                <w:highlight w:val="none"/>
                <w:lang w:val="en-US" w:eastAsia="zh-CN"/>
              </w:rPr>
              <w:t>200</w:t>
            </w:r>
            <w:r>
              <w:rPr>
                <w:rFonts w:hint="eastAsia" w:ascii="Times New Roman" w:hAnsi="Times New Roman" w:cs="Times New Roman" w:eastAsiaTheme="minorEastAsia"/>
                <w:color w:val="auto"/>
                <w:szCs w:val="24"/>
                <w:highlight w:val="none"/>
                <w:lang w:val="en-US" w:eastAsia="zh-CN"/>
              </w:rPr>
              <w:t>万元，环保投资</w:t>
            </w:r>
            <w:r>
              <w:rPr>
                <w:rFonts w:hint="eastAsia" w:cs="Times New Roman" w:eastAsiaTheme="minorEastAsia"/>
                <w:color w:val="auto"/>
                <w:szCs w:val="24"/>
                <w:highlight w:val="none"/>
                <w:lang w:val="en-US" w:eastAsia="zh-CN"/>
              </w:rPr>
              <w:t>12</w:t>
            </w:r>
            <w:r>
              <w:rPr>
                <w:rFonts w:hint="eastAsia" w:ascii="Times New Roman" w:hAnsi="Times New Roman" w:cs="Times New Roman" w:eastAsiaTheme="minorEastAsia"/>
                <w:color w:val="auto"/>
                <w:szCs w:val="24"/>
                <w:highlight w:val="none"/>
                <w:lang w:val="en-US" w:eastAsia="zh-CN"/>
              </w:rPr>
              <w:t>万元，占总投资</w:t>
            </w:r>
            <w:r>
              <w:rPr>
                <w:rFonts w:hint="eastAsia" w:cs="Times New Roman" w:eastAsiaTheme="minorEastAsia"/>
                <w:color w:val="auto"/>
                <w:szCs w:val="24"/>
                <w:highlight w:val="none"/>
                <w:lang w:val="en-US" w:eastAsia="zh-CN"/>
              </w:rPr>
              <w:t>6</w:t>
            </w:r>
            <w:r>
              <w:rPr>
                <w:rFonts w:hint="default" w:ascii="Times New Roman" w:hAnsi="Times New Roman" w:cs="Times New Roman" w:eastAsiaTheme="minorEastAsia"/>
                <w:color w:val="auto"/>
                <w:szCs w:val="24"/>
                <w:highlight w:val="none"/>
                <w:lang w:val="en-US" w:eastAsia="zh-CN"/>
              </w:rPr>
              <w:t>%</w:t>
            </w:r>
          </w:p>
          <w:p>
            <w:pPr>
              <w:pStyle w:val="32"/>
              <w:spacing w:line="360" w:lineRule="auto"/>
              <w:ind w:firstLine="480"/>
              <w:textAlignment w:val="baseline"/>
              <w:rPr>
                <w:rFonts w:ascii="Times New Roman" w:hAnsi="Times New Roman" w:cs="Times New Roman" w:eastAsiaTheme="minorEastAsia"/>
                <w:color w:val="auto"/>
                <w:szCs w:val="24"/>
                <w:highlight w:val="none"/>
              </w:rPr>
            </w:pPr>
            <w:r>
              <w:rPr>
                <w:rFonts w:ascii="Times New Roman" w:hAnsi="Times New Roman" w:cs="Times New Roman" w:eastAsiaTheme="minorEastAsia"/>
                <w:color w:val="auto"/>
                <w:szCs w:val="24"/>
                <w:highlight w:val="none"/>
              </w:rPr>
              <w:t>占地面积：</w:t>
            </w:r>
            <w:r>
              <w:rPr>
                <w:rFonts w:hint="eastAsia" w:cs="Times New Roman" w:eastAsiaTheme="minorEastAsia"/>
                <w:color w:val="auto"/>
                <w:szCs w:val="24"/>
                <w:highlight w:val="none"/>
                <w:lang w:val="en-US" w:eastAsia="zh-CN"/>
              </w:rPr>
              <w:t>5800</w:t>
            </w:r>
            <w:r>
              <w:rPr>
                <w:rFonts w:ascii="Times New Roman" w:hAnsi="Times New Roman" w:cs="Times New Roman" w:eastAsiaTheme="minorEastAsia"/>
                <w:color w:val="auto"/>
                <w:szCs w:val="24"/>
                <w:highlight w:val="none"/>
              </w:rPr>
              <w:t>m</w:t>
            </w:r>
            <w:r>
              <w:rPr>
                <w:rFonts w:ascii="Times New Roman" w:hAnsi="Times New Roman" w:cs="Times New Roman" w:eastAsiaTheme="minorEastAsia"/>
                <w:color w:val="auto"/>
                <w:szCs w:val="24"/>
                <w:highlight w:val="none"/>
                <w:vertAlign w:val="superscript"/>
              </w:rPr>
              <w:t>2</w:t>
            </w:r>
            <w:r>
              <w:rPr>
                <w:rFonts w:ascii="Times New Roman" w:hAnsi="Times New Roman" w:cs="Times New Roman" w:eastAsiaTheme="minorEastAsia"/>
                <w:color w:val="auto"/>
                <w:szCs w:val="24"/>
                <w:highlight w:val="none"/>
              </w:rPr>
              <w:t>；</w:t>
            </w:r>
          </w:p>
          <w:p>
            <w:pPr>
              <w:pStyle w:val="32"/>
              <w:spacing w:line="360" w:lineRule="auto"/>
              <w:ind w:firstLine="480"/>
              <w:textAlignment w:val="baseline"/>
              <w:rPr>
                <w:rFonts w:ascii="Times New Roman" w:hAnsi="Times New Roman" w:cs="Times New Roman" w:eastAsiaTheme="minorEastAsia"/>
                <w:color w:val="auto"/>
                <w:szCs w:val="24"/>
                <w:highlight w:val="none"/>
              </w:rPr>
            </w:pPr>
            <w:r>
              <w:rPr>
                <w:rFonts w:ascii="Times New Roman" w:hAnsi="Times New Roman" w:cs="Times New Roman" w:eastAsiaTheme="minorEastAsia"/>
                <w:color w:val="auto"/>
                <w:szCs w:val="24"/>
                <w:highlight w:val="none"/>
              </w:rPr>
              <w:t>投产时间：202</w:t>
            </w:r>
            <w:r>
              <w:rPr>
                <w:rFonts w:hint="eastAsia" w:cs="Times New Roman" w:eastAsiaTheme="minorEastAsia"/>
                <w:color w:val="auto"/>
                <w:szCs w:val="24"/>
                <w:highlight w:val="none"/>
                <w:lang w:val="en-US" w:eastAsia="zh-CN"/>
              </w:rPr>
              <w:t>3</w:t>
            </w:r>
            <w:r>
              <w:rPr>
                <w:rFonts w:ascii="Times New Roman" w:hAnsi="Times New Roman" w:cs="Times New Roman" w:eastAsiaTheme="minorEastAsia"/>
                <w:color w:val="auto"/>
                <w:szCs w:val="24"/>
                <w:highlight w:val="none"/>
              </w:rPr>
              <w:t>年</w:t>
            </w:r>
            <w:r>
              <w:rPr>
                <w:rFonts w:hint="eastAsia" w:ascii="Times New Roman" w:hAnsi="Times New Roman" w:cs="Times New Roman" w:eastAsiaTheme="minorEastAsia"/>
                <w:color w:val="auto"/>
                <w:szCs w:val="24"/>
                <w:highlight w:val="none"/>
              </w:rPr>
              <w:t>1</w:t>
            </w:r>
            <w:r>
              <w:rPr>
                <w:rFonts w:hint="eastAsia" w:cs="Times New Roman" w:eastAsiaTheme="minorEastAsia"/>
                <w:color w:val="auto"/>
                <w:szCs w:val="24"/>
                <w:highlight w:val="none"/>
                <w:lang w:val="en-US" w:eastAsia="zh-CN"/>
              </w:rPr>
              <w:t>0</w:t>
            </w:r>
            <w:r>
              <w:rPr>
                <w:rFonts w:ascii="Times New Roman" w:hAnsi="Times New Roman" w:cs="Times New Roman" w:eastAsiaTheme="minorEastAsia"/>
                <w:color w:val="auto"/>
                <w:szCs w:val="24"/>
                <w:highlight w:val="none"/>
              </w:rPr>
              <w:t>月。</w:t>
            </w:r>
          </w:p>
          <w:p>
            <w:pPr>
              <w:pStyle w:val="32"/>
              <w:spacing w:line="360" w:lineRule="auto"/>
              <w:ind w:firstLine="480"/>
              <w:textAlignment w:val="baseline"/>
              <w:rPr>
                <w:rFonts w:ascii="Times New Roman" w:hAnsi="Times New Roman" w:cs="Times New Roman" w:eastAsiaTheme="minorEastAsia"/>
                <w:color w:val="auto"/>
                <w:szCs w:val="24"/>
                <w:highlight w:val="none"/>
              </w:rPr>
            </w:pPr>
            <w:r>
              <w:rPr>
                <w:rFonts w:hint="eastAsia" w:ascii="Times New Roman" w:hAnsi="Times New Roman" w:cs="Times New Roman" w:eastAsiaTheme="minorEastAsia"/>
                <w:color w:val="auto"/>
                <w:szCs w:val="24"/>
                <w:highlight w:val="none"/>
                <w:lang w:val="en-US" w:eastAsia="zh-CN"/>
              </w:rPr>
              <w:t xml:space="preserve">劳动定员：劳动定员 </w:t>
            </w:r>
            <w:r>
              <w:rPr>
                <w:rFonts w:hint="eastAsia" w:cs="Times New Roman" w:eastAsiaTheme="minorEastAsia"/>
                <w:color w:val="auto"/>
                <w:szCs w:val="24"/>
                <w:highlight w:val="none"/>
                <w:lang w:val="en-US" w:eastAsia="zh-CN"/>
              </w:rPr>
              <w:t>20</w:t>
            </w:r>
            <w:r>
              <w:rPr>
                <w:rFonts w:hint="eastAsia" w:ascii="Times New Roman" w:hAnsi="Times New Roman" w:cs="Times New Roman" w:eastAsiaTheme="minorEastAsia"/>
                <w:color w:val="auto"/>
                <w:szCs w:val="24"/>
                <w:highlight w:val="none"/>
                <w:lang w:val="en-US" w:eastAsia="zh-CN"/>
              </w:rPr>
              <w:t xml:space="preserve">人，厂区内不设食宿。 </w:t>
            </w:r>
          </w:p>
          <w:p>
            <w:pPr>
              <w:pStyle w:val="32"/>
              <w:spacing w:line="360" w:lineRule="auto"/>
              <w:ind w:firstLine="480"/>
              <w:textAlignment w:val="baseline"/>
              <w:rPr>
                <w:rFonts w:hint="default" w:ascii="Times New Roman" w:hAnsi="Times New Roman" w:cs="Times New Roman" w:eastAsiaTheme="minorEastAsia"/>
                <w:color w:val="auto"/>
                <w:szCs w:val="24"/>
                <w:highlight w:val="none"/>
                <w:lang w:val="en-US"/>
              </w:rPr>
            </w:pPr>
            <w:r>
              <w:rPr>
                <w:rFonts w:hint="eastAsia" w:ascii="Times New Roman" w:hAnsi="Times New Roman" w:cs="Times New Roman" w:eastAsiaTheme="minorEastAsia"/>
                <w:color w:val="auto"/>
                <w:szCs w:val="24"/>
                <w:highlight w:val="none"/>
                <w:lang w:val="en-US" w:eastAsia="zh-CN"/>
              </w:rPr>
              <w:t xml:space="preserve">工作制度：本项目每天工作 </w:t>
            </w:r>
            <w:r>
              <w:rPr>
                <w:rFonts w:hint="default" w:ascii="Times New Roman" w:hAnsi="Times New Roman" w:cs="Times New Roman" w:eastAsiaTheme="minorEastAsia"/>
                <w:color w:val="auto"/>
                <w:szCs w:val="24"/>
                <w:highlight w:val="none"/>
                <w:lang w:val="en-US" w:eastAsia="zh-CN"/>
              </w:rPr>
              <w:t xml:space="preserve">8 </w:t>
            </w:r>
            <w:r>
              <w:rPr>
                <w:rFonts w:hint="eastAsia" w:ascii="Times New Roman" w:hAnsi="Times New Roman" w:cs="Times New Roman" w:eastAsiaTheme="minorEastAsia"/>
                <w:color w:val="auto"/>
                <w:szCs w:val="24"/>
                <w:highlight w:val="none"/>
                <w:lang w:val="en-US" w:eastAsia="zh-CN"/>
              </w:rPr>
              <w:t xml:space="preserve">小时，年工作 </w:t>
            </w:r>
            <w:r>
              <w:rPr>
                <w:rFonts w:hint="default" w:ascii="Times New Roman" w:hAnsi="Times New Roman" w:cs="Times New Roman" w:eastAsiaTheme="minorEastAsia"/>
                <w:color w:val="auto"/>
                <w:szCs w:val="24"/>
                <w:highlight w:val="none"/>
                <w:lang w:val="en-US" w:eastAsia="zh-CN"/>
              </w:rPr>
              <w:t xml:space="preserve">300 </w:t>
            </w:r>
            <w:r>
              <w:rPr>
                <w:rFonts w:hint="eastAsia" w:ascii="Times New Roman" w:hAnsi="Times New Roman" w:cs="Times New Roman" w:eastAsiaTheme="minorEastAsia"/>
                <w:color w:val="auto"/>
                <w:szCs w:val="24"/>
                <w:highlight w:val="none"/>
                <w:lang w:val="en-US" w:eastAsia="zh-CN"/>
              </w:rPr>
              <w:t>天。</w:t>
            </w:r>
          </w:p>
          <w:p>
            <w:pPr>
              <w:pStyle w:val="32"/>
              <w:spacing w:line="360" w:lineRule="auto"/>
              <w:ind w:firstLine="0" w:firstLineChars="0"/>
              <w:textAlignment w:val="baseline"/>
              <w:rPr>
                <w:rFonts w:eastAsiaTheme="minorEastAsia"/>
                <w:b/>
                <w:bCs/>
                <w:color w:val="auto"/>
                <w:szCs w:val="24"/>
                <w:highlight w:val="none"/>
              </w:rPr>
            </w:pPr>
            <w:r>
              <w:rPr>
                <w:rFonts w:hint="eastAsia" w:eastAsiaTheme="minorEastAsia"/>
                <w:b/>
                <w:bCs/>
                <w:color w:val="auto"/>
                <w:szCs w:val="24"/>
                <w:highlight w:val="none"/>
                <w:lang w:val="en-US" w:eastAsia="zh-CN"/>
              </w:rPr>
              <w:t>3、</w:t>
            </w:r>
            <w:r>
              <w:rPr>
                <w:rFonts w:eastAsiaTheme="minorEastAsia"/>
                <w:b/>
                <w:bCs/>
                <w:color w:val="auto"/>
                <w:szCs w:val="24"/>
                <w:highlight w:val="none"/>
              </w:rPr>
              <w:t>建设内容及规模</w:t>
            </w:r>
          </w:p>
          <w:p>
            <w:pPr>
              <w:pStyle w:val="32"/>
              <w:spacing w:line="360" w:lineRule="auto"/>
              <w:ind w:firstLine="480"/>
              <w:textAlignment w:val="baseline"/>
              <w:rPr>
                <w:rFonts w:eastAsiaTheme="minorEastAsia"/>
                <w:color w:val="auto"/>
                <w:szCs w:val="24"/>
                <w:highlight w:val="none"/>
              </w:rPr>
            </w:pPr>
            <w:r>
              <w:rPr>
                <w:rFonts w:hint="eastAsia" w:eastAsiaTheme="minorEastAsia"/>
                <w:color w:val="auto"/>
                <w:szCs w:val="24"/>
                <w:highlight w:val="none"/>
                <w:lang w:val="en-US" w:eastAsia="zh-CN"/>
              </w:rPr>
              <w:t>项目占地面积5800</w:t>
            </w:r>
            <w:r>
              <w:rPr>
                <w:rFonts w:ascii="Times New Roman" w:hAnsi="Times New Roman" w:cs="Times New Roman" w:eastAsiaTheme="minorEastAsia"/>
                <w:color w:val="auto"/>
                <w:szCs w:val="24"/>
                <w:highlight w:val="none"/>
              </w:rPr>
              <w:t>m</w:t>
            </w:r>
            <w:r>
              <w:rPr>
                <w:rFonts w:ascii="Times New Roman" w:hAnsi="Times New Roman" w:cs="Times New Roman" w:eastAsiaTheme="minorEastAsia"/>
                <w:color w:val="auto"/>
                <w:szCs w:val="24"/>
                <w:highlight w:val="none"/>
                <w:vertAlign w:val="superscript"/>
              </w:rPr>
              <w:t>2</w:t>
            </w:r>
            <w:r>
              <w:rPr>
                <w:rFonts w:hint="eastAsia" w:eastAsiaTheme="minorEastAsia"/>
                <w:color w:val="auto"/>
                <w:szCs w:val="24"/>
                <w:highlight w:val="none"/>
                <w:lang w:val="en-US" w:eastAsia="zh-CN"/>
              </w:rPr>
              <w:t>。</w:t>
            </w:r>
            <w:r>
              <w:rPr>
                <w:rFonts w:eastAsiaTheme="minorEastAsia"/>
                <w:color w:val="auto"/>
                <w:szCs w:val="24"/>
                <w:highlight w:val="none"/>
              </w:rPr>
              <w:t>项目主要建设内容见表2-1。</w:t>
            </w:r>
          </w:p>
          <w:p>
            <w:pPr>
              <w:pStyle w:val="32"/>
              <w:spacing w:line="240" w:lineRule="auto"/>
              <w:ind w:firstLine="0" w:firstLineChars="0"/>
              <w:jc w:val="center"/>
              <w:textAlignment w:val="baseline"/>
              <w:rPr>
                <w:rFonts w:eastAsiaTheme="minorEastAsia"/>
                <w:b/>
                <w:bCs/>
                <w:color w:val="auto"/>
                <w:sz w:val="21"/>
                <w:szCs w:val="21"/>
                <w:highlight w:val="none"/>
              </w:rPr>
            </w:pPr>
            <w:r>
              <w:rPr>
                <w:rFonts w:eastAsiaTheme="minorEastAsia"/>
                <w:b/>
                <w:bCs/>
                <w:color w:val="auto"/>
                <w:sz w:val="21"/>
                <w:szCs w:val="21"/>
                <w:highlight w:val="none"/>
              </w:rPr>
              <w:t>表2-1  项目主要建设内容及建设规模一览表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11"/>
              <w:gridCol w:w="665"/>
              <w:gridCol w:w="1032"/>
              <w:gridCol w:w="4625"/>
              <w:gridCol w:w="8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Align w:val="center"/>
                </w:tcPr>
                <w:p>
                  <w:pPr>
                    <w:pStyle w:val="32"/>
                    <w:spacing w:line="240" w:lineRule="auto"/>
                    <w:ind w:firstLine="0" w:firstLineChars="0"/>
                    <w:jc w:val="center"/>
                    <w:textAlignment w:val="baseline"/>
                    <w:rPr>
                      <w:rFonts w:eastAsiaTheme="minorEastAsia"/>
                      <w:b/>
                      <w:bCs/>
                      <w:color w:val="auto"/>
                      <w:sz w:val="21"/>
                      <w:szCs w:val="21"/>
                      <w:highlight w:val="none"/>
                      <w:u w:val="none"/>
                    </w:rPr>
                  </w:pPr>
                  <w:r>
                    <w:rPr>
                      <w:rFonts w:eastAsiaTheme="minorEastAsia"/>
                      <w:b/>
                      <w:bCs/>
                      <w:color w:val="auto"/>
                      <w:sz w:val="21"/>
                      <w:szCs w:val="21"/>
                      <w:highlight w:val="none"/>
                      <w:u w:val="none"/>
                    </w:rPr>
                    <w:t>序号</w:t>
                  </w:r>
                </w:p>
              </w:tc>
              <w:tc>
                <w:tcPr>
                  <w:tcW w:w="440" w:type="pct"/>
                  <w:vAlign w:val="center"/>
                </w:tcPr>
                <w:p>
                  <w:pPr>
                    <w:pStyle w:val="32"/>
                    <w:spacing w:line="240" w:lineRule="auto"/>
                    <w:ind w:firstLine="0" w:firstLineChars="0"/>
                    <w:jc w:val="center"/>
                    <w:textAlignment w:val="baseline"/>
                    <w:rPr>
                      <w:rFonts w:eastAsiaTheme="minorEastAsia"/>
                      <w:b/>
                      <w:bCs/>
                      <w:color w:val="auto"/>
                      <w:sz w:val="21"/>
                      <w:szCs w:val="21"/>
                      <w:highlight w:val="none"/>
                      <w:u w:val="none"/>
                    </w:rPr>
                  </w:pPr>
                  <w:r>
                    <w:rPr>
                      <w:rFonts w:eastAsiaTheme="minorEastAsia"/>
                      <w:b/>
                      <w:bCs/>
                      <w:color w:val="auto"/>
                      <w:sz w:val="21"/>
                      <w:szCs w:val="21"/>
                      <w:highlight w:val="none"/>
                      <w:u w:val="none"/>
                    </w:rPr>
                    <w:t>工程类别</w:t>
                  </w:r>
                </w:p>
              </w:tc>
              <w:tc>
                <w:tcPr>
                  <w:tcW w:w="683" w:type="pct"/>
                  <w:vAlign w:val="center"/>
                </w:tcPr>
                <w:p>
                  <w:pPr>
                    <w:pStyle w:val="32"/>
                    <w:spacing w:line="240" w:lineRule="auto"/>
                    <w:ind w:firstLine="0" w:firstLineChars="0"/>
                    <w:jc w:val="center"/>
                    <w:textAlignment w:val="baseline"/>
                    <w:rPr>
                      <w:rFonts w:eastAsiaTheme="minorEastAsia"/>
                      <w:b/>
                      <w:bCs/>
                      <w:color w:val="auto"/>
                      <w:sz w:val="21"/>
                      <w:szCs w:val="21"/>
                      <w:highlight w:val="none"/>
                      <w:u w:val="none"/>
                    </w:rPr>
                  </w:pPr>
                  <w:r>
                    <w:rPr>
                      <w:rFonts w:eastAsiaTheme="minorEastAsia"/>
                      <w:b/>
                      <w:bCs/>
                      <w:color w:val="auto"/>
                      <w:sz w:val="21"/>
                      <w:szCs w:val="21"/>
                      <w:highlight w:val="none"/>
                      <w:u w:val="none"/>
                    </w:rPr>
                    <w:t>工程名称</w:t>
                  </w:r>
                </w:p>
              </w:tc>
              <w:tc>
                <w:tcPr>
                  <w:tcW w:w="3063" w:type="pct"/>
                  <w:vAlign w:val="center"/>
                </w:tcPr>
                <w:p>
                  <w:pPr>
                    <w:pStyle w:val="32"/>
                    <w:spacing w:line="240" w:lineRule="auto"/>
                    <w:ind w:firstLine="0" w:firstLineChars="0"/>
                    <w:jc w:val="center"/>
                    <w:textAlignment w:val="baseline"/>
                    <w:rPr>
                      <w:rFonts w:eastAsiaTheme="minorEastAsia"/>
                      <w:b/>
                      <w:bCs/>
                      <w:color w:val="auto"/>
                      <w:sz w:val="21"/>
                      <w:szCs w:val="21"/>
                      <w:highlight w:val="none"/>
                      <w:u w:val="none"/>
                    </w:rPr>
                  </w:pPr>
                  <w:r>
                    <w:rPr>
                      <w:rFonts w:eastAsiaTheme="minorEastAsia"/>
                      <w:b/>
                      <w:bCs/>
                      <w:color w:val="auto"/>
                      <w:sz w:val="21"/>
                      <w:szCs w:val="21"/>
                      <w:highlight w:val="none"/>
                      <w:u w:val="none"/>
                    </w:rPr>
                    <w:t>建设内容及规模</w:t>
                  </w:r>
                </w:p>
              </w:tc>
              <w:tc>
                <w:tcPr>
                  <w:tcW w:w="540" w:type="pct"/>
                  <w:vAlign w:val="center"/>
                </w:tcPr>
                <w:p>
                  <w:pPr>
                    <w:pStyle w:val="32"/>
                    <w:spacing w:line="240" w:lineRule="auto"/>
                    <w:ind w:firstLine="0" w:firstLineChars="0"/>
                    <w:jc w:val="center"/>
                    <w:textAlignment w:val="baseline"/>
                    <w:rPr>
                      <w:rFonts w:eastAsiaTheme="minorEastAsia"/>
                      <w:b/>
                      <w:bCs/>
                      <w:color w:val="auto"/>
                      <w:sz w:val="21"/>
                      <w:szCs w:val="21"/>
                      <w:highlight w:val="none"/>
                      <w:u w:val="none"/>
                    </w:rPr>
                  </w:pPr>
                  <w:r>
                    <w:rPr>
                      <w:rFonts w:hint="eastAsia" w:eastAsiaTheme="minorEastAsia"/>
                      <w:b/>
                      <w:bCs/>
                      <w:color w:val="auto"/>
                      <w:sz w:val="21"/>
                      <w:szCs w:val="21"/>
                      <w:highlight w:val="none"/>
                      <w:u w:val="none"/>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76" w:hRule="atLeast"/>
              </w:trPr>
              <w:tc>
                <w:tcPr>
                  <w:tcW w:w="272"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eastAsiaTheme="minorEastAsia"/>
                      <w:color w:val="auto"/>
                      <w:sz w:val="21"/>
                      <w:szCs w:val="21"/>
                      <w:highlight w:val="none"/>
                      <w:u w:val="none"/>
                    </w:rPr>
                    <w:t>1</w:t>
                  </w:r>
                </w:p>
              </w:tc>
              <w:tc>
                <w:tcPr>
                  <w:tcW w:w="440"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eastAsiaTheme="minorEastAsia"/>
                      <w:color w:val="auto"/>
                      <w:sz w:val="21"/>
                      <w:szCs w:val="21"/>
                      <w:highlight w:val="none"/>
                      <w:u w:val="none"/>
                    </w:rPr>
                    <w:t>主体工程</w:t>
                  </w:r>
                </w:p>
              </w:tc>
              <w:tc>
                <w:tcPr>
                  <w:tcW w:w="683" w:type="pct"/>
                  <w:vAlign w:val="center"/>
                </w:tcPr>
                <w:p>
                  <w:pPr>
                    <w:pStyle w:val="32"/>
                    <w:spacing w:line="240" w:lineRule="auto"/>
                    <w:ind w:firstLine="0" w:firstLineChars="0"/>
                    <w:jc w:val="center"/>
                    <w:textAlignment w:val="baseline"/>
                    <w:rPr>
                      <w:rFonts w:hint="eastAsia" w:eastAsiaTheme="minorEastAsia"/>
                      <w:color w:val="auto"/>
                      <w:sz w:val="21"/>
                      <w:szCs w:val="21"/>
                      <w:highlight w:val="none"/>
                      <w:u w:val="none"/>
                      <w:lang w:val="en-US" w:eastAsia="zh-CN"/>
                    </w:rPr>
                  </w:pPr>
                  <w:r>
                    <w:rPr>
                      <w:rFonts w:hint="eastAsia" w:eastAsiaTheme="minorEastAsia"/>
                      <w:color w:val="auto"/>
                      <w:sz w:val="21"/>
                      <w:szCs w:val="21"/>
                      <w:highlight w:val="none"/>
                      <w:u w:val="none"/>
                      <w:lang w:val="en-US" w:eastAsia="zh-CN"/>
                    </w:rPr>
                    <w:t>生产加工车间及</w:t>
                  </w:r>
                </w:p>
                <w:p>
                  <w:pPr>
                    <w:pStyle w:val="32"/>
                    <w:spacing w:line="240" w:lineRule="auto"/>
                    <w:ind w:firstLine="0" w:firstLineChars="0"/>
                    <w:jc w:val="center"/>
                    <w:textAlignment w:val="baseline"/>
                    <w:rPr>
                      <w:rFonts w:hint="default" w:eastAsiaTheme="minorEastAsia"/>
                      <w:color w:val="auto"/>
                      <w:sz w:val="21"/>
                      <w:szCs w:val="21"/>
                      <w:highlight w:val="none"/>
                      <w:u w:val="none"/>
                      <w:lang w:val="en-US" w:eastAsia="zh-CN"/>
                    </w:rPr>
                  </w:pPr>
                  <w:r>
                    <w:rPr>
                      <w:rFonts w:hint="eastAsia" w:ascii="宋体" w:hAnsi="宋体" w:eastAsia="宋体" w:cs="宋体"/>
                      <w:color w:val="auto"/>
                      <w:kern w:val="0"/>
                      <w:sz w:val="21"/>
                      <w:szCs w:val="21"/>
                      <w:highlight w:val="none"/>
                      <w:u w:val="none"/>
                      <w:lang w:val="en-US" w:eastAsia="zh-CN" w:bidi="ar"/>
                    </w:rPr>
                    <w:t>原料堆存区、分拣区</w:t>
                  </w:r>
                </w:p>
              </w:tc>
              <w:tc>
                <w:tcPr>
                  <w:tcW w:w="3063" w:type="pct"/>
                  <w:vAlign w:val="center"/>
                </w:tcPr>
                <w:p>
                  <w:pPr>
                    <w:keepNext w:val="0"/>
                    <w:keepLines w:val="0"/>
                    <w:widowControl/>
                    <w:suppressLineNumbers w:val="0"/>
                    <w:spacing w:line="240" w:lineRule="auto"/>
                    <w:jc w:val="left"/>
                    <w:rPr>
                      <w:rFonts w:hint="eastAsia" w:eastAsiaTheme="minorEastAsia"/>
                      <w:color w:val="auto"/>
                      <w:sz w:val="21"/>
                      <w:szCs w:val="21"/>
                      <w:highlight w:val="none"/>
                      <w:u w:val="none"/>
                      <w:lang w:val="en-US" w:eastAsia="zh-CN"/>
                    </w:rPr>
                  </w:pPr>
                  <w:r>
                    <w:rPr>
                      <w:rFonts w:hint="eastAsia" w:eastAsiaTheme="minorEastAsia"/>
                      <w:color w:val="auto"/>
                      <w:sz w:val="21"/>
                      <w:szCs w:val="21"/>
                      <w:highlight w:val="none"/>
                      <w:u w:val="none"/>
                      <w:lang w:val="en-US" w:eastAsia="zh-CN"/>
                    </w:rPr>
                    <w:t>1#仓库是</w:t>
                  </w:r>
                  <w:r>
                    <w:rPr>
                      <w:rFonts w:hint="eastAsia" w:ascii="宋体" w:hAnsi="宋体" w:eastAsia="宋体" w:cs="宋体"/>
                      <w:color w:val="auto"/>
                      <w:kern w:val="0"/>
                      <w:sz w:val="21"/>
                      <w:szCs w:val="21"/>
                      <w:highlight w:val="none"/>
                      <w:u w:val="none"/>
                      <w:lang w:val="en-US" w:eastAsia="zh-CN" w:bidi="ar"/>
                    </w:rPr>
                    <w:t>砖混结构，计划内设一条生产线和产品堆存区，主要破碎加工</w:t>
                  </w:r>
                  <w:r>
                    <w:rPr>
                      <w:rFonts w:hint="default" w:ascii="Times New Roman" w:hAnsi="Times New Roman" w:eastAsia="宋体" w:cs="Times New Roman"/>
                      <w:color w:val="auto"/>
                      <w:kern w:val="0"/>
                      <w:sz w:val="21"/>
                      <w:szCs w:val="21"/>
                      <w:highlight w:val="none"/>
                      <w:u w:val="none"/>
                      <w:lang w:val="en-US" w:eastAsia="zh-CN" w:bidi="ar"/>
                    </w:rPr>
                    <w:t>PP</w:t>
                  </w: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PE</w:t>
                  </w: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PE</w:t>
                  </w:r>
                  <w:r>
                    <w:rPr>
                      <w:rFonts w:hint="eastAsia" w:ascii="Times New Roman" w:hAnsi="Times New Roman" w:eastAsia="宋体" w:cs="Times New Roman"/>
                      <w:color w:val="auto"/>
                      <w:kern w:val="0"/>
                      <w:sz w:val="21"/>
                      <w:szCs w:val="21"/>
                      <w:highlight w:val="none"/>
                      <w:u w:val="none"/>
                      <w:lang w:val="en-US" w:eastAsia="zh-CN" w:bidi="ar"/>
                    </w:rPr>
                    <w:t>T</w:t>
                  </w:r>
                  <w:r>
                    <w:rPr>
                      <w:rFonts w:hint="default" w:ascii="Times New Roman" w:hAnsi="Times New Roman" w:eastAsia="宋体" w:cs="Times New Roman"/>
                      <w:color w:val="auto"/>
                      <w:kern w:val="0"/>
                      <w:sz w:val="21"/>
                      <w:szCs w:val="21"/>
                      <w:highlight w:val="none"/>
                      <w:u w:val="none"/>
                      <w:lang w:val="en-US" w:eastAsia="zh-CN" w:bidi="ar"/>
                    </w:rPr>
                    <w:t xml:space="preserve"> </w:t>
                  </w:r>
                  <w:r>
                    <w:rPr>
                      <w:rFonts w:hint="eastAsia" w:ascii="宋体" w:hAnsi="宋体" w:eastAsia="宋体" w:cs="宋体"/>
                      <w:color w:val="auto"/>
                      <w:kern w:val="0"/>
                      <w:sz w:val="21"/>
                      <w:szCs w:val="21"/>
                      <w:highlight w:val="none"/>
                      <w:u w:val="none"/>
                      <w:lang w:val="en-US" w:eastAsia="zh-CN" w:bidi="ar"/>
                    </w:rPr>
                    <w:t>废塑料</w:t>
                  </w:r>
                  <w:r>
                    <w:rPr>
                      <w:rFonts w:hint="eastAsia" w:ascii="宋体" w:hAnsi="宋体" w:cs="宋体"/>
                      <w:color w:val="auto"/>
                      <w:kern w:val="0"/>
                      <w:sz w:val="21"/>
                      <w:szCs w:val="21"/>
                      <w:highlight w:val="none"/>
                      <w:u w:val="none"/>
                      <w:lang w:val="en-US" w:eastAsia="zh-CN" w:bidi="ar"/>
                    </w:rPr>
                    <w:t>。</w:t>
                  </w:r>
                </w:p>
                <w:p>
                  <w:pPr>
                    <w:bidi w:val="0"/>
                    <w:rPr>
                      <w:rFonts w:hint="eastAsia" w:ascii="宋体" w:hAnsi="宋体" w:cs="宋体"/>
                      <w:color w:val="auto"/>
                      <w:kern w:val="0"/>
                      <w:sz w:val="21"/>
                      <w:szCs w:val="21"/>
                      <w:highlight w:val="none"/>
                      <w:u w:val="none"/>
                      <w:lang w:val="en-US" w:eastAsia="zh-CN" w:bidi="ar"/>
                    </w:rPr>
                  </w:pPr>
                  <w:r>
                    <w:rPr>
                      <w:rFonts w:hint="eastAsia" w:eastAsiaTheme="minorEastAsia"/>
                      <w:color w:val="auto"/>
                      <w:sz w:val="21"/>
                      <w:szCs w:val="21"/>
                      <w:highlight w:val="none"/>
                      <w:u w:val="none"/>
                      <w:lang w:val="en-US" w:eastAsia="zh-CN"/>
                    </w:rPr>
                    <w:t>2#仓库是</w:t>
                  </w:r>
                  <w:r>
                    <w:rPr>
                      <w:rFonts w:hint="eastAsia" w:ascii="宋体" w:hAnsi="宋体" w:eastAsia="宋体" w:cs="宋体"/>
                      <w:color w:val="auto"/>
                      <w:kern w:val="0"/>
                      <w:sz w:val="21"/>
                      <w:szCs w:val="21"/>
                      <w:highlight w:val="none"/>
                      <w:u w:val="none"/>
                      <w:lang w:val="en-US" w:eastAsia="zh-CN" w:bidi="ar"/>
                    </w:rPr>
                    <w:t>砖混结构，计划分为：原料堆存区、分拣区</w:t>
                  </w:r>
                  <w:r>
                    <w:rPr>
                      <w:rFonts w:hint="eastAsia" w:ascii="宋体" w:hAnsi="宋体" w:cs="宋体"/>
                      <w:color w:val="auto"/>
                      <w:kern w:val="0"/>
                      <w:sz w:val="21"/>
                      <w:szCs w:val="21"/>
                      <w:highlight w:val="none"/>
                      <w:u w:val="none"/>
                      <w:lang w:val="en-US" w:eastAsia="zh-CN" w:bidi="ar"/>
                    </w:rPr>
                    <w:t>。</w:t>
                  </w:r>
                </w:p>
                <w:p>
                  <w:pPr>
                    <w:bidi w:val="0"/>
                    <w:rPr>
                      <w:rFonts w:eastAsiaTheme="minorEastAsia"/>
                      <w:color w:val="auto"/>
                      <w:sz w:val="21"/>
                      <w:szCs w:val="21"/>
                      <w:highlight w:val="none"/>
                      <w:u w:val="none"/>
                    </w:rPr>
                  </w:pPr>
                  <w:r>
                    <w:rPr>
                      <w:rFonts w:ascii="Times New Roman" w:hAnsi="Times New Roman" w:cs="Times New Roman"/>
                      <w:sz w:val="21"/>
                      <w:szCs w:val="21"/>
                      <w:u w:val="none"/>
                    </w:rPr>
                    <w:t>项目设置了分类存放场所，存放场所具有防雨、防风、防渗等功能</w:t>
                  </w:r>
                  <w:r>
                    <w:rPr>
                      <w:rFonts w:hint="eastAsia" w:ascii="Times New Roman" w:hAnsi="Times New Roman" w:cs="Times New Roman"/>
                      <w:sz w:val="21"/>
                      <w:szCs w:val="21"/>
                      <w:u w:val="none"/>
                    </w:rPr>
                    <w:t>，不露天堆放</w:t>
                  </w:r>
                  <w:r>
                    <w:rPr>
                      <w:rFonts w:ascii="Times New Roman" w:hAnsi="Times New Roman" w:cs="Times New Roman"/>
                      <w:sz w:val="21"/>
                      <w:szCs w:val="21"/>
                      <w:u w:val="none"/>
                    </w:rPr>
                    <w:t>。项目依托园区管网“雨污分流”。</w:t>
                  </w:r>
                  <w:r>
                    <w:rPr>
                      <w:rFonts w:hint="eastAsia" w:ascii="Times New Roman" w:hAnsi="Times New Roman" w:cs="Times New Roman"/>
                      <w:sz w:val="21"/>
                      <w:szCs w:val="21"/>
                      <w:u w:val="none"/>
                      <w:lang w:val="en-US" w:eastAsia="zh-CN"/>
                    </w:rPr>
                    <w:t>项目</w:t>
                  </w:r>
                  <w:r>
                    <w:rPr>
                      <w:rFonts w:ascii="Times New Roman" w:hAnsi="Times New Roman" w:cs="Times New Roman"/>
                      <w:color w:val="000000"/>
                      <w:sz w:val="21"/>
                      <w:szCs w:val="21"/>
                      <w:u w:val="none"/>
                    </w:rPr>
                    <w:t>加工存储场地建有围墙，为单独厂房，地面全部硬化</w:t>
                  </w:r>
                  <w:r>
                    <w:rPr>
                      <w:rFonts w:hint="eastAsia" w:ascii="Times New Roman" w:hAnsi="Times New Roman" w:cs="Times New Roman"/>
                      <w:color w:val="000000"/>
                      <w:sz w:val="21"/>
                      <w:szCs w:val="21"/>
                      <w:u w:val="none"/>
                      <w:lang w:eastAsia="zh-CN"/>
                    </w:rPr>
                    <w:t>。</w:t>
                  </w:r>
                </w:p>
              </w:tc>
              <w:tc>
                <w:tcPr>
                  <w:tcW w:w="540" w:type="pct"/>
                  <w:vAlign w:val="center"/>
                </w:tcPr>
                <w:p>
                  <w:pPr>
                    <w:pStyle w:val="32"/>
                    <w:spacing w:line="240" w:lineRule="auto"/>
                    <w:ind w:firstLine="0" w:firstLineChars="0"/>
                    <w:jc w:val="center"/>
                    <w:textAlignment w:val="baseline"/>
                    <w:rPr>
                      <w:rFonts w:hint="default" w:eastAsiaTheme="minorEastAsia"/>
                      <w:color w:val="auto"/>
                      <w:sz w:val="21"/>
                      <w:szCs w:val="21"/>
                      <w:highlight w:val="none"/>
                      <w:u w:val="none"/>
                      <w:lang w:val="en-US" w:eastAsia="zh-CN"/>
                    </w:rPr>
                  </w:pPr>
                  <w:r>
                    <w:rPr>
                      <w:rFonts w:hint="eastAsia" w:eastAsiaTheme="minorEastAsia"/>
                      <w:color w:val="auto"/>
                      <w:sz w:val="21"/>
                      <w:szCs w:val="21"/>
                      <w:highlight w:val="none"/>
                      <w:u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hint="eastAsia" w:eastAsiaTheme="minorEastAsia"/>
                      <w:color w:val="auto"/>
                      <w:sz w:val="21"/>
                      <w:szCs w:val="21"/>
                      <w:highlight w:val="none"/>
                      <w:u w:val="none"/>
                    </w:rPr>
                    <w:t>2</w:t>
                  </w:r>
                </w:p>
              </w:tc>
              <w:tc>
                <w:tcPr>
                  <w:tcW w:w="440"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eastAsiaTheme="minorEastAsia"/>
                      <w:color w:val="auto"/>
                      <w:sz w:val="21"/>
                      <w:szCs w:val="21"/>
                      <w:highlight w:val="none"/>
                      <w:u w:val="none"/>
                    </w:rPr>
                    <w:t>辅助工程</w:t>
                  </w:r>
                </w:p>
              </w:tc>
              <w:tc>
                <w:tcPr>
                  <w:tcW w:w="683" w:type="pct"/>
                  <w:vAlign w:val="center"/>
                </w:tcPr>
                <w:p>
                  <w:pPr>
                    <w:pStyle w:val="36"/>
                    <w:bidi w:val="0"/>
                    <w:spacing w:line="240" w:lineRule="auto"/>
                    <w:ind w:left="0" w:leftChars="0" w:firstLine="0" w:firstLineChars="0"/>
                    <w:rPr>
                      <w:rFonts w:eastAsiaTheme="minorEastAsia"/>
                      <w:color w:val="auto"/>
                      <w:highlight w:val="none"/>
                      <w:u w:val="none"/>
                    </w:rPr>
                  </w:pPr>
                  <w:r>
                    <w:rPr>
                      <w:rFonts w:hint="eastAsia"/>
                      <w:color w:val="auto"/>
                      <w:highlight w:val="none"/>
                      <w:u w:val="none"/>
                      <w:lang w:eastAsia="zh-CN"/>
                    </w:rPr>
                    <w:t>办公生活区</w:t>
                  </w:r>
                </w:p>
              </w:tc>
              <w:tc>
                <w:tcPr>
                  <w:tcW w:w="3063" w:type="pct"/>
                  <w:vAlign w:val="center"/>
                </w:tcPr>
                <w:p>
                  <w:pPr>
                    <w:pStyle w:val="36"/>
                    <w:bidi w:val="0"/>
                    <w:spacing w:line="240" w:lineRule="auto"/>
                    <w:ind w:left="0" w:leftChars="0" w:firstLine="0" w:firstLineChars="0"/>
                    <w:rPr>
                      <w:rFonts w:eastAsiaTheme="minorEastAsia"/>
                      <w:color w:val="auto"/>
                      <w:highlight w:val="none"/>
                      <w:u w:val="none"/>
                    </w:rPr>
                  </w:pPr>
                  <w:r>
                    <w:rPr>
                      <w:rFonts w:hint="eastAsia"/>
                      <w:color w:val="auto"/>
                      <w:highlight w:val="none"/>
                      <w:u w:val="none"/>
                      <w:lang w:val="en-US" w:eastAsia="zh-CN"/>
                    </w:rPr>
                    <w:t>本项目设置办公室，服务日常生产经营需要，不设食宿。</w:t>
                  </w:r>
                </w:p>
              </w:tc>
              <w:tc>
                <w:tcPr>
                  <w:tcW w:w="540" w:type="pct"/>
                  <w:vAlign w:val="center"/>
                </w:tcPr>
                <w:p>
                  <w:pPr>
                    <w:spacing w:line="240" w:lineRule="auto"/>
                    <w:jc w:val="center"/>
                    <w:rPr>
                      <w:rFonts w:eastAsiaTheme="minorEastAsia"/>
                      <w:color w:val="auto"/>
                      <w:highlight w:val="none"/>
                      <w:u w:val="none"/>
                    </w:rPr>
                  </w:pPr>
                  <w:r>
                    <w:rPr>
                      <w:rFonts w:hint="eastAsia" w:eastAsiaTheme="minorEastAsia"/>
                      <w:color w:val="auto"/>
                      <w:sz w:val="21"/>
                      <w:szCs w:val="21"/>
                      <w:highlight w:val="none"/>
                      <w:u w:val="none"/>
                      <w:lang w:val="en-US" w:eastAsia="zh-CN"/>
                    </w:rPr>
                    <w:t>依托现有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Merge w:val="restar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hint="eastAsia" w:eastAsiaTheme="minorEastAsia"/>
                      <w:color w:val="auto"/>
                      <w:sz w:val="21"/>
                      <w:szCs w:val="21"/>
                      <w:highlight w:val="none"/>
                      <w:u w:val="none"/>
                    </w:rPr>
                    <w:t>3</w:t>
                  </w:r>
                </w:p>
              </w:tc>
              <w:tc>
                <w:tcPr>
                  <w:tcW w:w="440" w:type="pct"/>
                  <w:vMerge w:val="restar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eastAsiaTheme="minorEastAsia"/>
                      <w:color w:val="auto"/>
                      <w:sz w:val="21"/>
                      <w:szCs w:val="21"/>
                      <w:highlight w:val="none"/>
                      <w:u w:val="none"/>
                    </w:rPr>
                    <w:t>公用工程</w:t>
                  </w:r>
                </w:p>
              </w:tc>
              <w:tc>
                <w:tcPr>
                  <w:tcW w:w="683" w:type="pct"/>
                  <w:vAlign w:val="center"/>
                </w:tcPr>
                <w:p>
                  <w:pPr>
                    <w:pStyle w:val="36"/>
                    <w:bidi w:val="0"/>
                    <w:spacing w:line="240" w:lineRule="auto"/>
                    <w:ind w:left="0" w:leftChars="0" w:firstLine="0" w:firstLineChars="0"/>
                    <w:rPr>
                      <w:rFonts w:eastAsiaTheme="minorEastAsia"/>
                      <w:color w:val="auto"/>
                      <w:highlight w:val="none"/>
                      <w:u w:val="none"/>
                    </w:rPr>
                  </w:pPr>
                  <w:r>
                    <w:rPr>
                      <w:rFonts w:hint="default"/>
                      <w:color w:val="auto"/>
                      <w:highlight w:val="none"/>
                      <w:u w:val="none"/>
                    </w:rPr>
                    <w:t>供水</w:t>
                  </w:r>
                </w:p>
              </w:tc>
              <w:tc>
                <w:tcPr>
                  <w:tcW w:w="3063" w:type="pct"/>
                  <w:vAlign w:val="center"/>
                </w:tcPr>
                <w:p>
                  <w:pPr>
                    <w:pStyle w:val="36"/>
                    <w:bidi w:val="0"/>
                    <w:spacing w:line="240" w:lineRule="auto"/>
                    <w:ind w:left="0" w:leftChars="0" w:firstLine="0" w:firstLineChars="0"/>
                    <w:rPr>
                      <w:rFonts w:eastAsiaTheme="minorEastAsia"/>
                      <w:color w:val="auto"/>
                      <w:highlight w:val="none"/>
                      <w:u w:val="none"/>
                    </w:rPr>
                  </w:pPr>
                  <w:r>
                    <w:rPr>
                      <w:rFonts w:hint="eastAsia"/>
                      <w:color w:val="auto"/>
                      <w:highlight w:val="none"/>
                      <w:u w:val="none"/>
                      <w:lang w:eastAsia="zh-CN"/>
                    </w:rPr>
                    <w:t>由市政给水管网供水</w:t>
                  </w:r>
                </w:p>
              </w:tc>
              <w:tc>
                <w:tcPr>
                  <w:tcW w:w="540" w:type="pct"/>
                  <w:vAlign w:val="center"/>
                </w:tcPr>
                <w:p>
                  <w:pPr>
                    <w:spacing w:line="240" w:lineRule="auto"/>
                    <w:jc w:val="center"/>
                    <w:rPr>
                      <w:rFonts w:eastAsiaTheme="minorEastAsia"/>
                      <w:color w:val="auto"/>
                      <w:highlight w:val="none"/>
                      <w:u w:val="none"/>
                    </w:rPr>
                  </w:pPr>
                  <w:r>
                    <w:rPr>
                      <w:rFonts w:hint="eastAsia" w:eastAsiaTheme="minorEastAsia"/>
                      <w:color w:val="auto"/>
                      <w:sz w:val="21"/>
                      <w:szCs w:val="21"/>
                      <w:highlight w:val="none"/>
                      <w:u w:val="no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6"/>
                    <w:bidi w:val="0"/>
                    <w:spacing w:line="240" w:lineRule="auto"/>
                    <w:ind w:left="0" w:leftChars="0" w:firstLine="0" w:firstLineChars="0"/>
                    <w:rPr>
                      <w:rFonts w:eastAsiaTheme="minorEastAsia"/>
                      <w:color w:val="auto"/>
                      <w:highlight w:val="none"/>
                      <w:u w:val="none"/>
                    </w:rPr>
                  </w:pPr>
                  <w:r>
                    <w:rPr>
                      <w:rFonts w:hint="default"/>
                      <w:color w:val="auto"/>
                      <w:highlight w:val="none"/>
                      <w:u w:val="none"/>
                    </w:rPr>
                    <w:t>排水</w:t>
                  </w:r>
                </w:p>
              </w:tc>
              <w:tc>
                <w:tcPr>
                  <w:tcW w:w="3063" w:type="pct"/>
                  <w:vAlign w:val="center"/>
                </w:tcPr>
                <w:p>
                  <w:pPr>
                    <w:pStyle w:val="36"/>
                    <w:bidi w:val="0"/>
                    <w:spacing w:line="240" w:lineRule="auto"/>
                    <w:ind w:left="0" w:leftChars="0" w:firstLine="0" w:firstLineChars="0"/>
                    <w:rPr>
                      <w:rFonts w:hint="default" w:eastAsiaTheme="minorEastAsia"/>
                      <w:color w:val="auto"/>
                      <w:highlight w:val="none"/>
                      <w:u w:val="none"/>
                      <w:lang w:val="en-US"/>
                    </w:rPr>
                  </w:pPr>
                  <w:r>
                    <w:rPr>
                      <w:rFonts w:hint="eastAsia" w:eastAsiaTheme="minorEastAsia"/>
                      <w:color w:val="auto"/>
                      <w:sz w:val="21"/>
                      <w:szCs w:val="21"/>
                      <w:highlight w:val="none"/>
                      <w:u w:val="none"/>
                      <w:lang w:val="en-US" w:eastAsia="zh-CN"/>
                    </w:rPr>
                    <w:t>厂区</w:t>
                  </w:r>
                  <w:r>
                    <w:rPr>
                      <w:rFonts w:eastAsiaTheme="minorEastAsia"/>
                      <w:color w:val="auto"/>
                      <w:sz w:val="21"/>
                      <w:szCs w:val="21"/>
                      <w:highlight w:val="none"/>
                      <w:u w:val="none"/>
                    </w:rPr>
                    <w:t>实</w:t>
                  </w:r>
                  <w:r>
                    <w:rPr>
                      <w:rFonts w:hint="default" w:ascii="Times New Roman" w:hAnsi="Times New Roman" w:cs="Times New Roman" w:eastAsiaTheme="minorEastAsia"/>
                      <w:color w:val="auto"/>
                      <w:sz w:val="21"/>
                      <w:szCs w:val="21"/>
                      <w:highlight w:val="none"/>
                      <w:u w:val="none"/>
                    </w:rPr>
                    <w:t>行“雨污分流”</w:t>
                  </w:r>
                  <w:r>
                    <w:rPr>
                      <w:rFonts w:eastAsiaTheme="minorEastAsia"/>
                      <w:color w:val="auto"/>
                      <w:sz w:val="21"/>
                      <w:szCs w:val="21"/>
                      <w:highlight w:val="none"/>
                      <w:u w:val="none"/>
                    </w:rPr>
                    <w:t>，雨水经雨水沟排至雨水管网。生活污水经</w:t>
                  </w:r>
                  <w:r>
                    <w:rPr>
                      <w:rFonts w:hint="eastAsia" w:ascii="Times New Roman" w:hAnsi="Times New Roman" w:cs="Times New Roman" w:eastAsiaTheme="minorEastAsia"/>
                      <w:color w:val="auto"/>
                      <w:sz w:val="21"/>
                      <w:szCs w:val="21"/>
                      <w:highlight w:val="none"/>
                      <w:u w:val="none"/>
                      <w:lang w:val="en-US" w:eastAsia="zh-CN"/>
                    </w:rPr>
                    <w:t>化粪</w:t>
                  </w:r>
                  <w:r>
                    <w:rPr>
                      <w:rFonts w:hint="eastAsia" w:cs="Times New Roman" w:eastAsiaTheme="minorEastAsia"/>
                      <w:color w:val="auto"/>
                      <w:sz w:val="21"/>
                      <w:szCs w:val="21"/>
                      <w:highlight w:val="none"/>
                      <w:u w:val="none"/>
                      <w:lang w:val="en-US" w:eastAsia="zh-CN"/>
                    </w:rPr>
                    <w:t>处理做周边农肥使用</w:t>
                  </w:r>
                  <w:r>
                    <w:rPr>
                      <w:rFonts w:hint="eastAsia" w:ascii="Times New Roman" w:hAnsi="Times New Roman" w:cs="Times New Roman" w:eastAsiaTheme="minorEastAsia"/>
                      <w:color w:val="auto"/>
                      <w:sz w:val="21"/>
                      <w:szCs w:val="21"/>
                      <w:highlight w:val="none"/>
                      <w:u w:val="none"/>
                      <w:lang w:val="en-US" w:eastAsia="zh-CN"/>
                    </w:rPr>
                    <w:t>，</w:t>
                  </w:r>
                  <w:r>
                    <w:rPr>
                      <w:rFonts w:hint="eastAsia" w:cs="Times New Roman" w:eastAsiaTheme="minorEastAsia"/>
                      <w:color w:val="auto"/>
                      <w:sz w:val="21"/>
                      <w:szCs w:val="21"/>
                      <w:highlight w:val="none"/>
                      <w:u w:val="none"/>
                      <w:lang w:val="en-US" w:eastAsia="zh-CN"/>
                    </w:rPr>
                    <w:t>不外排；</w:t>
                  </w:r>
                  <w:r>
                    <w:rPr>
                      <w:rFonts w:hint="eastAsia" w:ascii="Times New Roman" w:hAnsi="Times New Roman" w:cs="Times New Roman" w:eastAsiaTheme="minorEastAsia"/>
                      <w:color w:val="auto"/>
                      <w:sz w:val="21"/>
                      <w:szCs w:val="21"/>
                      <w:highlight w:val="none"/>
                      <w:u w:val="none"/>
                      <w:lang w:val="en-US" w:eastAsia="zh-CN"/>
                    </w:rPr>
                    <w:t>生产废水</w:t>
                  </w:r>
                  <w:r>
                    <w:rPr>
                      <w:rFonts w:hint="eastAsia" w:ascii="Times New Roman" w:hAnsi="Times New Roman" w:cs="Times New Roman" w:eastAsiaTheme="minorEastAsia"/>
                      <w:color w:val="auto"/>
                      <w:kern w:val="0"/>
                      <w:sz w:val="21"/>
                      <w:szCs w:val="21"/>
                      <w:highlight w:val="none"/>
                      <w:u w:val="none"/>
                      <w:lang w:val="en-US" w:eastAsia="zh-CN" w:bidi="ar-SA"/>
                    </w:rPr>
                    <w:t>经自建污水处理设施处理后，外排至市政污水管网，最后进入华容县桥东污水处理厂处置。</w:t>
                  </w:r>
                </w:p>
              </w:tc>
              <w:tc>
                <w:tcPr>
                  <w:tcW w:w="540" w:type="pct"/>
                  <w:vAlign w:val="center"/>
                </w:tcPr>
                <w:p>
                  <w:pPr>
                    <w:spacing w:line="240" w:lineRule="auto"/>
                    <w:jc w:val="center"/>
                    <w:rPr>
                      <w:rFonts w:eastAsiaTheme="minorEastAsia"/>
                      <w:color w:val="auto"/>
                      <w:highlight w:val="none"/>
                      <w:u w:val="none"/>
                    </w:rPr>
                  </w:pPr>
                  <w:r>
                    <w:rPr>
                      <w:rFonts w:hint="eastAsia" w:eastAsiaTheme="minorEastAsia"/>
                      <w:color w:val="auto"/>
                      <w:sz w:val="21"/>
                      <w:szCs w:val="21"/>
                      <w:highlight w:val="none"/>
                      <w:u w:val="no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6"/>
                    <w:bidi w:val="0"/>
                    <w:spacing w:line="240" w:lineRule="auto"/>
                    <w:ind w:left="0" w:leftChars="0" w:firstLine="0" w:firstLineChars="0"/>
                    <w:rPr>
                      <w:rFonts w:eastAsiaTheme="minorEastAsia"/>
                      <w:color w:val="auto"/>
                      <w:highlight w:val="none"/>
                      <w:u w:val="none"/>
                    </w:rPr>
                  </w:pPr>
                  <w:r>
                    <w:rPr>
                      <w:rFonts w:hint="default"/>
                      <w:color w:val="auto"/>
                      <w:highlight w:val="none"/>
                      <w:u w:val="none"/>
                    </w:rPr>
                    <w:t>供电</w:t>
                  </w:r>
                </w:p>
              </w:tc>
              <w:tc>
                <w:tcPr>
                  <w:tcW w:w="3063" w:type="pct"/>
                  <w:vAlign w:val="center"/>
                </w:tcPr>
                <w:p>
                  <w:pPr>
                    <w:pStyle w:val="36"/>
                    <w:bidi w:val="0"/>
                    <w:spacing w:line="240" w:lineRule="auto"/>
                    <w:ind w:left="0" w:leftChars="0" w:firstLine="0" w:firstLineChars="0"/>
                    <w:rPr>
                      <w:rFonts w:eastAsiaTheme="minorEastAsia"/>
                      <w:color w:val="auto"/>
                      <w:highlight w:val="none"/>
                      <w:u w:val="none"/>
                    </w:rPr>
                  </w:pPr>
                  <w:r>
                    <w:rPr>
                      <w:rFonts w:hint="eastAsia"/>
                      <w:color w:val="auto"/>
                      <w:highlight w:val="none"/>
                      <w:u w:val="none"/>
                      <w:lang w:eastAsia="zh-CN"/>
                    </w:rPr>
                    <w:t>由</w:t>
                  </w:r>
                  <w:r>
                    <w:rPr>
                      <w:rFonts w:hint="eastAsia"/>
                      <w:color w:val="auto"/>
                      <w:highlight w:val="none"/>
                      <w:u w:val="none"/>
                      <w:lang w:val="en-US" w:eastAsia="zh-CN"/>
                    </w:rPr>
                    <w:t>国家</w:t>
                  </w:r>
                  <w:r>
                    <w:rPr>
                      <w:rFonts w:hint="eastAsia"/>
                      <w:color w:val="auto"/>
                      <w:highlight w:val="none"/>
                      <w:u w:val="none"/>
                      <w:lang w:eastAsia="zh-CN"/>
                    </w:rPr>
                    <w:t>电网供电</w:t>
                  </w:r>
                </w:p>
              </w:tc>
              <w:tc>
                <w:tcPr>
                  <w:tcW w:w="540" w:type="pct"/>
                  <w:vAlign w:val="center"/>
                </w:tcPr>
                <w:p>
                  <w:pPr>
                    <w:spacing w:line="240" w:lineRule="auto"/>
                    <w:jc w:val="center"/>
                    <w:rPr>
                      <w:rFonts w:eastAsiaTheme="minorEastAsia"/>
                      <w:color w:val="auto"/>
                      <w:szCs w:val="21"/>
                      <w:highlight w:val="none"/>
                      <w:u w:val="none"/>
                    </w:rPr>
                  </w:pPr>
                  <w:r>
                    <w:rPr>
                      <w:rFonts w:hint="eastAsia" w:eastAsiaTheme="minorEastAsia"/>
                      <w:color w:val="auto"/>
                      <w:sz w:val="21"/>
                      <w:szCs w:val="21"/>
                      <w:highlight w:val="none"/>
                      <w:u w:val="none"/>
                      <w:lang w:val="en-US" w:eastAsia="zh-CN"/>
                    </w:rPr>
                    <w:t>依托</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Merge w:val="restart"/>
                  <w:vAlign w:val="center"/>
                </w:tcPr>
                <w:p>
                  <w:pPr>
                    <w:pStyle w:val="32"/>
                    <w:spacing w:line="240" w:lineRule="auto"/>
                    <w:ind w:firstLine="0" w:firstLineChars="0"/>
                    <w:jc w:val="center"/>
                    <w:textAlignment w:val="baseline"/>
                    <w:rPr>
                      <w:rFonts w:hint="eastAsia" w:eastAsiaTheme="minorEastAsia"/>
                      <w:color w:val="auto"/>
                      <w:sz w:val="21"/>
                      <w:szCs w:val="21"/>
                      <w:highlight w:val="none"/>
                      <w:u w:val="none"/>
                      <w:lang w:eastAsia="zh-CN"/>
                    </w:rPr>
                  </w:pPr>
                  <w:r>
                    <w:rPr>
                      <w:rFonts w:hint="eastAsia" w:eastAsiaTheme="minorEastAsia"/>
                      <w:color w:val="auto"/>
                      <w:sz w:val="21"/>
                      <w:szCs w:val="21"/>
                      <w:highlight w:val="none"/>
                      <w:u w:val="none"/>
                      <w:lang w:val="en-US" w:eastAsia="zh-CN"/>
                    </w:rPr>
                    <w:t>4</w:t>
                  </w:r>
                </w:p>
              </w:tc>
              <w:tc>
                <w:tcPr>
                  <w:tcW w:w="440" w:type="pct"/>
                  <w:vMerge w:val="restar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eastAsiaTheme="minorEastAsia"/>
                      <w:color w:val="auto"/>
                      <w:sz w:val="21"/>
                      <w:szCs w:val="21"/>
                      <w:highlight w:val="none"/>
                      <w:u w:val="none"/>
                    </w:rPr>
                    <w:t>环保工程</w:t>
                  </w:r>
                </w:p>
              </w:tc>
              <w:tc>
                <w:tcPr>
                  <w:tcW w:w="683" w:type="pct"/>
                  <w:vAlign w:val="center"/>
                </w:tcPr>
                <w:p>
                  <w:pPr>
                    <w:pStyle w:val="36"/>
                    <w:bidi w:val="0"/>
                    <w:spacing w:line="240" w:lineRule="auto"/>
                    <w:ind w:left="0" w:leftChars="0" w:firstLine="0" w:firstLineChars="0"/>
                    <w:rPr>
                      <w:rFonts w:eastAsiaTheme="minorEastAsia"/>
                      <w:color w:val="auto"/>
                      <w:sz w:val="21"/>
                      <w:szCs w:val="21"/>
                      <w:highlight w:val="none"/>
                      <w:u w:val="none"/>
                    </w:rPr>
                  </w:pPr>
                  <w:r>
                    <w:rPr>
                      <w:rFonts w:hint="default"/>
                      <w:color w:val="auto"/>
                      <w:highlight w:val="none"/>
                      <w:u w:val="none"/>
                    </w:rPr>
                    <w:t>废水</w:t>
                  </w:r>
                </w:p>
              </w:tc>
              <w:tc>
                <w:tcPr>
                  <w:tcW w:w="3063" w:type="pct"/>
                  <w:vAlign w:val="center"/>
                </w:tcPr>
                <w:p>
                  <w:pPr>
                    <w:pStyle w:val="36"/>
                    <w:numPr>
                      <w:ilvl w:val="0"/>
                      <w:numId w:val="0"/>
                    </w:numPr>
                    <w:bidi w:val="0"/>
                    <w:spacing w:line="240" w:lineRule="auto"/>
                    <w:ind w:leftChars="0"/>
                    <w:jc w:val="both"/>
                    <w:rPr>
                      <w:rFonts w:hint="eastAsia" w:eastAsiaTheme="minorEastAsia"/>
                      <w:color w:val="auto"/>
                      <w:sz w:val="21"/>
                      <w:szCs w:val="21"/>
                      <w:highlight w:val="none"/>
                      <w:u w:val="none"/>
                      <w:lang w:eastAsia="zh-CN"/>
                    </w:rPr>
                  </w:pPr>
                  <w:r>
                    <w:rPr>
                      <w:rFonts w:hint="eastAsia" w:eastAsiaTheme="minorEastAsia"/>
                      <w:b/>
                      <w:bCs/>
                      <w:color w:val="auto"/>
                      <w:sz w:val="21"/>
                      <w:szCs w:val="21"/>
                      <w:highlight w:val="none"/>
                      <w:u w:val="none"/>
                      <w:lang w:val="en-US" w:eastAsia="zh-CN"/>
                    </w:rPr>
                    <w:t>厂区</w:t>
                  </w:r>
                  <w:r>
                    <w:rPr>
                      <w:rFonts w:eastAsiaTheme="minorEastAsia"/>
                      <w:b/>
                      <w:bCs/>
                      <w:color w:val="auto"/>
                      <w:sz w:val="21"/>
                      <w:szCs w:val="21"/>
                      <w:highlight w:val="none"/>
                      <w:u w:val="none"/>
                    </w:rPr>
                    <w:t>实行“雨污分流”</w:t>
                  </w:r>
                  <w:r>
                    <w:rPr>
                      <w:rFonts w:hint="eastAsia" w:eastAsiaTheme="minorEastAsia"/>
                      <w:b/>
                      <w:bCs/>
                      <w:color w:val="auto"/>
                      <w:sz w:val="21"/>
                      <w:szCs w:val="21"/>
                      <w:highlight w:val="none"/>
                      <w:u w:val="none"/>
                      <w:lang w:eastAsia="zh-CN"/>
                    </w:rPr>
                    <w:t>：</w:t>
                  </w:r>
                  <w:r>
                    <w:rPr>
                      <w:rFonts w:eastAsiaTheme="minorEastAsia"/>
                      <w:color w:val="auto"/>
                      <w:sz w:val="21"/>
                      <w:szCs w:val="21"/>
                      <w:highlight w:val="none"/>
                      <w:u w:val="none"/>
                    </w:rPr>
                    <w:t>雨水经雨水沟排至雨水管网</w:t>
                  </w:r>
                  <w:r>
                    <w:rPr>
                      <w:rFonts w:hint="eastAsia" w:eastAsiaTheme="minorEastAsia"/>
                      <w:color w:val="auto"/>
                      <w:sz w:val="21"/>
                      <w:szCs w:val="21"/>
                      <w:highlight w:val="none"/>
                      <w:u w:val="none"/>
                      <w:lang w:eastAsia="zh-CN"/>
                    </w:rPr>
                    <w:t>；</w:t>
                  </w:r>
                </w:p>
                <w:p>
                  <w:pPr>
                    <w:pStyle w:val="36"/>
                    <w:numPr>
                      <w:ilvl w:val="0"/>
                      <w:numId w:val="0"/>
                    </w:numPr>
                    <w:bidi w:val="0"/>
                    <w:spacing w:line="240" w:lineRule="auto"/>
                    <w:ind w:leftChars="0"/>
                    <w:jc w:val="both"/>
                    <w:rPr>
                      <w:rFonts w:eastAsiaTheme="minorEastAsia"/>
                      <w:color w:val="auto"/>
                      <w:sz w:val="21"/>
                      <w:szCs w:val="21"/>
                      <w:highlight w:val="none"/>
                      <w:u w:val="none"/>
                    </w:rPr>
                  </w:pPr>
                  <w:r>
                    <w:rPr>
                      <w:rFonts w:eastAsiaTheme="minorEastAsia"/>
                      <w:b/>
                      <w:bCs/>
                      <w:color w:val="auto"/>
                      <w:sz w:val="21"/>
                      <w:szCs w:val="21"/>
                      <w:highlight w:val="none"/>
                      <w:u w:val="none"/>
                    </w:rPr>
                    <w:t>生活污水</w:t>
                  </w:r>
                  <w:r>
                    <w:rPr>
                      <w:rFonts w:hint="eastAsia" w:eastAsiaTheme="minorEastAsia"/>
                      <w:b/>
                      <w:bCs/>
                      <w:color w:val="auto"/>
                      <w:sz w:val="21"/>
                      <w:szCs w:val="21"/>
                      <w:highlight w:val="none"/>
                      <w:u w:val="none"/>
                      <w:lang w:eastAsia="zh-CN"/>
                    </w:rPr>
                    <w:t>：</w:t>
                  </w:r>
                  <w:r>
                    <w:rPr>
                      <w:rFonts w:eastAsiaTheme="minorEastAsia"/>
                      <w:color w:val="auto"/>
                      <w:sz w:val="21"/>
                      <w:szCs w:val="21"/>
                      <w:highlight w:val="none"/>
                      <w:u w:val="none"/>
                    </w:rPr>
                    <w:t>经</w:t>
                  </w:r>
                  <w:r>
                    <w:rPr>
                      <w:rFonts w:hint="eastAsia" w:ascii="Times New Roman" w:hAnsi="Times New Roman" w:cs="Times New Roman" w:eastAsiaTheme="minorEastAsia"/>
                      <w:color w:val="auto"/>
                      <w:sz w:val="21"/>
                      <w:szCs w:val="21"/>
                      <w:highlight w:val="none"/>
                      <w:u w:val="none"/>
                      <w:lang w:val="en-US" w:eastAsia="zh-CN"/>
                    </w:rPr>
                    <w:t>化粪</w:t>
                  </w:r>
                  <w:r>
                    <w:rPr>
                      <w:rFonts w:hint="eastAsia" w:cs="Times New Roman" w:eastAsiaTheme="minorEastAsia"/>
                      <w:color w:val="auto"/>
                      <w:sz w:val="21"/>
                      <w:szCs w:val="21"/>
                      <w:highlight w:val="none"/>
                      <w:u w:val="none"/>
                      <w:lang w:val="en-US" w:eastAsia="zh-CN"/>
                    </w:rPr>
                    <w:t>处理做周边农肥使用</w:t>
                  </w:r>
                  <w:r>
                    <w:rPr>
                      <w:rFonts w:hint="eastAsia" w:ascii="Times New Roman" w:hAnsi="Times New Roman" w:cs="Times New Roman" w:eastAsiaTheme="minorEastAsia"/>
                      <w:color w:val="auto"/>
                      <w:sz w:val="21"/>
                      <w:szCs w:val="21"/>
                      <w:highlight w:val="none"/>
                      <w:u w:val="none"/>
                      <w:lang w:val="en-US" w:eastAsia="zh-CN"/>
                    </w:rPr>
                    <w:t>，</w:t>
                  </w:r>
                  <w:r>
                    <w:rPr>
                      <w:rFonts w:hint="eastAsia" w:cs="Times New Roman" w:eastAsiaTheme="minorEastAsia"/>
                      <w:color w:val="auto"/>
                      <w:sz w:val="21"/>
                      <w:szCs w:val="21"/>
                      <w:highlight w:val="none"/>
                      <w:u w:val="none"/>
                      <w:lang w:val="en-US" w:eastAsia="zh-CN"/>
                    </w:rPr>
                    <w:t>不外排；</w:t>
                  </w:r>
                </w:p>
                <w:p>
                  <w:pPr>
                    <w:pStyle w:val="32"/>
                    <w:spacing w:line="240" w:lineRule="auto"/>
                    <w:ind w:left="0" w:leftChars="0" w:firstLine="0" w:firstLineChars="0"/>
                    <w:textAlignment w:val="baseline"/>
                    <w:rPr>
                      <w:rFonts w:eastAsiaTheme="minorEastAsia"/>
                      <w:color w:val="auto"/>
                      <w:sz w:val="21"/>
                      <w:szCs w:val="21"/>
                      <w:highlight w:val="none"/>
                      <w:u w:val="none"/>
                    </w:rPr>
                  </w:pPr>
                  <w:r>
                    <w:rPr>
                      <w:rFonts w:hint="eastAsia" w:ascii="Times New Roman" w:hAnsi="Times New Roman" w:cs="Times New Roman" w:eastAsiaTheme="minorEastAsia"/>
                      <w:b/>
                      <w:bCs/>
                      <w:color w:val="auto"/>
                      <w:sz w:val="21"/>
                      <w:szCs w:val="21"/>
                      <w:highlight w:val="none"/>
                      <w:u w:val="none"/>
                      <w:lang w:val="en-US" w:eastAsia="zh-CN"/>
                    </w:rPr>
                    <w:t>生产废水</w:t>
                  </w:r>
                  <w:r>
                    <w:rPr>
                      <w:rFonts w:hint="eastAsia" w:cs="Times New Roman" w:eastAsiaTheme="minorEastAsia"/>
                      <w:b/>
                      <w:bCs/>
                      <w:color w:val="auto"/>
                      <w:sz w:val="21"/>
                      <w:szCs w:val="21"/>
                      <w:highlight w:val="none"/>
                      <w:u w:val="none"/>
                      <w:lang w:val="en-US" w:eastAsia="zh-CN"/>
                    </w:rPr>
                    <w:t>：</w:t>
                  </w:r>
                  <w:r>
                    <w:rPr>
                      <w:rFonts w:hint="eastAsia" w:cs="Times New Roman" w:eastAsiaTheme="minorEastAsia"/>
                      <w:color w:val="auto"/>
                      <w:kern w:val="0"/>
                      <w:sz w:val="21"/>
                      <w:szCs w:val="21"/>
                      <w:highlight w:val="none"/>
                      <w:u w:val="none"/>
                      <w:lang w:val="en-US" w:eastAsia="zh-CN" w:bidi="ar-SA"/>
                    </w:rPr>
                    <w:t>生产</w:t>
                  </w:r>
                  <w:r>
                    <w:rPr>
                      <w:rFonts w:hint="eastAsia" w:ascii="Times New Roman" w:hAnsi="Times New Roman" w:cs="Times New Roman" w:eastAsiaTheme="minorEastAsia"/>
                      <w:color w:val="auto"/>
                      <w:kern w:val="0"/>
                      <w:sz w:val="21"/>
                      <w:szCs w:val="21"/>
                      <w:highlight w:val="none"/>
                      <w:u w:val="none"/>
                      <w:lang w:val="en-US" w:eastAsia="zh-CN" w:bidi="ar-SA"/>
                    </w:rPr>
                    <w:t>废水经自建污水处理设施处理后，外排至市政污水管网，最后进入华容县桥东污水处理厂处置。</w:t>
                  </w:r>
                </w:p>
              </w:tc>
              <w:tc>
                <w:tcPr>
                  <w:tcW w:w="540"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hint="eastAsia" w:eastAsiaTheme="minorEastAsia"/>
                      <w:color w:val="auto"/>
                      <w:sz w:val="21"/>
                      <w:szCs w:val="21"/>
                      <w:highlight w:val="none"/>
                      <w:u w:val="none"/>
                      <w:lang w:val="en-US" w:eastAsia="zh-CN"/>
                    </w:rPr>
                    <w:t>雨水管道、生活污水化粪池依托原有；生产废水处理设施</w:t>
                  </w:r>
                  <w:r>
                    <w:rPr>
                      <w:rFonts w:hint="eastAsia" w:eastAsiaTheme="minorEastAsia"/>
                      <w:color w:val="auto"/>
                      <w:sz w:val="21"/>
                      <w:szCs w:val="21"/>
                      <w:highlight w:val="none"/>
                      <w:u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6"/>
                    <w:bidi w:val="0"/>
                    <w:spacing w:line="240" w:lineRule="auto"/>
                    <w:ind w:left="0" w:leftChars="0" w:firstLine="0" w:firstLineChars="0"/>
                    <w:rPr>
                      <w:rFonts w:eastAsiaTheme="minorEastAsia"/>
                      <w:color w:val="auto"/>
                      <w:sz w:val="21"/>
                      <w:szCs w:val="21"/>
                      <w:highlight w:val="none"/>
                      <w:u w:val="none"/>
                    </w:rPr>
                  </w:pPr>
                  <w:r>
                    <w:rPr>
                      <w:rFonts w:hint="default"/>
                      <w:color w:val="auto"/>
                      <w:highlight w:val="none"/>
                      <w:u w:val="none"/>
                    </w:rPr>
                    <w:t>废气</w:t>
                  </w:r>
                </w:p>
              </w:tc>
              <w:tc>
                <w:tcPr>
                  <w:tcW w:w="3063" w:type="pct"/>
                  <w:vAlign w:val="center"/>
                </w:tcPr>
                <w:p>
                  <w:pPr>
                    <w:keepNext w:val="0"/>
                    <w:keepLines w:val="0"/>
                    <w:widowControl/>
                    <w:numPr>
                      <w:ilvl w:val="0"/>
                      <w:numId w:val="0"/>
                    </w:numPr>
                    <w:suppressLineNumbers w:val="0"/>
                    <w:spacing w:line="240" w:lineRule="auto"/>
                    <w:jc w:val="left"/>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b/>
                      <w:bCs/>
                      <w:color w:val="auto"/>
                      <w:kern w:val="0"/>
                      <w:sz w:val="21"/>
                      <w:szCs w:val="21"/>
                      <w:highlight w:val="none"/>
                      <w:u w:val="none"/>
                      <w:lang w:val="en-US" w:eastAsia="zh-CN" w:bidi="ar"/>
                    </w:rPr>
                    <w:t>原料装卸搬运、投料及破碎粉尘</w:t>
                  </w:r>
                  <w:r>
                    <w:rPr>
                      <w:rFonts w:hint="eastAsia" w:ascii="宋体" w:hAnsi="宋体" w:eastAsia="宋体" w:cs="宋体"/>
                      <w:color w:val="auto"/>
                      <w:kern w:val="0"/>
                      <w:sz w:val="21"/>
                      <w:szCs w:val="21"/>
                      <w:highlight w:val="none"/>
                      <w:u w:val="none"/>
                      <w:lang w:val="en-US" w:eastAsia="zh-CN" w:bidi="ar"/>
                    </w:rPr>
                    <w:t>：通过喷淋降尘、加强车间通风换气；</w:t>
                  </w:r>
                </w:p>
                <w:p>
                  <w:pPr>
                    <w:keepNext w:val="0"/>
                    <w:keepLines w:val="0"/>
                    <w:widowControl/>
                    <w:numPr>
                      <w:ilvl w:val="0"/>
                      <w:numId w:val="0"/>
                    </w:numPr>
                    <w:suppressLineNumbers w:val="0"/>
                    <w:spacing w:line="240" w:lineRule="auto"/>
                    <w:jc w:val="left"/>
                    <w:rPr>
                      <w:rFonts w:eastAsiaTheme="minorEastAsia"/>
                      <w:color w:val="auto"/>
                      <w:sz w:val="21"/>
                      <w:szCs w:val="21"/>
                      <w:highlight w:val="none"/>
                      <w:u w:val="none"/>
                    </w:rPr>
                  </w:pPr>
                  <w:r>
                    <w:rPr>
                      <w:rFonts w:hint="eastAsia" w:ascii="宋体" w:hAnsi="宋体" w:eastAsia="宋体" w:cs="宋体"/>
                      <w:b/>
                      <w:bCs/>
                      <w:color w:val="auto"/>
                      <w:kern w:val="0"/>
                      <w:sz w:val="21"/>
                      <w:szCs w:val="21"/>
                      <w:highlight w:val="none"/>
                      <w:u w:val="none"/>
                      <w:lang w:val="en-US" w:eastAsia="zh-CN" w:bidi="ar"/>
                    </w:rPr>
                    <w:t>污水处理设施产生的臭气：</w:t>
                  </w:r>
                  <w:r>
                    <w:rPr>
                      <w:rFonts w:hint="eastAsia" w:ascii="宋体" w:hAnsi="宋体" w:eastAsia="宋体" w:cs="宋体"/>
                      <w:color w:val="auto"/>
                      <w:kern w:val="0"/>
                      <w:sz w:val="21"/>
                      <w:szCs w:val="21"/>
                      <w:highlight w:val="none"/>
                      <w:u w:val="none"/>
                      <w:lang w:val="en-US" w:eastAsia="zh-CN" w:bidi="ar"/>
                    </w:rPr>
                    <w:t>及时清理污泥污物、定期喷洒除臭剂、加强车间通风换气。</w:t>
                  </w:r>
                </w:p>
              </w:tc>
              <w:tc>
                <w:tcPr>
                  <w:tcW w:w="540" w:type="pct"/>
                  <w:vAlign w:val="center"/>
                </w:tcPr>
                <w:p>
                  <w:pPr>
                    <w:spacing w:line="240" w:lineRule="auto"/>
                    <w:jc w:val="center"/>
                    <w:textAlignment w:val="baseline"/>
                    <w:rPr>
                      <w:rFonts w:eastAsiaTheme="minorEastAsia"/>
                      <w:color w:val="auto"/>
                      <w:szCs w:val="21"/>
                      <w:highlight w:val="none"/>
                      <w:u w:val="none"/>
                    </w:rPr>
                  </w:pPr>
                  <w:r>
                    <w:rPr>
                      <w:rFonts w:hint="eastAsia" w:eastAsiaTheme="minorEastAsia"/>
                      <w:color w:val="auto"/>
                      <w:szCs w:val="21"/>
                      <w:highlight w:val="none"/>
                      <w:u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6"/>
                    <w:bidi w:val="0"/>
                    <w:spacing w:line="240" w:lineRule="auto"/>
                    <w:ind w:left="0" w:leftChars="0" w:firstLine="0" w:firstLineChars="0"/>
                    <w:rPr>
                      <w:rFonts w:hint="eastAsia"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噪声</w:t>
                  </w:r>
                </w:p>
              </w:tc>
              <w:tc>
                <w:tcPr>
                  <w:tcW w:w="3063" w:type="pct"/>
                  <w:vAlign w:val="center"/>
                </w:tcPr>
                <w:p>
                  <w:pPr>
                    <w:pStyle w:val="36"/>
                    <w:bidi w:val="0"/>
                    <w:spacing w:line="240" w:lineRule="auto"/>
                    <w:ind w:left="0" w:leftChars="0" w:firstLine="0" w:firstLineChars="0"/>
                    <w:rPr>
                      <w:rFonts w:hint="eastAsia" w:ascii="Times New Roman" w:hAnsi="Times New Roman" w:cs="Times New Roman" w:eastAsiaTheme="minorEastAsia"/>
                      <w:color w:val="auto"/>
                      <w:kern w:val="2"/>
                      <w:sz w:val="21"/>
                      <w:szCs w:val="21"/>
                      <w:highlight w:val="none"/>
                      <w:u w:val="none"/>
                      <w:lang w:val="en-US" w:eastAsia="zh-CN" w:bidi="ar-SA"/>
                    </w:rPr>
                  </w:pPr>
                  <w:r>
                    <w:rPr>
                      <w:rFonts w:hint="default" w:ascii="Times New Roman" w:hAnsi="Times New Roman" w:cs="Times New Roman" w:eastAsiaTheme="minorEastAsia"/>
                      <w:color w:val="auto"/>
                      <w:kern w:val="2"/>
                      <w:sz w:val="21"/>
                      <w:szCs w:val="21"/>
                      <w:highlight w:val="none"/>
                      <w:u w:val="none"/>
                      <w:lang w:val="en-US" w:eastAsia="zh-CN" w:bidi="ar-SA"/>
                    </w:rPr>
                    <w:t>选用低噪声设备</w:t>
                  </w:r>
                  <w:r>
                    <w:rPr>
                      <w:rFonts w:hint="eastAsia" w:ascii="Times New Roman" w:hAnsi="Times New Roman" w:cs="Times New Roman" w:eastAsiaTheme="minorEastAsia"/>
                      <w:color w:val="auto"/>
                      <w:kern w:val="2"/>
                      <w:sz w:val="21"/>
                      <w:szCs w:val="21"/>
                      <w:highlight w:val="none"/>
                      <w:u w:val="none"/>
                      <w:lang w:val="en-US" w:eastAsia="zh-CN" w:bidi="ar-SA"/>
                    </w:rPr>
                    <w:t>；</w:t>
                  </w:r>
                  <w:r>
                    <w:rPr>
                      <w:rFonts w:hint="default" w:ascii="Times New Roman" w:hAnsi="Times New Roman" w:cs="Times New Roman" w:eastAsiaTheme="minorEastAsia"/>
                      <w:color w:val="auto"/>
                      <w:kern w:val="2"/>
                      <w:sz w:val="21"/>
                      <w:szCs w:val="21"/>
                      <w:highlight w:val="none"/>
                      <w:u w:val="none"/>
                      <w:lang w:val="en-US" w:eastAsia="zh-CN" w:bidi="ar-SA"/>
                    </w:rPr>
                    <w:t>合理布局</w:t>
                  </w:r>
                  <w:r>
                    <w:rPr>
                      <w:rFonts w:hint="eastAsia" w:ascii="Times New Roman" w:hAnsi="Times New Roman" w:cs="Times New Roman" w:eastAsiaTheme="minorEastAsia"/>
                      <w:color w:val="auto"/>
                      <w:kern w:val="2"/>
                      <w:sz w:val="21"/>
                      <w:szCs w:val="21"/>
                      <w:highlight w:val="none"/>
                      <w:u w:val="none"/>
                      <w:lang w:val="en-US" w:eastAsia="zh-CN" w:bidi="ar-SA"/>
                    </w:rPr>
                    <w:t>，尽量布置在远离周边居民点的位置；破碎设备设置在封闭隔声房内，隔音房使用隔音材料；破碎设备设置消声通道及减震衬板，刚性连接更换为软性连接。</w:t>
                  </w:r>
                </w:p>
              </w:tc>
              <w:tc>
                <w:tcPr>
                  <w:tcW w:w="540" w:type="pct"/>
                  <w:vAlign w:val="center"/>
                </w:tcPr>
                <w:p>
                  <w:pPr>
                    <w:spacing w:line="240" w:lineRule="auto"/>
                    <w:jc w:val="center"/>
                    <w:textAlignment w:val="baseline"/>
                    <w:rPr>
                      <w:rFonts w:eastAsiaTheme="minorEastAsia"/>
                      <w:color w:val="auto"/>
                      <w:szCs w:val="18"/>
                      <w:highlight w:val="none"/>
                      <w:u w:val="none"/>
                    </w:rPr>
                  </w:pPr>
                  <w:r>
                    <w:rPr>
                      <w:rFonts w:hint="eastAsia" w:eastAsiaTheme="minorEastAsia"/>
                      <w:color w:val="auto"/>
                      <w:szCs w:val="21"/>
                      <w:highlight w:val="none"/>
                      <w:u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14"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6"/>
                    <w:bidi w:val="0"/>
                    <w:spacing w:line="240" w:lineRule="auto"/>
                    <w:ind w:left="0" w:leftChars="0" w:firstLine="0" w:firstLineChars="0"/>
                    <w:rPr>
                      <w:rFonts w:hint="default"/>
                      <w:color w:val="auto"/>
                      <w:highlight w:val="none"/>
                      <w:u w:val="none"/>
                      <w:lang w:eastAsia="zh-CN"/>
                    </w:rPr>
                  </w:pPr>
                  <w:r>
                    <w:rPr>
                      <w:rFonts w:hint="default"/>
                      <w:color w:val="auto"/>
                      <w:highlight w:val="none"/>
                      <w:u w:val="none"/>
                    </w:rPr>
                    <w:t>固体废物</w:t>
                  </w:r>
                </w:p>
              </w:tc>
              <w:tc>
                <w:tcPr>
                  <w:tcW w:w="3063" w:type="pct"/>
                  <w:vAlign w:val="center"/>
                </w:tcPr>
                <w:p>
                  <w:pPr>
                    <w:keepNext w:val="0"/>
                    <w:keepLines w:val="0"/>
                    <w:widowControl/>
                    <w:suppressLineNumbers w:val="0"/>
                    <w:spacing w:line="240" w:lineRule="auto"/>
                    <w:jc w:val="left"/>
                    <w:rPr>
                      <w:color w:val="auto"/>
                      <w:highlight w:val="none"/>
                      <w:u w:val="none"/>
                    </w:rPr>
                  </w:pPr>
                  <w:r>
                    <w:rPr>
                      <w:rFonts w:hint="eastAsia" w:ascii="宋体" w:hAnsi="宋体" w:eastAsia="宋体" w:cs="宋体"/>
                      <w:b/>
                      <w:bCs/>
                      <w:color w:val="auto"/>
                      <w:kern w:val="0"/>
                      <w:sz w:val="21"/>
                      <w:szCs w:val="21"/>
                      <w:highlight w:val="none"/>
                      <w:u w:val="none"/>
                      <w:lang w:val="en-US" w:eastAsia="zh-CN" w:bidi="ar"/>
                    </w:rPr>
                    <w:t>生活垃圾：</w:t>
                  </w:r>
                  <w:r>
                    <w:rPr>
                      <w:rFonts w:hint="eastAsia" w:ascii="宋体" w:hAnsi="宋体" w:eastAsia="宋体" w:cs="宋体"/>
                      <w:color w:val="auto"/>
                      <w:kern w:val="0"/>
                      <w:sz w:val="21"/>
                      <w:szCs w:val="21"/>
                      <w:highlight w:val="none"/>
                      <w:u w:val="none"/>
                      <w:lang w:val="en-US" w:eastAsia="zh-CN" w:bidi="ar"/>
                    </w:rPr>
                    <w:t xml:space="preserve">设置加盖生活垃圾收集桶，生活垃圾由环卫部门定期清运处理。 </w:t>
                  </w:r>
                </w:p>
                <w:p>
                  <w:pPr>
                    <w:keepNext w:val="0"/>
                    <w:keepLines w:val="0"/>
                    <w:widowControl/>
                    <w:suppressLineNumbers w:val="0"/>
                    <w:spacing w:line="240" w:lineRule="auto"/>
                    <w:jc w:val="left"/>
                    <w:rPr>
                      <w:color w:val="auto"/>
                      <w:highlight w:val="none"/>
                      <w:u w:val="none"/>
                    </w:rPr>
                  </w:pPr>
                  <w:r>
                    <w:rPr>
                      <w:rFonts w:hint="eastAsia" w:ascii="宋体" w:hAnsi="宋体" w:eastAsia="宋体" w:cs="宋体"/>
                      <w:b/>
                      <w:bCs/>
                      <w:color w:val="auto"/>
                      <w:kern w:val="0"/>
                      <w:sz w:val="21"/>
                      <w:szCs w:val="21"/>
                      <w:highlight w:val="none"/>
                      <w:u w:val="none"/>
                      <w:lang w:val="en-US" w:eastAsia="zh-CN" w:bidi="ar"/>
                    </w:rPr>
                    <w:t>一般固废：</w:t>
                  </w:r>
                  <w:r>
                    <w:rPr>
                      <w:rFonts w:hint="eastAsia" w:ascii="宋体" w:hAnsi="宋体" w:eastAsia="宋体" w:cs="宋体"/>
                      <w:color w:val="auto"/>
                      <w:kern w:val="0"/>
                      <w:sz w:val="21"/>
                      <w:szCs w:val="21"/>
                      <w:highlight w:val="none"/>
                      <w:u w:val="none"/>
                      <w:lang w:val="en-US" w:eastAsia="zh-CN" w:bidi="ar"/>
                    </w:rPr>
                    <w:t xml:space="preserve">设置一般固废暂存区。 </w:t>
                  </w:r>
                </w:p>
                <w:p>
                  <w:pPr>
                    <w:keepNext w:val="0"/>
                    <w:keepLines w:val="0"/>
                    <w:widowControl/>
                    <w:suppressLineNumbers w:val="0"/>
                    <w:spacing w:line="240" w:lineRule="auto"/>
                    <w:jc w:val="left"/>
                    <w:rPr>
                      <w:rFonts w:hint="default"/>
                      <w:color w:val="auto"/>
                      <w:highlight w:val="none"/>
                      <w:u w:val="none"/>
                      <w:lang w:eastAsia="zh-CN"/>
                    </w:rPr>
                  </w:pPr>
                  <w:r>
                    <w:rPr>
                      <w:rFonts w:hint="eastAsia" w:ascii="宋体" w:hAnsi="宋体" w:eastAsia="宋体" w:cs="宋体"/>
                      <w:b/>
                      <w:bCs/>
                      <w:color w:val="auto"/>
                      <w:kern w:val="0"/>
                      <w:sz w:val="21"/>
                      <w:szCs w:val="21"/>
                      <w:highlight w:val="none"/>
                      <w:u w:val="none"/>
                      <w:lang w:val="en-US" w:eastAsia="zh-CN" w:bidi="ar"/>
                    </w:rPr>
                    <w:t>危险废物：</w:t>
                  </w:r>
                  <w:r>
                    <w:rPr>
                      <w:rFonts w:hint="eastAsia" w:ascii="宋体" w:hAnsi="宋体" w:eastAsia="宋体" w:cs="宋体"/>
                      <w:color w:val="auto"/>
                      <w:kern w:val="0"/>
                      <w:sz w:val="21"/>
                      <w:szCs w:val="21"/>
                      <w:highlight w:val="none"/>
                      <w:u w:val="none"/>
                      <w:lang w:val="en-US" w:eastAsia="zh-CN" w:bidi="ar"/>
                    </w:rPr>
                    <w:t xml:space="preserve">设置危险废物暂存间，建筑面积 </w:t>
                  </w:r>
                  <w:r>
                    <w:rPr>
                      <w:rFonts w:hint="eastAsia" w:ascii="Times New Roman" w:hAnsi="Times New Roman" w:eastAsia="宋体" w:cs="Times New Roman"/>
                      <w:color w:val="auto"/>
                      <w:kern w:val="0"/>
                      <w:sz w:val="21"/>
                      <w:szCs w:val="21"/>
                      <w:highlight w:val="none"/>
                      <w:u w:val="none"/>
                      <w:lang w:val="en-US" w:eastAsia="zh-CN" w:bidi="ar"/>
                    </w:rPr>
                    <w:t>5</w:t>
                  </w:r>
                  <w:r>
                    <w:rPr>
                      <w:rFonts w:hint="default" w:ascii="Times New Roman" w:hAnsi="Times New Roman" w:eastAsia="宋体" w:cs="Times New Roman"/>
                      <w:color w:val="auto"/>
                      <w:kern w:val="0"/>
                      <w:sz w:val="21"/>
                      <w:szCs w:val="21"/>
                      <w:highlight w:val="none"/>
                      <w:u w:val="none"/>
                      <w:lang w:val="en-US" w:eastAsia="zh-CN" w:bidi="ar"/>
                    </w:rPr>
                    <w:t>m</w:t>
                  </w:r>
                  <w:r>
                    <w:rPr>
                      <w:rFonts w:hint="eastAsia" w:ascii="Times New Roman" w:hAnsi="Times New Roman" w:eastAsia="宋体" w:cs="Times New Roman"/>
                      <w:color w:val="auto"/>
                      <w:kern w:val="0"/>
                      <w:sz w:val="21"/>
                      <w:szCs w:val="21"/>
                      <w:highlight w:val="none"/>
                      <w:u w:val="none"/>
                      <w:vertAlign w:val="superscript"/>
                      <w:lang w:val="en-US" w:eastAsia="zh-CN" w:bidi="ar"/>
                    </w:rPr>
                    <w:t>2</w:t>
                  </w:r>
                  <w:r>
                    <w:rPr>
                      <w:rFonts w:hint="eastAsia" w:ascii="宋体" w:hAnsi="宋体" w:eastAsia="宋体" w:cs="宋体"/>
                      <w:color w:val="auto"/>
                      <w:kern w:val="0"/>
                      <w:sz w:val="21"/>
                      <w:szCs w:val="21"/>
                      <w:highlight w:val="none"/>
                      <w:u w:val="none"/>
                      <w:lang w:val="en-US" w:eastAsia="zh-CN" w:bidi="ar"/>
                    </w:rPr>
                    <w:t>。</w:t>
                  </w:r>
                </w:p>
              </w:tc>
              <w:tc>
                <w:tcPr>
                  <w:tcW w:w="540" w:type="pct"/>
                  <w:vAlign w:val="center"/>
                </w:tcPr>
                <w:p>
                  <w:pPr>
                    <w:spacing w:line="240" w:lineRule="auto"/>
                    <w:jc w:val="center"/>
                    <w:textAlignment w:val="baseline"/>
                    <w:rPr>
                      <w:rFonts w:hint="eastAsia" w:eastAsiaTheme="minorEastAsia"/>
                      <w:color w:val="auto"/>
                      <w:szCs w:val="21"/>
                      <w:highlight w:val="none"/>
                      <w:u w:val="none"/>
                    </w:rPr>
                  </w:pPr>
                  <w:r>
                    <w:rPr>
                      <w:rFonts w:hint="eastAsia" w:eastAsiaTheme="minorEastAsia"/>
                      <w:color w:val="auto"/>
                      <w:szCs w:val="21"/>
                      <w:highlight w:val="none"/>
                      <w:u w:val="none"/>
                    </w:rPr>
                    <w:t>新建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5" w:hRule="atLeast"/>
              </w:trPr>
              <w:tc>
                <w:tcPr>
                  <w:tcW w:w="272"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440" w:type="pct"/>
                  <w:vMerge w:val="continue"/>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p>
              </w:tc>
              <w:tc>
                <w:tcPr>
                  <w:tcW w:w="683" w:type="pct"/>
                  <w:vAlign w:val="center"/>
                </w:tcPr>
                <w:p>
                  <w:pPr>
                    <w:pStyle w:val="32"/>
                    <w:spacing w:line="240" w:lineRule="auto"/>
                    <w:ind w:firstLine="0" w:firstLineChars="0"/>
                    <w:jc w:val="center"/>
                    <w:textAlignment w:val="baseline"/>
                    <w:rPr>
                      <w:rFonts w:eastAsiaTheme="minorEastAsia"/>
                      <w:color w:val="auto"/>
                      <w:sz w:val="21"/>
                      <w:szCs w:val="21"/>
                      <w:highlight w:val="none"/>
                      <w:u w:val="none"/>
                    </w:rPr>
                  </w:pPr>
                  <w:r>
                    <w:rPr>
                      <w:rFonts w:hint="eastAsia" w:eastAsiaTheme="minorEastAsia"/>
                      <w:color w:val="auto"/>
                      <w:sz w:val="21"/>
                      <w:szCs w:val="21"/>
                      <w:highlight w:val="none"/>
                      <w:u w:val="none"/>
                    </w:rPr>
                    <w:t>绿化工程</w:t>
                  </w:r>
                </w:p>
              </w:tc>
              <w:tc>
                <w:tcPr>
                  <w:tcW w:w="3063" w:type="pct"/>
                  <w:vAlign w:val="center"/>
                </w:tcPr>
                <w:p>
                  <w:pPr>
                    <w:pStyle w:val="32"/>
                    <w:spacing w:line="240" w:lineRule="auto"/>
                    <w:ind w:firstLine="0" w:firstLineChars="0"/>
                    <w:jc w:val="center"/>
                    <w:textAlignment w:val="baseline"/>
                    <w:rPr>
                      <w:color w:val="auto"/>
                      <w:kern w:val="0"/>
                      <w:sz w:val="21"/>
                      <w:szCs w:val="21"/>
                      <w:highlight w:val="none"/>
                      <w:u w:val="none"/>
                      <w:lang w:bidi="ar"/>
                    </w:rPr>
                  </w:pPr>
                  <w:r>
                    <w:rPr>
                      <w:rFonts w:hint="eastAsia"/>
                      <w:color w:val="auto"/>
                      <w:kern w:val="0"/>
                      <w:sz w:val="21"/>
                      <w:szCs w:val="21"/>
                      <w:highlight w:val="none"/>
                      <w:u w:val="none"/>
                      <w:lang w:val="en-US" w:eastAsia="zh-CN" w:bidi="ar"/>
                    </w:rPr>
                    <w:t>结合现状，根据需要增加</w:t>
                  </w:r>
                  <w:r>
                    <w:rPr>
                      <w:rFonts w:hint="eastAsia"/>
                      <w:color w:val="auto"/>
                      <w:kern w:val="0"/>
                      <w:sz w:val="21"/>
                      <w:szCs w:val="21"/>
                      <w:highlight w:val="none"/>
                      <w:u w:val="none"/>
                      <w:lang w:bidi="ar"/>
                    </w:rPr>
                    <w:t>厂区绿化</w:t>
                  </w:r>
                </w:p>
              </w:tc>
              <w:tc>
                <w:tcPr>
                  <w:tcW w:w="540" w:type="pct"/>
                  <w:vAlign w:val="center"/>
                </w:tcPr>
                <w:p>
                  <w:pPr>
                    <w:spacing w:line="240" w:lineRule="auto"/>
                    <w:jc w:val="center"/>
                    <w:textAlignment w:val="baseline"/>
                    <w:rPr>
                      <w:rFonts w:eastAsiaTheme="minorEastAsia"/>
                      <w:color w:val="auto"/>
                      <w:szCs w:val="21"/>
                      <w:highlight w:val="none"/>
                      <w:u w:val="none"/>
                    </w:rPr>
                  </w:pPr>
                  <w:r>
                    <w:rPr>
                      <w:rFonts w:hint="eastAsia" w:eastAsiaTheme="minorEastAsia"/>
                      <w:color w:val="auto"/>
                      <w:szCs w:val="21"/>
                      <w:highlight w:val="none"/>
                      <w:u w:val="none"/>
                    </w:rPr>
                    <w:t>新建</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9"/>
              <w:rPr>
                <w:rFonts w:hint="eastAsia" w:cs="Times New Roman"/>
                <w:b/>
                <w:bCs/>
                <w:color w:val="auto"/>
                <w:sz w:val="24"/>
                <w:szCs w:val="32"/>
                <w:highlight w:val="none"/>
                <w:lang w:eastAsia="zh-CN"/>
              </w:rPr>
            </w:pPr>
            <w:r>
              <w:rPr>
                <w:rFonts w:hint="eastAsia" w:cs="Times New Roman"/>
                <w:b/>
                <w:bCs/>
                <w:color w:val="auto"/>
                <w:sz w:val="24"/>
                <w:szCs w:val="32"/>
                <w:highlight w:val="none"/>
                <w:lang w:val="en-US" w:eastAsia="zh-CN"/>
              </w:rPr>
              <w:t>4、</w:t>
            </w:r>
            <w:r>
              <w:rPr>
                <w:rFonts w:hint="eastAsia" w:cs="Times New Roman"/>
                <w:b/>
                <w:bCs/>
                <w:color w:val="auto"/>
                <w:sz w:val="24"/>
                <w:szCs w:val="32"/>
                <w:highlight w:val="none"/>
                <w:lang w:eastAsia="zh-CN"/>
              </w:rPr>
              <w:t>项目产品方案</w:t>
            </w:r>
          </w:p>
          <w:p>
            <w:pPr>
              <w:bidi w:val="0"/>
              <w:spacing w:line="360" w:lineRule="auto"/>
              <w:ind w:firstLine="480" w:firstLineChars="200"/>
              <w:rPr>
                <w:rFonts w:hint="eastAsia"/>
                <w:color w:val="auto"/>
                <w:sz w:val="24"/>
                <w:szCs w:val="24"/>
                <w:highlight w:val="none"/>
                <w:lang w:val="en-US" w:eastAsia="zh-CN"/>
              </w:rPr>
            </w:pPr>
            <w:r>
              <w:rPr>
                <w:rFonts w:hint="eastAsia"/>
                <w:color w:val="auto"/>
                <w:sz w:val="24"/>
                <w:szCs w:val="24"/>
                <w:highlight w:val="none"/>
                <w:lang w:eastAsia="zh-CN"/>
              </w:rPr>
              <w:t>本项目利用</w:t>
            </w:r>
            <w:r>
              <w:rPr>
                <w:rFonts w:hint="eastAsia"/>
                <w:color w:val="auto"/>
                <w:sz w:val="24"/>
                <w:szCs w:val="24"/>
                <w:highlight w:val="none"/>
                <w:lang w:val="en-US" w:eastAsia="zh-CN"/>
              </w:rPr>
              <w:t>废旧</w:t>
            </w:r>
            <w:r>
              <w:rPr>
                <w:rFonts w:hint="eastAsia"/>
                <w:color w:val="auto"/>
                <w:sz w:val="24"/>
                <w:szCs w:val="24"/>
                <w:highlight w:val="none"/>
                <w:lang w:eastAsia="zh-CN"/>
              </w:rPr>
              <w:t>塑料破碎加工后</w:t>
            </w:r>
            <w:r>
              <w:rPr>
                <w:rFonts w:hint="eastAsia"/>
                <w:color w:val="auto"/>
                <w:sz w:val="24"/>
                <w:szCs w:val="24"/>
                <w:highlight w:val="none"/>
                <w:lang w:val="en-US" w:eastAsia="zh-CN"/>
              </w:rPr>
              <w:t>生产</w:t>
            </w:r>
            <w:r>
              <w:rPr>
                <w:rFonts w:hint="eastAsia"/>
                <w:color w:val="auto"/>
                <w:sz w:val="24"/>
                <w:szCs w:val="24"/>
                <w:highlight w:val="none"/>
                <w:lang w:eastAsia="zh-CN"/>
              </w:rPr>
              <w:t>塑料</w:t>
            </w:r>
            <w:r>
              <w:rPr>
                <w:rFonts w:hint="eastAsia"/>
                <w:color w:val="auto"/>
                <w:sz w:val="24"/>
                <w:szCs w:val="24"/>
                <w:highlight w:val="none"/>
                <w:lang w:val="en-US" w:eastAsia="zh-CN"/>
              </w:rPr>
              <w:t>碎片</w:t>
            </w:r>
            <w:r>
              <w:rPr>
                <w:rFonts w:hint="eastAsia"/>
                <w:color w:val="auto"/>
                <w:sz w:val="24"/>
                <w:szCs w:val="24"/>
                <w:highlight w:val="none"/>
                <w:lang w:eastAsia="zh-CN"/>
              </w:rPr>
              <w:t>外售，不在厂区内长期堆存，产品产量及规格见下表。</w:t>
            </w:r>
          </w:p>
          <w:p>
            <w:pPr>
              <w:bidi w:val="0"/>
              <w:jc w:val="center"/>
              <w:rPr>
                <w:rFonts w:hint="eastAsia"/>
                <w:b/>
                <w:bCs/>
                <w:color w:val="auto"/>
                <w:highlight w:val="none"/>
                <w:lang w:val="en-US" w:eastAsia="zh-CN"/>
              </w:rPr>
            </w:pPr>
            <w:r>
              <w:rPr>
                <w:rFonts w:hint="eastAsia"/>
                <w:b/>
                <w:bCs/>
                <w:color w:val="auto"/>
                <w:highlight w:val="none"/>
                <w:lang w:val="en-US" w:eastAsia="zh-CN"/>
              </w:rPr>
              <w:t>表2-2  产品方案一览表</w:t>
            </w:r>
          </w:p>
          <w:tbl>
            <w:tblPr>
              <w:tblStyle w:val="26"/>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252"/>
              <w:gridCol w:w="1068"/>
              <w:gridCol w:w="522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pct"/>
                  <w:vAlign w:val="center"/>
                </w:tcPr>
                <w:p>
                  <w:pPr>
                    <w:jc w:val="center"/>
                    <w:rPr>
                      <w:rFonts w:hint="default"/>
                      <w:b/>
                      <w:bCs/>
                      <w:color w:val="auto"/>
                      <w:highlight w:val="none"/>
                      <w:lang w:val="en-US" w:eastAsia="zh-CN"/>
                    </w:rPr>
                  </w:pPr>
                  <w:r>
                    <w:rPr>
                      <w:rFonts w:hint="eastAsia"/>
                      <w:b/>
                      <w:bCs/>
                      <w:color w:val="auto"/>
                      <w:highlight w:val="none"/>
                      <w:lang w:val="en-US" w:eastAsia="zh-CN"/>
                    </w:rPr>
                    <w:t>名称</w:t>
                  </w:r>
                </w:p>
              </w:tc>
              <w:tc>
                <w:tcPr>
                  <w:tcW w:w="707" w:type="pct"/>
                  <w:vAlign w:val="center"/>
                </w:tcPr>
                <w:p>
                  <w:pPr>
                    <w:jc w:val="center"/>
                    <w:rPr>
                      <w:rFonts w:hint="default"/>
                      <w:b/>
                      <w:bCs/>
                      <w:color w:val="auto"/>
                      <w:highlight w:val="none"/>
                      <w:lang w:val="en-US" w:eastAsia="zh-CN"/>
                    </w:rPr>
                  </w:pPr>
                  <w:r>
                    <w:rPr>
                      <w:rFonts w:hint="eastAsia"/>
                      <w:b/>
                      <w:bCs/>
                      <w:color w:val="auto"/>
                      <w:highlight w:val="none"/>
                      <w:lang w:val="en-US" w:eastAsia="zh-CN"/>
                    </w:rPr>
                    <w:t>数量</w:t>
                  </w:r>
                </w:p>
              </w:tc>
              <w:tc>
                <w:tcPr>
                  <w:tcW w:w="3462" w:type="pct"/>
                  <w:vAlign w:val="center"/>
                </w:tcPr>
                <w:p>
                  <w:pPr>
                    <w:jc w:val="center"/>
                    <w:rPr>
                      <w:rFonts w:hint="default"/>
                      <w:b/>
                      <w:bCs/>
                      <w:color w:val="auto"/>
                      <w:highlight w:val="none"/>
                      <w:lang w:val="en-US" w:eastAsia="zh-CN"/>
                    </w:rPr>
                  </w:pPr>
                  <w:r>
                    <w:rPr>
                      <w:rFonts w:hint="eastAsia"/>
                      <w:b/>
                      <w:bCs/>
                      <w:color w:val="auto"/>
                      <w:highlight w:val="none"/>
                      <w:lang w:val="en-US" w:eastAsia="zh-CN"/>
                    </w:rPr>
                    <w:t>数量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829" w:type="pct"/>
                  <w:vAlign w:val="center"/>
                </w:tcPr>
                <w:p>
                  <w:pPr>
                    <w:jc w:val="center"/>
                    <w:rPr>
                      <w:rFonts w:hint="default"/>
                      <w:color w:val="auto"/>
                      <w:highlight w:val="none"/>
                      <w:lang w:val="en-US" w:eastAsia="zh-CN"/>
                    </w:rPr>
                  </w:pPr>
                  <w:r>
                    <w:rPr>
                      <w:rFonts w:hint="eastAsia"/>
                      <w:color w:val="auto"/>
                      <w:highlight w:val="none"/>
                      <w:lang w:val="en-US" w:eastAsia="zh-CN"/>
                    </w:rPr>
                    <w:t>废塑料清洗破碎产品</w:t>
                  </w:r>
                </w:p>
              </w:tc>
              <w:tc>
                <w:tcPr>
                  <w:tcW w:w="707" w:type="pct"/>
                  <w:vAlign w:val="center"/>
                </w:tcPr>
                <w:p>
                  <w:pPr>
                    <w:jc w:val="center"/>
                    <w:rPr>
                      <w:rFonts w:hint="default"/>
                      <w:color w:val="auto"/>
                      <w:highlight w:val="none"/>
                      <w:lang w:val="en-US" w:eastAsia="zh-CN"/>
                    </w:rPr>
                  </w:pPr>
                  <w:r>
                    <w:rPr>
                      <w:rFonts w:hint="eastAsia"/>
                      <w:color w:val="auto"/>
                      <w:highlight w:val="none"/>
                      <w:lang w:val="en-US" w:eastAsia="zh-CN"/>
                    </w:rPr>
                    <w:t>480吨/年</w:t>
                  </w:r>
                </w:p>
              </w:tc>
              <w:tc>
                <w:tcPr>
                  <w:tcW w:w="3462" w:type="pct"/>
                  <w:vAlign w:val="center"/>
                </w:tcPr>
                <w:p>
                  <w:pPr>
                    <w:jc w:val="center"/>
                    <w:rPr>
                      <w:rFonts w:hint="default"/>
                      <w:color w:val="auto"/>
                      <w:highlight w:val="none"/>
                      <w:lang w:val="en-US" w:eastAsia="zh-CN"/>
                    </w:rPr>
                  </w:pPr>
                  <w:r>
                    <w:rPr>
                      <w:rFonts w:hint="eastAsia"/>
                      <w:color w:val="auto"/>
                      <w:highlight w:val="none"/>
                      <w:lang w:val="en-US" w:eastAsia="zh-CN"/>
                    </w:rPr>
                    <w:t>产品有</w:t>
                  </w:r>
                  <w:r>
                    <w:rPr>
                      <w:rFonts w:hint="default"/>
                      <w:color w:val="auto"/>
                      <w:highlight w:val="none"/>
                      <w:lang w:val="en-US" w:eastAsia="zh-CN"/>
                    </w:rPr>
                    <w:t>PP</w:t>
                  </w:r>
                  <w:r>
                    <w:rPr>
                      <w:rFonts w:hint="eastAsia"/>
                      <w:color w:val="auto"/>
                      <w:highlight w:val="none"/>
                      <w:lang w:val="en-US" w:eastAsia="zh-CN"/>
                    </w:rPr>
                    <w:t>、</w:t>
                  </w:r>
                  <w:r>
                    <w:rPr>
                      <w:rFonts w:hint="default"/>
                      <w:color w:val="auto"/>
                      <w:highlight w:val="none"/>
                      <w:lang w:val="en-US" w:eastAsia="zh-CN"/>
                    </w:rPr>
                    <w:t>PE</w:t>
                  </w:r>
                  <w:r>
                    <w:rPr>
                      <w:rFonts w:hint="eastAsia"/>
                      <w:color w:val="auto"/>
                      <w:highlight w:val="none"/>
                      <w:lang w:val="en-US" w:eastAsia="zh-CN"/>
                    </w:rPr>
                    <w:t xml:space="preserve">、 </w:t>
                  </w:r>
                  <w:r>
                    <w:rPr>
                      <w:rFonts w:hint="default"/>
                      <w:color w:val="auto"/>
                      <w:highlight w:val="none"/>
                      <w:lang w:val="en-US" w:eastAsia="zh-CN"/>
                    </w:rPr>
                    <w:t>PET</w:t>
                  </w:r>
                  <w:r>
                    <w:rPr>
                      <w:rFonts w:hint="eastAsia"/>
                      <w:color w:val="auto"/>
                      <w:highlight w:val="none"/>
                      <w:lang w:val="en-US" w:eastAsia="zh-CN"/>
                    </w:rPr>
                    <w:t>碎片，其中</w:t>
                  </w:r>
                  <w:r>
                    <w:rPr>
                      <w:rFonts w:hint="default"/>
                      <w:color w:val="auto"/>
                      <w:highlight w:val="none"/>
                      <w:lang w:val="en-US" w:eastAsia="zh-CN"/>
                    </w:rPr>
                    <w:t>PP</w:t>
                  </w:r>
                  <w:r>
                    <w:rPr>
                      <w:rFonts w:hint="eastAsia"/>
                      <w:color w:val="auto"/>
                      <w:highlight w:val="none"/>
                      <w:lang w:val="en-US" w:eastAsia="zh-CN"/>
                    </w:rPr>
                    <w:t>碎片160吨</w:t>
                  </w:r>
                  <w:r>
                    <w:rPr>
                      <w:rFonts w:hint="default"/>
                      <w:color w:val="auto"/>
                      <w:highlight w:val="none"/>
                      <w:lang w:val="en-US" w:eastAsia="zh-CN"/>
                    </w:rPr>
                    <w:t>/</w:t>
                  </w:r>
                  <w:r>
                    <w:rPr>
                      <w:rFonts w:hint="eastAsia"/>
                      <w:color w:val="auto"/>
                      <w:highlight w:val="none"/>
                      <w:lang w:val="en-US" w:eastAsia="zh-CN"/>
                    </w:rPr>
                    <w:t>年、</w:t>
                  </w:r>
                  <w:r>
                    <w:rPr>
                      <w:rFonts w:hint="default"/>
                      <w:color w:val="auto"/>
                      <w:highlight w:val="none"/>
                      <w:lang w:val="en-US" w:eastAsia="zh-CN"/>
                    </w:rPr>
                    <w:t>PET</w:t>
                  </w:r>
                  <w:r>
                    <w:rPr>
                      <w:rFonts w:hint="eastAsia"/>
                      <w:color w:val="auto"/>
                      <w:highlight w:val="none"/>
                      <w:lang w:val="en-US" w:eastAsia="zh-CN"/>
                    </w:rPr>
                    <w:t>碎片160吨</w:t>
                  </w:r>
                  <w:r>
                    <w:rPr>
                      <w:rFonts w:hint="default"/>
                      <w:color w:val="auto"/>
                      <w:highlight w:val="none"/>
                      <w:lang w:val="en-US" w:eastAsia="zh-CN"/>
                    </w:rPr>
                    <w:t>/</w:t>
                  </w:r>
                  <w:r>
                    <w:rPr>
                      <w:rFonts w:hint="eastAsia"/>
                      <w:color w:val="auto"/>
                      <w:highlight w:val="none"/>
                      <w:lang w:val="en-US" w:eastAsia="zh-CN"/>
                    </w:rPr>
                    <w:t>年、</w:t>
                  </w:r>
                  <w:r>
                    <w:rPr>
                      <w:rFonts w:hint="default"/>
                      <w:color w:val="auto"/>
                      <w:highlight w:val="none"/>
                      <w:lang w:val="en-US" w:eastAsia="zh-CN"/>
                    </w:rPr>
                    <w:t>PET</w:t>
                  </w:r>
                  <w:r>
                    <w:rPr>
                      <w:rFonts w:hint="eastAsia"/>
                      <w:color w:val="auto"/>
                      <w:highlight w:val="none"/>
                      <w:lang w:val="en-US" w:eastAsia="zh-CN"/>
                    </w:rPr>
                    <w:t>碎片160吨</w:t>
                  </w:r>
                  <w:r>
                    <w:rPr>
                      <w:rFonts w:hint="default"/>
                      <w:color w:val="auto"/>
                      <w:highlight w:val="none"/>
                      <w:lang w:val="en-US" w:eastAsia="zh-CN"/>
                    </w:rPr>
                    <w:t>/</w:t>
                  </w:r>
                  <w:r>
                    <w:rPr>
                      <w:rFonts w:hint="eastAsia"/>
                      <w:color w:val="auto"/>
                      <w:highlight w:val="none"/>
                      <w:lang w:val="en-US" w:eastAsia="zh-CN"/>
                    </w:rPr>
                    <w:t>年。合计产品产量480吨</w:t>
                  </w:r>
                  <w:r>
                    <w:rPr>
                      <w:rFonts w:hint="default"/>
                      <w:color w:val="auto"/>
                      <w:highlight w:val="none"/>
                      <w:lang w:val="en-US" w:eastAsia="zh-CN"/>
                    </w:rPr>
                    <w:t>/</w:t>
                  </w:r>
                  <w:r>
                    <w:rPr>
                      <w:rFonts w:hint="eastAsia"/>
                      <w:color w:val="auto"/>
                      <w:highlight w:val="none"/>
                      <w:lang w:val="en-US" w:eastAsia="zh-CN"/>
                    </w:rPr>
                    <w:t>年。</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9"/>
              <w:rPr>
                <w:rFonts w:hint="eastAsia"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5</w:t>
            </w:r>
            <w:r>
              <w:rPr>
                <w:rFonts w:hint="eastAsia" w:ascii="Times New Roman" w:hAnsi="Times New Roman" w:eastAsia="宋体" w:cs="Times New Roman"/>
                <w:b/>
                <w:bCs/>
                <w:color w:val="auto"/>
                <w:sz w:val="24"/>
                <w:szCs w:val="32"/>
                <w:highlight w:val="none"/>
                <w:lang w:val="en-US" w:eastAsia="zh-CN"/>
              </w:rPr>
              <w:t xml:space="preserve">、主要设备 </w:t>
            </w:r>
          </w:p>
          <w:p>
            <w:pPr>
              <w:keepNext w:val="0"/>
              <w:keepLines w:val="0"/>
              <w:widowControl/>
              <w:suppressLineNumbers w:val="0"/>
              <w:spacing w:line="360" w:lineRule="auto"/>
              <w:ind w:firstLine="480" w:firstLineChars="200"/>
              <w:jc w:val="left"/>
              <w:rPr>
                <w:color w:val="auto"/>
                <w:highlight w:val="none"/>
              </w:rPr>
            </w:pPr>
            <w:r>
              <w:rPr>
                <w:rFonts w:hint="eastAsia" w:ascii="宋体" w:hAnsi="宋体" w:eastAsia="宋体" w:cs="宋体"/>
                <w:color w:val="auto"/>
                <w:kern w:val="0"/>
                <w:sz w:val="24"/>
                <w:szCs w:val="24"/>
                <w:highlight w:val="none"/>
                <w:lang w:val="en-US" w:eastAsia="zh-CN" w:bidi="ar"/>
              </w:rPr>
              <w:t xml:space="preserve">项目主要生产设备清单见下表。 </w:t>
            </w:r>
          </w:p>
          <w:p>
            <w:pPr>
              <w:bidi w:val="0"/>
              <w:jc w:val="center"/>
              <w:rPr>
                <w:rFonts w:hint="default" w:ascii="Times New Roman" w:hAnsi="Times New Roman" w:cs="Times New Roman"/>
                <w:b/>
                <w:bCs/>
                <w:color w:val="auto"/>
                <w:highlight w:val="none"/>
                <w:lang w:val="en-US" w:eastAsia="zh-CN"/>
              </w:rPr>
            </w:pPr>
            <w:r>
              <w:rPr>
                <w:rFonts w:hint="default" w:ascii="Times New Roman" w:hAnsi="Times New Roman" w:cs="Times New Roman"/>
                <w:b/>
                <w:bCs/>
                <w:color w:val="auto"/>
                <w:highlight w:val="none"/>
                <w:lang w:val="en-US" w:eastAsia="zh-CN"/>
              </w:rPr>
              <w:t>表2-</w:t>
            </w:r>
            <w:r>
              <w:rPr>
                <w:rFonts w:hint="eastAsia" w:cs="Times New Roman"/>
                <w:b/>
                <w:bCs/>
                <w:color w:val="auto"/>
                <w:highlight w:val="none"/>
                <w:lang w:val="en-US" w:eastAsia="zh-CN"/>
              </w:rPr>
              <w:t>3</w:t>
            </w:r>
            <w:r>
              <w:rPr>
                <w:rFonts w:hint="default" w:ascii="Times New Roman" w:hAnsi="Times New Roman" w:cs="Times New Roman"/>
                <w:b/>
                <w:bCs/>
                <w:color w:val="auto"/>
                <w:highlight w:val="none"/>
                <w:lang w:val="en-US" w:eastAsia="zh-CN"/>
              </w:rPr>
              <w:t xml:space="preserve">  主要</w:t>
            </w:r>
            <w:r>
              <w:rPr>
                <w:rFonts w:hint="eastAsia" w:cs="Times New Roman"/>
                <w:b/>
                <w:bCs/>
                <w:color w:val="auto"/>
                <w:highlight w:val="none"/>
                <w:lang w:val="en-US" w:eastAsia="zh-CN"/>
              </w:rPr>
              <w:t>生产</w:t>
            </w:r>
            <w:r>
              <w:rPr>
                <w:rFonts w:hint="default" w:ascii="Times New Roman" w:hAnsi="Times New Roman" w:cs="Times New Roman"/>
                <w:b/>
                <w:bCs/>
                <w:color w:val="auto"/>
                <w:highlight w:val="none"/>
                <w:lang w:val="en-US" w:eastAsia="zh-CN"/>
              </w:rPr>
              <w:t>设备一览表</w:t>
            </w:r>
          </w:p>
          <w:tbl>
            <w:tblPr>
              <w:tblStyle w:val="25"/>
              <w:tblW w:w="4998" w:type="pct"/>
              <w:tblInd w:w="10" w:type="dxa"/>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Layout w:type="fixed"/>
              <w:tblCellMar>
                <w:top w:w="0" w:type="dxa"/>
                <w:left w:w="57" w:type="dxa"/>
                <w:bottom w:w="0" w:type="dxa"/>
                <w:right w:w="57" w:type="dxa"/>
              </w:tblCellMar>
            </w:tblPr>
            <w:tblGrid>
              <w:gridCol w:w="603"/>
              <w:gridCol w:w="2579"/>
              <w:gridCol w:w="1842"/>
              <w:gridCol w:w="873"/>
              <w:gridCol w:w="886"/>
              <w:gridCol w:w="766"/>
            </w:tblGrid>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b/>
                      <w:szCs w:val="21"/>
                    </w:rPr>
                  </w:pPr>
                  <w:r>
                    <w:rPr>
                      <w:rFonts w:ascii="Times New Roman" w:hAnsi="Times New Roman"/>
                      <w:b/>
                      <w:szCs w:val="21"/>
                    </w:rPr>
                    <w:t>序号</w:t>
                  </w:r>
                </w:p>
              </w:tc>
              <w:tc>
                <w:tcPr>
                  <w:tcW w:w="1708" w:type="pct"/>
                  <w:noWrap w:val="0"/>
                  <w:vAlign w:val="center"/>
                </w:tcPr>
                <w:p>
                  <w:pPr>
                    <w:jc w:val="center"/>
                    <w:rPr>
                      <w:rFonts w:ascii="Times New Roman" w:hAnsi="Times New Roman"/>
                      <w:b/>
                      <w:szCs w:val="21"/>
                    </w:rPr>
                  </w:pPr>
                  <w:r>
                    <w:rPr>
                      <w:rFonts w:ascii="Times New Roman" w:hAnsi="Times New Roman"/>
                      <w:b/>
                      <w:szCs w:val="21"/>
                    </w:rPr>
                    <w:t>设备名称</w:t>
                  </w:r>
                </w:p>
              </w:tc>
              <w:tc>
                <w:tcPr>
                  <w:tcW w:w="1220" w:type="pct"/>
                  <w:noWrap w:val="0"/>
                  <w:vAlign w:val="center"/>
                </w:tcPr>
                <w:p>
                  <w:pPr>
                    <w:jc w:val="center"/>
                    <w:rPr>
                      <w:rFonts w:ascii="Times New Roman" w:hAnsi="Times New Roman"/>
                      <w:b/>
                      <w:szCs w:val="21"/>
                    </w:rPr>
                  </w:pPr>
                  <w:r>
                    <w:rPr>
                      <w:rFonts w:ascii="Times New Roman" w:hAnsi="Times New Roman"/>
                      <w:b/>
                      <w:szCs w:val="21"/>
                    </w:rPr>
                    <w:t>型号</w:t>
                  </w:r>
                </w:p>
              </w:tc>
              <w:tc>
                <w:tcPr>
                  <w:tcW w:w="577" w:type="pct"/>
                  <w:noWrap w:val="0"/>
                  <w:vAlign w:val="center"/>
                </w:tcPr>
                <w:p>
                  <w:pPr>
                    <w:jc w:val="center"/>
                    <w:rPr>
                      <w:rFonts w:ascii="Times New Roman" w:hAnsi="Times New Roman"/>
                      <w:b/>
                      <w:szCs w:val="21"/>
                    </w:rPr>
                  </w:pPr>
                  <w:r>
                    <w:rPr>
                      <w:rFonts w:ascii="Times New Roman" w:hAnsi="Times New Roman"/>
                      <w:b/>
                      <w:szCs w:val="21"/>
                    </w:rPr>
                    <w:t>单位</w:t>
                  </w:r>
                </w:p>
              </w:tc>
              <w:tc>
                <w:tcPr>
                  <w:tcW w:w="586" w:type="pct"/>
                  <w:noWrap w:val="0"/>
                  <w:vAlign w:val="center"/>
                </w:tcPr>
                <w:p>
                  <w:pPr>
                    <w:jc w:val="center"/>
                    <w:rPr>
                      <w:rFonts w:ascii="Times New Roman" w:hAnsi="Times New Roman"/>
                      <w:b/>
                      <w:szCs w:val="21"/>
                    </w:rPr>
                  </w:pPr>
                  <w:r>
                    <w:rPr>
                      <w:rFonts w:ascii="Times New Roman" w:hAnsi="Times New Roman"/>
                      <w:b/>
                      <w:szCs w:val="21"/>
                    </w:rPr>
                    <w:t>数量</w:t>
                  </w:r>
                </w:p>
              </w:tc>
              <w:tc>
                <w:tcPr>
                  <w:tcW w:w="507" w:type="pct"/>
                  <w:noWrap w:val="0"/>
                  <w:vAlign w:val="center"/>
                </w:tcPr>
                <w:p>
                  <w:pPr>
                    <w:jc w:val="center"/>
                    <w:rPr>
                      <w:rFonts w:ascii="Times New Roman" w:hAnsi="Times New Roman"/>
                      <w:b/>
                      <w:szCs w:val="21"/>
                    </w:rPr>
                  </w:pPr>
                  <w:r>
                    <w:rPr>
                      <w:rFonts w:ascii="Times New Roman" w:hAnsi="Times New Roman"/>
                      <w:b/>
                      <w:szCs w:val="21"/>
                    </w:rPr>
                    <w:t>备注</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1</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eastAsia="宋体"/>
                      <w:szCs w:val="21"/>
                      <w:lang w:eastAsia="zh-CN"/>
                    </w:rPr>
                    <w:t>破碎机</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5</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2</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eastAsia="宋体"/>
                      <w:szCs w:val="21"/>
                      <w:lang w:eastAsia="zh-CN"/>
                    </w:rPr>
                    <w:t>运输车</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2</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3</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eastAsia="宋体"/>
                      <w:szCs w:val="21"/>
                      <w:lang w:eastAsia="zh-CN"/>
                    </w:rPr>
                    <w:t>铲车</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1</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4</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eastAsia="宋体"/>
                      <w:szCs w:val="21"/>
                      <w:lang w:eastAsia="zh-CN"/>
                    </w:rPr>
                    <w:t>输送带</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条</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6</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5</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eastAsia="宋体"/>
                      <w:szCs w:val="21"/>
                      <w:lang w:eastAsia="zh-CN"/>
                    </w:rPr>
                    <w:t>清洗水池</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条</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5</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6</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把平机</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2</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7</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脱标机</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2</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8</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风机</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2</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r>
              <w:tblPrEx>
                <w:tblBorders>
                  <w:top w:val="single" w:color="auto" w:sz="4" w:space="0"/>
                  <w:left w:val="single" w:color="auto" w:sz="4" w:space="0"/>
                  <w:bottom w:val="single" w:color="auto" w:sz="4" w:space="0"/>
                  <w:right w:val="single" w:color="auto" w:sz="4" w:space="0"/>
                  <w:insideH w:val="single" w:color="auto" w:sz="2" w:space="0"/>
                  <w:insideV w:val="single" w:color="auto" w:sz="4" w:space="0"/>
                </w:tblBorders>
                <w:tblCellMar>
                  <w:top w:w="0" w:type="dxa"/>
                  <w:left w:w="57" w:type="dxa"/>
                  <w:bottom w:w="0" w:type="dxa"/>
                  <w:right w:w="57" w:type="dxa"/>
                </w:tblCellMar>
              </w:tblPrEx>
              <w:trPr>
                <w:trHeight w:val="369" w:hRule="atLeast"/>
              </w:trPr>
              <w:tc>
                <w:tcPr>
                  <w:tcW w:w="399" w:type="pct"/>
                  <w:noWrap w:val="0"/>
                  <w:vAlign w:val="center"/>
                </w:tcPr>
                <w:p>
                  <w:pPr>
                    <w:jc w:val="center"/>
                    <w:rPr>
                      <w:rFonts w:ascii="Times New Roman" w:hAnsi="Times New Roman"/>
                      <w:szCs w:val="21"/>
                    </w:rPr>
                  </w:pPr>
                  <w:r>
                    <w:rPr>
                      <w:rFonts w:ascii="Times New Roman" w:hAnsi="Times New Roman"/>
                      <w:szCs w:val="21"/>
                    </w:rPr>
                    <w:t>9</w:t>
                  </w:r>
                </w:p>
              </w:tc>
              <w:tc>
                <w:tcPr>
                  <w:tcW w:w="1708" w:type="pct"/>
                  <w:noWrap w:val="0"/>
                  <w:vAlign w:val="center"/>
                </w:tcPr>
                <w:p>
                  <w:pPr>
                    <w:widowControl/>
                    <w:jc w:val="center"/>
                    <w:textAlignment w:val="center"/>
                    <w:rPr>
                      <w:rFonts w:hint="eastAsia" w:ascii="Times New Roman" w:hAnsi="Times New Roman" w:eastAsia="宋体"/>
                      <w:szCs w:val="21"/>
                      <w:lang w:eastAsia="zh-CN"/>
                    </w:rPr>
                  </w:pPr>
                  <w:r>
                    <w:rPr>
                      <w:rFonts w:hint="eastAsia" w:ascii="Times New Roman" w:hAnsi="Times New Roman"/>
                      <w:szCs w:val="21"/>
                      <w:lang w:eastAsia="zh-CN"/>
                    </w:rPr>
                    <w:t>储料仓</w:t>
                  </w:r>
                </w:p>
              </w:tc>
              <w:tc>
                <w:tcPr>
                  <w:tcW w:w="1220"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rPr>
                    <w:t>/</w:t>
                  </w:r>
                </w:p>
              </w:tc>
              <w:tc>
                <w:tcPr>
                  <w:tcW w:w="577" w:type="pct"/>
                  <w:noWrap w:val="0"/>
                  <w:vAlign w:val="center"/>
                </w:tcPr>
                <w:p>
                  <w:pPr>
                    <w:widowControl/>
                    <w:jc w:val="center"/>
                    <w:textAlignment w:val="center"/>
                    <w:rPr>
                      <w:rFonts w:ascii="Times New Roman" w:hAnsi="Times New Roman"/>
                      <w:szCs w:val="21"/>
                    </w:rPr>
                  </w:pPr>
                  <w:r>
                    <w:rPr>
                      <w:rFonts w:hint="eastAsia" w:ascii="Times New Roman" w:hAnsi="Times New Roman"/>
                      <w:szCs w:val="21"/>
                      <w:lang w:eastAsia="zh-CN"/>
                    </w:rPr>
                    <w:t>台</w:t>
                  </w:r>
                </w:p>
              </w:tc>
              <w:tc>
                <w:tcPr>
                  <w:tcW w:w="586" w:type="pct"/>
                  <w:noWrap w:val="0"/>
                  <w:vAlign w:val="center"/>
                </w:tcPr>
                <w:p>
                  <w:pPr>
                    <w:widowControl/>
                    <w:jc w:val="center"/>
                    <w:textAlignment w:val="center"/>
                    <w:rPr>
                      <w:rFonts w:hint="eastAsia" w:ascii="Times New Roman" w:hAnsi="Times New Roman" w:eastAsia="宋体"/>
                      <w:szCs w:val="21"/>
                      <w:lang w:val="en-US" w:eastAsia="zh-CN"/>
                    </w:rPr>
                  </w:pPr>
                  <w:r>
                    <w:rPr>
                      <w:rFonts w:hint="eastAsia" w:ascii="Times New Roman" w:hAnsi="Times New Roman"/>
                      <w:szCs w:val="21"/>
                      <w:lang w:val="en-US" w:eastAsia="zh-CN"/>
                    </w:rPr>
                    <w:t>1</w:t>
                  </w:r>
                </w:p>
              </w:tc>
              <w:tc>
                <w:tcPr>
                  <w:tcW w:w="507" w:type="pct"/>
                  <w:noWrap w:val="0"/>
                  <w:vAlign w:val="center"/>
                </w:tcPr>
                <w:p>
                  <w:pPr>
                    <w:jc w:val="center"/>
                    <w:rPr>
                      <w:rFonts w:ascii="Times New Roman" w:hAnsi="Times New Roman"/>
                      <w:szCs w:val="21"/>
                    </w:rPr>
                  </w:pPr>
                  <w:r>
                    <w:rPr>
                      <w:rFonts w:hint="eastAsia" w:ascii="Times New Roman" w:hAnsi="Times New Roman"/>
                      <w:szCs w:val="21"/>
                    </w:rPr>
                    <w:t>/</w:t>
                  </w:r>
                </w:p>
              </w:tc>
            </w:tr>
          </w:tbl>
          <w:p>
            <w:pPr>
              <w:keepNext w:val="0"/>
              <w:keepLines w:val="0"/>
              <w:pageBreakBefore w:val="0"/>
              <w:widowControl w:val="0"/>
              <w:numPr>
                <w:ilvl w:val="0"/>
                <w:numId w:val="0"/>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bCs/>
                <w:color w:val="auto"/>
                <w:sz w:val="24"/>
                <w:szCs w:val="24"/>
                <w:highlight w:val="none"/>
                <w:lang w:val="en-US" w:eastAsia="zh-CN"/>
              </w:rPr>
            </w:pPr>
            <w:r>
              <w:rPr>
                <w:rFonts w:hint="eastAsia" w:ascii="Times New Roman" w:hAnsi="Times New Roman" w:eastAsia="宋体" w:cs="Times New Roman"/>
                <w:b/>
                <w:bCs/>
                <w:color w:val="auto"/>
                <w:sz w:val="24"/>
                <w:szCs w:val="24"/>
                <w:highlight w:val="none"/>
                <w:lang w:val="en-US" w:eastAsia="zh-CN"/>
              </w:rPr>
              <w:t>6、主要原辅材料</w:t>
            </w:r>
          </w:p>
          <w:p>
            <w:pPr>
              <w:bidi w:val="0"/>
              <w:spacing w:line="360" w:lineRule="auto"/>
              <w:ind w:firstLine="480" w:firstLineChars="200"/>
              <w:rPr>
                <w:rFonts w:hint="default"/>
                <w:color w:val="auto"/>
                <w:sz w:val="24"/>
                <w:szCs w:val="24"/>
                <w:highlight w:val="none"/>
                <w:lang w:val="en-US" w:eastAsia="zh-CN"/>
              </w:rPr>
            </w:pPr>
            <w:r>
              <w:rPr>
                <w:rFonts w:hint="default"/>
                <w:color w:val="auto"/>
                <w:sz w:val="24"/>
                <w:szCs w:val="24"/>
                <w:highlight w:val="none"/>
                <w:lang w:eastAsia="zh-CN"/>
              </w:rPr>
              <w:t>本项目主要原辅材料见</w:t>
            </w:r>
            <w:r>
              <w:rPr>
                <w:rFonts w:hint="eastAsia"/>
                <w:color w:val="auto"/>
                <w:sz w:val="24"/>
                <w:szCs w:val="24"/>
                <w:highlight w:val="none"/>
                <w:lang w:val="en-US" w:eastAsia="zh-CN"/>
              </w:rPr>
              <w:t>下</w:t>
            </w:r>
            <w:r>
              <w:rPr>
                <w:rFonts w:hint="default"/>
                <w:color w:val="auto"/>
                <w:sz w:val="24"/>
                <w:szCs w:val="24"/>
                <w:highlight w:val="none"/>
                <w:lang w:eastAsia="zh-CN"/>
              </w:rPr>
              <w:t>表</w:t>
            </w:r>
            <w:r>
              <w:rPr>
                <w:rFonts w:hint="default"/>
                <w:color w:val="auto"/>
                <w:sz w:val="24"/>
                <w:szCs w:val="24"/>
                <w:highlight w:val="none"/>
                <w:lang w:val="en-US" w:eastAsia="zh-CN"/>
              </w:rPr>
              <w:t>。</w:t>
            </w:r>
          </w:p>
          <w:p>
            <w:pPr>
              <w:bidi w:val="0"/>
              <w:jc w:val="center"/>
              <w:rPr>
                <w:rFonts w:hint="default"/>
                <w:b/>
                <w:bCs/>
                <w:color w:val="auto"/>
                <w:highlight w:val="none"/>
                <w:lang w:val="en-US" w:eastAsia="zh-CN"/>
              </w:rPr>
            </w:pPr>
            <w:r>
              <w:rPr>
                <w:rFonts w:hint="eastAsia"/>
                <w:b/>
                <w:bCs/>
                <w:color w:val="auto"/>
                <w:highlight w:val="none"/>
                <w:lang w:val="en-US" w:eastAsia="zh-CN"/>
              </w:rPr>
              <w:t>表2-4  主要原辅材料一览表</w:t>
            </w:r>
          </w:p>
          <w:tbl>
            <w:tblPr>
              <w:tblStyle w:val="25"/>
              <w:tblW w:w="4998"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23"/>
              <w:gridCol w:w="1406"/>
              <w:gridCol w:w="1239"/>
              <w:gridCol w:w="1279"/>
              <w:gridCol w:w="26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pStyle w:val="36"/>
                    <w:bidi w:val="0"/>
                    <w:rPr>
                      <w:rFonts w:hint="eastAsia"/>
                      <w:color w:val="auto"/>
                      <w:highlight w:val="none"/>
                    </w:rPr>
                  </w:pPr>
                  <w:r>
                    <w:rPr>
                      <w:rFonts w:hint="eastAsia"/>
                      <w:color w:val="auto"/>
                      <w:highlight w:val="none"/>
                    </w:rPr>
                    <w:t>物料名称</w:t>
                  </w:r>
                </w:p>
              </w:tc>
              <w:tc>
                <w:tcPr>
                  <w:tcW w:w="931" w:type="pct"/>
                  <w:noWrap w:val="0"/>
                  <w:vAlign w:val="center"/>
                </w:tcPr>
                <w:p>
                  <w:pPr>
                    <w:pStyle w:val="36"/>
                    <w:bidi w:val="0"/>
                    <w:rPr>
                      <w:rFonts w:hint="default" w:eastAsia="宋体"/>
                      <w:color w:val="auto"/>
                      <w:highlight w:val="none"/>
                      <w:lang w:val="en-US" w:eastAsia="zh-CN"/>
                    </w:rPr>
                  </w:pPr>
                  <w:r>
                    <w:rPr>
                      <w:rFonts w:hint="eastAsia"/>
                      <w:color w:val="auto"/>
                      <w:highlight w:val="none"/>
                      <w:lang w:val="en-US" w:eastAsia="zh-CN"/>
                    </w:rPr>
                    <w:t>主要成分</w:t>
                  </w:r>
                </w:p>
              </w:tc>
              <w:tc>
                <w:tcPr>
                  <w:tcW w:w="820" w:type="pct"/>
                  <w:noWrap w:val="0"/>
                  <w:vAlign w:val="center"/>
                </w:tcPr>
                <w:p>
                  <w:pPr>
                    <w:pStyle w:val="36"/>
                    <w:bidi w:val="0"/>
                    <w:rPr>
                      <w:rFonts w:hint="eastAsia" w:eastAsia="宋体"/>
                      <w:color w:val="auto"/>
                      <w:highlight w:val="none"/>
                      <w:lang w:eastAsia="zh-CN"/>
                    </w:rPr>
                  </w:pPr>
                  <w:r>
                    <w:rPr>
                      <w:rFonts w:hint="eastAsia"/>
                      <w:color w:val="auto"/>
                      <w:highlight w:val="none"/>
                      <w:lang w:val="en-US" w:eastAsia="zh-CN"/>
                    </w:rPr>
                    <w:t>总用量</w:t>
                  </w:r>
                </w:p>
              </w:tc>
              <w:tc>
                <w:tcPr>
                  <w:tcW w:w="847" w:type="pct"/>
                  <w:noWrap w:val="0"/>
                  <w:vAlign w:val="center"/>
                </w:tcPr>
                <w:p>
                  <w:pPr>
                    <w:pStyle w:val="36"/>
                    <w:bidi w:val="0"/>
                    <w:rPr>
                      <w:rFonts w:hint="default" w:eastAsia="宋体"/>
                      <w:color w:val="auto"/>
                      <w:highlight w:val="none"/>
                      <w:lang w:val="en-US" w:eastAsia="zh-CN"/>
                    </w:rPr>
                  </w:pPr>
                  <w:r>
                    <w:rPr>
                      <w:rFonts w:hint="eastAsia"/>
                      <w:color w:val="auto"/>
                      <w:highlight w:val="none"/>
                      <w:lang w:val="en-US" w:eastAsia="zh-CN"/>
                    </w:rPr>
                    <w:t>最大储存量</w:t>
                  </w:r>
                </w:p>
              </w:tc>
              <w:tc>
                <w:tcPr>
                  <w:tcW w:w="1723" w:type="pct"/>
                  <w:noWrap w:val="0"/>
                  <w:vAlign w:val="center"/>
                </w:tcPr>
                <w:p>
                  <w:pPr>
                    <w:pStyle w:val="36"/>
                    <w:bidi w:val="0"/>
                    <w:rPr>
                      <w:rFonts w:hint="eastAsia" w:eastAsia="宋体"/>
                      <w:color w:val="auto"/>
                      <w:highlight w:val="none"/>
                      <w:lang w:eastAsia="zh-CN"/>
                    </w:rPr>
                  </w:pPr>
                  <w:r>
                    <w:rPr>
                      <w:rFonts w:hint="eastAsia"/>
                      <w:color w:val="auto"/>
                      <w:highlight w:val="no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废旧塑料</w:t>
                  </w:r>
                </w:p>
              </w:tc>
              <w:tc>
                <w:tcPr>
                  <w:tcW w:w="931" w:type="pct"/>
                  <w:noWrap w:val="0"/>
                  <w:vAlign w:val="center"/>
                </w:tcPr>
                <w:p>
                  <w:pPr>
                    <w:pStyle w:val="36"/>
                    <w:bidi w:val="0"/>
                    <w:rPr>
                      <w:rFonts w:hint="eastAsia"/>
                      <w:color w:val="auto"/>
                      <w:highlight w:val="none"/>
                      <w:lang w:eastAsia="zh-CN"/>
                    </w:rPr>
                  </w:pPr>
                  <w:r>
                    <w:rPr>
                      <w:rFonts w:hint="default"/>
                      <w:color w:val="auto"/>
                      <w:highlight w:val="none"/>
                      <w:lang w:val="en-US" w:eastAsia="zh-CN"/>
                    </w:rPr>
                    <w:t>PP</w:t>
                  </w:r>
                  <w:r>
                    <w:rPr>
                      <w:rFonts w:hint="eastAsia"/>
                      <w:color w:val="auto"/>
                      <w:highlight w:val="none"/>
                      <w:lang w:val="en-US" w:eastAsia="zh-CN"/>
                    </w:rPr>
                    <w:t>、</w:t>
                  </w:r>
                  <w:r>
                    <w:rPr>
                      <w:rFonts w:hint="default"/>
                      <w:color w:val="auto"/>
                      <w:highlight w:val="none"/>
                      <w:lang w:val="en-US" w:eastAsia="zh-CN"/>
                    </w:rPr>
                    <w:t>PE</w:t>
                  </w:r>
                  <w:r>
                    <w:rPr>
                      <w:rFonts w:hint="eastAsia"/>
                      <w:color w:val="auto"/>
                      <w:highlight w:val="none"/>
                      <w:lang w:val="en-US" w:eastAsia="zh-CN"/>
                    </w:rPr>
                    <w:t xml:space="preserve">、 </w:t>
                  </w:r>
                  <w:r>
                    <w:rPr>
                      <w:rFonts w:hint="default"/>
                      <w:color w:val="auto"/>
                      <w:highlight w:val="none"/>
                      <w:lang w:val="en-US" w:eastAsia="zh-CN"/>
                    </w:rPr>
                    <w:t>PET</w:t>
                  </w:r>
                </w:p>
              </w:tc>
              <w:tc>
                <w:tcPr>
                  <w:tcW w:w="820"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530吨/年</w:t>
                  </w:r>
                </w:p>
              </w:tc>
              <w:tc>
                <w:tcPr>
                  <w:tcW w:w="84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100吨</w:t>
                  </w:r>
                </w:p>
              </w:tc>
              <w:tc>
                <w:tcPr>
                  <w:tcW w:w="1723" w:type="pct"/>
                  <w:noWrap w:val="0"/>
                  <w:vAlign w:val="center"/>
                </w:tcPr>
                <w:p>
                  <w:pPr>
                    <w:pStyle w:val="36"/>
                    <w:bidi w:val="0"/>
                    <w:jc w:val="both"/>
                    <w:rPr>
                      <w:rFonts w:hint="default"/>
                      <w:color w:val="auto"/>
                      <w:highlight w:val="none"/>
                      <w:lang w:val="en-US" w:eastAsia="zh-CN"/>
                    </w:rPr>
                  </w:pPr>
                  <w:r>
                    <w:rPr>
                      <w:rFonts w:hint="eastAsia"/>
                      <w:color w:val="auto"/>
                      <w:highlight w:val="none"/>
                      <w:u w:val="single"/>
                      <w:lang w:val="en-US" w:eastAsia="zh-CN"/>
                    </w:rPr>
                    <w:t>废旧塑料制品在当地回收，塑料瓶残留水分和剥离商标等杂质约5%（100吨，商标等可以作废品外售），剩下95%是可破碎料约503.5吨。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电</w:t>
                  </w:r>
                </w:p>
              </w:tc>
              <w:tc>
                <w:tcPr>
                  <w:tcW w:w="931"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w:t>
                  </w:r>
                </w:p>
              </w:tc>
              <w:tc>
                <w:tcPr>
                  <w:tcW w:w="820"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3万kwh/年</w:t>
                  </w:r>
                </w:p>
              </w:tc>
              <w:tc>
                <w:tcPr>
                  <w:tcW w:w="84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w:t>
                  </w:r>
                </w:p>
              </w:tc>
              <w:tc>
                <w:tcPr>
                  <w:tcW w:w="1723"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电网提供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水</w:t>
                  </w:r>
                </w:p>
              </w:tc>
              <w:tc>
                <w:tcPr>
                  <w:tcW w:w="931"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w:t>
                  </w:r>
                </w:p>
              </w:tc>
              <w:tc>
                <w:tcPr>
                  <w:tcW w:w="820"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1130吨/年</w:t>
                  </w:r>
                </w:p>
              </w:tc>
              <w:tc>
                <w:tcPr>
                  <w:tcW w:w="847"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w:t>
                  </w:r>
                </w:p>
              </w:tc>
              <w:tc>
                <w:tcPr>
                  <w:tcW w:w="1723"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市政管网提供</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keepNext w:val="0"/>
                    <w:keepLines w:val="0"/>
                    <w:widowControl/>
                    <w:suppressLineNumbers w:val="0"/>
                    <w:jc w:val="left"/>
                    <w:rPr>
                      <w:rFonts w:hint="eastAsia"/>
                      <w:color w:val="auto"/>
                      <w:highlight w:val="none"/>
                      <w:lang w:eastAsia="zh-CN"/>
                    </w:rPr>
                  </w:pPr>
                  <w:r>
                    <w:rPr>
                      <w:rFonts w:hint="eastAsia" w:ascii="宋体" w:hAnsi="宋体" w:eastAsia="宋体" w:cs="宋体"/>
                      <w:color w:val="auto"/>
                      <w:kern w:val="0"/>
                      <w:sz w:val="21"/>
                      <w:szCs w:val="21"/>
                      <w:highlight w:val="none"/>
                      <w:lang w:val="en-US" w:eastAsia="zh-CN" w:bidi="ar"/>
                    </w:rPr>
                    <w:t>混凝剂</w:t>
                  </w:r>
                </w:p>
              </w:tc>
              <w:tc>
                <w:tcPr>
                  <w:tcW w:w="931"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PAC</w:t>
                  </w:r>
                </w:p>
              </w:tc>
              <w:tc>
                <w:tcPr>
                  <w:tcW w:w="820"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0.1吨/年</w:t>
                  </w:r>
                </w:p>
              </w:tc>
              <w:tc>
                <w:tcPr>
                  <w:tcW w:w="847" w:type="pct"/>
                  <w:noWrap w:val="0"/>
                  <w:vAlign w:val="center"/>
                </w:tcPr>
                <w:p>
                  <w:pPr>
                    <w:pStyle w:val="36"/>
                    <w:bidi w:val="0"/>
                    <w:ind w:left="0" w:leftChars="0" w:firstLine="0" w:firstLineChars="0"/>
                    <w:rPr>
                      <w:rFonts w:hint="eastAsia"/>
                      <w:color w:val="auto"/>
                      <w:highlight w:val="none"/>
                      <w:lang w:eastAsia="zh-CN"/>
                    </w:rPr>
                  </w:pPr>
                  <w:r>
                    <w:rPr>
                      <w:rFonts w:hint="eastAsia"/>
                      <w:color w:val="auto"/>
                      <w:highlight w:val="none"/>
                      <w:lang w:val="en-US" w:eastAsia="zh-CN"/>
                    </w:rPr>
                    <w:t>0.1吨</w:t>
                  </w:r>
                </w:p>
              </w:tc>
              <w:tc>
                <w:tcPr>
                  <w:tcW w:w="1723"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袋装，外购用于水处理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77" w:type="pct"/>
                  <w:noWrap w:val="0"/>
                  <w:vAlign w:val="center"/>
                </w:tcPr>
                <w:p>
                  <w:pPr>
                    <w:keepNext w:val="0"/>
                    <w:keepLines w:val="0"/>
                    <w:widowControl/>
                    <w:suppressLineNumbers w:val="0"/>
                    <w:jc w:val="left"/>
                    <w:rPr>
                      <w:rFonts w:hint="eastAsia"/>
                      <w:color w:val="auto"/>
                      <w:highlight w:val="none"/>
                      <w:lang w:eastAsia="zh-CN"/>
                    </w:rPr>
                  </w:pPr>
                  <w:r>
                    <w:rPr>
                      <w:rFonts w:hint="eastAsia" w:ascii="宋体" w:hAnsi="宋体" w:eastAsia="宋体" w:cs="宋体"/>
                      <w:color w:val="auto"/>
                      <w:kern w:val="0"/>
                      <w:sz w:val="21"/>
                      <w:szCs w:val="21"/>
                      <w:highlight w:val="none"/>
                      <w:lang w:val="en-US" w:eastAsia="zh-CN" w:bidi="ar"/>
                    </w:rPr>
                    <w:t>絮凝剂</w:t>
                  </w:r>
                </w:p>
              </w:tc>
              <w:tc>
                <w:tcPr>
                  <w:tcW w:w="931"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PAM</w:t>
                  </w:r>
                </w:p>
              </w:tc>
              <w:tc>
                <w:tcPr>
                  <w:tcW w:w="820" w:type="pct"/>
                  <w:noWrap w:val="0"/>
                  <w:vAlign w:val="center"/>
                </w:tcPr>
                <w:p>
                  <w:pPr>
                    <w:pStyle w:val="36"/>
                    <w:bidi w:val="0"/>
                    <w:rPr>
                      <w:rFonts w:hint="default"/>
                      <w:color w:val="auto"/>
                      <w:highlight w:val="none"/>
                      <w:lang w:val="en-US" w:eastAsia="zh-CN"/>
                    </w:rPr>
                  </w:pPr>
                  <w:r>
                    <w:rPr>
                      <w:rFonts w:hint="eastAsia"/>
                      <w:color w:val="auto"/>
                      <w:highlight w:val="none"/>
                      <w:lang w:val="en-US" w:eastAsia="zh-CN"/>
                    </w:rPr>
                    <w:t>0.05吨/年</w:t>
                  </w:r>
                </w:p>
              </w:tc>
              <w:tc>
                <w:tcPr>
                  <w:tcW w:w="847" w:type="pct"/>
                  <w:noWrap w:val="0"/>
                  <w:vAlign w:val="center"/>
                </w:tcPr>
                <w:p>
                  <w:pPr>
                    <w:pStyle w:val="36"/>
                    <w:bidi w:val="0"/>
                    <w:ind w:left="0" w:leftChars="0" w:firstLine="0" w:firstLineChars="0"/>
                    <w:rPr>
                      <w:rFonts w:hint="eastAsia"/>
                      <w:color w:val="auto"/>
                      <w:highlight w:val="none"/>
                      <w:lang w:eastAsia="zh-CN"/>
                    </w:rPr>
                  </w:pPr>
                  <w:r>
                    <w:rPr>
                      <w:rFonts w:hint="eastAsia"/>
                      <w:color w:val="auto"/>
                      <w:highlight w:val="none"/>
                      <w:lang w:val="en-US" w:eastAsia="zh-CN"/>
                    </w:rPr>
                    <w:t>0.05吨</w:t>
                  </w:r>
                </w:p>
              </w:tc>
              <w:tc>
                <w:tcPr>
                  <w:tcW w:w="1723" w:type="pct"/>
                  <w:noWrap w:val="0"/>
                  <w:vAlign w:val="center"/>
                </w:tcPr>
                <w:p>
                  <w:pPr>
                    <w:pStyle w:val="36"/>
                    <w:bidi w:val="0"/>
                    <w:rPr>
                      <w:rFonts w:hint="eastAsia"/>
                      <w:color w:val="auto"/>
                      <w:highlight w:val="none"/>
                      <w:lang w:eastAsia="zh-CN"/>
                    </w:rPr>
                  </w:pPr>
                  <w:r>
                    <w:rPr>
                      <w:rFonts w:hint="eastAsia"/>
                      <w:color w:val="auto"/>
                      <w:highlight w:val="none"/>
                      <w:lang w:val="en-US" w:eastAsia="zh-CN"/>
                    </w:rPr>
                    <w:t>袋装，外购用于水处理</w:t>
                  </w:r>
                </w:p>
              </w:tc>
            </w:tr>
          </w:tbl>
          <w:p>
            <w:pPr>
              <w:bidi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 xml:space="preserve">根据废旧塑料回收相关规定，对于明确不能回收利用的废旧塑料种类，本项目不能回收进出口废塑料、医疗废物和危险废物。 </w:t>
            </w:r>
          </w:p>
          <w:p>
            <w:pPr>
              <w:bidi w:val="0"/>
              <w:spacing w:line="360" w:lineRule="auto"/>
              <w:ind w:firstLine="480" w:firstLineChars="200"/>
              <w:rPr>
                <w:rFonts w:hint="default" w:ascii="Times New Roman" w:hAnsi="Times New Roman" w:eastAsia="宋体" w:cs="Times New Roman"/>
                <w:color w:val="auto"/>
                <w:sz w:val="24"/>
                <w:szCs w:val="24"/>
                <w:highlight w:val="none"/>
                <w:lang w:eastAsia="zh-CN"/>
              </w:rPr>
            </w:pPr>
            <w:r>
              <w:rPr>
                <w:rFonts w:hint="eastAsia" w:ascii="Times New Roman" w:hAnsi="Times New Roman" w:eastAsia="宋体" w:cs="Times New Roman"/>
                <w:color w:val="auto"/>
                <w:sz w:val="24"/>
                <w:szCs w:val="24"/>
                <w:highlight w:val="none"/>
                <w:lang w:val="en-US" w:eastAsia="zh-CN"/>
              </w:rPr>
              <w:t>综上所述，项目严控原料来源条件下，建设单位需对外购废塑料来源、储存、生产及产品去向进行严格控制并做好台账，保证全生产过程符合生产工艺及相关环保规范的要求。</w:t>
            </w:r>
          </w:p>
          <w:p>
            <w:pPr>
              <w:keepNext w:val="0"/>
              <w:keepLines w:val="0"/>
              <w:widowControl/>
              <w:suppressLineNumbers w:val="0"/>
              <w:spacing w:line="360" w:lineRule="auto"/>
              <w:jc w:val="left"/>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 xml:space="preserve">7、公用工程 </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1</w:t>
            </w:r>
            <w:r>
              <w:rPr>
                <w:rFonts w:hint="eastAsia" w:ascii="Times New Roman" w:hAnsi="Times New Roman" w:eastAsia="宋体" w:cs="Times New Roman"/>
                <w:color w:val="auto"/>
                <w:kern w:val="2"/>
                <w:sz w:val="24"/>
                <w:szCs w:val="24"/>
                <w:highlight w:val="none"/>
                <w:lang w:val="en-US" w:eastAsia="zh-CN" w:bidi="ar-SA"/>
              </w:rPr>
              <w:t xml:space="preserve">）供电 </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 xml:space="preserve">项目用电由当地电网供给，可满足项目用电需求。 </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eastAsia="宋体" w:cs="Times New Roman"/>
                <w:color w:val="auto"/>
                <w:kern w:val="2"/>
                <w:sz w:val="24"/>
                <w:szCs w:val="24"/>
                <w:highlight w:val="none"/>
                <w:lang w:val="en-US" w:eastAsia="zh-CN" w:bidi="ar-SA"/>
              </w:rPr>
              <w:t xml:space="preserve">）给水 </w:t>
            </w:r>
          </w:p>
          <w:p>
            <w:pPr>
              <w:keepNext w:val="0"/>
              <w:keepLines w:val="0"/>
              <w:widowControl/>
              <w:suppressLineNumbers w:val="0"/>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项目用水为生活用水及生产用水。生产用水主要为破碎降尘用水、清洗用水，生产用水主要为厂区污水处理设施回用水，新鲜水主要由市政管网供给；项目生活用水由市政管网供给。</w:t>
            </w:r>
          </w:p>
          <w:p>
            <w:pPr>
              <w:pStyle w:val="32"/>
              <w:numPr>
                <w:ilvl w:val="0"/>
                <w:numId w:val="3"/>
              </w:numPr>
              <w:spacing w:line="360" w:lineRule="auto"/>
              <w:ind w:firstLine="480" w:firstLineChars="200"/>
              <w:textAlignment w:val="baseline"/>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排水</w:t>
            </w:r>
          </w:p>
          <w:p>
            <w:pPr>
              <w:pStyle w:val="32"/>
              <w:numPr>
                <w:ilvl w:val="0"/>
                <w:numId w:val="0"/>
              </w:numPr>
              <w:spacing w:line="360" w:lineRule="auto"/>
              <w:ind w:firstLine="480" w:firstLineChars="200"/>
              <w:textAlignment w:val="baseline"/>
              <w:rPr>
                <w:rFonts w:hint="default"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t>项目实行“雨污分流”，雨水经雨水沟排至雨水管网。生活污水经化粪处理做周边农肥使用，不外排；生产废水经</w:t>
            </w:r>
            <w:r>
              <w:rPr>
                <w:rFonts w:hint="eastAsia" w:ascii="宋体" w:hAnsi="宋体" w:eastAsia="宋体" w:cs="宋体"/>
                <w:color w:val="auto"/>
                <w:kern w:val="0"/>
                <w:sz w:val="24"/>
                <w:szCs w:val="24"/>
                <w:highlight w:val="none"/>
                <w:u w:val="none"/>
                <w:lang w:val="en-US" w:eastAsia="zh-CN" w:bidi="ar"/>
              </w:rPr>
              <w:t>经自建污水处理设施处理后，外排至市政污水管网，最后进入华容县桥东污水处理厂处置。</w:t>
            </w:r>
          </w:p>
          <w:p>
            <w:pPr>
              <w:keepNext w:val="0"/>
              <w:keepLines w:val="0"/>
              <w:widowControl/>
              <w:suppressLineNumbers w:val="0"/>
              <w:spacing w:line="360" w:lineRule="auto"/>
              <w:ind w:firstLine="480" w:firstLineChars="200"/>
              <w:jc w:val="left"/>
              <w:rPr>
                <w:rFonts w:hint="default"/>
                <w:color w:val="auto"/>
                <w:sz w:val="24"/>
                <w:szCs w:val="24"/>
                <w:highlight w:val="none"/>
                <w:u w:val="none"/>
                <w:lang w:val="en-US"/>
              </w:rPr>
            </w:pPr>
            <w:r>
              <w:rPr>
                <w:rFonts w:hint="eastAsia" w:ascii="宋体" w:hAnsi="宋体" w:eastAsia="宋体" w:cs="宋体"/>
                <w:color w:val="auto"/>
                <w:kern w:val="0"/>
                <w:sz w:val="24"/>
                <w:szCs w:val="24"/>
                <w:highlight w:val="none"/>
                <w:u w:val="none"/>
                <w:lang w:val="en-US" w:eastAsia="zh-CN" w:bidi="ar"/>
              </w:rPr>
              <w:t>建设项目采取“雨污分流”原则，雨水经市政雨水管网收集后排入区域雨水管网；本项目生产过程中产生的废水为生活污水、破碎废水、清洗废水。</w:t>
            </w:r>
          </w:p>
          <w:p>
            <w:pPr>
              <w:keepNext w:val="0"/>
              <w:keepLines w:val="0"/>
              <w:widowControl/>
              <w:suppressLineNumbers w:val="0"/>
              <w:spacing w:line="360" w:lineRule="auto"/>
              <w:jc w:val="left"/>
              <w:rPr>
                <w:rFonts w:hint="default" w:eastAsiaTheme="minorEastAsia"/>
                <w:b/>
                <w:bCs/>
                <w:color w:val="auto"/>
                <w:sz w:val="24"/>
                <w:szCs w:val="24"/>
                <w:highlight w:val="none"/>
                <w:u w:val="none"/>
                <w:lang w:val="en-US"/>
              </w:rPr>
            </w:pPr>
            <w:r>
              <w:rPr>
                <w:rFonts w:hint="eastAsia" w:ascii="宋体" w:hAnsi="宋体" w:eastAsia="宋体" w:cs="宋体"/>
                <w:color w:val="auto"/>
                <w:kern w:val="0"/>
                <w:sz w:val="24"/>
                <w:szCs w:val="24"/>
                <w:highlight w:val="none"/>
                <w:u w:val="none"/>
                <w:lang w:val="en-US" w:eastAsia="zh-CN" w:bidi="ar"/>
              </w:rPr>
              <w:t>建设项目用水为职工生活用水、破碎降尘用水及清洗用水，总用水量为</w:t>
            </w:r>
            <w:r>
              <w:rPr>
                <w:rFonts w:hint="eastAsia" w:ascii="宋体" w:hAnsi="宋体" w:cs="宋体"/>
                <w:color w:val="auto"/>
                <w:kern w:val="0"/>
                <w:sz w:val="24"/>
                <w:szCs w:val="24"/>
                <w:highlight w:val="none"/>
                <w:u w:val="none"/>
                <w:lang w:val="en-US" w:eastAsia="zh-CN" w:bidi="ar"/>
              </w:rPr>
              <w:t>1130</w:t>
            </w:r>
            <w:r>
              <w:rPr>
                <w:rFonts w:hint="eastAsia" w:ascii="宋体" w:hAnsi="宋体" w:eastAsia="宋体" w:cs="宋体"/>
                <w:color w:val="auto"/>
                <w:kern w:val="0"/>
                <w:sz w:val="24"/>
                <w:szCs w:val="24"/>
                <w:highlight w:val="none"/>
                <w:u w:val="none"/>
                <w:lang w:val="en-US" w:eastAsia="zh-CN" w:bidi="ar"/>
              </w:rPr>
              <w:t>t /a</w:t>
            </w:r>
            <w:r>
              <w:rPr>
                <w:rFonts w:hint="eastAsia" w:ascii="宋体" w:hAnsi="宋体" w:cs="宋体"/>
                <w:color w:val="auto"/>
                <w:kern w:val="0"/>
                <w:sz w:val="24"/>
                <w:szCs w:val="24"/>
                <w:highlight w:val="none"/>
                <w:u w:val="none"/>
                <w:lang w:val="en-US" w:eastAsia="zh-CN" w:bidi="ar"/>
              </w:rPr>
              <w:t>，根据排污系数计算可得废水的产生量是477</w:t>
            </w:r>
            <w:r>
              <w:rPr>
                <w:rFonts w:hint="eastAsia" w:ascii="宋体" w:hAnsi="宋体" w:eastAsia="宋体" w:cs="宋体"/>
                <w:color w:val="auto"/>
                <w:kern w:val="0"/>
                <w:sz w:val="24"/>
                <w:szCs w:val="24"/>
                <w:highlight w:val="none"/>
                <w:u w:val="none"/>
                <w:lang w:val="en-US" w:eastAsia="zh-CN" w:bidi="ar"/>
              </w:rPr>
              <w:t>t /a</w:t>
            </w:r>
            <w:r>
              <w:rPr>
                <w:rFonts w:hint="eastAsia" w:ascii="宋体" w:hAnsi="宋体" w:cs="宋体"/>
                <w:color w:val="auto"/>
                <w:kern w:val="0"/>
                <w:sz w:val="24"/>
                <w:szCs w:val="24"/>
                <w:highlight w:val="none"/>
                <w:u w:val="none"/>
                <w:lang w:val="en-US" w:eastAsia="zh-CN" w:bidi="ar"/>
              </w:rPr>
              <w:t>。</w:t>
            </w:r>
          </w:p>
          <w:p>
            <w:pPr>
              <w:keepNext w:val="0"/>
              <w:keepLines w:val="0"/>
              <w:widowControl/>
              <w:suppressLineNumbers w:val="0"/>
              <w:spacing w:line="360" w:lineRule="auto"/>
              <w:ind w:firstLine="482" w:firstLineChars="200"/>
              <w:jc w:val="left"/>
              <w:rPr>
                <w:rFonts w:eastAsiaTheme="minorEastAsia"/>
                <w:color w:val="auto"/>
                <w:sz w:val="24"/>
                <w:szCs w:val="24"/>
                <w:highlight w:val="none"/>
                <w:u w:val="none"/>
              </w:rPr>
            </w:pPr>
            <w:r>
              <w:rPr>
                <w:rFonts w:eastAsiaTheme="minorEastAsia"/>
                <w:b/>
                <w:bCs/>
                <w:color w:val="auto"/>
                <w:sz w:val="24"/>
                <w:szCs w:val="24"/>
                <w:highlight w:val="none"/>
                <w:u w:val="none"/>
              </w:rPr>
              <w:t>生活污水</w:t>
            </w:r>
            <w:r>
              <w:rPr>
                <w:rFonts w:hint="eastAsia" w:eastAsiaTheme="minorEastAsia"/>
                <w:b/>
                <w:bCs/>
                <w:color w:val="auto"/>
                <w:sz w:val="24"/>
                <w:szCs w:val="24"/>
                <w:highlight w:val="none"/>
                <w:u w:val="none"/>
                <w:lang w:eastAsia="zh-CN"/>
              </w:rPr>
              <w:t>：</w:t>
            </w:r>
            <w:r>
              <w:rPr>
                <w:rFonts w:hint="eastAsia" w:ascii="宋体" w:hAnsi="宋体" w:eastAsia="宋体" w:cs="宋体"/>
                <w:color w:val="auto"/>
                <w:kern w:val="0"/>
                <w:sz w:val="24"/>
                <w:szCs w:val="24"/>
                <w:highlight w:val="none"/>
                <w:u w:val="none"/>
                <w:lang w:val="en-US" w:eastAsia="zh-CN" w:bidi="ar"/>
              </w:rPr>
              <w:t xml:space="preserve">本项目职工 </w:t>
            </w:r>
            <w:r>
              <w:rPr>
                <w:rFonts w:hint="eastAsia" w:ascii="宋体" w:hAnsi="宋体" w:cs="宋体"/>
                <w:color w:val="auto"/>
                <w:kern w:val="0"/>
                <w:sz w:val="24"/>
                <w:szCs w:val="24"/>
                <w:highlight w:val="none"/>
                <w:u w:val="none"/>
                <w:lang w:val="en-US" w:eastAsia="zh-CN" w:bidi="ar"/>
              </w:rPr>
              <w:t>20</w:t>
            </w:r>
            <w:r>
              <w:rPr>
                <w:rFonts w:hint="default" w:ascii="Times New Roman" w:hAnsi="Times New Roman" w:eastAsia="宋体" w:cs="Times New Roman"/>
                <w:color w:val="auto"/>
                <w:kern w:val="0"/>
                <w:sz w:val="24"/>
                <w:szCs w:val="24"/>
                <w:highlight w:val="none"/>
                <w:u w:val="none"/>
                <w:lang w:val="en-US" w:eastAsia="zh-CN" w:bidi="ar"/>
              </w:rPr>
              <w:t xml:space="preserve"> </w:t>
            </w:r>
            <w:r>
              <w:rPr>
                <w:rFonts w:hint="eastAsia" w:ascii="宋体" w:hAnsi="宋体" w:eastAsia="宋体" w:cs="宋体"/>
                <w:color w:val="auto"/>
                <w:kern w:val="0"/>
                <w:sz w:val="24"/>
                <w:szCs w:val="24"/>
                <w:highlight w:val="none"/>
                <w:u w:val="none"/>
                <w:lang w:val="en-US" w:eastAsia="zh-CN" w:bidi="ar"/>
              </w:rPr>
              <w:t>人，厂区内不提供食宿，根据《湖南省用水定额》（</w:t>
            </w:r>
            <w:r>
              <w:rPr>
                <w:rFonts w:hint="default" w:ascii="Times New Roman" w:hAnsi="Times New Roman" w:eastAsia="宋体" w:cs="Times New Roman"/>
                <w:color w:val="auto"/>
                <w:kern w:val="0"/>
                <w:sz w:val="24"/>
                <w:szCs w:val="24"/>
                <w:highlight w:val="none"/>
                <w:u w:val="none"/>
                <w:lang w:val="en-US" w:eastAsia="zh-CN" w:bidi="ar"/>
              </w:rPr>
              <w:t>DB43/T388-2020</w:t>
            </w:r>
            <w:r>
              <w:rPr>
                <w:rFonts w:hint="eastAsia" w:ascii="宋体" w:hAnsi="宋体" w:eastAsia="宋体" w:cs="宋体"/>
                <w:color w:val="auto"/>
                <w:kern w:val="0"/>
                <w:sz w:val="24"/>
                <w:szCs w:val="24"/>
                <w:highlight w:val="none"/>
                <w:u w:val="none"/>
                <w:lang w:val="en-US" w:eastAsia="zh-CN" w:bidi="ar"/>
              </w:rPr>
              <w:t xml:space="preserve">）员工每人用水 </w:t>
            </w:r>
            <w:r>
              <w:rPr>
                <w:rFonts w:hint="default" w:ascii="Times New Roman" w:hAnsi="Times New Roman" w:eastAsia="宋体" w:cs="Times New Roman"/>
                <w:color w:val="auto"/>
                <w:kern w:val="0"/>
                <w:sz w:val="24"/>
                <w:szCs w:val="24"/>
                <w:highlight w:val="none"/>
                <w:u w:val="none"/>
                <w:lang w:val="en-US" w:eastAsia="zh-CN" w:bidi="ar"/>
              </w:rPr>
              <w:t>100L/d</w:t>
            </w:r>
            <w:r>
              <w:rPr>
                <w:rFonts w:hint="eastAsia" w:ascii="宋体" w:hAnsi="宋体" w:eastAsia="宋体" w:cs="宋体"/>
                <w:color w:val="auto"/>
                <w:kern w:val="0"/>
                <w:sz w:val="24"/>
                <w:szCs w:val="24"/>
                <w:highlight w:val="none"/>
                <w:u w:val="none"/>
                <w:lang w:val="en-US" w:eastAsia="zh-CN" w:bidi="ar"/>
              </w:rPr>
              <w:t xml:space="preserve">，年工作日 </w:t>
            </w:r>
            <w:r>
              <w:rPr>
                <w:rFonts w:hint="default" w:ascii="Times New Roman" w:hAnsi="Times New Roman" w:eastAsia="宋体" w:cs="Times New Roman"/>
                <w:color w:val="auto"/>
                <w:kern w:val="0"/>
                <w:sz w:val="24"/>
                <w:szCs w:val="24"/>
                <w:highlight w:val="none"/>
                <w:u w:val="none"/>
                <w:lang w:val="en-US" w:eastAsia="zh-CN" w:bidi="ar"/>
              </w:rPr>
              <w:t xml:space="preserve">300 </w:t>
            </w:r>
            <w:r>
              <w:rPr>
                <w:rFonts w:hint="eastAsia" w:ascii="宋体" w:hAnsi="宋体" w:eastAsia="宋体" w:cs="宋体"/>
                <w:color w:val="auto"/>
                <w:kern w:val="0"/>
                <w:sz w:val="24"/>
                <w:szCs w:val="24"/>
                <w:highlight w:val="none"/>
                <w:u w:val="none"/>
                <w:lang w:val="en-US" w:eastAsia="zh-CN" w:bidi="ar"/>
              </w:rPr>
              <w:t>天。则职工生活用水量</w:t>
            </w:r>
            <w:r>
              <w:rPr>
                <w:rFonts w:hint="eastAsia" w:ascii="宋体" w:hAnsi="宋体" w:cs="宋体"/>
                <w:color w:val="auto"/>
                <w:kern w:val="0"/>
                <w:sz w:val="24"/>
                <w:szCs w:val="24"/>
                <w:highlight w:val="none"/>
                <w:u w:val="none"/>
                <w:lang w:val="en-US" w:eastAsia="zh-CN" w:bidi="ar"/>
              </w:rPr>
              <w:t>6</w:t>
            </w:r>
            <w:r>
              <w:rPr>
                <w:rFonts w:hint="eastAsia" w:cs="Times New Roman"/>
                <w:color w:val="auto"/>
                <w:kern w:val="0"/>
                <w:sz w:val="24"/>
                <w:szCs w:val="24"/>
                <w:highlight w:val="none"/>
                <w:u w:val="none"/>
                <w:lang w:val="en-US" w:eastAsia="zh-CN" w:bidi="ar"/>
              </w:rPr>
              <w:t>00</w:t>
            </w:r>
            <w:r>
              <w:rPr>
                <w:rFonts w:hint="default" w:ascii="Times New Roman" w:hAnsi="Times New Roman" w:eastAsia="宋体" w:cs="Times New Roman"/>
                <w:color w:val="auto"/>
                <w:kern w:val="0"/>
                <w:sz w:val="24"/>
                <w:szCs w:val="24"/>
                <w:highlight w:val="none"/>
                <w:u w:val="none"/>
                <w:lang w:val="en-US" w:eastAsia="zh-CN" w:bidi="ar"/>
              </w:rPr>
              <w:t>m</w:t>
            </w:r>
            <w:r>
              <w:rPr>
                <w:rFonts w:hint="default" w:ascii="Times New Roman" w:hAnsi="Times New Roman" w:eastAsia="宋体" w:cs="Times New Roman"/>
                <w:color w:val="auto"/>
                <w:kern w:val="0"/>
                <w:sz w:val="24"/>
                <w:szCs w:val="24"/>
                <w:highlight w:val="none"/>
                <w:u w:val="none"/>
                <w:vertAlign w:val="superscript"/>
                <w:lang w:val="en-US" w:eastAsia="zh-CN" w:bidi="ar"/>
              </w:rPr>
              <w:t>3</w:t>
            </w:r>
            <w:r>
              <w:rPr>
                <w:rFonts w:hint="default" w:ascii="Times New Roman" w:hAnsi="Times New Roman" w:eastAsia="宋体" w:cs="Times New Roman"/>
                <w:color w:val="auto"/>
                <w:kern w:val="0"/>
                <w:sz w:val="24"/>
                <w:szCs w:val="24"/>
                <w:highlight w:val="none"/>
                <w:u w:val="none"/>
                <w:lang w:val="en-US" w:eastAsia="zh-CN" w:bidi="ar"/>
              </w:rPr>
              <w:t xml:space="preserve"> /a</w:t>
            </w:r>
            <w:r>
              <w:rPr>
                <w:rFonts w:hint="eastAsia" w:ascii="宋体" w:hAnsi="宋体" w:eastAsia="宋体" w:cs="宋体"/>
                <w:color w:val="auto"/>
                <w:kern w:val="0"/>
                <w:sz w:val="24"/>
                <w:szCs w:val="24"/>
                <w:highlight w:val="none"/>
                <w:u w:val="none"/>
                <w:lang w:val="en-US" w:eastAsia="zh-CN" w:bidi="ar"/>
              </w:rPr>
              <w:t xml:space="preserve">；污水排放量按用水量的 </w:t>
            </w:r>
            <w:r>
              <w:rPr>
                <w:rFonts w:hint="default" w:ascii="Times New Roman" w:hAnsi="Times New Roman" w:eastAsia="宋体" w:cs="Times New Roman"/>
                <w:color w:val="auto"/>
                <w:kern w:val="0"/>
                <w:sz w:val="24"/>
                <w:szCs w:val="24"/>
                <w:highlight w:val="none"/>
                <w:u w:val="none"/>
                <w:lang w:val="en-US" w:eastAsia="zh-CN" w:bidi="ar"/>
              </w:rPr>
              <w:t>80%</w:t>
            </w:r>
            <w:r>
              <w:rPr>
                <w:rFonts w:hint="eastAsia" w:ascii="宋体" w:hAnsi="宋体" w:eastAsia="宋体" w:cs="宋体"/>
                <w:color w:val="auto"/>
                <w:kern w:val="0"/>
                <w:sz w:val="24"/>
                <w:szCs w:val="24"/>
                <w:highlight w:val="none"/>
                <w:u w:val="none"/>
                <w:lang w:val="en-US" w:eastAsia="zh-CN" w:bidi="ar"/>
              </w:rPr>
              <w:t xml:space="preserve">计，则生活污水产生量为 </w:t>
            </w:r>
            <w:r>
              <w:rPr>
                <w:rFonts w:hint="eastAsia" w:cs="Times New Roman"/>
                <w:color w:val="auto"/>
                <w:kern w:val="0"/>
                <w:sz w:val="24"/>
                <w:szCs w:val="24"/>
                <w:highlight w:val="none"/>
                <w:u w:val="none"/>
                <w:lang w:val="en-US" w:eastAsia="zh-CN" w:bidi="ar"/>
              </w:rPr>
              <w:t>480</w:t>
            </w:r>
            <w:r>
              <w:rPr>
                <w:rFonts w:hint="default" w:ascii="Times New Roman" w:hAnsi="Times New Roman" w:eastAsia="宋体" w:cs="Times New Roman"/>
                <w:color w:val="auto"/>
                <w:kern w:val="0"/>
                <w:sz w:val="24"/>
                <w:szCs w:val="24"/>
                <w:highlight w:val="none"/>
                <w:u w:val="none"/>
                <w:lang w:val="en-US" w:eastAsia="zh-CN" w:bidi="ar"/>
              </w:rPr>
              <w:t>m</w:t>
            </w:r>
            <w:r>
              <w:rPr>
                <w:rFonts w:hint="default" w:ascii="Times New Roman" w:hAnsi="Times New Roman" w:eastAsia="宋体" w:cs="Times New Roman"/>
                <w:color w:val="auto"/>
                <w:kern w:val="0"/>
                <w:sz w:val="24"/>
                <w:szCs w:val="24"/>
                <w:highlight w:val="none"/>
                <w:u w:val="none"/>
                <w:vertAlign w:val="superscript"/>
                <w:lang w:val="en-US" w:eastAsia="zh-CN" w:bidi="ar"/>
              </w:rPr>
              <w:t>3</w:t>
            </w:r>
            <w:r>
              <w:rPr>
                <w:rFonts w:hint="default" w:ascii="Times New Roman" w:hAnsi="Times New Roman" w:eastAsia="宋体" w:cs="Times New Roman"/>
                <w:color w:val="auto"/>
                <w:kern w:val="0"/>
                <w:sz w:val="24"/>
                <w:szCs w:val="24"/>
                <w:highlight w:val="none"/>
                <w:u w:val="none"/>
                <w:lang w:val="en-US" w:eastAsia="zh-CN" w:bidi="ar"/>
              </w:rPr>
              <w:t xml:space="preserve"> /a </w:t>
            </w:r>
            <w:r>
              <w:rPr>
                <w:rFonts w:hint="eastAsia" w:ascii="宋体" w:hAnsi="宋体" w:eastAsia="宋体" w:cs="宋体"/>
                <w:color w:val="auto"/>
                <w:kern w:val="0"/>
                <w:sz w:val="24"/>
                <w:szCs w:val="24"/>
                <w:highlight w:val="none"/>
                <w:u w:val="none"/>
                <w:lang w:val="en-US" w:eastAsia="zh-CN" w:bidi="ar"/>
              </w:rPr>
              <w:t>。</w:t>
            </w:r>
            <w:r>
              <w:rPr>
                <w:rFonts w:hint="eastAsia" w:eastAsiaTheme="minorEastAsia"/>
                <w:color w:val="auto"/>
                <w:sz w:val="24"/>
                <w:szCs w:val="24"/>
                <w:highlight w:val="none"/>
                <w:u w:val="none"/>
                <w:lang w:val="en-US" w:eastAsia="zh-CN"/>
              </w:rPr>
              <w:t>生活污水</w:t>
            </w:r>
            <w:r>
              <w:rPr>
                <w:rFonts w:eastAsiaTheme="minorEastAsia"/>
                <w:color w:val="auto"/>
                <w:sz w:val="24"/>
                <w:szCs w:val="24"/>
                <w:highlight w:val="none"/>
                <w:u w:val="none"/>
              </w:rPr>
              <w:t>经</w:t>
            </w:r>
            <w:r>
              <w:rPr>
                <w:rFonts w:hint="eastAsia" w:eastAsiaTheme="minorEastAsia"/>
                <w:color w:val="auto"/>
                <w:sz w:val="24"/>
                <w:szCs w:val="24"/>
                <w:highlight w:val="none"/>
                <w:u w:val="none"/>
                <w:lang w:val="en-US" w:eastAsia="zh-CN"/>
              </w:rPr>
              <w:t>厂区</w:t>
            </w:r>
            <w:r>
              <w:rPr>
                <w:rFonts w:hint="eastAsia" w:ascii="Times New Roman" w:hAnsi="Times New Roman" w:cs="Times New Roman" w:eastAsiaTheme="minorEastAsia"/>
                <w:color w:val="auto"/>
                <w:sz w:val="24"/>
                <w:szCs w:val="24"/>
                <w:highlight w:val="none"/>
                <w:u w:val="none"/>
                <w:lang w:val="en-US" w:eastAsia="zh-CN"/>
              </w:rPr>
              <w:t>化粪</w:t>
            </w:r>
            <w:r>
              <w:rPr>
                <w:rFonts w:hint="eastAsia" w:cs="Times New Roman" w:eastAsiaTheme="minorEastAsia"/>
                <w:color w:val="auto"/>
                <w:sz w:val="24"/>
                <w:szCs w:val="24"/>
                <w:highlight w:val="none"/>
                <w:u w:val="none"/>
                <w:lang w:val="en-US" w:eastAsia="zh-CN"/>
              </w:rPr>
              <w:t>处理后做周边农肥使用</w:t>
            </w:r>
            <w:r>
              <w:rPr>
                <w:rFonts w:hint="eastAsia" w:ascii="Times New Roman" w:hAnsi="Times New Roman" w:cs="Times New Roman" w:eastAsiaTheme="minorEastAsia"/>
                <w:color w:val="auto"/>
                <w:sz w:val="24"/>
                <w:szCs w:val="24"/>
                <w:highlight w:val="none"/>
                <w:u w:val="none"/>
                <w:lang w:val="en-US" w:eastAsia="zh-CN"/>
              </w:rPr>
              <w:t>，</w:t>
            </w:r>
            <w:r>
              <w:rPr>
                <w:rFonts w:hint="eastAsia" w:cs="Times New Roman" w:eastAsiaTheme="minorEastAsia"/>
                <w:color w:val="auto"/>
                <w:sz w:val="24"/>
                <w:szCs w:val="24"/>
                <w:highlight w:val="none"/>
                <w:u w:val="none"/>
                <w:lang w:val="en-US" w:eastAsia="zh-CN"/>
              </w:rPr>
              <w:t>不外排。</w:t>
            </w:r>
          </w:p>
          <w:p>
            <w:pPr>
              <w:pStyle w:val="32"/>
              <w:spacing w:line="360" w:lineRule="auto"/>
              <w:ind w:firstLine="482" w:firstLineChars="200"/>
              <w:textAlignment w:val="baseline"/>
              <w:rPr>
                <w:rFonts w:hint="eastAsia" w:ascii="Times New Roman" w:hAnsi="Times New Roman" w:cs="Times New Roman" w:eastAsiaTheme="minorEastAsia"/>
                <w:color w:val="auto"/>
                <w:szCs w:val="24"/>
                <w:highlight w:val="none"/>
                <w:u w:val="none"/>
                <w:lang w:val="en-US" w:eastAsia="zh-CN"/>
              </w:rPr>
            </w:pPr>
            <w:r>
              <w:rPr>
                <w:rFonts w:hint="eastAsia" w:ascii="Times New Roman" w:hAnsi="Times New Roman" w:cs="Times New Roman" w:eastAsiaTheme="minorEastAsia"/>
                <w:b/>
                <w:bCs/>
                <w:color w:val="auto"/>
                <w:sz w:val="24"/>
                <w:szCs w:val="24"/>
                <w:highlight w:val="none"/>
                <w:u w:val="none"/>
                <w:lang w:val="en-US" w:eastAsia="zh-CN"/>
              </w:rPr>
              <w:t>生产废水：</w:t>
            </w:r>
            <w:r>
              <w:rPr>
                <w:rFonts w:hint="eastAsia" w:ascii="宋体" w:hAnsi="宋体" w:eastAsia="宋体" w:cs="宋体"/>
                <w:color w:val="auto"/>
                <w:kern w:val="0"/>
                <w:sz w:val="24"/>
                <w:szCs w:val="24"/>
                <w:highlight w:val="none"/>
                <w:u w:val="none"/>
                <w:lang w:val="en-US" w:eastAsia="zh-CN" w:bidi="ar"/>
              </w:rPr>
              <w:t>破碎废水、清洗废水等经自建污水处理设施处理后，外排至市政污水管网，最后进入华容县桥东污水处理厂处置。</w:t>
            </w:r>
          </w:p>
          <w:p>
            <w:pPr>
              <w:pStyle w:val="32"/>
              <w:spacing w:line="360" w:lineRule="auto"/>
              <w:ind w:firstLine="480" w:firstLineChars="200"/>
              <w:textAlignment w:val="baseline"/>
              <w:rPr>
                <w:rFonts w:hint="eastAsia" w:ascii="Times New Roman" w:hAnsi="Times New Roman" w:cs="Times New Roman" w:eastAsiaTheme="minorEastAsia"/>
                <w:color w:val="auto"/>
                <w:szCs w:val="24"/>
                <w:highlight w:val="none"/>
                <w:u w:val="none"/>
                <w:lang w:val="en-US" w:eastAsia="zh-CN"/>
              </w:rPr>
            </w:pPr>
            <w:r>
              <w:rPr>
                <w:rFonts w:hint="eastAsia" w:ascii="宋体" w:hAnsi="宋体" w:eastAsia="宋体" w:cs="宋体"/>
                <w:color w:val="auto"/>
                <w:kern w:val="0"/>
                <w:sz w:val="24"/>
                <w:szCs w:val="24"/>
                <w:highlight w:val="none"/>
                <w:u w:val="none"/>
                <w:lang w:val="en-US" w:eastAsia="zh-CN" w:bidi="ar"/>
              </w:rPr>
              <w:t>为使破碎机更好的运转并减少破碎工段粉尘的产生，在每台破碎机内设置洒水喷头，破碎时进行喷水降尘同时降低破碎刀口温度。本项目对塑料碎片进行清洗，根据实际运行情况，参考 《排放源统计调查产排污核算方法和系数手册》</w:t>
            </w:r>
            <w:r>
              <w:rPr>
                <w:rFonts w:hint="default" w:ascii="Times New Roman" w:hAnsi="Times New Roman" w:eastAsia="宋体" w:cs="Times New Roman"/>
                <w:color w:val="auto"/>
                <w:kern w:val="0"/>
                <w:sz w:val="24"/>
                <w:szCs w:val="24"/>
                <w:highlight w:val="none"/>
                <w:u w:val="none"/>
                <w:lang w:val="en-US" w:eastAsia="zh-CN" w:bidi="ar"/>
              </w:rPr>
              <w:t xml:space="preserve">42 </w:t>
            </w:r>
            <w:r>
              <w:rPr>
                <w:rFonts w:hint="eastAsia" w:ascii="宋体" w:hAnsi="宋体" w:eastAsia="宋体" w:cs="宋体"/>
                <w:color w:val="auto"/>
                <w:kern w:val="0"/>
                <w:sz w:val="24"/>
                <w:szCs w:val="24"/>
                <w:highlight w:val="none"/>
                <w:u w:val="none"/>
                <w:lang w:val="en-US" w:eastAsia="zh-CN" w:bidi="ar"/>
              </w:rPr>
              <w:t xml:space="preserve">废弃资源综合利用行业系数手册中相关系数，其他废塑料清洗产生的工业废水量为 </w:t>
            </w:r>
            <w:r>
              <w:rPr>
                <w:rFonts w:hint="default" w:ascii="Times New Roman" w:hAnsi="Times New Roman" w:eastAsia="宋体" w:cs="Times New Roman"/>
                <w:color w:val="auto"/>
                <w:kern w:val="0"/>
                <w:sz w:val="24"/>
                <w:szCs w:val="24"/>
                <w:highlight w:val="none"/>
                <w:u w:val="none"/>
                <w:lang w:val="en-US" w:eastAsia="zh-CN" w:bidi="ar"/>
              </w:rPr>
              <w:t>1t/t-</w:t>
            </w:r>
            <w:r>
              <w:rPr>
                <w:rFonts w:hint="eastAsia" w:ascii="宋体" w:hAnsi="宋体" w:eastAsia="宋体" w:cs="宋体"/>
                <w:color w:val="auto"/>
                <w:kern w:val="0"/>
                <w:sz w:val="24"/>
                <w:szCs w:val="24"/>
                <w:highlight w:val="none"/>
                <w:u w:val="none"/>
                <w:lang w:val="en-US" w:eastAsia="zh-CN" w:bidi="ar"/>
              </w:rPr>
              <w:t xml:space="preserve">原料，本项目年破碎废料为 </w:t>
            </w:r>
            <w:r>
              <w:rPr>
                <w:rFonts w:hint="eastAsia" w:cs="Times New Roman"/>
                <w:color w:val="auto"/>
                <w:kern w:val="0"/>
                <w:sz w:val="24"/>
                <w:szCs w:val="24"/>
                <w:highlight w:val="none"/>
                <w:u w:val="none"/>
                <w:lang w:val="en-US" w:eastAsia="zh-CN" w:bidi="ar"/>
              </w:rPr>
              <w:t>530</w:t>
            </w:r>
            <w:r>
              <w:rPr>
                <w:rFonts w:hint="default" w:ascii="Times New Roman" w:hAnsi="Times New Roman" w:eastAsia="宋体" w:cs="Times New Roman"/>
                <w:color w:val="auto"/>
                <w:kern w:val="0"/>
                <w:sz w:val="24"/>
                <w:szCs w:val="24"/>
                <w:highlight w:val="none"/>
                <w:u w:val="none"/>
                <w:lang w:val="en-US" w:eastAsia="zh-CN" w:bidi="ar"/>
              </w:rPr>
              <w:t>t</w:t>
            </w:r>
            <w:r>
              <w:rPr>
                <w:rFonts w:hint="eastAsia" w:ascii="宋体" w:hAnsi="宋体" w:eastAsia="宋体" w:cs="宋体"/>
                <w:color w:val="auto"/>
                <w:kern w:val="0"/>
                <w:sz w:val="24"/>
                <w:szCs w:val="24"/>
                <w:highlight w:val="none"/>
                <w:u w:val="none"/>
                <w:lang w:val="en-US" w:eastAsia="zh-CN" w:bidi="ar"/>
              </w:rPr>
              <w:t>，则产生的原料清洗废水量为</w:t>
            </w:r>
            <w:r>
              <w:rPr>
                <w:rFonts w:hint="eastAsia" w:cs="Times New Roman"/>
                <w:color w:val="auto"/>
                <w:kern w:val="0"/>
                <w:sz w:val="24"/>
                <w:szCs w:val="24"/>
                <w:highlight w:val="none"/>
                <w:u w:val="none"/>
                <w:lang w:val="en-US" w:eastAsia="zh-CN" w:bidi="ar"/>
              </w:rPr>
              <w:t>530</w:t>
            </w:r>
            <w:r>
              <w:rPr>
                <w:rFonts w:hint="default" w:ascii="Times New Roman" w:hAnsi="Times New Roman" w:eastAsia="宋体" w:cs="Times New Roman"/>
                <w:color w:val="auto"/>
                <w:kern w:val="0"/>
                <w:sz w:val="24"/>
                <w:szCs w:val="24"/>
                <w:highlight w:val="none"/>
                <w:u w:val="none"/>
                <w:lang w:val="en-US" w:eastAsia="zh-CN" w:bidi="ar"/>
              </w:rPr>
              <w:t>t/a</w:t>
            </w:r>
            <w:r>
              <w:rPr>
                <w:rFonts w:hint="eastAsia" w:ascii="宋体" w:hAnsi="宋体" w:eastAsia="宋体" w:cs="宋体"/>
                <w:color w:val="auto"/>
                <w:kern w:val="0"/>
                <w:sz w:val="24"/>
                <w:szCs w:val="24"/>
                <w:highlight w:val="none"/>
                <w:u w:val="none"/>
                <w:lang w:val="en-US" w:eastAsia="zh-CN" w:bidi="ar"/>
              </w:rPr>
              <w:t>；废水产生量取0.9，则产生废水</w:t>
            </w:r>
            <w:r>
              <w:rPr>
                <w:rFonts w:hint="eastAsia" w:ascii="宋体" w:hAnsi="宋体" w:cs="宋体"/>
                <w:color w:val="auto"/>
                <w:kern w:val="0"/>
                <w:sz w:val="24"/>
                <w:szCs w:val="24"/>
                <w:highlight w:val="none"/>
                <w:u w:val="none"/>
                <w:lang w:val="en-US" w:eastAsia="zh-CN" w:bidi="ar"/>
              </w:rPr>
              <w:t>477</w:t>
            </w:r>
            <w:r>
              <w:rPr>
                <w:rFonts w:hint="default" w:ascii="Times New Roman" w:hAnsi="Times New Roman" w:eastAsia="宋体" w:cs="Times New Roman"/>
                <w:color w:val="auto"/>
                <w:kern w:val="0"/>
                <w:sz w:val="24"/>
                <w:szCs w:val="24"/>
                <w:highlight w:val="none"/>
                <w:u w:val="none"/>
                <w:lang w:val="en-US" w:eastAsia="zh-CN" w:bidi="ar"/>
              </w:rPr>
              <w:t>t/a</w:t>
            </w:r>
            <w:r>
              <w:rPr>
                <w:rFonts w:hint="eastAsia" w:ascii="宋体" w:hAnsi="宋体" w:eastAsia="宋体" w:cs="宋体"/>
                <w:color w:val="auto"/>
                <w:kern w:val="0"/>
                <w:sz w:val="24"/>
                <w:szCs w:val="24"/>
                <w:highlight w:val="none"/>
                <w:u w:val="none"/>
                <w:lang w:val="en-US" w:eastAsia="zh-CN" w:bidi="ar"/>
              </w:rPr>
              <w:t xml:space="preserve"> 。生产废水经自建污水处理设施处理后，外排至市政污水管网，最后进入华容县桥东污水处理厂处置。</w:t>
            </w:r>
          </w:p>
          <w:p>
            <w:pPr>
              <w:bidi w:val="0"/>
              <w:spacing w:line="360" w:lineRule="auto"/>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object>
                <v:shape id="_x0000_i1025" o:spt="75" type="#_x0000_t75" style="height:145.5pt;width:367.5pt;" o:ole="t" filled="f" o:preferrelative="t" stroked="f" coordsize="21600,21600">
                  <v:path/>
                  <v:fill on="f" focussize="0,0"/>
                  <v:stroke on="f"/>
                  <v:imagedata r:id="rId13" o:title=""/>
                  <o:lock v:ext="edit" aspectratio="f"/>
                  <w10:wrap type="none"/>
                  <w10:anchorlock/>
                </v:shape>
                <o:OLEObject Type="Embed" ProgID="Visio.Drawing.11" ShapeID="_x0000_i1025" DrawAspect="Content" ObjectID="_1468075725" r:id="rId12">
                  <o:LockedField>false</o:LockedField>
                </o:OLEObject>
              </w:object>
            </w:r>
          </w:p>
          <w:p>
            <w:pPr>
              <w:keepNext w:val="0"/>
              <w:keepLines w:val="0"/>
              <w:widowControl/>
              <w:suppressLineNumbers w:val="0"/>
              <w:spacing w:line="360" w:lineRule="auto"/>
              <w:jc w:val="center"/>
              <w:rPr>
                <w:rFonts w:hint="eastAsia" w:ascii="宋体" w:hAnsi="宋体" w:eastAsia="宋体" w:cs="宋体"/>
                <w:b/>
                <w:bCs/>
                <w:color w:val="auto"/>
                <w:kern w:val="0"/>
                <w:sz w:val="21"/>
                <w:szCs w:val="21"/>
                <w:highlight w:val="none"/>
                <w:u w:val="single"/>
                <w:lang w:val="en-US" w:eastAsia="zh-CN" w:bidi="ar"/>
              </w:rPr>
            </w:pPr>
            <w:r>
              <w:rPr>
                <w:rFonts w:hint="eastAsia" w:ascii="宋体" w:hAnsi="宋体" w:eastAsia="宋体" w:cs="宋体"/>
                <w:b/>
                <w:bCs/>
                <w:color w:val="auto"/>
                <w:kern w:val="0"/>
                <w:sz w:val="21"/>
                <w:szCs w:val="21"/>
                <w:highlight w:val="none"/>
                <w:u w:val="single"/>
                <w:lang w:val="en-US" w:eastAsia="zh-CN" w:bidi="ar"/>
              </w:rPr>
              <w:t>图</w:t>
            </w:r>
            <w:r>
              <w:rPr>
                <w:rFonts w:hint="default" w:ascii="宋体" w:hAnsi="宋体" w:eastAsia="宋体" w:cs="宋体"/>
                <w:b/>
                <w:bCs/>
                <w:color w:val="auto"/>
                <w:kern w:val="0"/>
                <w:sz w:val="21"/>
                <w:szCs w:val="21"/>
                <w:highlight w:val="none"/>
                <w:u w:val="single"/>
                <w:lang w:val="en-US" w:eastAsia="zh-CN" w:bidi="ar"/>
              </w:rPr>
              <w:t>2-</w:t>
            </w:r>
            <w:r>
              <w:rPr>
                <w:rFonts w:hint="eastAsia" w:ascii="宋体" w:hAnsi="宋体" w:eastAsia="宋体" w:cs="宋体"/>
                <w:b/>
                <w:bCs/>
                <w:color w:val="auto"/>
                <w:kern w:val="0"/>
                <w:sz w:val="21"/>
                <w:szCs w:val="21"/>
                <w:highlight w:val="none"/>
                <w:u w:val="single"/>
                <w:lang w:val="en-US" w:eastAsia="zh-CN" w:bidi="ar"/>
              </w:rPr>
              <w:t>1</w:t>
            </w:r>
            <w:r>
              <w:rPr>
                <w:rFonts w:hint="default" w:ascii="宋体" w:hAnsi="宋体" w:eastAsia="宋体" w:cs="宋体"/>
                <w:b/>
                <w:bCs/>
                <w:color w:val="auto"/>
                <w:kern w:val="0"/>
                <w:sz w:val="21"/>
                <w:szCs w:val="21"/>
                <w:highlight w:val="none"/>
                <w:u w:val="single"/>
                <w:lang w:val="en-US" w:eastAsia="zh-CN" w:bidi="ar"/>
              </w:rPr>
              <w:t xml:space="preserve"> </w:t>
            </w:r>
            <w:r>
              <w:rPr>
                <w:rFonts w:hint="eastAsia" w:ascii="宋体" w:hAnsi="宋体" w:eastAsia="宋体" w:cs="宋体"/>
                <w:b/>
                <w:bCs/>
                <w:color w:val="auto"/>
                <w:kern w:val="0"/>
                <w:sz w:val="21"/>
                <w:szCs w:val="21"/>
                <w:highlight w:val="none"/>
                <w:u w:val="single"/>
                <w:lang w:val="en-US" w:eastAsia="zh-CN" w:bidi="ar"/>
              </w:rPr>
              <w:t>项目水平衡图</w:t>
            </w:r>
            <w:r>
              <w:rPr>
                <w:rFonts w:hint="default" w:ascii="宋体" w:hAnsi="宋体" w:eastAsia="宋体" w:cs="宋体"/>
                <w:b/>
                <w:bCs/>
                <w:color w:val="auto"/>
                <w:kern w:val="0"/>
                <w:sz w:val="21"/>
                <w:szCs w:val="21"/>
                <w:highlight w:val="none"/>
                <w:u w:val="single"/>
                <w:lang w:val="en-US" w:eastAsia="zh-CN" w:bidi="ar"/>
              </w:rPr>
              <w:t xml:space="preserve"> </w:t>
            </w:r>
            <w:r>
              <w:rPr>
                <w:rFonts w:hint="eastAsia" w:ascii="宋体" w:hAnsi="宋体" w:eastAsia="宋体" w:cs="宋体"/>
                <w:b/>
                <w:bCs/>
                <w:color w:val="auto"/>
                <w:kern w:val="0"/>
                <w:sz w:val="21"/>
                <w:szCs w:val="21"/>
                <w:highlight w:val="none"/>
                <w:u w:val="single"/>
                <w:lang w:val="en-US" w:eastAsia="zh-CN" w:bidi="ar"/>
              </w:rPr>
              <w:t>单位：t</w:t>
            </w:r>
            <w:r>
              <w:rPr>
                <w:rFonts w:hint="default" w:ascii="宋体" w:hAnsi="宋体" w:eastAsia="宋体" w:cs="宋体"/>
                <w:b/>
                <w:bCs/>
                <w:color w:val="auto"/>
                <w:kern w:val="0"/>
                <w:sz w:val="21"/>
                <w:szCs w:val="21"/>
                <w:highlight w:val="none"/>
                <w:u w:val="single"/>
                <w:lang w:val="en-US" w:eastAsia="zh-CN" w:bidi="ar"/>
              </w:rPr>
              <w:t>/</w:t>
            </w:r>
            <w:r>
              <w:rPr>
                <w:rFonts w:hint="eastAsia" w:ascii="宋体" w:hAnsi="宋体" w:eastAsia="宋体" w:cs="宋体"/>
                <w:b/>
                <w:bCs/>
                <w:color w:val="auto"/>
                <w:kern w:val="0"/>
                <w:sz w:val="21"/>
                <w:szCs w:val="21"/>
                <w:highlight w:val="none"/>
                <w:u w:val="single"/>
                <w:lang w:val="en-US" w:eastAsia="zh-CN" w:bidi="ar"/>
              </w:rPr>
              <w:t>a</w:t>
            </w:r>
          </w:p>
          <w:p>
            <w:pPr>
              <w:pStyle w:val="41"/>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outlineLvl w:val="9"/>
              <w:rPr>
                <w:rFonts w:hint="default" w:ascii="Times New Roman" w:hAnsi="Times New Roman" w:eastAsia="宋体" w:cs="Times New Roman"/>
                <w:b/>
                <w:color w:val="auto"/>
                <w:sz w:val="24"/>
                <w:szCs w:val="32"/>
                <w:highlight w:val="none"/>
              </w:rPr>
            </w:pPr>
            <w:r>
              <w:rPr>
                <w:rFonts w:hint="eastAsia" w:ascii="Times New Roman" w:hAnsi="Times New Roman" w:eastAsia="宋体" w:cs="Times New Roman"/>
                <w:b/>
                <w:color w:val="auto"/>
                <w:sz w:val="24"/>
                <w:szCs w:val="32"/>
                <w:highlight w:val="none"/>
                <w:lang w:val="en-US" w:eastAsia="zh-CN"/>
              </w:rPr>
              <w:t>8</w:t>
            </w:r>
            <w:r>
              <w:rPr>
                <w:rFonts w:hint="default" w:ascii="Times New Roman" w:hAnsi="Times New Roman" w:eastAsia="宋体" w:cs="Times New Roman"/>
                <w:b/>
                <w:color w:val="auto"/>
                <w:sz w:val="24"/>
                <w:szCs w:val="32"/>
                <w:highlight w:val="none"/>
              </w:rPr>
              <w:t>、工作制度和劳动定员</w:t>
            </w:r>
          </w:p>
          <w:p>
            <w:pPr>
              <w:pStyle w:val="41"/>
              <w:keepNext w:val="0"/>
              <w:keepLines w:val="0"/>
              <w:pageBreakBefore w:val="0"/>
              <w:widowControl w:val="0"/>
              <w:kinsoku/>
              <w:wordWrap/>
              <w:overflowPunct/>
              <w:topLinePunct w:val="0"/>
              <w:autoSpaceDE/>
              <w:autoSpaceDN/>
              <w:bidi w:val="0"/>
              <w:adjustRightInd w:val="0"/>
              <w:snapToGrid w:val="0"/>
              <w:spacing w:line="360" w:lineRule="auto"/>
              <w:ind w:firstLine="480"/>
              <w:textAlignment w:val="auto"/>
              <w:outlineLvl w:val="9"/>
              <w:rPr>
                <w:rFonts w:hint="eastAsia" w:ascii="Times New Roman" w:hAnsi="Times New Roman" w:eastAsia="宋体" w:cs="Times New Roman"/>
                <w:b w:val="0"/>
                <w:bCs w:val="0"/>
                <w:color w:val="auto"/>
                <w:sz w:val="24"/>
                <w:szCs w:val="24"/>
                <w:highlight w:val="none"/>
                <w:lang w:val="en-US" w:eastAsia="zh-CN"/>
              </w:rPr>
            </w:pPr>
            <w:r>
              <w:rPr>
                <w:rFonts w:hint="eastAsia" w:eastAsia="宋体" w:cs="Times New Roman"/>
                <w:color w:val="auto"/>
                <w:sz w:val="24"/>
                <w:szCs w:val="32"/>
                <w:highlight w:val="none"/>
                <w:lang w:val="en-US" w:eastAsia="zh-CN"/>
              </w:rPr>
              <w:t>本项目</w:t>
            </w:r>
            <w:r>
              <w:rPr>
                <w:rFonts w:hint="default" w:ascii="Times New Roman" w:hAnsi="Times New Roman" w:eastAsia="宋体" w:cs="Times New Roman"/>
                <w:color w:val="auto"/>
                <w:sz w:val="24"/>
                <w:szCs w:val="32"/>
                <w:highlight w:val="none"/>
              </w:rPr>
              <w:t>项目年工作</w:t>
            </w:r>
            <w:r>
              <w:rPr>
                <w:rFonts w:hint="eastAsia" w:cs="Times New Roman"/>
                <w:color w:val="auto"/>
                <w:sz w:val="24"/>
                <w:szCs w:val="32"/>
                <w:highlight w:val="none"/>
                <w:lang w:val="en-US" w:eastAsia="zh-CN"/>
              </w:rPr>
              <w:t>300</w:t>
            </w:r>
            <w:r>
              <w:rPr>
                <w:rFonts w:hint="default" w:ascii="Times New Roman" w:hAnsi="Times New Roman" w:eastAsia="宋体" w:cs="Times New Roman"/>
                <w:color w:val="auto"/>
                <w:sz w:val="24"/>
                <w:szCs w:val="32"/>
                <w:highlight w:val="none"/>
              </w:rPr>
              <w:t>天，每天</w:t>
            </w:r>
            <w:r>
              <w:rPr>
                <w:rFonts w:hint="default" w:ascii="Times New Roman" w:hAnsi="Times New Roman" w:cs="Times New Roman"/>
                <w:color w:val="auto"/>
                <w:sz w:val="24"/>
                <w:szCs w:val="32"/>
                <w:highlight w:val="none"/>
                <w:lang w:val="en-US" w:eastAsia="zh-CN"/>
              </w:rPr>
              <w:t>1</w:t>
            </w:r>
            <w:r>
              <w:rPr>
                <w:rFonts w:hint="default" w:ascii="Times New Roman" w:hAnsi="Times New Roman" w:eastAsia="宋体" w:cs="Times New Roman"/>
                <w:color w:val="auto"/>
                <w:sz w:val="24"/>
                <w:szCs w:val="32"/>
                <w:highlight w:val="none"/>
              </w:rPr>
              <w:t>班，每班</w:t>
            </w:r>
            <w:r>
              <w:rPr>
                <w:rFonts w:hint="eastAsia" w:cs="Times New Roman"/>
                <w:color w:val="auto"/>
                <w:sz w:val="24"/>
                <w:szCs w:val="32"/>
                <w:highlight w:val="none"/>
                <w:lang w:val="en-US" w:eastAsia="zh-CN"/>
              </w:rPr>
              <w:t>8</w:t>
            </w:r>
            <w:r>
              <w:rPr>
                <w:rFonts w:hint="default" w:ascii="Times New Roman" w:hAnsi="Times New Roman" w:eastAsia="宋体" w:cs="Times New Roman"/>
                <w:color w:val="auto"/>
                <w:sz w:val="24"/>
                <w:szCs w:val="32"/>
                <w:highlight w:val="none"/>
              </w:rPr>
              <w:t>小时。劳动定员为</w:t>
            </w:r>
            <w:r>
              <w:rPr>
                <w:rFonts w:hint="eastAsia" w:cs="Times New Roman"/>
                <w:color w:val="auto"/>
                <w:sz w:val="24"/>
                <w:szCs w:val="32"/>
                <w:highlight w:val="none"/>
                <w:lang w:val="en-US" w:eastAsia="zh-CN"/>
              </w:rPr>
              <w:t>20</w:t>
            </w:r>
            <w:r>
              <w:rPr>
                <w:rFonts w:hint="default" w:ascii="Times New Roman" w:hAnsi="Times New Roman" w:eastAsia="宋体" w:cs="Times New Roman"/>
                <w:color w:val="auto"/>
                <w:sz w:val="24"/>
                <w:szCs w:val="32"/>
                <w:highlight w:val="none"/>
              </w:rPr>
              <w:t>人，</w:t>
            </w:r>
            <w:r>
              <w:rPr>
                <w:rFonts w:hint="eastAsia" w:cs="Times New Roman"/>
                <w:color w:val="auto"/>
                <w:sz w:val="24"/>
                <w:szCs w:val="32"/>
                <w:highlight w:val="none"/>
                <w:lang w:val="en-US" w:eastAsia="zh-CN"/>
              </w:rPr>
              <w:t>厂区内不设食宿</w:t>
            </w:r>
            <w:r>
              <w:rPr>
                <w:rFonts w:hint="default" w:ascii="Times New Roman" w:hAnsi="Times New Roman" w:eastAsia="宋体" w:cs="Times New Roman"/>
                <w:color w:val="auto"/>
                <w:sz w:val="24"/>
                <w:szCs w:val="32"/>
                <w:highlight w:val="none"/>
              </w:rPr>
              <w:t>。</w:t>
            </w:r>
          </w:p>
          <w:p>
            <w:pPr>
              <w:pStyle w:val="41"/>
              <w:keepNext w:val="0"/>
              <w:keepLines w:val="0"/>
              <w:pageBreakBefore w:val="0"/>
              <w:widowControl w:val="0"/>
              <w:numPr>
                <w:ilvl w:val="-1"/>
                <w:numId w:val="0"/>
              </w:numPr>
              <w:kinsoku/>
              <w:wordWrap/>
              <w:overflowPunct/>
              <w:topLinePunct w:val="0"/>
              <w:autoSpaceDE/>
              <w:autoSpaceDN/>
              <w:bidi w:val="0"/>
              <w:adjustRightInd w:val="0"/>
              <w:snapToGrid w:val="0"/>
              <w:spacing w:line="360" w:lineRule="auto"/>
              <w:textAlignment w:val="auto"/>
              <w:outlineLvl w:val="9"/>
              <w:rPr>
                <w:rFonts w:hint="default" w:ascii="Times New Roman" w:hAnsi="Times New Roman" w:eastAsia="宋体" w:cs="Times New Roman"/>
                <w:b/>
                <w:color w:val="auto"/>
                <w:sz w:val="24"/>
                <w:szCs w:val="32"/>
                <w:highlight w:val="none"/>
                <w:lang w:val="en-US" w:eastAsia="zh-CN"/>
              </w:rPr>
            </w:pPr>
            <w:r>
              <w:rPr>
                <w:rFonts w:hint="eastAsia" w:cs="Times New Roman"/>
                <w:b/>
                <w:color w:val="auto"/>
                <w:sz w:val="24"/>
                <w:szCs w:val="32"/>
                <w:highlight w:val="none"/>
                <w:lang w:val="en-US" w:eastAsia="zh-CN"/>
              </w:rPr>
              <w:t>9</w:t>
            </w:r>
            <w:r>
              <w:rPr>
                <w:rFonts w:hint="default" w:cs="Times New Roman"/>
                <w:b/>
                <w:color w:val="auto"/>
                <w:sz w:val="24"/>
                <w:szCs w:val="32"/>
                <w:highlight w:val="none"/>
                <w:lang w:val="en-US" w:eastAsia="zh-CN"/>
              </w:rPr>
              <w:t>、</w:t>
            </w:r>
            <w:r>
              <w:rPr>
                <w:rFonts w:hint="default" w:ascii="Times New Roman" w:hAnsi="Times New Roman" w:eastAsia="宋体" w:cs="Times New Roman"/>
                <w:b/>
                <w:color w:val="auto"/>
                <w:sz w:val="24"/>
                <w:szCs w:val="32"/>
                <w:highlight w:val="none"/>
                <w:lang w:val="en-US" w:eastAsia="zh-CN"/>
              </w:rPr>
              <w:t>平面布局</w:t>
            </w:r>
          </w:p>
          <w:p>
            <w:pPr>
              <w:pStyle w:val="31"/>
              <w:bidi w:val="0"/>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项目用地用地较为简单，厂房租用的是两个空置的仓库，不设置食宿区。厂房西边</w:t>
            </w:r>
            <w:r>
              <w:rPr>
                <w:rFonts w:hint="eastAsia" w:ascii="宋体" w:hAnsi="宋体" w:cs="宋体"/>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仓库设为原料堆存区、分拣区，东边</w:t>
            </w:r>
            <w:r>
              <w:rPr>
                <w:rFonts w:hint="eastAsia" w:ascii="宋体" w:hAnsi="宋体" w:cs="宋体"/>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#仓库为破碎区、产品堆存区，平面布局简单明了，在满足安全、卫生的前提下，工艺流畅，物料运输快捷。结合周围居民分布情况</w:t>
            </w:r>
            <w:r>
              <w:rPr>
                <w:rFonts w:hint="eastAsia"/>
                <w:color w:val="auto"/>
                <w:highlight w:val="none"/>
              </w:rPr>
              <w:t>，</w:t>
            </w:r>
            <w:r>
              <w:rPr>
                <w:rFonts w:hint="eastAsia" w:ascii="宋体" w:hAnsi="宋体" w:cs="宋体"/>
                <w:color w:val="auto"/>
                <w:kern w:val="0"/>
                <w:sz w:val="24"/>
                <w:szCs w:val="24"/>
                <w:highlight w:val="none"/>
                <w:lang w:val="en-US" w:eastAsia="zh-CN" w:bidi="ar"/>
              </w:rPr>
              <w:t>建议</w:t>
            </w:r>
            <w:r>
              <w:rPr>
                <w:rFonts w:hint="eastAsia" w:ascii="宋体" w:hAnsi="宋体" w:eastAsia="宋体" w:cs="宋体"/>
                <w:color w:val="auto"/>
                <w:kern w:val="0"/>
                <w:sz w:val="24"/>
                <w:szCs w:val="24"/>
                <w:highlight w:val="none"/>
                <w:lang w:val="en-US" w:eastAsia="zh-CN" w:bidi="ar"/>
              </w:rPr>
              <w:t>破碎区</w:t>
            </w:r>
            <w:r>
              <w:rPr>
                <w:rFonts w:hint="eastAsia" w:ascii="宋体" w:hAnsi="宋体" w:cs="宋体"/>
                <w:color w:val="auto"/>
                <w:kern w:val="0"/>
                <w:sz w:val="24"/>
                <w:szCs w:val="24"/>
                <w:highlight w:val="none"/>
                <w:lang w:val="en-US" w:eastAsia="zh-CN" w:bidi="ar"/>
              </w:rPr>
              <w:t>布置</w:t>
            </w:r>
            <w:r>
              <w:rPr>
                <w:rFonts w:hint="eastAsia" w:ascii="宋体" w:hAnsi="宋体" w:eastAsia="宋体" w:cs="宋体"/>
                <w:color w:val="auto"/>
                <w:kern w:val="0"/>
                <w:sz w:val="24"/>
                <w:szCs w:val="24"/>
                <w:highlight w:val="none"/>
                <w:lang w:val="en-US" w:eastAsia="zh-CN" w:bidi="ar"/>
              </w:rPr>
              <w:t>在</w:t>
            </w:r>
            <w:r>
              <w:rPr>
                <w:rFonts w:hint="eastAsia" w:ascii="宋体" w:hAnsi="宋体" w:cs="宋体"/>
                <w:color w:val="auto"/>
                <w:kern w:val="0"/>
                <w:sz w:val="24"/>
                <w:szCs w:val="24"/>
                <w:highlight w:val="none"/>
                <w:lang w:val="en-US" w:eastAsia="zh-CN" w:bidi="ar"/>
              </w:rPr>
              <w:t>厂区南侧，南侧无</w:t>
            </w:r>
            <w:r>
              <w:rPr>
                <w:rFonts w:hint="eastAsia" w:ascii="宋体" w:hAnsi="宋体" w:eastAsia="宋体" w:cs="宋体"/>
                <w:color w:val="auto"/>
                <w:kern w:val="0"/>
                <w:sz w:val="24"/>
                <w:szCs w:val="24"/>
                <w:highlight w:val="none"/>
                <w:lang w:val="en-US" w:eastAsia="zh-CN" w:bidi="ar"/>
              </w:rPr>
              <w:t>居民点，</w:t>
            </w:r>
            <w:r>
              <w:rPr>
                <w:rFonts w:hint="eastAsia" w:ascii="宋体" w:hAnsi="宋体" w:cs="宋体"/>
                <w:color w:val="auto"/>
                <w:kern w:val="0"/>
                <w:sz w:val="24"/>
                <w:szCs w:val="24"/>
                <w:highlight w:val="none"/>
                <w:lang w:val="en-US" w:eastAsia="zh-CN" w:bidi="ar"/>
              </w:rPr>
              <w:t>也可以</w:t>
            </w:r>
            <w:r>
              <w:rPr>
                <w:rFonts w:hint="eastAsia" w:ascii="宋体" w:hAnsi="宋体" w:eastAsia="宋体" w:cs="宋体"/>
                <w:color w:val="auto"/>
                <w:kern w:val="0"/>
                <w:sz w:val="24"/>
                <w:szCs w:val="24"/>
                <w:highlight w:val="none"/>
                <w:lang w:val="en-US" w:eastAsia="zh-CN" w:bidi="ar"/>
              </w:rPr>
              <w:t>最大程度减少颗粒物排放对</w:t>
            </w:r>
            <w:r>
              <w:rPr>
                <w:rFonts w:hint="eastAsia" w:ascii="宋体" w:hAnsi="宋体" w:cs="宋体"/>
                <w:color w:val="auto"/>
                <w:kern w:val="0"/>
                <w:sz w:val="24"/>
                <w:szCs w:val="24"/>
                <w:highlight w:val="none"/>
                <w:lang w:val="en-US" w:eastAsia="zh-CN" w:bidi="ar"/>
              </w:rPr>
              <w:t>北</w:t>
            </w:r>
            <w:r>
              <w:rPr>
                <w:rFonts w:hint="eastAsia" w:ascii="宋体" w:hAnsi="宋体" w:eastAsia="宋体" w:cs="宋体"/>
                <w:color w:val="auto"/>
                <w:kern w:val="0"/>
                <w:sz w:val="24"/>
                <w:szCs w:val="24"/>
                <w:highlight w:val="none"/>
                <w:lang w:val="en-US" w:eastAsia="zh-CN" w:bidi="ar"/>
              </w:rPr>
              <w:t>侧居民的影响；危废暂存间设置在破碎区的</w:t>
            </w:r>
            <w:r>
              <w:rPr>
                <w:rFonts w:hint="eastAsia" w:ascii="宋体" w:hAnsi="宋体" w:cs="宋体"/>
                <w:color w:val="auto"/>
                <w:kern w:val="0"/>
                <w:sz w:val="24"/>
                <w:szCs w:val="24"/>
                <w:highlight w:val="none"/>
                <w:lang w:val="en-US" w:eastAsia="zh-CN" w:bidi="ar"/>
              </w:rPr>
              <w:t>东北</w:t>
            </w:r>
            <w:r>
              <w:rPr>
                <w:rFonts w:hint="eastAsia" w:ascii="宋体" w:hAnsi="宋体" w:eastAsia="宋体" w:cs="宋体"/>
                <w:color w:val="auto"/>
                <w:kern w:val="0"/>
                <w:sz w:val="24"/>
                <w:szCs w:val="24"/>
                <w:highlight w:val="none"/>
                <w:lang w:val="en-US" w:eastAsia="zh-CN" w:bidi="ar"/>
              </w:rPr>
              <w:t>角，方便破碎加工过程中产生的危废的转运；厂房周边再通过围墙与绿化带减少对周边环境的影响。</w:t>
            </w:r>
          </w:p>
          <w:p>
            <w:pPr>
              <w:pStyle w:val="31"/>
              <w:bidi w:val="0"/>
              <w:rPr>
                <w:color w:val="auto"/>
                <w:highlight w:val="none"/>
              </w:rPr>
            </w:pPr>
            <w:r>
              <w:rPr>
                <w:rFonts w:hint="eastAsia" w:ascii="宋体" w:hAnsi="宋体" w:eastAsia="宋体" w:cs="宋体"/>
                <w:color w:val="auto"/>
                <w:kern w:val="0"/>
                <w:sz w:val="24"/>
                <w:szCs w:val="24"/>
                <w:highlight w:val="none"/>
                <w:lang w:val="en-US" w:eastAsia="zh-CN" w:bidi="ar"/>
              </w:rPr>
              <w:t>项目平面布置清晰明了，在满足安全、卫生的前提下，工艺流畅，物料运输快捷方便。</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744" w:type="dxa"/>
            <w:vAlign w:val="center"/>
          </w:tcPr>
          <w:p>
            <w:pPr>
              <w:pStyle w:val="21"/>
              <w:adjustRightInd w:val="0"/>
              <w:snapToGrid w:val="0"/>
              <w:spacing w:before="0" w:beforeAutospacing="0" w:after="0" w:afterAutospacing="0" w:line="360" w:lineRule="auto"/>
              <w:jc w:val="center"/>
              <w:rPr>
                <w:rFonts w:hint="eastAsia" w:ascii="宋体" w:hAnsi="宋体" w:eastAsia="宋体" w:cs="宋体"/>
                <w:color w:val="auto"/>
                <w:sz w:val="24"/>
                <w:szCs w:val="24"/>
                <w:highlight w:val="none"/>
              </w:rPr>
            </w:pPr>
            <w:r>
              <w:rPr>
                <w:rFonts w:ascii="Times New Roman" w:hAnsi="Times New Roman"/>
                <w:color w:val="auto"/>
                <w:kern w:val="2"/>
                <w:szCs w:val="24"/>
                <w:highlight w:val="none"/>
              </w:rPr>
              <w:t>工艺流程和产排污环节</w:t>
            </w:r>
          </w:p>
        </w:tc>
        <w:tc>
          <w:tcPr>
            <w:tcW w:w="7778" w:type="dxa"/>
          </w:tcPr>
          <w:p>
            <w:pPr>
              <w:spacing w:line="360" w:lineRule="auto"/>
              <w:ind w:firstLine="480" w:firstLineChars="200"/>
              <w:jc w:val="left"/>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项目的实施主要分为施工期和营运期两个阶段。</w:t>
            </w:r>
          </w:p>
          <w:p>
            <w:pPr>
              <w:spacing w:line="360" w:lineRule="auto"/>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1、施工期</w:t>
            </w:r>
          </w:p>
          <w:p>
            <w:pPr>
              <w:bidi w:val="0"/>
              <w:spacing w:line="360" w:lineRule="auto"/>
              <w:ind w:firstLine="480" w:firstLineChars="200"/>
              <w:rPr>
                <w:rFonts w:hint="eastAsia" w:ascii="Times New Roman" w:hAnsi="Times New Roman" w:eastAsia="宋体" w:cs="Times New Roman"/>
                <w:color w:val="auto"/>
                <w:kern w:val="2"/>
                <w:sz w:val="24"/>
                <w:szCs w:val="24"/>
                <w:highlight w:val="none"/>
                <w:lang w:val="en-US" w:eastAsia="zh-CN" w:bidi="ar-SA"/>
              </w:rPr>
            </w:pPr>
            <w:r>
              <w:rPr>
                <w:rFonts w:hint="eastAsia" w:ascii="Times New Roman" w:hAnsi="Times New Roman" w:eastAsia="宋体" w:cs="Times New Roman"/>
                <w:color w:val="auto"/>
                <w:kern w:val="2"/>
                <w:sz w:val="24"/>
                <w:szCs w:val="24"/>
                <w:highlight w:val="none"/>
                <w:lang w:val="en-US" w:eastAsia="zh-CN" w:bidi="ar-SA"/>
              </w:rPr>
              <w:t>本项目位于湖南省岳阳市华容县章华镇兴南蔡兴村四组，项目租用</w:t>
            </w:r>
            <w:r>
              <w:rPr>
                <w:rFonts w:hint="eastAsia" w:cs="Times New Roman"/>
                <w:color w:val="auto"/>
                <w:kern w:val="2"/>
                <w:sz w:val="24"/>
                <w:szCs w:val="24"/>
                <w:highlight w:val="none"/>
                <w:lang w:val="en-US" w:eastAsia="zh-CN" w:bidi="ar-SA"/>
              </w:rPr>
              <w:t>兴南村</w:t>
            </w:r>
            <w:r>
              <w:rPr>
                <w:rFonts w:hint="eastAsia" w:ascii="Times New Roman" w:hAnsi="Times New Roman" w:eastAsia="宋体" w:cs="Times New Roman"/>
                <w:color w:val="auto"/>
                <w:kern w:val="2"/>
                <w:sz w:val="24"/>
                <w:szCs w:val="24"/>
                <w:highlight w:val="none"/>
                <w:lang w:val="en-US" w:eastAsia="zh-CN" w:bidi="ar-SA"/>
              </w:rPr>
              <w:t>空置仓库，施工期主要是设备基础施工和设备安装与调试，工程量小，污染小，无具体工艺流程。因此，只对项目部分区域的土建进行工程分析及影响分析。</w:t>
            </w:r>
          </w:p>
          <w:p>
            <w:pPr>
              <w:spacing w:line="360" w:lineRule="auto"/>
              <w:rPr>
                <w:rFonts w:eastAsiaTheme="minorEastAsia"/>
                <w:b/>
                <w:color w:val="auto"/>
                <w:spacing w:val="10"/>
                <w:sz w:val="24"/>
                <w:szCs w:val="20"/>
                <w:highlight w:val="none"/>
              </w:rPr>
            </w:pPr>
            <w:r>
              <w:rPr>
                <w:rFonts w:eastAsiaTheme="minorEastAsia"/>
                <w:b/>
                <w:color w:val="auto"/>
                <w:spacing w:val="10"/>
                <w:sz w:val="24"/>
                <w:szCs w:val="20"/>
                <w:highlight w:val="none"/>
              </w:rPr>
              <w:t>2、营运期</w:t>
            </w:r>
          </w:p>
          <w:p>
            <w:pPr>
              <w:bidi w:val="0"/>
              <w:spacing w:line="360" w:lineRule="auto"/>
              <w:ind w:firstLine="482" w:firstLineChars="200"/>
              <w:rPr>
                <w:rFonts w:hint="eastAsia" w:ascii="Times New Roman" w:hAnsi="Times New Roman" w:eastAsia="宋体" w:cs="Times New Roman"/>
                <w:b/>
                <w:bCs/>
                <w:color w:val="auto"/>
                <w:kern w:val="2"/>
                <w:sz w:val="24"/>
                <w:szCs w:val="24"/>
                <w:highlight w:val="none"/>
                <w:lang w:val="en-US" w:eastAsia="zh-CN" w:bidi="ar-SA"/>
              </w:rPr>
            </w:pPr>
            <w:r>
              <w:rPr>
                <w:rFonts w:hint="eastAsia" w:ascii="Times New Roman" w:hAnsi="Times New Roman" w:eastAsia="宋体" w:cs="Times New Roman"/>
                <w:b/>
                <w:bCs/>
                <w:color w:val="auto"/>
                <w:kern w:val="2"/>
                <w:sz w:val="24"/>
                <w:szCs w:val="24"/>
                <w:highlight w:val="none"/>
                <w:lang w:val="en-US" w:eastAsia="zh-CN" w:bidi="ar-SA"/>
              </w:rPr>
              <w:t xml:space="preserve">本项目生产工艺流程为：原料→分拣→脱标→破碎→清洗→甩干→包装出售。具体工艺流程如下： </w:t>
            </w:r>
          </w:p>
          <w:p>
            <w:pPr>
              <w:pStyle w:val="9"/>
              <w:jc w:val="center"/>
              <w:rPr>
                <w:rFonts w:hint="eastAsia"/>
                <w:color w:val="auto"/>
                <w:highlight w:val="none"/>
                <w:lang w:val="en-US" w:eastAsia="zh-CN"/>
              </w:rPr>
            </w:pPr>
            <w:r>
              <w:rPr>
                <w:color w:val="auto"/>
                <w:highlight w:val="none"/>
              </w:rPr>
              <w:drawing>
                <wp:inline distT="0" distB="0" distL="114300" distR="114300">
                  <wp:extent cx="4082415" cy="3903980"/>
                  <wp:effectExtent l="0" t="0" r="13335" b="127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4"/>
                          <a:stretch>
                            <a:fillRect/>
                          </a:stretch>
                        </pic:blipFill>
                        <pic:spPr>
                          <a:xfrm>
                            <a:off x="0" y="0"/>
                            <a:ext cx="4082415" cy="3903980"/>
                          </a:xfrm>
                          <a:prstGeom prst="rect">
                            <a:avLst/>
                          </a:prstGeom>
                          <a:noFill/>
                          <a:ln>
                            <a:noFill/>
                          </a:ln>
                        </pic:spPr>
                      </pic:pic>
                    </a:graphicData>
                  </a:graphic>
                </wp:inline>
              </w:drawing>
            </w:r>
          </w:p>
          <w:p>
            <w:pPr>
              <w:keepNext w:val="0"/>
              <w:keepLines w:val="0"/>
              <w:widowControl/>
              <w:suppressLineNumbers w:val="0"/>
              <w:spacing w:line="36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 xml:space="preserve">图 </w:t>
            </w:r>
            <w:r>
              <w:rPr>
                <w:rFonts w:hint="default" w:ascii="Times New Roman" w:hAnsi="Times New Roman" w:eastAsia="宋体" w:cs="Times New Roman"/>
                <w:b/>
                <w:bCs/>
                <w:color w:val="auto"/>
                <w:kern w:val="0"/>
                <w:sz w:val="21"/>
                <w:szCs w:val="21"/>
                <w:highlight w:val="none"/>
                <w:lang w:val="en-US" w:eastAsia="zh-CN" w:bidi="ar"/>
              </w:rPr>
              <w:t>2-</w:t>
            </w:r>
            <w:r>
              <w:rPr>
                <w:rFonts w:hint="eastAsia" w:cs="Times New Roman"/>
                <w:b/>
                <w:bCs/>
                <w:color w:val="auto"/>
                <w:kern w:val="0"/>
                <w:sz w:val="21"/>
                <w:szCs w:val="21"/>
                <w:highlight w:val="none"/>
                <w:lang w:val="en-US" w:eastAsia="zh-CN" w:bidi="ar"/>
              </w:rPr>
              <w:t>2</w:t>
            </w:r>
            <w:r>
              <w:rPr>
                <w:rFonts w:hint="default" w:ascii="Times New Roman" w:hAnsi="Times New Roman" w:eastAsia="宋体" w:cs="Times New Roman"/>
                <w:b/>
                <w:bCs/>
                <w:color w:val="auto"/>
                <w:kern w:val="0"/>
                <w:sz w:val="21"/>
                <w:szCs w:val="21"/>
                <w:highlight w:val="none"/>
                <w:lang w:val="en-US" w:eastAsia="zh-CN" w:bidi="ar"/>
              </w:rPr>
              <w:t xml:space="preserve"> </w:t>
            </w:r>
            <w:r>
              <w:rPr>
                <w:rFonts w:hint="eastAsia" w:ascii="宋体" w:hAnsi="宋体" w:eastAsia="宋体" w:cs="宋体"/>
                <w:b/>
                <w:bCs/>
                <w:color w:val="auto"/>
                <w:kern w:val="0"/>
                <w:sz w:val="21"/>
                <w:szCs w:val="21"/>
                <w:highlight w:val="none"/>
                <w:lang w:val="en-US" w:eastAsia="zh-CN" w:bidi="ar"/>
              </w:rPr>
              <w:t>项目生产工艺及产污环节图</w:t>
            </w:r>
          </w:p>
          <w:p>
            <w:pPr>
              <w:keepNext w:val="0"/>
              <w:keepLines w:val="0"/>
              <w:widowControl/>
              <w:suppressLineNumbers w:val="0"/>
              <w:spacing w:line="360" w:lineRule="auto"/>
              <w:jc w:val="both"/>
              <w:rPr>
                <w:color w:val="auto"/>
                <w:sz w:val="24"/>
                <w:szCs w:val="24"/>
                <w:highlight w:val="none"/>
              </w:rPr>
            </w:pPr>
            <w:r>
              <w:rPr>
                <w:rFonts w:hint="eastAsia" w:ascii="宋体" w:hAnsi="宋体" w:eastAsia="宋体" w:cs="宋体"/>
                <w:b/>
                <w:bCs/>
                <w:color w:val="auto"/>
                <w:kern w:val="0"/>
                <w:sz w:val="24"/>
                <w:szCs w:val="24"/>
                <w:highlight w:val="none"/>
                <w:lang w:val="en-US" w:eastAsia="zh-CN" w:bidi="ar"/>
              </w:rPr>
              <w:t xml:space="preserve">工艺流程说明： </w:t>
            </w: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 xml:space="preserve">）原料：项目原料主要是从再生资源回收站点外购的符合环保法律、法规要求的废旧塑料（主要为生活日用塑料制品），外购的原料暂存在原料区。 </w:t>
            </w: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 xml:space="preserve">）分拣：采用人工将废旧塑料中混有金属、包装袋、铁丝及其他杂质分拣出来，同时将不同颜色、不同类型的塑料进行初步分类。此过程产生废旧塑料进厂时夹带的不可利用废物。 </w:t>
            </w: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 xml:space="preserve">）脱标：全自动去标采用机械螺旋式结构，利用筒壁与主要旋转相互运动，将塑料瓶身标签纸剥离，然后利用可拆式吸风分离技术，将标签纸从瓶子中分离，可保证不将瓶盖及碎瓶片一同分离。此过程产生噪声和废标签。根据业主提供资料，本项目仅矿泉水瓶需要脱标，其他原料不需脱标。 </w:t>
            </w: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4</w:t>
            </w:r>
            <w:r>
              <w:rPr>
                <w:rFonts w:hint="eastAsia" w:ascii="宋体" w:hAnsi="宋体" w:eastAsia="宋体" w:cs="宋体"/>
                <w:color w:val="auto"/>
                <w:kern w:val="0"/>
                <w:sz w:val="24"/>
                <w:szCs w:val="24"/>
                <w:highlight w:val="none"/>
                <w:lang w:val="en-US" w:eastAsia="zh-CN" w:bidi="ar"/>
              </w:rPr>
              <w:t xml:space="preserve">）破碎：项目配置全自动化破碎清洗回收线，将脱标后的废旧塑料由输送带和提升机送入封闭式破碎机中进行湿法破碎，破碎碎机带有切割刀，对物料进行剪切、冲击、压缩、撕裂、摩擦而达到使物体碎裂的目的。为使破碎机更好的运转并减少破碎工段粉尘的产生，每台破碎机内设置洒水喷头，破碎时进行喷水降尘同时降低破碎刀口温度。此过程产生噪声和破碎废水。 </w:t>
            </w:r>
          </w:p>
          <w:p>
            <w:pPr>
              <w:keepNext w:val="0"/>
              <w:keepLines w:val="0"/>
              <w:widowControl/>
              <w:suppressLineNumbers w:val="0"/>
              <w:spacing w:line="360" w:lineRule="auto"/>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5</w:t>
            </w:r>
            <w:r>
              <w:rPr>
                <w:rFonts w:hint="eastAsia" w:ascii="宋体" w:hAnsi="宋体" w:eastAsia="宋体" w:cs="宋体"/>
                <w:color w:val="auto"/>
                <w:kern w:val="0"/>
                <w:sz w:val="24"/>
                <w:szCs w:val="24"/>
                <w:highlight w:val="none"/>
                <w:lang w:val="en-US" w:eastAsia="zh-CN" w:bidi="ar"/>
              </w:rPr>
              <w:t>）清洗：破碎后的塑料碎片进入三级清洗水槽进行清洗，清洗介质为清水，不添加任何清洗剂</w:t>
            </w:r>
            <w:r>
              <w:rPr>
                <w:rFonts w:hint="eastAsia" w:ascii="宋体" w:hAnsi="宋体" w:eastAsia="宋体" w:cs="宋体"/>
                <w:color w:val="auto"/>
                <w:kern w:val="0"/>
                <w:sz w:val="24"/>
                <w:szCs w:val="24"/>
                <w:highlight w:val="none"/>
                <w:u w:val="none"/>
                <w:lang w:val="en-US" w:eastAsia="zh-CN" w:bidi="ar"/>
              </w:rPr>
              <w:t>，清洗废水等经自建污水处理设施处理后，外排至市政污水管网，最后进入华容县桥东污水处理厂处置。</w:t>
            </w: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6</w:t>
            </w:r>
            <w:r>
              <w:rPr>
                <w:rFonts w:hint="eastAsia" w:ascii="宋体" w:hAnsi="宋体" w:eastAsia="宋体" w:cs="宋体"/>
                <w:color w:val="auto"/>
                <w:kern w:val="0"/>
                <w:sz w:val="24"/>
                <w:szCs w:val="24"/>
                <w:highlight w:val="none"/>
                <w:lang w:val="en-US" w:eastAsia="zh-CN" w:bidi="ar"/>
              </w:rPr>
              <w:t xml:space="preserve">）甩干：清洗过后的塑料含有水分，须采用甩干机对其进行甩干，去除塑料碎片表面水分。此过程产生噪声和清洗废水。 </w:t>
            </w:r>
          </w:p>
          <w:p>
            <w:pPr>
              <w:keepNext w:val="0"/>
              <w:keepLines w:val="0"/>
              <w:widowControl/>
              <w:suppressLineNumbers w:val="0"/>
              <w:spacing w:line="360" w:lineRule="auto"/>
              <w:ind w:firstLine="480" w:firstLineChars="200"/>
              <w:jc w:val="both"/>
              <w:rPr>
                <w:rFonts w:hint="eastAsia"/>
                <w:color w:val="auto"/>
                <w:highlight w:val="none"/>
                <w:lang w:eastAsia="zh-CN"/>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7</w:t>
            </w:r>
            <w:r>
              <w:rPr>
                <w:rFonts w:hint="eastAsia" w:ascii="宋体" w:hAnsi="宋体" w:eastAsia="宋体" w:cs="宋体"/>
                <w:color w:val="auto"/>
                <w:kern w:val="0"/>
                <w:sz w:val="24"/>
                <w:szCs w:val="24"/>
                <w:highlight w:val="none"/>
                <w:lang w:val="en-US" w:eastAsia="zh-CN" w:bidi="ar"/>
              </w:rPr>
              <w:t>）包装出售：产品包装后入库保存待售。</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863" w:hRule="atLeast"/>
          <w:jc w:val="center"/>
        </w:trPr>
        <w:tc>
          <w:tcPr>
            <w:tcW w:w="744" w:type="dxa"/>
            <w:vAlign w:val="center"/>
          </w:tcPr>
          <w:p>
            <w:pPr>
              <w:pStyle w:val="21"/>
              <w:adjustRightInd w:val="0"/>
              <w:snapToGrid w:val="0"/>
              <w:spacing w:before="0" w:beforeAutospacing="0" w:after="0" w:afterAutospacing="0"/>
              <w:jc w:val="both"/>
              <w:rPr>
                <w:rFonts w:ascii="Times New Roman" w:hAnsi="Times New Roman"/>
                <w:color w:val="auto"/>
                <w:sz w:val="21"/>
                <w:szCs w:val="21"/>
                <w:highlight w:val="none"/>
              </w:rPr>
            </w:pPr>
            <w:r>
              <w:rPr>
                <w:rFonts w:ascii="Times New Roman" w:hAnsi="Times New Roman"/>
                <w:color w:val="auto"/>
                <w:kern w:val="2"/>
                <w:szCs w:val="24"/>
                <w:highlight w:val="none"/>
              </w:rPr>
              <w:t>与项目有关的原有环境污染问题</w:t>
            </w:r>
          </w:p>
        </w:tc>
        <w:tc>
          <w:tcPr>
            <w:tcW w:w="7778" w:type="dxa"/>
            <w:vAlign w:val="center"/>
          </w:tcPr>
          <w:p>
            <w:pPr>
              <w:spacing w:line="360" w:lineRule="auto"/>
              <w:ind w:firstLine="480" w:firstLineChars="200"/>
              <w:jc w:val="both"/>
              <w:rPr>
                <w:bCs/>
                <w:color w:val="auto"/>
                <w:szCs w:val="21"/>
                <w:highlight w:val="none"/>
              </w:rPr>
            </w:pPr>
            <w:r>
              <w:rPr>
                <w:color w:val="auto"/>
                <w:sz w:val="24"/>
                <w:highlight w:val="none"/>
              </w:rPr>
              <w:t>本项目为新建项目，</w:t>
            </w:r>
            <w:r>
              <w:rPr>
                <w:rFonts w:hint="eastAsia" w:ascii="Times New Roman" w:hAnsi="Times New Roman" w:eastAsia="宋体" w:cs="Times New Roman"/>
                <w:b w:val="0"/>
                <w:bCs w:val="0"/>
                <w:color w:val="auto"/>
                <w:sz w:val="24"/>
                <w:szCs w:val="24"/>
                <w:highlight w:val="none"/>
                <w:lang w:val="en-US" w:eastAsia="zh-CN"/>
              </w:rPr>
              <w:t>项目</w:t>
            </w:r>
            <w:r>
              <w:rPr>
                <w:rFonts w:hint="eastAsia" w:cs="Times New Roman"/>
                <w:b w:val="0"/>
                <w:bCs w:val="0"/>
                <w:color w:val="auto"/>
                <w:sz w:val="24"/>
                <w:szCs w:val="24"/>
                <w:highlight w:val="none"/>
                <w:lang w:val="en-US" w:eastAsia="zh-CN"/>
              </w:rPr>
              <w:t>租用兴南村空置仓库为生产经营场所</w:t>
            </w:r>
            <w:r>
              <w:rPr>
                <w:rFonts w:hint="eastAsia" w:eastAsiaTheme="minorEastAsia"/>
                <w:color w:val="auto"/>
                <w:sz w:val="24"/>
                <w:highlight w:val="none"/>
              </w:rPr>
              <w:t>，</w:t>
            </w:r>
            <w:r>
              <w:rPr>
                <w:color w:val="auto"/>
                <w:sz w:val="24"/>
                <w:highlight w:val="none"/>
              </w:rPr>
              <w:t>无历史遗留问题</w:t>
            </w:r>
            <w:r>
              <w:rPr>
                <w:rFonts w:hint="eastAsia"/>
                <w:color w:val="auto"/>
                <w:sz w:val="24"/>
                <w:highlight w:val="none"/>
              </w:rPr>
              <w:t>，无</w:t>
            </w:r>
            <w:r>
              <w:rPr>
                <w:color w:val="auto"/>
                <w:sz w:val="24"/>
                <w:highlight w:val="none"/>
              </w:rPr>
              <w:t>原有环境污染问题</w:t>
            </w:r>
            <w:r>
              <w:rPr>
                <w:rFonts w:hint="eastAsia"/>
                <w:color w:val="auto"/>
                <w:sz w:val="24"/>
                <w:highlight w:val="none"/>
              </w:rPr>
              <w:t>。</w:t>
            </w:r>
            <w:r>
              <w:rPr>
                <w:color w:val="auto"/>
                <w:sz w:val="24"/>
                <w:highlight w:val="none"/>
              </w:rPr>
              <w:t>故不存在与本项目有关的原有环境污染环境问题。</w:t>
            </w:r>
          </w:p>
        </w:tc>
      </w:tr>
    </w:tbl>
    <w:p>
      <w:pPr>
        <w:pStyle w:val="9"/>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1"/>
        <w:numPr>
          <w:ilvl w:val="0"/>
          <w:numId w:val="4"/>
        </w:numPr>
        <w:jc w:val="center"/>
        <w:outlineLvl w:val="0"/>
        <w:rPr>
          <w:rFonts w:hint="eastAsia" w:ascii="黑体" w:hAnsi="黑体" w:eastAsia="黑体"/>
          <w:snapToGrid w:val="0"/>
          <w:color w:val="auto"/>
          <w:sz w:val="30"/>
          <w:szCs w:val="30"/>
          <w:highlight w:val="none"/>
        </w:rPr>
      </w:pPr>
      <w:bookmarkStart w:id="7" w:name="_Toc17886"/>
      <w:bookmarkStart w:id="8" w:name="_Toc15394"/>
      <w:bookmarkStart w:id="9" w:name="_Toc24610"/>
      <w:r>
        <w:rPr>
          <w:rFonts w:hint="eastAsia" w:ascii="黑体" w:hAnsi="黑体" w:eastAsia="黑体"/>
          <w:snapToGrid w:val="0"/>
          <w:color w:val="auto"/>
          <w:sz w:val="30"/>
          <w:szCs w:val="30"/>
          <w:highlight w:val="none"/>
        </w:rPr>
        <w:t>区域环境质量现状、环境保护目标及评价标准</w:t>
      </w:r>
      <w:bookmarkEnd w:id="7"/>
      <w:bookmarkEnd w:id="8"/>
      <w:bookmarkEnd w:id="9"/>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00"/>
        <w:gridCol w:w="819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96" w:hRule="atLeast"/>
          <w:jc w:val="center"/>
        </w:trPr>
        <w:tc>
          <w:tcPr>
            <w:tcW w:w="800" w:type="dxa"/>
            <w:vAlign w:val="center"/>
          </w:tcPr>
          <w:p>
            <w:pPr>
              <w:adjustRightInd w:val="0"/>
              <w:snapToGrid w:val="0"/>
              <w:jc w:val="center"/>
              <w:rPr>
                <w:color w:val="auto"/>
                <w:kern w:val="0"/>
                <w:sz w:val="24"/>
                <w:highlight w:val="none"/>
              </w:rPr>
            </w:pPr>
            <w:r>
              <w:rPr>
                <w:color w:val="auto"/>
                <w:kern w:val="0"/>
                <w:sz w:val="24"/>
                <w:highlight w:val="none"/>
              </w:rPr>
              <w:t>区域</w:t>
            </w:r>
          </w:p>
          <w:p>
            <w:pPr>
              <w:adjustRightInd w:val="0"/>
              <w:snapToGrid w:val="0"/>
              <w:jc w:val="center"/>
              <w:rPr>
                <w:color w:val="auto"/>
                <w:kern w:val="0"/>
                <w:sz w:val="24"/>
                <w:highlight w:val="none"/>
              </w:rPr>
            </w:pPr>
            <w:r>
              <w:rPr>
                <w:color w:val="auto"/>
                <w:kern w:val="0"/>
                <w:sz w:val="24"/>
                <w:highlight w:val="none"/>
              </w:rPr>
              <w:t>环境</w:t>
            </w:r>
          </w:p>
          <w:p>
            <w:pPr>
              <w:adjustRightInd w:val="0"/>
              <w:snapToGrid w:val="0"/>
              <w:jc w:val="center"/>
              <w:rPr>
                <w:color w:val="auto"/>
                <w:kern w:val="0"/>
                <w:sz w:val="24"/>
                <w:highlight w:val="none"/>
              </w:rPr>
            </w:pPr>
            <w:r>
              <w:rPr>
                <w:color w:val="auto"/>
                <w:kern w:val="0"/>
                <w:sz w:val="24"/>
                <w:highlight w:val="none"/>
              </w:rPr>
              <w:t>质量</w:t>
            </w:r>
          </w:p>
          <w:p>
            <w:pPr>
              <w:adjustRightInd w:val="0"/>
              <w:snapToGrid w:val="0"/>
              <w:jc w:val="center"/>
              <w:rPr>
                <w:color w:val="auto"/>
                <w:kern w:val="0"/>
                <w:szCs w:val="21"/>
                <w:highlight w:val="none"/>
              </w:rPr>
            </w:pPr>
            <w:r>
              <w:rPr>
                <w:color w:val="auto"/>
                <w:kern w:val="0"/>
                <w:sz w:val="24"/>
                <w:highlight w:val="none"/>
              </w:rPr>
              <w:t>现状</w:t>
            </w:r>
          </w:p>
        </w:tc>
        <w:tc>
          <w:tcPr>
            <w:tcW w:w="8190" w:type="dxa"/>
            <w:vAlign w:val="center"/>
          </w:tcPr>
          <w:p>
            <w:pPr>
              <w:spacing w:line="360" w:lineRule="auto"/>
              <w:rPr>
                <w:b/>
                <w:bCs/>
                <w:color w:val="auto"/>
                <w:sz w:val="24"/>
                <w:highlight w:val="none"/>
              </w:rPr>
            </w:pPr>
            <w:bookmarkStart w:id="10" w:name="_Toc22171"/>
            <w:bookmarkStart w:id="11" w:name="_Toc29994"/>
            <w:bookmarkStart w:id="12" w:name="_Toc21321"/>
            <w:bookmarkStart w:id="13" w:name="_Toc12966"/>
            <w:bookmarkStart w:id="14" w:name="_Toc11746"/>
            <w:bookmarkStart w:id="15" w:name="_Toc3846"/>
            <w:bookmarkStart w:id="16" w:name="_Toc5548"/>
            <w:bookmarkStart w:id="17" w:name="_Toc8954"/>
            <w:bookmarkStart w:id="18" w:name="_Toc32570"/>
            <w:bookmarkStart w:id="19" w:name="_Toc7863"/>
            <w:r>
              <w:rPr>
                <w:b/>
                <w:bCs/>
                <w:color w:val="auto"/>
                <w:sz w:val="24"/>
                <w:highlight w:val="none"/>
              </w:rPr>
              <w:t>1、环境空气质量现状</w:t>
            </w:r>
            <w:bookmarkEnd w:id="10"/>
            <w:bookmarkEnd w:id="11"/>
            <w:bookmarkEnd w:id="12"/>
            <w:bookmarkEnd w:id="13"/>
            <w:bookmarkEnd w:id="14"/>
            <w:bookmarkEnd w:id="15"/>
            <w:bookmarkEnd w:id="16"/>
            <w:bookmarkEnd w:id="17"/>
            <w:bookmarkEnd w:id="18"/>
            <w:bookmarkEnd w:id="19"/>
          </w:p>
          <w:p>
            <w:pPr>
              <w:tabs>
                <w:tab w:val="left" w:pos="0"/>
              </w:tabs>
              <w:adjustRightInd w:val="0"/>
              <w:snapToGrid w:val="0"/>
              <w:spacing w:line="360" w:lineRule="auto"/>
              <w:ind w:firstLine="496" w:firstLineChars="200"/>
              <w:rPr>
                <w:color w:val="auto"/>
                <w:highlight w:val="none"/>
                <w:u w:val="none"/>
              </w:rPr>
            </w:pPr>
            <w:r>
              <w:rPr>
                <w:color w:val="auto"/>
                <w:spacing w:val="4"/>
                <w:sz w:val="24"/>
                <w:highlight w:val="none"/>
              </w:rPr>
              <w:t>根据《环境影响评价技术导则—大气环境》（HJ2.2-2018）要求，应调查所在区域环境质量达标情况。根据《环境影响评价技术导则—大气环境》（HJ2.2-2018）中“6.2.1项目所在区域达标判定，优先采用国家或地方生态环境主管部门公开发布的评价基准年环境质量公告或环境质量报告中数据或结论”。并且根据导则“5.5依据评价所需环境空气质量现状、气象资料等故据的可获得性、故量质量、代表性等因素，选择近3年中数据相对</w:t>
            </w:r>
            <w:r>
              <w:rPr>
                <w:rFonts w:hint="eastAsia" w:ascii="宋体" w:hAnsi="宋体" w:cs="宋体"/>
                <w:color w:val="auto"/>
                <w:spacing w:val="4"/>
                <w:sz w:val="24"/>
                <w:highlight w:val="none"/>
              </w:rPr>
              <w:t>完整的1个日历年作为评价基准年”的内容，</w:t>
            </w:r>
            <w:r>
              <w:rPr>
                <w:rFonts w:hint="eastAsia" w:ascii="宋体" w:hAnsi="宋体" w:cs="宋体"/>
                <w:color w:val="auto"/>
                <w:sz w:val="24"/>
                <w:highlight w:val="none"/>
                <w:u w:val="none"/>
              </w:rPr>
              <w:t>本项目筛选的评价基准年为2021年。由于本项目评价范围内没有环境空气质量监测网数据，故区域达标判定所用数据引用2021年岳阳市华容县环境监测站点的基本污染物环境质量现状数据。具体达标判定监测数据及评价结果见下表。</w:t>
            </w:r>
          </w:p>
          <w:p>
            <w:pPr>
              <w:jc w:val="center"/>
              <w:rPr>
                <w:color w:val="auto"/>
                <w:highlight w:val="none"/>
                <w:u w:val="none"/>
              </w:rPr>
            </w:pPr>
            <w:r>
              <w:rPr>
                <w:rStyle w:val="37"/>
                <w:rFonts w:hint="eastAsia"/>
                <w:color w:val="auto"/>
                <w:highlight w:val="none"/>
                <w:u w:val="none"/>
              </w:rPr>
              <w:t xml:space="preserve">表3-1   </w:t>
            </w:r>
            <w:r>
              <w:rPr>
                <w:rStyle w:val="37"/>
                <w:color w:val="auto"/>
                <w:highlight w:val="none"/>
                <w:u w:val="none"/>
              </w:rPr>
              <w:t>202</w:t>
            </w:r>
            <w:r>
              <w:rPr>
                <w:rStyle w:val="37"/>
                <w:rFonts w:hint="eastAsia"/>
                <w:color w:val="auto"/>
                <w:highlight w:val="none"/>
                <w:u w:val="none"/>
              </w:rPr>
              <w:t>1</w:t>
            </w:r>
            <w:r>
              <w:rPr>
                <w:rStyle w:val="37"/>
                <w:color w:val="auto"/>
                <w:highlight w:val="none"/>
                <w:u w:val="none"/>
              </w:rPr>
              <w:t>年华容县环境空气质量均值统计表</w:t>
            </w:r>
          </w:p>
          <w:tbl>
            <w:tblPr>
              <w:tblStyle w:val="25"/>
              <w:tblW w:w="4998" w:type="pct"/>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11"/>
              <w:gridCol w:w="3012"/>
              <w:gridCol w:w="1520"/>
              <w:gridCol w:w="1364"/>
              <w:gridCol w:w="114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污染物</w:t>
                  </w:r>
                </w:p>
              </w:tc>
              <w:tc>
                <w:tcPr>
                  <w:tcW w:w="1894" w:type="pct"/>
                  <w:tcBorders>
                    <w:tl2br w:val="nil"/>
                    <w:tr2bl w:val="nil"/>
                  </w:tcBorders>
                  <w:vAlign w:val="center"/>
                </w:tcPr>
                <w:p>
                  <w:pPr>
                    <w:pStyle w:val="30"/>
                    <w:rPr>
                      <w:color w:val="auto"/>
                      <w:highlight w:val="none"/>
                      <w:u w:val="none"/>
                    </w:rPr>
                  </w:pPr>
                  <w:r>
                    <w:rPr>
                      <w:color w:val="auto"/>
                      <w:highlight w:val="none"/>
                      <w:u w:val="none"/>
                    </w:rPr>
                    <w:t>年评价指标</w:t>
                  </w:r>
                </w:p>
              </w:tc>
              <w:tc>
                <w:tcPr>
                  <w:tcW w:w="955" w:type="pct"/>
                  <w:tcBorders>
                    <w:tl2br w:val="nil"/>
                    <w:tr2bl w:val="nil"/>
                  </w:tcBorders>
                  <w:vAlign w:val="center"/>
                </w:tcPr>
                <w:p>
                  <w:pPr>
                    <w:pStyle w:val="30"/>
                    <w:rPr>
                      <w:color w:val="auto"/>
                      <w:highlight w:val="none"/>
                      <w:u w:val="none"/>
                    </w:rPr>
                  </w:pPr>
                  <w:r>
                    <w:rPr>
                      <w:color w:val="auto"/>
                      <w:highlight w:val="none"/>
                      <w:u w:val="none"/>
                    </w:rPr>
                    <w:t>现状浓度（μg/m³）</w:t>
                  </w:r>
                </w:p>
              </w:tc>
              <w:tc>
                <w:tcPr>
                  <w:tcW w:w="857" w:type="pct"/>
                  <w:tcBorders>
                    <w:tl2br w:val="nil"/>
                    <w:tr2bl w:val="nil"/>
                  </w:tcBorders>
                  <w:vAlign w:val="center"/>
                </w:tcPr>
                <w:p>
                  <w:pPr>
                    <w:pStyle w:val="30"/>
                    <w:rPr>
                      <w:color w:val="auto"/>
                      <w:highlight w:val="none"/>
                      <w:u w:val="none"/>
                    </w:rPr>
                  </w:pPr>
                  <w:r>
                    <w:rPr>
                      <w:color w:val="auto"/>
                      <w:highlight w:val="none"/>
                      <w:u w:val="none"/>
                    </w:rPr>
                    <w:t>标准值</w:t>
                  </w:r>
                  <w:r>
                    <w:rPr>
                      <w:color w:val="auto"/>
                      <w:highlight w:val="none"/>
                      <w:u w:val="none"/>
                    </w:rPr>
                    <w:cr/>
                  </w:r>
                  <w:r>
                    <w:rPr>
                      <w:color w:val="auto"/>
                      <w:highlight w:val="none"/>
                      <w:u w:val="none"/>
                    </w:rPr>
                    <w:t>μg/m³）</w:t>
                  </w:r>
                </w:p>
              </w:tc>
              <w:tc>
                <w:tcPr>
                  <w:tcW w:w="719" w:type="pct"/>
                  <w:tcBorders>
                    <w:tl2br w:val="nil"/>
                    <w:tr2bl w:val="nil"/>
                  </w:tcBorders>
                  <w:vAlign w:val="center"/>
                </w:tcPr>
                <w:p>
                  <w:pPr>
                    <w:pStyle w:val="30"/>
                    <w:rPr>
                      <w:color w:val="auto"/>
                      <w:highlight w:val="none"/>
                      <w:u w:val="none"/>
                    </w:rPr>
                  </w:pPr>
                  <w:r>
                    <w:rPr>
                      <w:color w:val="auto"/>
                      <w:highlight w:val="none"/>
                      <w:u w:val="none"/>
                    </w:rPr>
                    <w:t>达标情况</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SO</w:t>
                  </w:r>
                  <w:r>
                    <w:rPr>
                      <w:color w:val="auto"/>
                      <w:highlight w:val="none"/>
                      <w:u w:val="none"/>
                      <w:vertAlign w:val="subscript"/>
                    </w:rPr>
                    <w:t>2</w:t>
                  </w:r>
                </w:p>
              </w:tc>
              <w:tc>
                <w:tcPr>
                  <w:tcW w:w="1894" w:type="pct"/>
                  <w:tcBorders>
                    <w:tl2br w:val="nil"/>
                    <w:tr2bl w:val="nil"/>
                  </w:tcBorders>
                  <w:vAlign w:val="center"/>
                </w:tcPr>
                <w:p>
                  <w:pPr>
                    <w:pStyle w:val="30"/>
                    <w:rPr>
                      <w:color w:val="auto"/>
                      <w:highlight w:val="none"/>
                      <w:u w:val="none"/>
                    </w:rPr>
                  </w:pPr>
                  <w:r>
                    <w:rPr>
                      <w:color w:val="auto"/>
                      <w:highlight w:val="none"/>
                      <w:u w:val="none"/>
                    </w:rPr>
                    <w:t>年平均质量浓度</w:t>
                  </w:r>
                </w:p>
              </w:tc>
              <w:tc>
                <w:tcPr>
                  <w:tcW w:w="955" w:type="pct"/>
                  <w:tcBorders>
                    <w:tl2br w:val="nil"/>
                    <w:tr2bl w:val="nil"/>
                  </w:tcBorders>
                  <w:vAlign w:val="center"/>
                </w:tcPr>
                <w:p>
                  <w:pPr>
                    <w:pStyle w:val="30"/>
                    <w:rPr>
                      <w:color w:val="auto"/>
                      <w:highlight w:val="none"/>
                      <w:u w:val="none"/>
                    </w:rPr>
                  </w:pPr>
                  <w:r>
                    <w:rPr>
                      <w:rFonts w:hint="eastAsia"/>
                      <w:color w:val="auto"/>
                      <w:highlight w:val="none"/>
                      <w:u w:val="none"/>
                    </w:rPr>
                    <w:t>7</w:t>
                  </w:r>
                </w:p>
              </w:tc>
              <w:tc>
                <w:tcPr>
                  <w:tcW w:w="857" w:type="pct"/>
                  <w:tcBorders>
                    <w:tl2br w:val="nil"/>
                    <w:tr2bl w:val="nil"/>
                  </w:tcBorders>
                  <w:vAlign w:val="center"/>
                </w:tcPr>
                <w:p>
                  <w:pPr>
                    <w:pStyle w:val="30"/>
                    <w:rPr>
                      <w:color w:val="auto"/>
                      <w:highlight w:val="none"/>
                      <w:u w:val="none"/>
                    </w:rPr>
                  </w:pPr>
                  <w:r>
                    <w:rPr>
                      <w:color w:val="auto"/>
                      <w:highlight w:val="none"/>
                      <w:u w:val="none"/>
                    </w:rPr>
                    <w:t>60</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NO</w:t>
                  </w:r>
                  <w:r>
                    <w:rPr>
                      <w:color w:val="auto"/>
                      <w:highlight w:val="none"/>
                      <w:u w:val="none"/>
                      <w:vertAlign w:val="subscript"/>
                    </w:rPr>
                    <w:t>2</w:t>
                  </w:r>
                </w:p>
              </w:tc>
              <w:tc>
                <w:tcPr>
                  <w:tcW w:w="1894" w:type="pct"/>
                  <w:tcBorders>
                    <w:tl2br w:val="nil"/>
                    <w:tr2bl w:val="nil"/>
                  </w:tcBorders>
                  <w:vAlign w:val="center"/>
                </w:tcPr>
                <w:p>
                  <w:pPr>
                    <w:pStyle w:val="30"/>
                    <w:rPr>
                      <w:color w:val="auto"/>
                      <w:highlight w:val="none"/>
                      <w:u w:val="none"/>
                    </w:rPr>
                  </w:pPr>
                  <w:r>
                    <w:rPr>
                      <w:color w:val="auto"/>
                      <w:highlight w:val="none"/>
                      <w:u w:val="none"/>
                    </w:rPr>
                    <w:t>年平均质量浓度</w:t>
                  </w:r>
                </w:p>
              </w:tc>
              <w:tc>
                <w:tcPr>
                  <w:tcW w:w="955" w:type="pct"/>
                  <w:tcBorders>
                    <w:tl2br w:val="nil"/>
                    <w:tr2bl w:val="nil"/>
                  </w:tcBorders>
                  <w:vAlign w:val="center"/>
                </w:tcPr>
                <w:p>
                  <w:pPr>
                    <w:pStyle w:val="30"/>
                    <w:rPr>
                      <w:color w:val="auto"/>
                      <w:highlight w:val="none"/>
                      <w:u w:val="none"/>
                    </w:rPr>
                  </w:pPr>
                  <w:r>
                    <w:rPr>
                      <w:rFonts w:hint="eastAsia"/>
                      <w:color w:val="auto"/>
                      <w:highlight w:val="none"/>
                      <w:u w:val="none"/>
                    </w:rPr>
                    <w:t>10</w:t>
                  </w:r>
                </w:p>
              </w:tc>
              <w:tc>
                <w:tcPr>
                  <w:tcW w:w="857" w:type="pct"/>
                  <w:tcBorders>
                    <w:tl2br w:val="nil"/>
                    <w:tr2bl w:val="nil"/>
                  </w:tcBorders>
                  <w:vAlign w:val="center"/>
                </w:tcPr>
                <w:p>
                  <w:pPr>
                    <w:pStyle w:val="30"/>
                    <w:rPr>
                      <w:color w:val="auto"/>
                      <w:highlight w:val="none"/>
                      <w:u w:val="none"/>
                    </w:rPr>
                  </w:pPr>
                  <w:r>
                    <w:rPr>
                      <w:color w:val="auto"/>
                      <w:highlight w:val="none"/>
                      <w:u w:val="none"/>
                    </w:rPr>
                    <w:t>40</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PM</w:t>
                  </w:r>
                  <w:r>
                    <w:rPr>
                      <w:color w:val="auto"/>
                      <w:highlight w:val="none"/>
                      <w:u w:val="none"/>
                      <w:vertAlign w:val="subscript"/>
                    </w:rPr>
                    <w:t>10</w:t>
                  </w:r>
                </w:p>
              </w:tc>
              <w:tc>
                <w:tcPr>
                  <w:tcW w:w="1894" w:type="pct"/>
                  <w:tcBorders>
                    <w:tl2br w:val="nil"/>
                    <w:tr2bl w:val="nil"/>
                  </w:tcBorders>
                  <w:vAlign w:val="center"/>
                </w:tcPr>
                <w:p>
                  <w:pPr>
                    <w:pStyle w:val="30"/>
                    <w:rPr>
                      <w:color w:val="auto"/>
                      <w:highlight w:val="none"/>
                      <w:u w:val="none"/>
                    </w:rPr>
                  </w:pPr>
                  <w:r>
                    <w:rPr>
                      <w:color w:val="auto"/>
                      <w:highlight w:val="none"/>
                      <w:u w:val="none"/>
                    </w:rPr>
                    <w:t>年平均质量浓度</w:t>
                  </w:r>
                </w:p>
              </w:tc>
              <w:tc>
                <w:tcPr>
                  <w:tcW w:w="955" w:type="pct"/>
                  <w:tcBorders>
                    <w:tl2br w:val="nil"/>
                    <w:tr2bl w:val="nil"/>
                  </w:tcBorders>
                  <w:vAlign w:val="center"/>
                </w:tcPr>
                <w:p>
                  <w:pPr>
                    <w:pStyle w:val="30"/>
                    <w:rPr>
                      <w:color w:val="auto"/>
                      <w:highlight w:val="none"/>
                      <w:u w:val="none"/>
                    </w:rPr>
                  </w:pPr>
                  <w:r>
                    <w:rPr>
                      <w:rFonts w:hint="eastAsia"/>
                      <w:color w:val="auto"/>
                      <w:highlight w:val="none"/>
                      <w:u w:val="none"/>
                    </w:rPr>
                    <w:t>42</w:t>
                  </w:r>
                </w:p>
              </w:tc>
              <w:tc>
                <w:tcPr>
                  <w:tcW w:w="857" w:type="pct"/>
                  <w:tcBorders>
                    <w:tl2br w:val="nil"/>
                    <w:tr2bl w:val="nil"/>
                  </w:tcBorders>
                  <w:vAlign w:val="center"/>
                </w:tcPr>
                <w:p>
                  <w:pPr>
                    <w:pStyle w:val="30"/>
                    <w:rPr>
                      <w:color w:val="auto"/>
                      <w:highlight w:val="none"/>
                      <w:u w:val="none"/>
                    </w:rPr>
                  </w:pPr>
                  <w:r>
                    <w:rPr>
                      <w:color w:val="auto"/>
                      <w:highlight w:val="none"/>
                      <w:u w:val="none"/>
                    </w:rPr>
                    <w:t>70</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PM</w:t>
                  </w:r>
                  <w:r>
                    <w:rPr>
                      <w:color w:val="auto"/>
                      <w:highlight w:val="none"/>
                      <w:u w:val="none"/>
                      <w:vertAlign w:val="subscript"/>
                    </w:rPr>
                    <w:t>2.5</w:t>
                  </w:r>
                </w:p>
              </w:tc>
              <w:tc>
                <w:tcPr>
                  <w:tcW w:w="1894" w:type="pct"/>
                  <w:tcBorders>
                    <w:tl2br w:val="nil"/>
                    <w:tr2bl w:val="nil"/>
                  </w:tcBorders>
                  <w:vAlign w:val="center"/>
                </w:tcPr>
                <w:p>
                  <w:pPr>
                    <w:pStyle w:val="30"/>
                    <w:rPr>
                      <w:color w:val="auto"/>
                      <w:highlight w:val="none"/>
                      <w:u w:val="none"/>
                    </w:rPr>
                  </w:pPr>
                  <w:r>
                    <w:rPr>
                      <w:color w:val="auto"/>
                      <w:highlight w:val="none"/>
                      <w:u w:val="none"/>
                    </w:rPr>
                    <w:t>年平均质量浓度</w:t>
                  </w:r>
                </w:p>
              </w:tc>
              <w:tc>
                <w:tcPr>
                  <w:tcW w:w="955" w:type="pct"/>
                  <w:tcBorders>
                    <w:tl2br w:val="nil"/>
                    <w:tr2bl w:val="nil"/>
                  </w:tcBorders>
                  <w:vAlign w:val="center"/>
                </w:tcPr>
                <w:p>
                  <w:pPr>
                    <w:pStyle w:val="30"/>
                    <w:rPr>
                      <w:color w:val="auto"/>
                      <w:highlight w:val="none"/>
                      <w:u w:val="none"/>
                    </w:rPr>
                  </w:pPr>
                  <w:r>
                    <w:rPr>
                      <w:color w:val="auto"/>
                      <w:highlight w:val="none"/>
                      <w:u w:val="none"/>
                    </w:rPr>
                    <w:t>30</w:t>
                  </w:r>
                </w:p>
              </w:tc>
              <w:tc>
                <w:tcPr>
                  <w:tcW w:w="857" w:type="pct"/>
                  <w:tcBorders>
                    <w:tl2br w:val="nil"/>
                    <w:tr2bl w:val="nil"/>
                  </w:tcBorders>
                  <w:vAlign w:val="center"/>
                </w:tcPr>
                <w:p>
                  <w:pPr>
                    <w:pStyle w:val="30"/>
                    <w:rPr>
                      <w:color w:val="auto"/>
                      <w:highlight w:val="none"/>
                      <w:u w:val="none"/>
                    </w:rPr>
                  </w:pPr>
                  <w:r>
                    <w:rPr>
                      <w:color w:val="auto"/>
                      <w:highlight w:val="none"/>
                      <w:u w:val="none"/>
                    </w:rPr>
                    <w:t>35</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CO</w:t>
                  </w:r>
                </w:p>
              </w:tc>
              <w:tc>
                <w:tcPr>
                  <w:tcW w:w="1894" w:type="pct"/>
                  <w:tcBorders>
                    <w:tl2br w:val="nil"/>
                    <w:tr2bl w:val="nil"/>
                  </w:tcBorders>
                  <w:vAlign w:val="center"/>
                </w:tcPr>
                <w:p>
                  <w:pPr>
                    <w:pStyle w:val="30"/>
                    <w:rPr>
                      <w:color w:val="auto"/>
                      <w:highlight w:val="none"/>
                      <w:u w:val="none"/>
                    </w:rPr>
                  </w:pPr>
                  <w:r>
                    <w:rPr>
                      <w:color w:val="auto"/>
                      <w:highlight w:val="none"/>
                      <w:u w:val="none"/>
                    </w:rPr>
                    <w:t>第95百分位数日平均质量浓度</w:t>
                  </w:r>
                </w:p>
              </w:tc>
              <w:tc>
                <w:tcPr>
                  <w:tcW w:w="955" w:type="pct"/>
                  <w:tcBorders>
                    <w:tl2br w:val="nil"/>
                    <w:tr2bl w:val="nil"/>
                  </w:tcBorders>
                  <w:vAlign w:val="center"/>
                </w:tcPr>
                <w:p>
                  <w:pPr>
                    <w:pStyle w:val="30"/>
                    <w:rPr>
                      <w:color w:val="auto"/>
                      <w:highlight w:val="none"/>
                      <w:u w:val="none"/>
                    </w:rPr>
                  </w:pPr>
                  <w:r>
                    <w:rPr>
                      <w:color w:val="auto"/>
                      <w:highlight w:val="none"/>
                      <w:u w:val="none"/>
                    </w:rPr>
                    <w:t>1600</w:t>
                  </w:r>
                </w:p>
              </w:tc>
              <w:tc>
                <w:tcPr>
                  <w:tcW w:w="857" w:type="pct"/>
                  <w:tcBorders>
                    <w:tl2br w:val="nil"/>
                    <w:tr2bl w:val="nil"/>
                  </w:tcBorders>
                  <w:vAlign w:val="center"/>
                </w:tcPr>
                <w:p>
                  <w:pPr>
                    <w:pStyle w:val="30"/>
                    <w:rPr>
                      <w:color w:val="auto"/>
                      <w:highlight w:val="none"/>
                      <w:u w:val="none"/>
                    </w:rPr>
                  </w:pPr>
                  <w:r>
                    <w:rPr>
                      <w:color w:val="auto"/>
                      <w:highlight w:val="none"/>
                      <w:u w:val="none"/>
                    </w:rPr>
                    <w:t>4000</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1" w:hRule="atLeast"/>
                <w:jc w:val="center"/>
              </w:trPr>
              <w:tc>
                <w:tcPr>
                  <w:tcW w:w="572" w:type="pct"/>
                  <w:tcBorders>
                    <w:tl2br w:val="nil"/>
                    <w:tr2bl w:val="nil"/>
                  </w:tcBorders>
                  <w:vAlign w:val="center"/>
                </w:tcPr>
                <w:p>
                  <w:pPr>
                    <w:pStyle w:val="30"/>
                    <w:rPr>
                      <w:color w:val="auto"/>
                      <w:highlight w:val="none"/>
                      <w:u w:val="none"/>
                    </w:rPr>
                  </w:pPr>
                  <w:r>
                    <w:rPr>
                      <w:color w:val="auto"/>
                      <w:highlight w:val="none"/>
                      <w:u w:val="none"/>
                    </w:rPr>
                    <w:t>O</w:t>
                  </w:r>
                  <w:r>
                    <w:rPr>
                      <w:color w:val="auto"/>
                      <w:highlight w:val="none"/>
                      <w:u w:val="none"/>
                      <w:vertAlign w:val="subscript"/>
                    </w:rPr>
                    <w:t>3</w:t>
                  </w:r>
                </w:p>
              </w:tc>
              <w:tc>
                <w:tcPr>
                  <w:tcW w:w="1894" w:type="pct"/>
                  <w:tcBorders>
                    <w:tl2br w:val="nil"/>
                    <w:tr2bl w:val="nil"/>
                  </w:tcBorders>
                  <w:vAlign w:val="center"/>
                </w:tcPr>
                <w:p>
                  <w:pPr>
                    <w:pStyle w:val="30"/>
                    <w:rPr>
                      <w:color w:val="auto"/>
                      <w:highlight w:val="none"/>
                      <w:u w:val="none"/>
                    </w:rPr>
                  </w:pPr>
                  <w:r>
                    <w:rPr>
                      <w:color w:val="auto"/>
                      <w:highlight w:val="none"/>
                      <w:u w:val="none"/>
                    </w:rPr>
                    <w:t>第90百分位数日平均质量浓度</w:t>
                  </w:r>
                </w:p>
              </w:tc>
              <w:tc>
                <w:tcPr>
                  <w:tcW w:w="955" w:type="pct"/>
                  <w:tcBorders>
                    <w:tl2br w:val="nil"/>
                    <w:tr2bl w:val="nil"/>
                  </w:tcBorders>
                  <w:vAlign w:val="center"/>
                </w:tcPr>
                <w:p>
                  <w:pPr>
                    <w:pStyle w:val="30"/>
                    <w:rPr>
                      <w:color w:val="auto"/>
                      <w:highlight w:val="none"/>
                      <w:u w:val="none"/>
                    </w:rPr>
                  </w:pPr>
                  <w:r>
                    <w:rPr>
                      <w:color w:val="auto"/>
                      <w:highlight w:val="none"/>
                      <w:u w:val="none"/>
                    </w:rPr>
                    <w:t>10</w:t>
                  </w:r>
                  <w:r>
                    <w:rPr>
                      <w:rFonts w:hint="eastAsia"/>
                      <w:color w:val="auto"/>
                      <w:highlight w:val="none"/>
                      <w:u w:val="none"/>
                    </w:rPr>
                    <w:t>5</w:t>
                  </w:r>
                </w:p>
              </w:tc>
              <w:tc>
                <w:tcPr>
                  <w:tcW w:w="857" w:type="pct"/>
                  <w:tcBorders>
                    <w:tl2br w:val="nil"/>
                    <w:tr2bl w:val="nil"/>
                  </w:tcBorders>
                  <w:vAlign w:val="center"/>
                </w:tcPr>
                <w:p>
                  <w:pPr>
                    <w:pStyle w:val="30"/>
                    <w:rPr>
                      <w:color w:val="auto"/>
                      <w:highlight w:val="none"/>
                      <w:u w:val="none"/>
                    </w:rPr>
                  </w:pPr>
                  <w:r>
                    <w:rPr>
                      <w:color w:val="auto"/>
                      <w:highlight w:val="none"/>
                      <w:u w:val="none"/>
                    </w:rPr>
                    <w:t>160</w:t>
                  </w:r>
                </w:p>
              </w:tc>
              <w:tc>
                <w:tcPr>
                  <w:tcW w:w="719" w:type="pct"/>
                  <w:tcBorders>
                    <w:tl2br w:val="nil"/>
                    <w:tr2bl w:val="nil"/>
                  </w:tcBorders>
                  <w:vAlign w:val="center"/>
                </w:tcPr>
                <w:p>
                  <w:pPr>
                    <w:pStyle w:val="30"/>
                    <w:rPr>
                      <w:color w:val="auto"/>
                      <w:highlight w:val="none"/>
                      <w:u w:val="none"/>
                    </w:rPr>
                  </w:pPr>
                  <w:r>
                    <w:rPr>
                      <w:color w:val="auto"/>
                      <w:highlight w:val="none"/>
                      <w:u w:val="none"/>
                    </w:rPr>
                    <w:t>达标</w:t>
                  </w:r>
                </w:p>
              </w:tc>
            </w:tr>
          </w:tbl>
          <w:p>
            <w:pPr>
              <w:pStyle w:val="22"/>
              <w:adjustRightInd w:val="0"/>
              <w:snapToGrid w:val="0"/>
              <w:spacing w:line="360" w:lineRule="auto"/>
              <w:ind w:left="0" w:leftChars="0" w:firstLine="480"/>
              <w:rPr>
                <w:rFonts w:ascii="宋体" w:hAnsi="宋体" w:eastAsia="宋体" w:cs="宋体"/>
                <w:color w:val="auto"/>
                <w:sz w:val="24"/>
                <w:highlight w:val="none"/>
              </w:rPr>
            </w:pPr>
            <w:r>
              <w:rPr>
                <w:rFonts w:hint="eastAsia" w:ascii="宋体" w:hAnsi="宋体" w:eastAsia="宋体" w:cs="宋体"/>
                <w:color w:val="auto"/>
                <w:sz w:val="24"/>
                <w:szCs w:val="24"/>
                <w:highlight w:val="none"/>
              </w:rPr>
              <w:t>根据上表中监测数据可看出，本项目所在区域（华容县）为达标区域。</w:t>
            </w:r>
            <w:bookmarkStart w:id="20" w:name="_Toc25556"/>
            <w:bookmarkStart w:id="21" w:name="_Toc30260"/>
            <w:r>
              <w:rPr>
                <w:rFonts w:hint="eastAsia" w:ascii="宋体" w:hAnsi="宋体" w:eastAsia="宋体" w:cs="宋体"/>
                <w:color w:val="auto"/>
                <w:sz w:val="24"/>
                <w:highlight w:val="none"/>
              </w:rPr>
              <w:t>满足环境空气功能区二类区的要求，大气环境质量将得到改善。</w:t>
            </w:r>
            <w:bookmarkEnd w:id="20"/>
            <w:bookmarkEnd w:id="21"/>
          </w:p>
          <w:p>
            <w:pPr>
              <w:spacing w:line="360" w:lineRule="auto"/>
              <w:ind w:firstLine="480"/>
              <w:rPr>
                <w:bCs/>
                <w:color w:val="auto"/>
                <w:sz w:val="24"/>
                <w:highlight w:val="none"/>
              </w:rPr>
            </w:pPr>
            <w:r>
              <w:rPr>
                <w:rFonts w:hint="eastAsia"/>
                <w:color w:val="auto"/>
                <w:sz w:val="24"/>
                <w:szCs w:val="24"/>
                <w:highlight w:val="none"/>
                <w:lang w:val="en-US" w:eastAsia="zh-CN"/>
              </w:rPr>
              <w:t>本项目</w:t>
            </w:r>
            <w:r>
              <w:rPr>
                <w:color w:val="auto"/>
                <w:sz w:val="24"/>
                <w:highlight w:val="none"/>
              </w:rPr>
              <w:t>委托</w:t>
            </w:r>
            <w:r>
              <w:rPr>
                <w:rFonts w:hint="eastAsia"/>
                <w:color w:val="auto"/>
                <w:sz w:val="24"/>
                <w:highlight w:val="none"/>
              </w:rPr>
              <w:t>长沙环院检测技术有限公司</w:t>
            </w:r>
            <w:r>
              <w:rPr>
                <w:color w:val="auto"/>
                <w:sz w:val="24"/>
                <w:highlight w:val="none"/>
              </w:rPr>
              <w:t>于202</w:t>
            </w:r>
            <w:r>
              <w:rPr>
                <w:rFonts w:hint="eastAsia"/>
                <w:color w:val="auto"/>
                <w:sz w:val="24"/>
                <w:highlight w:val="none"/>
                <w:lang w:val="en-US" w:eastAsia="zh-CN"/>
              </w:rPr>
              <w:t>3</w:t>
            </w:r>
            <w:r>
              <w:rPr>
                <w:color w:val="auto"/>
                <w:sz w:val="24"/>
                <w:highlight w:val="none"/>
              </w:rPr>
              <w:t>年</w:t>
            </w:r>
            <w:r>
              <w:rPr>
                <w:rFonts w:hint="eastAsia"/>
                <w:color w:val="auto"/>
                <w:sz w:val="24"/>
                <w:highlight w:val="none"/>
                <w:lang w:val="en-US" w:eastAsia="zh-CN"/>
              </w:rPr>
              <w:t>6</w:t>
            </w:r>
            <w:r>
              <w:rPr>
                <w:color w:val="auto"/>
                <w:sz w:val="24"/>
                <w:highlight w:val="none"/>
              </w:rPr>
              <w:t>月</w:t>
            </w:r>
            <w:r>
              <w:rPr>
                <w:rFonts w:hint="eastAsia"/>
                <w:color w:val="auto"/>
                <w:sz w:val="24"/>
                <w:highlight w:val="none"/>
                <w:lang w:val="en-US" w:eastAsia="zh-CN"/>
              </w:rPr>
              <w:t>10</w:t>
            </w:r>
            <w:r>
              <w:rPr>
                <w:color w:val="auto"/>
                <w:sz w:val="24"/>
                <w:highlight w:val="none"/>
              </w:rPr>
              <w:t>日-</w:t>
            </w:r>
            <w:r>
              <w:rPr>
                <w:rFonts w:hint="eastAsia"/>
                <w:color w:val="auto"/>
                <w:sz w:val="24"/>
                <w:highlight w:val="none"/>
                <w:lang w:val="en-US" w:eastAsia="zh-CN"/>
              </w:rPr>
              <w:t>12</w:t>
            </w:r>
            <w:r>
              <w:rPr>
                <w:color w:val="auto"/>
                <w:sz w:val="24"/>
                <w:highlight w:val="none"/>
              </w:rPr>
              <w:t>日对本项目所在周边的环境空气特征因子</w:t>
            </w:r>
            <w:r>
              <w:rPr>
                <w:rFonts w:hint="eastAsia"/>
                <w:color w:val="auto"/>
                <w:sz w:val="24"/>
                <w:highlight w:val="none"/>
                <w:lang w:val="en-US" w:eastAsia="zh-CN"/>
              </w:rPr>
              <w:t>总悬浮颗粒物</w:t>
            </w:r>
            <w:r>
              <w:rPr>
                <w:color w:val="auto"/>
                <w:sz w:val="24"/>
                <w:highlight w:val="none"/>
              </w:rPr>
              <w:t>进行现状监测，监测结果如下：</w:t>
            </w:r>
          </w:p>
          <w:p>
            <w:pPr>
              <w:jc w:val="center"/>
              <w:rPr>
                <w:color w:val="auto"/>
                <w:szCs w:val="21"/>
                <w:highlight w:val="none"/>
              </w:rPr>
            </w:pPr>
            <w:r>
              <w:rPr>
                <w:b/>
                <w:color w:val="auto"/>
                <w:szCs w:val="21"/>
                <w:highlight w:val="none"/>
              </w:rPr>
              <w:t>表3-2   项目所在地环境空气特征因子</w:t>
            </w:r>
            <w:r>
              <w:rPr>
                <w:rFonts w:hint="eastAsia"/>
                <w:b/>
                <w:color w:val="auto"/>
                <w:szCs w:val="21"/>
                <w:highlight w:val="none"/>
                <w:lang w:val="en-US" w:eastAsia="zh-CN"/>
              </w:rPr>
              <w:t>总悬浮颗粒物</w:t>
            </w:r>
            <w:r>
              <w:rPr>
                <w:b/>
                <w:color w:val="auto"/>
                <w:szCs w:val="21"/>
                <w:highlight w:val="none"/>
              </w:rPr>
              <w:t>检测结果</w:t>
            </w:r>
          </w:p>
          <w:tbl>
            <w:tblPr>
              <w:tblStyle w:val="25"/>
              <w:tblW w:w="5000" w:type="pct"/>
              <w:tblInd w:w="0"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15" w:type="dxa"/>
                <w:left w:w="15" w:type="dxa"/>
                <w:bottom w:w="15" w:type="dxa"/>
                <w:right w:w="15" w:type="dxa"/>
              </w:tblCellMar>
            </w:tblPr>
            <w:tblGrid>
              <w:gridCol w:w="2725"/>
              <w:gridCol w:w="1835"/>
              <w:gridCol w:w="340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1711" w:type="pct"/>
                  <w:vMerge w:val="restart"/>
                  <w:tcBorders>
                    <w:tl2br w:val="nil"/>
                    <w:tr2bl w:val="nil"/>
                  </w:tcBorders>
                  <w:shd w:val="clear" w:color="auto" w:fill="auto"/>
                  <w:noWrap/>
                  <w:vAlign w:val="center"/>
                </w:tcPr>
                <w:p>
                  <w:pPr>
                    <w:widowControl/>
                    <w:jc w:val="center"/>
                    <w:textAlignment w:val="bottom"/>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kern w:val="0"/>
                      <w:szCs w:val="21"/>
                      <w:highlight w:val="none"/>
                      <w:lang w:bidi="ar"/>
                    </w:rPr>
                    <w:t>采样点位</w:t>
                  </w:r>
                </w:p>
              </w:tc>
              <w:tc>
                <w:tcPr>
                  <w:tcW w:w="1152" w:type="pct"/>
                  <w:vMerge w:val="restart"/>
                  <w:tcBorders>
                    <w:tl2br w:val="nil"/>
                    <w:tr2bl w:val="nil"/>
                  </w:tcBorders>
                  <w:shd w:val="clear" w:color="auto" w:fill="auto"/>
                  <w:noWrap/>
                  <w:vAlign w:val="center"/>
                </w:tcPr>
                <w:p>
                  <w:pPr>
                    <w:widowControl/>
                    <w:jc w:val="center"/>
                    <w:textAlignment w:val="bottom"/>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kern w:val="0"/>
                      <w:szCs w:val="21"/>
                      <w:highlight w:val="none"/>
                      <w:lang w:bidi="ar"/>
                    </w:rPr>
                    <w:t>采样日期</w:t>
                  </w:r>
                </w:p>
              </w:tc>
              <w:tc>
                <w:tcPr>
                  <w:tcW w:w="2136" w:type="pct"/>
                  <w:tcBorders>
                    <w:tl2br w:val="nil"/>
                    <w:tr2bl w:val="nil"/>
                  </w:tcBorders>
                  <w:shd w:val="clear" w:color="auto" w:fill="auto"/>
                  <w:noWrap/>
                  <w:vAlign w:val="center"/>
                </w:tcPr>
                <w:p>
                  <w:pPr>
                    <w:widowControl/>
                    <w:jc w:val="center"/>
                    <w:textAlignment w:val="bottom"/>
                    <w:rPr>
                      <w:rFonts w:asciiTheme="minorEastAsia" w:hAnsiTheme="minorEastAsia" w:eastAsiaTheme="minorEastAsia" w:cstheme="minorEastAsia"/>
                      <w:b/>
                      <w:bCs/>
                      <w:color w:val="auto"/>
                      <w:szCs w:val="21"/>
                      <w:highlight w:val="none"/>
                    </w:rPr>
                  </w:pPr>
                  <w:r>
                    <w:rPr>
                      <w:rFonts w:hint="eastAsia" w:asciiTheme="minorEastAsia" w:hAnsiTheme="minorEastAsia" w:eastAsiaTheme="minorEastAsia" w:cstheme="minorEastAsia"/>
                      <w:b/>
                      <w:bCs/>
                      <w:color w:val="auto"/>
                      <w:kern w:val="0"/>
                      <w:szCs w:val="21"/>
                      <w:highlight w:val="none"/>
                      <w:lang w:bidi="ar"/>
                    </w:rPr>
                    <w:t>检测结果mg/m3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1711" w:type="pct"/>
                  <w:vMerge w:val="continue"/>
                  <w:tcBorders>
                    <w:tl2br w:val="nil"/>
                    <w:tr2bl w:val="nil"/>
                  </w:tcBorders>
                  <w:shd w:val="clear" w:color="auto" w:fill="auto"/>
                  <w:noWrap/>
                  <w:vAlign w:val="center"/>
                </w:tcPr>
                <w:p>
                  <w:pPr>
                    <w:jc w:val="center"/>
                    <w:rPr>
                      <w:rFonts w:asciiTheme="minorEastAsia" w:hAnsiTheme="minorEastAsia" w:eastAsiaTheme="minorEastAsia" w:cstheme="minorEastAsia"/>
                      <w:b/>
                      <w:bCs/>
                      <w:color w:val="auto"/>
                      <w:szCs w:val="21"/>
                      <w:highlight w:val="none"/>
                    </w:rPr>
                  </w:pPr>
                </w:p>
              </w:tc>
              <w:tc>
                <w:tcPr>
                  <w:tcW w:w="1152" w:type="pct"/>
                  <w:vMerge w:val="continue"/>
                  <w:tcBorders>
                    <w:tl2br w:val="nil"/>
                    <w:tr2bl w:val="nil"/>
                  </w:tcBorders>
                  <w:shd w:val="clear" w:color="auto" w:fill="auto"/>
                  <w:noWrap/>
                  <w:vAlign w:val="center"/>
                </w:tcPr>
                <w:p>
                  <w:pPr>
                    <w:jc w:val="center"/>
                    <w:rPr>
                      <w:rFonts w:asciiTheme="minorEastAsia" w:hAnsiTheme="minorEastAsia" w:eastAsiaTheme="minorEastAsia" w:cstheme="minorEastAsia"/>
                      <w:b/>
                      <w:bCs/>
                      <w:color w:val="auto"/>
                      <w:szCs w:val="21"/>
                      <w:highlight w:val="none"/>
                    </w:rPr>
                  </w:pPr>
                </w:p>
              </w:tc>
              <w:tc>
                <w:tcPr>
                  <w:tcW w:w="2136" w:type="pct"/>
                  <w:tcBorders>
                    <w:tl2br w:val="nil"/>
                    <w:tr2bl w:val="nil"/>
                  </w:tcBorders>
                  <w:shd w:val="clear" w:color="auto" w:fill="auto"/>
                  <w:noWrap/>
                  <w:vAlign w:val="center"/>
                </w:tcPr>
                <w:p>
                  <w:pPr>
                    <w:widowControl/>
                    <w:jc w:val="center"/>
                    <w:textAlignment w:val="bottom"/>
                    <w:rPr>
                      <w:rFonts w:hint="default" w:asciiTheme="minorEastAsia" w:hAnsiTheme="minorEastAsia" w:eastAsiaTheme="minorEastAsia" w:cstheme="minorEastAsia"/>
                      <w:b/>
                      <w:bCs/>
                      <w:color w:val="auto"/>
                      <w:szCs w:val="21"/>
                      <w:highlight w:val="none"/>
                      <w:lang w:val="en-US" w:eastAsia="zh-CN"/>
                    </w:rPr>
                  </w:pPr>
                  <w:r>
                    <w:rPr>
                      <w:rFonts w:hint="eastAsia" w:asciiTheme="minorEastAsia" w:hAnsiTheme="minorEastAsia" w:eastAsiaTheme="minorEastAsia" w:cstheme="minorEastAsia"/>
                      <w:b/>
                      <w:bCs/>
                      <w:color w:val="auto"/>
                      <w:kern w:val="0"/>
                      <w:szCs w:val="21"/>
                      <w:highlight w:val="none"/>
                      <w:lang w:val="en-US" w:eastAsia="zh-CN" w:bidi="ar"/>
                    </w:rPr>
                    <w:t>总悬浮颗粒物</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390" w:hRule="atLeast"/>
              </w:trPr>
              <w:tc>
                <w:tcPr>
                  <w:tcW w:w="1711" w:type="pct"/>
                  <w:vMerge w:val="restart"/>
                  <w:tcBorders>
                    <w:tl2br w:val="nil"/>
                    <w:tr2bl w:val="nil"/>
                  </w:tcBorders>
                  <w:shd w:val="clear" w:color="auto" w:fill="auto"/>
                  <w:noWrap/>
                  <w:vAlign w:val="center"/>
                </w:tcPr>
                <w:p>
                  <w:pPr>
                    <w:widowControl/>
                    <w:jc w:val="center"/>
                    <w:textAlignment w:val="bottom"/>
                    <w:rPr>
                      <w:rFonts w:hint="eastAsia" w:asciiTheme="minorEastAsia" w:hAnsiTheme="minorEastAsia" w:eastAsiaTheme="minorEastAsia" w:cstheme="minorEastAsia"/>
                      <w:color w:val="auto"/>
                      <w:kern w:val="0"/>
                      <w:szCs w:val="21"/>
                      <w:highlight w:val="none"/>
                      <w:lang w:bidi="ar"/>
                    </w:rPr>
                  </w:pPr>
                  <w:r>
                    <w:rPr>
                      <w:rFonts w:hint="eastAsia" w:asciiTheme="minorEastAsia" w:hAnsiTheme="minorEastAsia" w:eastAsiaTheme="minorEastAsia" w:cstheme="minorEastAsia"/>
                      <w:color w:val="auto"/>
                      <w:kern w:val="0"/>
                      <w:szCs w:val="21"/>
                      <w:highlight w:val="none"/>
                      <w:lang w:bidi="ar"/>
                    </w:rPr>
                    <w:t>Q</w:t>
                  </w:r>
                  <w:r>
                    <w:rPr>
                      <w:rFonts w:hint="eastAsia" w:asciiTheme="minorEastAsia" w:hAnsiTheme="minorEastAsia" w:eastAsiaTheme="minorEastAsia" w:cstheme="minorEastAsia"/>
                      <w:color w:val="auto"/>
                      <w:kern w:val="0"/>
                      <w:szCs w:val="21"/>
                      <w:highlight w:val="none"/>
                      <w:lang w:val="en-US" w:eastAsia="zh-CN" w:bidi="ar"/>
                    </w:rPr>
                    <w:t>1</w:t>
                  </w:r>
                  <w:r>
                    <w:rPr>
                      <w:rFonts w:hint="eastAsia" w:asciiTheme="minorEastAsia" w:hAnsiTheme="minorEastAsia" w:eastAsiaTheme="minorEastAsia" w:cstheme="minorEastAsia"/>
                      <w:color w:val="auto"/>
                      <w:kern w:val="0"/>
                      <w:szCs w:val="21"/>
                      <w:highlight w:val="none"/>
                      <w:lang w:bidi="ar"/>
                    </w:rPr>
                    <w:t>厂界下风向</w:t>
                  </w:r>
                </w:p>
              </w:tc>
              <w:tc>
                <w:tcPr>
                  <w:tcW w:w="1835" w:type="dxa"/>
                  <w:tcBorders>
                    <w:tl2br w:val="nil"/>
                    <w:tr2bl w:val="nil"/>
                  </w:tcBorders>
                  <w:shd w:val="clear" w:color="auto" w:fill="auto"/>
                  <w:noWrap/>
                  <w:vAlign w:val="center"/>
                </w:tcPr>
                <w:p>
                  <w:pPr>
                    <w:jc w:val="center"/>
                    <w:rPr>
                      <w:rFonts w:hint="eastAsia" w:asciiTheme="minorEastAsia" w:hAnsiTheme="minorEastAsia" w:eastAsiaTheme="minorEastAsia" w:cstheme="minorEastAsia"/>
                      <w:color w:val="auto"/>
                      <w:kern w:val="0"/>
                      <w:szCs w:val="21"/>
                      <w:highlight w:val="none"/>
                      <w:lang w:bidi="ar"/>
                    </w:rPr>
                  </w:pPr>
                  <w:r>
                    <w:rPr>
                      <w:rFonts w:hint="eastAsia"/>
                      <w:szCs w:val="21"/>
                      <w:lang w:val="en-US" w:eastAsia="zh-CN"/>
                    </w:rPr>
                    <w:t>06</w:t>
                  </w:r>
                  <w:r>
                    <w:rPr>
                      <w:rFonts w:hint="eastAsia"/>
                      <w:szCs w:val="21"/>
                    </w:rPr>
                    <w:t>月</w:t>
                  </w:r>
                  <w:r>
                    <w:rPr>
                      <w:rFonts w:hint="eastAsia"/>
                      <w:szCs w:val="21"/>
                      <w:lang w:val="en-US" w:eastAsia="zh-CN"/>
                    </w:rPr>
                    <w:t>10</w:t>
                  </w:r>
                  <w:r>
                    <w:rPr>
                      <w:rFonts w:hint="eastAsia"/>
                      <w:szCs w:val="21"/>
                    </w:rPr>
                    <w:t>日</w:t>
                  </w:r>
                </w:p>
              </w:tc>
              <w:tc>
                <w:tcPr>
                  <w:tcW w:w="2136" w:type="pct"/>
                  <w:tcBorders>
                    <w:tl2br w:val="nil"/>
                    <w:tr2bl w:val="nil"/>
                  </w:tcBorders>
                  <w:shd w:val="clear" w:color="auto" w:fill="auto"/>
                  <w:noWrap/>
                  <w:vAlign w:val="center"/>
                </w:tcPr>
                <w:p>
                  <w:pPr>
                    <w:widowControl/>
                    <w:jc w:val="center"/>
                    <w:textAlignment w:val="bottom"/>
                    <w:rPr>
                      <w:rFonts w:hint="default" w:asciiTheme="minorEastAsia" w:hAnsiTheme="minorEastAsia" w:eastAsiaTheme="minorEastAsia" w:cstheme="minorEastAsia"/>
                      <w:color w:val="auto"/>
                      <w:kern w:val="0"/>
                      <w:szCs w:val="21"/>
                      <w:highlight w:val="none"/>
                      <w:lang w:val="en-US" w:eastAsia="zh-CN" w:bidi="ar"/>
                    </w:rPr>
                  </w:pPr>
                  <w:r>
                    <w:rPr>
                      <w:rFonts w:hint="eastAsia" w:asciiTheme="minorEastAsia" w:hAnsiTheme="minorEastAsia" w:eastAsiaTheme="minorEastAsia" w:cstheme="minorEastAsia"/>
                      <w:color w:val="auto"/>
                      <w:kern w:val="0"/>
                      <w:szCs w:val="21"/>
                      <w:highlight w:val="none"/>
                      <w:lang w:val="en-US" w:eastAsia="zh-CN" w:bidi="ar"/>
                    </w:rPr>
                    <w:t>0.101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1711" w:type="pct"/>
                  <w:vMerge w:val="continue"/>
                  <w:tcBorders>
                    <w:tl2br w:val="nil"/>
                    <w:tr2bl w:val="nil"/>
                  </w:tcBorders>
                  <w:shd w:val="clear" w:color="auto" w:fill="auto"/>
                  <w:noWrap/>
                  <w:vAlign w:val="center"/>
                </w:tcPr>
                <w:p>
                  <w:pPr>
                    <w:widowControl/>
                    <w:jc w:val="center"/>
                    <w:textAlignment w:val="bottom"/>
                    <w:rPr>
                      <w:rFonts w:hint="eastAsia" w:asciiTheme="minorEastAsia" w:hAnsiTheme="minorEastAsia" w:eastAsiaTheme="minorEastAsia" w:cstheme="minorEastAsia"/>
                      <w:color w:val="auto"/>
                      <w:kern w:val="0"/>
                      <w:szCs w:val="21"/>
                      <w:highlight w:val="none"/>
                      <w:lang w:bidi="ar"/>
                    </w:rPr>
                  </w:pPr>
                </w:p>
              </w:tc>
              <w:tc>
                <w:tcPr>
                  <w:tcW w:w="1835" w:type="dxa"/>
                  <w:tcBorders>
                    <w:tl2br w:val="nil"/>
                    <w:tr2bl w:val="nil"/>
                  </w:tcBorders>
                  <w:shd w:val="clear" w:color="auto" w:fill="auto"/>
                  <w:noWrap/>
                  <w:vAlign w:val="center"/>
                </w:tcPr>
                <w:p>
                  <w:pPr>
                    <w:widowControl/>
                    <w:jc w:val="center"/>
                    <w:textAlignment w:val="center"/>
                    <w:rPr>
                      <w:rFonts w:hint="eastAsia" w:asciiTheme="minorEastAsia" w:hAnsiTheme="minorEastAsia" w:eastAsiaTheme="minorEastAsia" w:cstheme="minorEastAsia"/>
                      <w:color w:val="auto"/>
                      <w:kern w:val="0"/>
                      <w:szCs w:val="21"/>
                      <w:highlight w:val="none"/>
                      <w:lang w:bidi="ar"/>
                    </w:rPr>
                  </w:pPr>
                  <w:r>
                    <w:rPr>
                      <w:rFonts w:hint="eastAsia"/>
                      <w:szCs w:val="21"/>
                      <w:lang w:val="en-US" w:eastAsia="zh-CN"/>
                    </w:rPr>
                    <w:t>06</w:t>
                  </w:r>
                  <w:r>
                    <w:rPr>
                      <w:rFonts w:hint="eastAsia"/>
                      <w:szCs w:val="21"/>
                    </w:rPr>
                    <w:t>月</w:t>
                  </w:r>
                  <w:r>
                    <w:rPr>
                      <w:rFonts w:hint="eastAsia"/>
                      <w:szCs w:val="21"/>
                      <w:lang w:val="en-US" w:eastAsia="zh-CN"/>
                    </w:rPr>
                    <w:t>11</w:t>
                  </w:r>
                  <w:r>
                    <w:rPr>
                      <w:rFonts w:hint="eastAsia"/>
                      <w:szCs w:val="21"/>
                    </w:rPr>
                    <w:t>日</w:t>
                  </w:r>
                </w:p>
              </w:tc>
              <w:tc>
                <w:tcPr>
                  <w:tcW w:w="2136" w:type="pct"/>
                  <w:tcBorders>
                    <w:tl2br w:val="nil"/>
                    <w:tr2bl w:val="nil"/>
                  </w:tcBorders>
                  <w:shd w:val="clear" w:color="auto" w:fill="auto"/>
                  <w:noWrap/>
                  <w:vAlign w:val="center"/>
                </w:tcPr>
                <w:p>
                  <w:pPr>
                    <w:widowControl/>
                    <w:jc w:val="center"/>
                    <w:textAlignment w:val="bottom"/>
                    <w:rPr>
                      <w:rFonts w:hint="default" w:asciiTheme="minorEastAsia" w:hAnsiTheme="minorEastAsia" w:eastAsiaTheme="minorEastAsia" w:cstheme="minorEastAsia"/>
                      <w:color w:val="auto"/>
                      <w:kern w:val="0"/>
                      <w:szCs w:val="21"/>
                      <w:highlight w:val="none"/>
                      <w:lang w:val="en-US" w:eastAsia="zh-CN" w:bidi="ar"/>
                    </w:rPr>
                  </w:pPr>
                  <w:r>
                    <w:rPr>
                      <w:rFonts w:hint="eastAsia" w:asciiTheme="minorEastAsia" w:hAnsiTheme="minorEastAsia" w:eastAsiaTheme="minorEastAsia" w:cstheme="minorEastAsia"/>
                      <w:color w:val="auto"/>
                      <w:kern w:val="0"/>
                      <w:szCs w:val="21"/>
                      <w:highlight w:val="none"/>
                      <w:lang w:val="en-US" w:eastAsia="zh-CN" w:bidi="ar"/>
                    </w:rPr>
                    <w:t>0.109</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1711" w:type="pct"/>
                  <w:vMerge w:val="continue"/>
                  <w:tcBorders>
                    <w:tl2br w:val="nil"/>
                    <w:tr2bl w:val="nil"/>
                  </w:tcBorders>
                  <w:shd w:val="clear" w:color="auto" w:fill="auto"/>
                  <w:noWrap/>
                  <w:vAlign w:val="center"/>
                </w:tcPr>
                <w:p>
                  <w:pPr>
                    <w:widowControl/>
                    <w:jc w:val="center"/>
                    <w:textAlignment w:val="bottom"/>
                    <w:rPr>
                      <w:rFonts w:hint="eastAsia" w:asciiTheme="minorEastAsia" w:hAnsiTheme="minorEastAsia" w:eastAsiaTheme="minorEastAsia" w:cstheme="minorEastAsia"/>
                      <w:color w:val="auto"/>
                      <w:kern w:val="0"/>
                      <w:szCs w:val="21"/>
                      <w:highlight w:val="none"/>
                      <w:lang w:bidi="ar"/>
                    </w:rPr>
                  </w:pPr>
                </w:p>
              </w:tc>
              <w:tc>
                <w:tcPr>
                  <w:tcW w:w="1835" w:type="dxa"/>
                  <w:tcBorders>
                    <w:tl2br w:val="nil"/>
                    <w:tr2bl w:val="nil"/>
                  </w:tcBorders>
                  <w:shd w:val="clear" w:color="auto" w:fill="auto"/>
                  <w:noWrap/>
                  <w:vAlign w:val="center"/>
                </w:tcPr>
                <w:p>
                  <w:pPr>
                    <w:widowControl/>
                    <w:jc w:val="center"/>
                    <w:textAlignment w:val="center"/>
                    <w:rPr>
                      <w:rFonts w:hint="eastAsia" w:asciiTheme="minorEastAsia" w:hAnsiTheme="minorEastAsia" w:eastAsiaTheme="minorEastAsia" w:cstheme="minorEastAsia"/>
                      <w:color w:val="auto"/>
                      <w:kern w:val="0"/>
                      <w:szCs w:val="21"/>
                      <w:highlight w:val="none"/>
                      <w:lang w:bidi="ar"/>
                    </w:rPr>
                  </w:pPr>
                  <w:r>
                    <w:rPr>
                      <w:rFonts w:hint="eastAsia"/>
                      <w:szCs w:val="21"/>
                      <w:lang w:val="en-US" w:eastAsia="zh-CN"/>
                    </w:rPr>
                    <w:t>06</w:t>
                  </w:r>
                  <w:r>
                    <w:rPr>
                      <w:rFonts w:hint="eastAsia"/>
                      <w:szCs w:val="21"/>
                    </w:rPr>
                    <w:t>月</w:t>
                  </w:r>
                  <w:r>
                    <w:rPr>
                      <w:rFonts w:hint="eastAsia"/>
                      <w:szCs w:val="21"/>
                      <w:lang w:val="en-US" w:eastAsia="zh-CN"/>
                    </w:rPr>
                    <w:t>12</w:t>
                  </w:r>
                  <w:r>
                    <w:rPr>
                      <w:rFonts w:hint="eastAsia"/>
                      <w:szCs w:val="21"/>
                    </w:rPr>
                    <w:t>日</w:t>
                  </w:r>
                </w:p>
              </w:tc>
              <w:tc>
                <w:tcPr>
                  <w:tcW w:w="2136" w:type="pct"/>
                  <w:tcBorders>
                    <w:tl2br w:val="nil"/>
                    <w:tr2bl w:val="nil"/>
                  </w:tcBorders>
                  <w:shd w:val="clear" w:color="auto" w:fill="auto"/>
                  <w:noWrap/>
                  <w:vAlign w:val="center"/>
                </w:tcPr>
                <w:p>
                  <w:pPr>
                    <w:widowControl/>
                    <w:jc w:val="center"/>
                    <w:textAlignment w:val="bottom"/>
                    <w:rPr>
                      <w:rFonts w:hint="default" w:asciiTheme="minorEastAsia" w:hAnsiTheme="minorEastAsia" w:eastAsiaTheme="minorEastAsia" w:cstheme="minorEastAsia"/>
                      <w:color w:val="auto"/>
                      <w:kern w:val="0"/>
                      <w:szCs w:val="21"/>
                      <w:highlight w:val="none"/>
                      <w:lang w:val="en-US" w:eastAsia="zh-CN" w:bidi="ar"/>
                    </w:rPr>
                  </w:pPr>
                  <w:r>
                    <w:rPr>
                      <w:rFonts w:hint="eastAsia" w:asciiTheme="minorEastAsia" w:hAnsiTheme="minorEastAsia" w:eastAsiaTheme="minorEastAsia" w:cstheme="minorEastAsia"/>
                      <w:color w:val="auto"/>
                      <w:kern w:val="0"/>
                      <w:szCs w:val="21"/>
                      <w:highlight w:val="none"/>
                      <w:lang w:val="en-US" w:eastAsia="zh-CN" w:bidi="ar"/>
                    </w:rPr>
                    <w:t>0.092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2863" w:type="pct"/>
                  <w:gridSpan w:val="2"/>
                  <w:tcBorders>
                    <w:tl2br w:val="nil"/>
                    <w:tr2bl w:val="nil"/>
                  </w:tcBorders>
                  <w:shd w:val="clear" w:color="auto" w:fill="auto"/>
                  <w:noWrap/>
                  <w:vAlign w:val="center"/>
                </w:tcPr>
                <w:p>
                  <w:pPr>
                    <w:widowControl/>
                    <w:jc w:val="center"/>
                    <w:textAlignment w:val="bottom"/>
                    <w:rPr>
                      <w:rFonts w:hint="eastAsia" w:asciiTheme="minorEastAsia" w:hAnsiTheme="minorEastAsia" w:eastAsiaTheme="minorEastAsia" w:cstheme="minorEastAsia"/>
                      <w:color w:val="auto"/>
                      <w:kern w:val="0"/>
                      <w:szCs w:val="21"/>
                      <w:highlight w:val="none"/>
                      <w:lang w:bidi="ar"/>
                    </w:rPr>
                  </w:pPr>
                  <w:r>
                    <w:rPr>
                      <w:rFonts w:hint="eastAsia" w:asciiTheme="minorEastAsia" w:hAnsiTheme="minorEastAsia" w:eastAsiaTheme="minorEastAsia" w:cstheme="minorEastAsia"/>
                      <w:color w:val="auto"/>
                      <w:kern w:val="0"/>
                      <w:szCs w:val="21"/>
                      <w:highlight w:val="none"/>
                      <w:lang w:bidi="ar"/>
                    </w:rPr>
                    <w:t>标准限值</w:t>
                  </w:r>
                </w:p>
              </w:tc>
              <w:tc>
                <w:tcPr>
                  <w:tcW w:w="2136" w:type="pct"/>
                  <w:tcBorders>
                    <w:tl2br w:val="nil"/>
                    <w:tr2bl w:val="nil"/>
                  </w:tcBorders>
                  <w:shd w:val="clear" w:color="auto" w:fill="auto"/>
                  <w:noWrap/>
                  <w:vAlign w:val="center"/>
                </w:tcPr>
                <w:p>
                  <w:pPr>
                    <w:widowControl/>
                    <w:jc w:val="center"/>
                    <w:textAlignment w:val="bottom"/>
                    <w:rPr>
                      <w:rFonts w:hint="default" w:asciiTheme="minorEastAsia" w:hAnsiTheme="minorEastAsia" w:eastAsiaTheme="minorEastAsia" w:cstheme="minorEastAsia"/>
                      <w:color w:val="auto"/>
                      <w:kern w:val="0"/>
                      <w:szCs w:val="21"/>
                      <w:highlight w:val="none"/>
                      <w:lang w:val="en-US" w:eastAsia="zh-CN" w:bidi="ar"/>
                    </w:rPr>
                  </w:pPr>
                  <w:r>
                    <w:rPr>
                      <w:rFonts w:hint="eastAsia" w:asciiTheme="minorEastAsia" w:hAnsiTheme="minorEastAsia" w:eastAsiaTheme="minorEastAsia" w:cstheme="minorEastAsia"/>
                      <w:color w:val="auto"/>
                      <w:kern w:val="0"/>
                      <w:szCs w:val="21"/>
                      <w:highlight w:val="none"/>
                      <w:lang w:val="en-US" w:eastAsia="zh-CN" w:bidi="ar"/>
                    </w:rPr>
                    <w:t>0.300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15" w:type="dxa"/>
                  <w:left w:w="15" w:type="dxa"/>
                  <w:bottom w:w="15" w:type="dxa"/>
                  <w:right w:w="15" w:type="dxa"/>
                </w:tblCellMar>
              </w:tblPrEx>
              <w:trPr>
                <w:trHeight w:val="405" w:hRule="atLeast"/>
              </w:trPr>
              <w:tc>
                <w:tcPr>
                  <w:tcW w:w="5000" w:type="pct"/>
                  <w:gridSpan w:val="3"/>
                  <w:tcBorders>
                    <w:tl2br w:val="nil"/>
                    <w:tr2bl w:val="nil"/>
                  </w:tcBorders>
                  <w:shd w:val="clear" w:color="auto" w:fill="auto"/>
                  <w:noWrap/>
                  <w:vAlign w:val="center"/>
                </w:tcPr>
                <w:p>
                  <w:pPr>
                    <w:widowControl/>
                    <w:jc w:val="center"/>
                    <w:textAlignment w:val="bottom"/>
                    <w:rPr>
                      <w:rFonts w:hint="eastAsia" w:asciiTheme="minorEastAsia" w:hAnsiTheme="minorEastAsia" w:eastAsiaTheme="minorEastAsia" w:cstheme="minorEastAsia"/>
                      <w:color w:val="auto"/>
                      <w:kern w:val="0"/>
                      <w:szCs w:val="21"/>
                      <w:highlight w:val="none"/>
                      <w:lang w:bidi="ar"/>
                    </w:rPr>
                  </w:pPr>
                  <w:r>
                    <w:rPr>
                      <w:rFonts w:hint="eastAsia" w:asciiTheme="minorEastAsia" w:hAnsiTheme="minorEastAsia" w:eastAsiaTheme="minorEastAsia" w:cstheme="minorEastAsia"/>
                      <w:color w:val="auto"/>
                      <w:kern w:val="0"/>
                      <w:szCs w:val="21"/>
                      <w:highlight w:val="none"/>
                      <w:lang w:bidi="ar"/>
                    </w:rPr>
                    <w:t>备注:</w:t>
                  </w:r>
                  <w:r>
                    <w:rPr>
                      <w:rFonts w:hint="eastAsia" w:ascii="宋体" w:hAnsi="宋体" w:eastAsia="宋体" w:cs="宋体"/>
                      <w:color w:val="auto"/>
                      <w:kern w:val="0"/>
                      <w:sz w:val="20"/>
                      <w:szCs w:val="20"/>
                      <w:highlight w:val="none"/>
                      <w:lang w:val="en-US" w:eastAsia="zh-CN" w:bidi="ar"/>
                    </w:rPr>
                    <w:t>“总悬浮颗粒物”执行《环境空气质量标准》（</w:t>
                  </w:r>
                  <w:r>
                    <w:rPr>
                      <w:rFonts w:hint="default" w:ascii="Times New Roman" w:hAnsi="Times New Roman" w:eastAsia="宋体" w:cs="Times New Roman"/>
                      <w:color w:val="auto"/>
                      <w:kern w:val="0"/>
                      <w:sz w:val="20"/>
                      <w:szCs w:val="20"/>
                      <w:highlight w:val="none"/>
                      <w:lang w:val="en-US" w:eastAsia="zh-CN" w:bidi="ar"/>
                    </w:rPr>
                    <w:t>GB3095-2012</w:t>
                  </w:r>
                  <w:r>
                    <w:rPr>
                      <w:rFonts w:hint="eastAsia" w:ascii="宋体" w:hAnsi="宋体" w:eastAsia="宋体" w:cs="宋体"/>
                      <w:color w:val="auto"/>
                      <w:kern w:val="0"/>
                      <w:sz w:val="20"/>
                      <w:szCs w:val="20"/>
                      <w:highlight w:val="none"/>
                      <w:lang w:val="en-US" w:eastAsia="zh-CN" w:bidi="ar"/>
                    </w:rPr>
                    <w:t xml:space="preserve">）表 </w:t>
                  </w:r>
                  <w:r>
                    <w:rPr>
                      <w:rFonts w:hint="default" w:ascii="Times New Roman" w:hAnsi="Times New Roman" w:eastAsia="宋体" w:cs="Times New Roman"/>
                      <w:color w:val="auto"/>
                      <w:kern w:val="0"/>
                      <w:sz w:val="20"/>
                      <w:szCs w:val="20"/>
                      <w:highlight w:val="none"/>
                      <w:lang w:val="en-US" w:eastAsia="zh-CN" w:bidi="ar"/>
                    </w:rPr>
                    <w:t xml:space="preserve">2 </w:t>
                  </w:r>
                  <w:r>
                    <w:rPr>
                      <w:rFonts w:hint="eastAsia" w:ascii="宋体" w:hAnsi="宋体" w:eastAsia="宋体" w:cs="宋体"/>
                      <w:color w:val="auto"/>
                      <w:kern w:val="0"/>
                      <w:sz w:val="20"/>
                      <w:szCs w:val="20"/>
                      <w:highlight w:val="none"/>
                      <w:lang w:val="en-US" w:eastAsia="zh-CN" w:bidi="ar"/>
                    </w:rPr>
                    <w:t>中二级标准限值。</w:t>
                  </w:r>
                </w:p>
              </w:tc>
            </w:tr>
          </w:tbl>
          <w:p>
            <w:pPr>
              <w:spacing w:line="360" w:lineRule="auto"/>
              <w:ind w:firstLine="480" w:firstLineChars="200"/>
              <w:rPr>
                <w:rFonts w:hint="eastAsia" w:ascii="宋体" w:hAnsi="宋体" w:eastAsia="宋体" w:cs="宋体"/>
                <w:color w:val="auto"/>
                <w:sz w:val="24"/>
                <w:highlight w:val="none"/>
                <w:u w:val="none"/>
              </w:rPr>
            </w:pPr>
            <w:bookmarkStart w:id="22" w:name="_Toc14685"/>
            <w:bookmarkStart w:id="23" w:name="_Toc28798"/>
            <w:bookmarkStart w:id="24" w:name="_Toc1074"/>
            <w:r>
              <w:rPr>
                <w:rFonts w:hint="eastAsia" w:ascii="宋体" w:hAnsi="宋体" w:eastAsia="宋体" w:cs="宋体"/>
                <w:color w:val="auto"/>
                <w:sz w:val="24"/>
                <w:highlight w:val="none"/>
                <w:u w:val="none"/>
              </w:rPr>
              <w:t>以上监测结果表明：项目所在地TSP 现状监测数据，能满足《环境空气质量标准（含 2018 年修改单）》（GB 3095-2012）相关标准要求，空气质量良好。</w:t>
            </w:r>
            <w:bookmarkEnd w:id="22"/>
            <w:bookmarkEnd w:id="23"/>
            <w:bookmarkEnd w:id="24"/>
            <w:r>
              <w:rPr>
                <w:rFonts w:hint="eastAsia" w:ascii="宋体" w:hAnsi="宋体" w:eastAsia="宋体" w:cs="宋体"/>
                <w:color w:val="auto"/>
                <w:sz w:val="24"/>
                <w:highlight w:val="none"/>
                <w:u w:val="none"/>
              </w:rPr>
              <w:t xml:space="preserve"> </w:t>
            </w:r>
          </w:p>
          <w:p>
            <w:pPr>
              <w:spacing w:line="360" w:lineRule="auto"/>
              <w:rPr>
                <w:rFonts w:ascii="宋体" w:hAnsi="宋体" w:cs="宋体"/>
                <w:b/>
                <w:bCs/>
                <w:color w:val="auto"/>
                <w:sz w:val="24"/>
                <w:highlight w:val="none"/>
              </w:rPr>
            </w:pPr>
            <w:bookmarkStart w:id="25" w:name="_Toc8604"/>
            <w:bookmarkStart w:id="26" w:name="_Toc16455"/>
            <w:bookmarkStart w:id="27" w:name="_Toc2065"/>
            <w:bookmarkStart w:id="28" w:name="_Toc21049"/>
            <w:bookmarkStart w:id="29" w:name="_Toc2281"/>
            <w:bookmarkStart w:id="30" w:name="_Toc27206"/>
            <w:bookmarkStart w:id="31" w:name="_Toc15738"/>
            <w:bookmarkStart w:id="32" w:name="_Toc9330"/>
            <w:bookmarkStart w:id="33" w:name="_Toc9140"/>
            <w:bookmarkStart w:id="34" w:name="_Toc21444"/>
            <w:bookmarkStart w:id="35" w:name="_Toc2031"/>
            <w:bookmarkStart w:id="36" w:name="_Toc5983"/>
            <w:r>
              <w:rPr>
                <w:rFonts w:ascii="宋体" w:hAnsi="宋体" w:cs="宋体"/>
                <w:b/>
                <w:bCs/>
                <w:color w:val="auto"/>
                <w:sz w:val="24"/>
                <w:highlight w:val="none"/>
              </w:rPr>
              <w:t>2、地表水环境质量现状</w:t>
            </w:r>
            <w:bookmarkEnd w:id="25"/>
            <w:bookmarkEnd w:id="26"/>
            <w:bookmarkEnd w:id="27"/>
            <w:bookmarkEnd w:id="28"/>
            <w:bookmarkEnd w:id="29"/>
            <w:bookmarkEnd w:id="30"/>
            <w:bookmarkEnd w:id="31"/>
            <w:bookmarkEnd w:id="32"/>
            <w:bookmarkEnd w:id="33"/>
            <w:bookmarkEnd w:id="34"/>
            <w:bookmarkEnd w:id="35"/>
            <w:bookmarkEnd w:id="36"/>
          </w:p>
          <w:p>
            <w:pPr>
              <w:pStyle w:val="3"/>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napToGrid/>
              <w:spacing w:before="0" w:beforeAutospacing="0" w:after="0" w:afterAutospacing="0" w:line="360" w:lineRule="auto"/>
              <w:ind w:left="0" w:right="0" w:firstLine="480" w:firstLineChars="200"/>
              <w:jc w:val="both"/>
              <w:textAlignment w:val="auto"/>
              <w:rPr>
                <w:color w:val="auto"/>
                <w:sz w:val="24"/>
                <w:szCs w:val="20"/>
                <w:highlight w:val="none"/>
                <w:u w:val="none"/>
              </w:rPr>
            </w:pPr>
            <w:r>
              <w:rPr>
                <w:rFonts w:hint="eastAsia" w:ascii="宋体" w:hAnsi="宋体" w:eastAsia="宋体" w:cs="宋体"/>
                <w:b w:val="0"/>
                <w:bCs w:val="0"/>
                <w:color w:val="auto"/>
                <w:kern w:val="2"/>
                <w:sz w:val="24"/>
                <w:szCs w:val="24"/>
                <w:highlight w:val="none"/>
                <w:u w:val="none"/>
                <w:lang w:val="en-US" w:eastAsia="zh-CN" w:bidi="ar-SA"/>
              </w:rPr>
              <w:t xml:space="preserve">根据 </w:t>
            </w:r>
            <w:r>
              <w:rPr>
                <w:rFonts w:hint="default" w:ascii="宋体" w:hAnsi="宋体" w:eastAsia="宋体" w:cs="宋体"/>
                <w:b w:val="0"/>
                <w:bCs w:val="0"/>
                <w:color w:val="auto"/>
                <w:kern w:val="2"/>
                <w:sz w:val="24"/>
                <w:szCs w:val="24"/>
                <w:highlight w:val="none"/>
                <w:u w:val="none"/>
                <w:lang w:val="en-US" w:eastAsia="zh-CN" w:bidi="ar-SA"/>
              </w:rPr>
              <w:t>202</w:t>
            </w:r>
            <w:r>
              <w:rPr>
                <w:rFonts w:hint="eastAsia" w:ascii="宋体" w:hAnsi="宋体" w:eastAsia="宋体" w:cs="宋体"/>
                <w:b w:val="0"/>
                <w:bCs w:val="0"/>
                <w:color w:val="auto"/>
                <w:kern w:val="2"/>
                <w:sz w:val="24"/>
                <w:szCs w:val="24"/>
                <w:highlight w:val="none"/>
                <w:u w:val="none"/>
                <w:lang w:val="en-US" w:eastAsia="zh-CN" w:bidi="ar-SA"/>
              </w:rPr>
              <w:t>2</w:t>
            </w:r>
            <w:r>
              <w:rPr>
                <w:rFonts w:hint="default" w:ascii="宋体" w:hAnsi="宋体" w:eastAsia="宋体" w:cs="宋体"/>
                <w:b w:val="0"/>
                <w:bCs w:val="0"/>
                <w:color w:val="auto"/>
                <w:kern w:val="2"/>
                <w:sz w:val="24"/>
                <w:szCs w:val="24"/>
                <w:highlight w:val="none"/>
                <w:u w:val="none"/>
                <w:lang w:val="en-US" w:eastAsia="zh-CN" w:bidi="ar-SA"/>
              </w:rPr>
              <w:t xml:space="preserve"> </w:t>
            </w:r>
            <w:r>
              <w:rPr>
                <w:rFonts w:hint="eastAsia" w:ascii="宋体" w:hAnsi="宋体" w:eastAsia="宋体" w:cs="宋体"/>
                <w:b w:val="0"/>
                <w:bCs w:val="0"/>
                <w:color w:val="auto"/>
                <w:kern w:val="2"/>
                <w:sz w:val="24"/>
                <w:szCs w:val="24"/>
                <w:highlight w:val="none"/>
                <w:u w:val="none"/>
                <w:lang w:val="en-US" w:eastAsia="zh-CN" w:bidi="ar-SA"/>
              </w:rPr>
              <w:t>年4月</w:t>
            </w:r>
            <w:r>
              <w:rPr>
                <w:rFonts w:hint="eastAsia" w:cs="宋体"/>
                <w:b w:val="0"/>
                <w:bCs w:val="0"/>
                <w:color w:val="auto"/>
                <w:kern w:val="2"/>
                <w:sz w:val="24"/>
                <w:szCs w:val="24"/>
                <w:highlight w:val="none"/>
                <w:u w:val="none"/>
                <w:lang w:val="en-US" w:eastAsia="zh-CN" w:bidi="ar-SA"/>
              </w:rPr>
              <w:t>发布的</w:t>
            </w:r>
            <w:r>
              <w:rPr>
                <w:rFonts w:hint="eastAsia" w:ascii="宋体" w:hAnsi="宋体" w:eastAsia="宋体" w:cs="宋体"/>
                <w:b w:val="0"/>
                <w:bCs w:val="0"/>
                <w:color w:val="auto"/>
                <w:kern w:val="2"/>
                <w:sz w:val="24"/>
                <w:szCs w:val="24"/>
                <w:highlight w:val="none"/>
                <w:u w:val="none"/>
                <w:lang w:val="en-US" w:eastAsia="zh-CN" w:bidi="ar-SA"/>
              </w:rPr>
              <w:t>《湖南省2022年4月地表水水质状况》，环洞庭湖河流：水质总体为优。37个监测断面中，36个达到或优于Ⅲ类水质标准；1个断面水质为Ⅳ类（华容河的六门闸），污染指标为化学需氧量。距离项目最近的华容河南堤拐断面符合《地表水环境质量标准》（</w:t>
            </w:r>
            <w:r>
              <w:rPr>
                <w:rFonts w:hint="default" w:ascii="宋体" w:hAnsi="宋体" w:eastAsia="宋体" w:cs="宋体"/>
                <w:b w:val="0"/>
                <w:bCs w:val="0"/>
                <w:color w:val="auto"/>
                <w:kern w:val="2"/>
                <w:sz w:val="24"/>
                <w:szCs w:val="24"/>
                <w:highlight w:val="none"/>
                <w:u w:val="none"/>
                <w:lang w:val="en-US" w:eastAsia="zh-CN" w:bidi="ar-SA"/>
              </w:rPr>
              <w:t>GB3838-2022</w:t>
            </w:r>
            <w:r>
              <w:rPr>
                <w:rFonts w:hint="eastAsia" w:ascii="宋体" w:hAnsi="宋体" w:eastAsia="宋体" w:cs="宋体"/>
                <w:b w:val="0"/>
                <w:bCs w:val="0"/>
                <w:color w:val="auto"/>
                <w:kern w:val="2"/>
                <w:sz w:val="24"/>
                <w:szCs w:val="24"/>
                <w:highlight w:val="none"/>
                <w:u w:val="none"/>
                <w:lang w:val="en-US" w:eastAsia="zh-CN" w:bidi="ar-SA"/>
              </w:rPr>
              <w:t xml:space="preserve">）表 </w:t>
            </w:r>
            <w:r>
              <w:rPr>
                <w:rFonts w:hint="default" w:ascii="宋体" w:hAnsi="宋体" w:eastAsia="宋体" w:cs="宋体"/>
                <w:b w:val="0"/>
                <w:bCs w:val="0"/>
                <w:color w:val="auto"/>
                <w:kern w:val="2"/>
                <w:sz w:val="24"/>
                <w:szCs w:val="24"/>
                <w:highlight w:val="none"/>
                <w:u w:val="none"/>
                <w:lang w:val="en-US" w:eastAsia="zh-CN" w:bidi="ar-SA"/>
              </w:rPr>
              <w:t>1</w:t>
            </w:r>
            <w:r>
              <w:rPr>
                <w:rFonts w:hint="eastAsia" w:cs="宋体"/>
                <w:b w:val="0"/>
                <w:bCs w:val="0"/>
                <w:color w:val="auto"/>
                <w:kern w:val="2"/>
                <w:sz w:val="24"/>
                <w:szCs w:val="24"/>
                <w:highlight w:val="none"/>
                <w:u w:val="none"/>
                <w:lang w:val="en-US" w:eastAsia="zh-CN" w:bidi="ar-SA"/>
              </w:rPr>
              <w:t>中</w:t>
            </w:r>
            <w:r>
              <w:rPr>
                <w:rFonts w:hint="default" w:ascii="宋体" w:hAnsi="宋体" w:eastAsia="宋体" w:cs="宋体"/>
                <w:b w:val="0"/>
                <w:bCs w:val="0"/>
                <w:color w:val="auto"/>
                <w:kern w:val="2"/>
                <w:sz w:val="24"/>
                <w:szCs w:val="24"/>
                <w:highlight w:val="none"/>
                <w:u w:val="none"/>
                <w:lang w:val="en-US" w:eastAsia="zh-CN" w:bidi="ar-SA"/>
              </w:rPr>
              <w:t xml:space="preserve">III </w:t>
            </w:r>
            <w:r>
              <w:rPr>
                <w:rFonts w:hint="eastAsia" w:ascii="宋体" w:hAnsi="宋体" w:eastAsia="宋体" w:cs="宋体"/>
                <w:b w:val="0"/>
                <w:bCs w:val="0"/>
                <w:color w:val="auto"/>
                <w:kern w:val="2"/>
                <w:sz w:val="24"/>
                <w:szCs w:val="24"/>
                <w:highlight w:val="none"/>
                <w:u w:val="none"/>
                <w:lang w:val="en-US" w:eastAsia="zh-CN" w:bidi="ar-SA"/>
              </w:rPr>
              <w:t>类水质标准要求。</w:t>
            </w:r>
          </w:p>
          <w:p>
            <w:pPr>
              <w:spacing w:line="360" w:lineRule="auto"/>
              <w:rPr>
                <w:rFonts w:eastAsiaTheme="minorEastAsia"/>
                <w:b/>
                <w:bCs/>
                <w:color w:val="auto"/>
                <w:highlight w:val="none"/>
              </w:rPr>
            </w:pPr>
            <w:r>
              <w:rPr>
                <w:rFonts w:eastAsiaTheme="minorEastAsia"/>
                <w:b/>
                <w:bCs/>
                <w:color w:val="auto"/>
                <w:sz w:val="24"/>
                <w:highlight w:val="none"/>
              </w:rPr>
              <w:t>3、声环境质量现状调查与评价</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Theme="minorEastAsia"/>
                <w:color w:val="auto"/>
                <w:sz w:val="24"/>
                <w:highlight w:val="none"/>
              </w:rPr>
            </w:pPr>
            <w:r>
              <w:rPr>
                <w:rFonts w:hint="eastAsia" w:eastAsiaTheme="minorEastAsia"/>
                <w:color w:val="auto"/>
                <w:sz w:val="24"/>
                <w:highlight w:val="none"/>
              </w:rPr>
              <w:t>根据《建设项目环境影响报告表编制技术指南》（污染影响类）（试行），厂界外周边50米范围内存在声环境保护目标的建设项目，应监测保护目标声环境质量现状并评价达标情况。各点位应监测昼夜间噪声，监测时间不少于1天，项目夜间不生产则仅监测昼间噪声。</w:t>
            </w:r>
          </w:p>
          <w:p>
            <w:pPr>
              <w:keepNext w:val="0"/>
              <w:keepLines w:val="0"/>
              <w:pageBreakBefore w:val="0"/>
              <w:widowControl w:val="0"/>
              <w:kinsoku/>
              <w:wordWrap/>
              <w:overflowPunct/>
              <w:topLinePunct w:val="0"/>
              <w:autoSpaceDE/>
              <w:autoSpaceDN/>
              <w:bidi w:val="0"/>
              <w:adjustRightInd/>
              <w:snapToGrid/>
              <w:spacing w:line="360" w:lineRule="auto"/>
              <w:ind w:firstLine="480" w:firstLineChars="200"/>
              <w:textAlignment w:val="auto"/>
              <w:rPr>
                <w:rFonts w:hint="eastAsia" w:eastAsiaTheme="minorEastAsia"/>
                <w:color w:val="auto"/>
                <w:sz w:val="24"/>
                <w:highlight w:val="none"/>
              </w:rPr>
            </w:pPr>
            <w:r>
              <w:rPr>
                <w:rFonts w:hint="eastAsia" w:eastAsiaTheme="minorEastAsia"/>
                <w:color w:val="auto"/>
                <w:sz w:val="24"/>
                <w:highlight w:val="none"/>
              </w:rPr>
              <w:t>本项目厂界外50米范围内没有声环境保护目标，因此不对声环境质量现状进行监测与评价。</w:t>
            </w:r>
          </w:p>
          <w:p>
            <w:pPr>
              <w:spacing w:line="360" w:lineRule="auto"/>
              <w:rPr>
                <w:rFonts w:eastAsiaTheme="minorEastAsia"/>
                <w:b/>
                <w:color w:val="auto"/>
                <w:sz w:val="24"/>
                <w:highlight w:val="none"/>
              </w:rPr>
            </w:pPr>
            <w:r>
              <w:rPr>
                <w:rFonts w:eastAsiaTheme="minorEastAsia"/>
                <w:b/>
                <w:color w:val="auto"/>
                <w:sz w:val="24"/>
                <w:highlight w:val="none"/>
              </w:rPr>
              <w:t>4、地下水环境质量现状</w:t>
            </w:r>
          </w:p>
          <w:p>
            <w:pPr>
              <w:autoSpaceDE w:val="0"/>
              <w:autoSpaceDN w:val="0"/>
              <w:spacing w:line="360" w:lineRule="auto"/>
              <w:ind w:firstLine="480" w:firstLineChars="200"/>
              <w:jc w:val="left"/>
              <w:rPr>
                <w:rFonts w:eastAsiaTheme="minorEastAsia"/>
                <w:color w:val="auto"/>
                <w:kern w:val="0"/>
                <w:sz w:val="24"/>
                <w:highlight w:val="none"/>
              </w:rPr>
            </w:pPr>
            <w:r>
              <w:rPr>
                <w:rFonts w:eastAsiaTheme="minorEastAsia"/>
                <w:color w:val="auto"/>
                <w:kern w:val="0"/>
                <w:sz w:val="24"/>
                <w:highlight w:val="none"/>
              </w:rPr>
              <w:t>根据《环境影响评价技术导则地下水环境》（HJ610-2016）附录A中可查得，本项目地下水环境影响评价项目类别为Ⅳ类，可不开展地下水环境影响评价工作。</w:t>
            </w:r>
          </w:p>
          <w:p>
            <w:pPr>
              <w:spacing w:line="360" w:lineRule="auto"/>
              <w:rPr>
                <w:rFonts w:eastAsiaTheme="minorEastAsia"/>
                <w:b/>
                <w:color w:val="auto"/>
                <w:sz w:val="24"/>
                <w:highlight w:val="none"/>
              </w:rPr>
            </w:pPr>
            <w:bookmarkStart w:id="37" w:name="_Toc17833"/>
            <w:bookmarkStart w:id="38" w:name="_Toc1054"/>
            <w:bookmarkStart w:id="39" w:name="_Toc27484"/>
            <w:bookmarkStart w:id="40" w:name="_Toc10003"/>
            <w:bookmarkStart w:id="41" w:name="_Toc21920"/>
            <w:bookmarkStart w:id="42" w:name="_Toc27785"/>
            <w:r>
              <w:rPr>
                <w:rFonts w:eastAsiaTheme="minorEastAsia"/>
                <w:b/>
                <w:color w:val="auto"/>
                <w:sz w:val="24"/>
                <w:highlight w:val="none"/>
              </w:rPr>
              <w:t>5、土壤环境质量现状</w:t>
            </w:r>
            <w:bookmarkEnd w:id="37"/>
            <w:bookmarkEnd w:id="38"/>
            <w:bookmarkEnd w:id="39"/>
            <w:bookmarkEnd w:id="40"/>
            <w:bookmarkEnd w:id="41"/>
            <w:bookmarkEnd w:id="42"/>
          </w:p>
          <w:p>
            <w:pPr>
              <w:adjustRightInd w:val="0"/>
              <w:snapToGrid w:val="0"/>
              <w:spacing w:line="360" w:lineRule="auto"/>
              <w:ind w:firstLine="480" w:firstLineChars="200"/>
              <w:jc w:val="left"/>
              <w:rPr>
                <w:color w:val="auto"/>
                <w:kern w:val="0"/>
                <w:szCs w:val="21"/>
                <w:highlight w:val="none"/>
              </w:rPr>
            </w:pPr>
            <w:r>
              <w:rPr>
                <w:rFonts w:eastAsiaTheme="minorEastAsia"/>
                <w:color w:val="auto"/>
                <w:sz w:val="24"/>
                <w:szCs w:val="32"/>
                <w:highlight w:val="none"/>
              </w:rPr>
              <w:t>根据《环境影响评价技术导则土壤环境（试行）》（HJ964-2018）附录A中可查得，本项目属于其他行业，土壤环境影响评价项目类别为</w:t>
            </w:r>
            <w:r>
              <w:rPr>
                <w:rFonts w:eastAsiaTheme="minorEastAsia"/>
                <w:color w:val="auto"/>
                <w:kern w:val="0"/>
                <w:sz w:val="24"/>
                <w:szCs w:val="32"/>
                <w:highlight w:val="none"/>
              </w:rPr>
              <w:t>Ⅳ类，可不开展土壤环境影响评价工作。</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400" w:hRule="atLeast"/>
          <w:jc w:val="center"/>
        </w:trPr>
        <w:tc>
          <w:tcPr>
            <w:tcW w:w="800" w:type="dxa"/>
            <w:vAlign w:val="center"/>
          </w:tcPr>
          <w:p>
            <w:pPr>
              <w:adjustRightInd w:val="0"/>
              <w:snapToGrid w:val="0"/>
              <w:jc w:val="center"/>
              <w:rPr>
                <w:color w:val="auto"/>
                <w:sz w:val="24"/>
                <w:szCs w:val="32"/>
                <w:highlight w:val="none"/>
                <w:lang w:val="zh-CN" w:bidi="zh-CN"/>
              </w:rPr>
            </w:pPr>
            <w:r>
              <w:rPr>
                <w:color w:val="auto"/>
                <w:sz w:val="24"/>
                <w:szCs w:val="32"/>
                <w:highlight w:val="none"/>
                <w:lang w:val="zh-CN" w:bidi="zh-CN"/>
              </w:rPr>
              <w:t>环境</w:t>
            </w:r>
          </w:p>
          <w:p>
            <w:pPr>
              <w:adjustRightInd w:val="0"/>
              <w:snapToGrid w:val="0"/>
              <w:jc w:val="center"/>
              <w:rPr>
                <w:color w:val="auto"/>
                <w:sz w:val="24"/>
                <w:szCs w:val="32"/>
                <w:highlight w:val="none"/>
                <w:lang w:val="zh-CN" w:bidi="zh-CN"/>
              </w:rPr>
            </w:pPr>
            <w:r>
              <w:rPr>
                <w:color w:val="auto"/>
                <w:sz w:val="24"/>
                <w:szCs w:val="32"/>
                <w:highlight w:val="none"/>
                <w:lang w:val="zh-CN" w:bidi="zh-CN"/>
              </w:rPr>
              <w:t>保护</w:t>
            </w:r>
          </w:p>
          <w:p>
            <w:pPr>
              <w:adjustRightInd w:val="0"/>
              <w:snapToGrid w:val="0"/>
              <w:jc w:val="center"/>
              <w:rPr>
                <w:color w:val="auto"/>
                <w:kern w:val="0"/>
                <w:szCs w:val="21"/>
                <w:highlight w:val="none"/>
              </w:rPr>
            </w:pPr>
            <w:r>
              <w:rPr>
                <w:color w:val="auto"/>
                <w:sz w:val="24"/>
                <w:szCs w:val="32"/>
                <w:highlight w:val="none"/>
                <w:lang w:val="zh-CN" w:bidi="zh-CN"/>
              </w:rPr>
              <w:t>目标</w:t>
            </w:r>
          </w:p>
        </w:tc>
        <w:tc>
          <w:tcPr>
            <w:tcW w:w="8190" w:type="dxa"/>
          </w:tcPr>
          <w:p>
            <w:pPr>
              <w:keepNext w:val="0"/>
              <w:keepLines w:val="0"/>
              <w:widowControl/>
              <w:suppressLineNumbers w:val="0"/>
              <w:spacing w:line="360" w:lineRule="auto"/>
              <w:ind w:firstLine="480" w:firstLineChars="200"/>
              <w:jc w:val="left"/>
              <w:rPr>
                <w:rFonts w:ascii="Times New Roman" w:hAnsi="Times New Roman" w:eastAsia="宋体" w:cs="Times New Roman"/>
                <w:color w:val="auto"/>
                <w:kern w:val="2"/>
                <w:sz w:val="24"/>
                <w:szCs w:val="32"/>
                <w:highlight w:val="none"/>
                <w:u w:val="none"/>
                <w:lang w:val="zh-CN" w:eastAsia="zh-CN" w:bidi="zh-CN"/>
              </w:rPr>
            </w:pPr>
            <w:r>
              <w:rPr>
                <w:rFonts w:hint="eastAsia" w:ascii="Times New Roman" w:hAnsi="Times New Roman" w:eastAsia="宋体" w:cs="Times New Roman"/>
                <w:color w:val="auto"/>
                <w:kern w:val="2"/>
                <w:sz w:val="24"/>
                <w:szCs w:val="32"/>
                <w:highlight w:val="none"/>
                <w:u w:val="none"/>
                <w:lang w:val="en-US" w:eastAsia="zh-CN" w:bidi="zh-CN"/>
              </w:rPr>
              <w:t xml:space="preserve">建设项目所在区域内无文物保护单位、风景名胜区、水源保护区等环境敏感点，本项目 </w:t>
            </w:r>
            <w:r>
              <w:rPr>
                <w:rFonts w:hint="default" w:ascii="Times New Roman" w:hAnsi="Times New Roman" w:eastAsia="宋体" w:cs="Times New Roman"/>
                <w:color w:val="auto"/>
                <w:kern w:val="2"/>
                <w:sz w:val="24"/>
                <w:szCs w:val="32"/>
                <w:highlight w:val="none"/>
                <w:u w:val="none"/>
                <w:lang w:val="en-US" w:eastAsia="zh-CN" w:bidi="zh-CN"/>
              </w:rPr>
              <w:t xml:space="preserve">50 </w:t>
            </w:r>
            <w:r>
              <w:rPr>
                <w:rFonts w:hint="eastAsia" w:ascii="Times New Roman" w:hAnsi="Times New Roman" w:eastAsia="宋体" w:cs="Times New Roman"/>
                <w:color w:val="auto"/>
                <w:kern w:val="2"/>
                <w:sz w:val="24"/>
                <w:szCs w:val="32"/>
                <w:highlight w:val="none"/>
                <w:u w:val="none"/>
                <w:lang w:val="en-US" w:eastAsia="zh-CN" w:bidi="zh-CN"/>
              </w:rPr>
              <w:t xml:space="preserve">米范围内没有地下水集中式饮用水水源和热水、矿泉水、温泉等特殊地下水资源。建设项目环境空气保护目标见下表。 </w:t>
            </w:r>
          </w:p>
          <w:p>
            <w:pPr>
              <w:jc w:val="center"/>
              <w:rPr>
                <w:rFonts w:eastAsiaTheme="minorEastAsia"/>
                <w:b/>
                <w:color w:val="auto"/>
                <w:highlight w:val="none"/>
                <w:u w:val="single"/>
              </w:rPr>
            </w:pPr>
            <w:r>
              <w:rPr>
                <w:rFonts w:eastAsiaTheme="minorEastAsia"/>
                <w:b/>
                <w:color w:val="auto"/>
                <w:highlight w:val="none"/>
                <w:u w:val="single"/>
              </w:rPr>
              <w:t>表3-</w:t>
            </w:r>
            <w:r>
              <w:rPr>
                <w:rFonts w:hint="eastAsia" w:eastAsiaTheme="minorEastAsia"/>
                <w:b/>
                <w:color w:val="auto"/>
                <w:highlight w:val="none"/>
                <w:u w:val="single"/>
                <w:lang w:val="en-US" w:eastAsia="zh-CN"/>
              </w:rPr>
              <w:t>4</w:t>
            </w:r>
            <w:r>
              <w:rPr>
                <w:rFonts w:eastAsiaTheme="minorEastAsia"/>
                <w:b/>
                <w:color w:val="auto"/>
                <w:highlight w:val="none"/>
                <w:u w:val="single"/>
              </w:rPr>
              <w:t xml:space="preserve">  </w:t>
            </w:r>
            <w:r>
              <w:rPr>
                <w:rFonts w:hint="eastAsia" w:eastAsiaTheme="minorEastAsia"/>
                <w:b/>
                <w:color w:val="auto"/>
                <w:highlight w:val="none"/>
                <w:u w:val="single"/>
                <w:lang w:val="en-US" w:eastAsia="zh-CN"/>
              </w:rPr>
              <w:t>建设项目</w:t>
            </w:r>
            <w:r>
              <w:rPr>
                <w:rFonts w:eastAsiaTheme="minorEastAsia"/>
                <w:b/>
                <w:color w:val="auto"/>
                <w:highlight w:val="none"/>
                <w:u w:val="single"/>
              </w:rPr>
              <w:t>环境保护目标</w:t>
            </w:r>
          </w:p>
          <w:tbl>
            <w:tblPr>
              <w:tblStyle w:val="25"/>
              <w:tblW w:w="0" w:type="auto"/>
              <w:jc w:val="center"/>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Layout w:type="fixed"/>
              <w:tblCellMar>
                <w:top w:w="0" w:type="dxa"/>
                <w:left w:w="108" w:type="dxa"/>
                <w:bottom w:w="0" w:type="dxa"/>
                <w:right w:w="108" w:type="dxa"/>
              </w:tblCellMar>
            </w:tblPr>
            <w:tblGrid>
              <w:gridCol w:w="683"/>
              <w:gridCol w:w="2497"/>
              <w:gridCol w:w="860"/>
              <w:gridCol w:w="618"/>
              <w:gridCol w:w="1025"/>
              <w:gridCol w:w="2130"/>
            </w:tblGrid>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环境要素</w:t>
                  </w:r>
                </w:p>
              </w:tc>
              <w:tc>
                <w:tcPr>
                  <w:tcW w:w="2497"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保护目标</w:t>
                  </w:r>
                </w:p>
              </w:tc>
              <w:tc>
                <w:tcPr>
                  <w:tcW w:w="860"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最近距离</w:t>
                  </w:r>
                </w:p>
              </w:tc>
              <w:tc>
                <w:tcPr>
                  <w:tcW w:w="618"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方位</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规模</w:t>
                  </w:r>
                </w:p>
              </w:tc>
              <w:tc>
                <w:tcPr>
                  <w:tcW w:w="2130" w:type="dxa"/>
                  <w:tcBorders>
                    <w:tl2br w:val="nil"/>
                    <w:tr2bl w:val="nil"/>
                  </w:tcBorders>
                  <w:noWrap w:val="0"/>
                  <w:vAlign w:val="center"/>
                </w:tcPr>
                <w:p>
                  <w:pPr>
                    <w:snapToGrid w:val="0"/>
                    <w:spacing w:line="360"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保护级别</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vMerge w:val="restart"/>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大气环境</w:t>
                  </w:r>
                </w:p>
              </w:tc>
              <w:tc>
                <w:tcPr>
                  <w:tcW w:w="2497"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蔡兴村北侧</w:t>
                  </w:r>
                  <w:r>
                    <w:rPr>
                      <w:rFonts w:hint="default" w:ascii="Times New Roman" w:hAnsi="Times New Roman" w:eastAsia="宋体" w:cs="Times New Roman"/>
                      <w:color w:val="auto"/>
                      <w:sz w:val="21"/>
                      <w:szCs w:val="21"/>
                      <w:highlight w:val="none"/>
                      <w:u w:val="none"/>
                      <w:lang w:val="en-US" w:eastAsia="zh-CN"/>
                    </w:rPr>
                    <w:t>居民</w:t>
                  </w:r>
                  <w:r>
                    <w:rPr>
                      <w:rFonts w:hint="default" w:ascii="Times New Roman" w:hAnsi="Times New Roman" w:cs="Times New Roman"/>
                      <w:color w:val="auto"/>
                      <w:sz w:val="21"/>
                      <w:szCs w:val="21"/>
                      <w:highlight w:val="none"/>
                      <w:u w:val="none"/>
                      <w:lang w:val="en-US" w:eastAsia="zh-CN"/>
                    </w:rPr>
                    <w:t>点</w:t>
                  </w:r>
                </w:p>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E112°34'09.4689",</w:t>
                  </w:r>
                </w:p>
                <w:p>
                  <w:pPr>
                    <w:snapToGrid w:val="0"/>
                    <w:spacing w:line="360" w:lineRule="exact"/>
                    <w:jc w:val="center"/>
                    <w:rPr>
                      <w:rFonts w:hint="default" w:ascii="Times New Roman" w:hAnsi="Times New Roman" w:eastAsia="宋体"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N29°30'11.5393"</w:t>
                  </w:r>
                </w:p>
              </w:tc>
              <w:tc>
                <w:tcPr>
                  <w:tcW w:w="86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57-500m</w:t>
                  </w:r>
                </w:p>
              </w:tc>
              <w:tc>
                <w:tcPr>
                  <w:tcW w:w="618"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N</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约800人</w:t>
                  </w:r>
                </w:p>
              </w:tc>
              <w:tc>
                <w:tcPr>
                  <w:tcW w:w="2130" w:type="dxa"/>
                  <w:vMerge w:val="restart"/>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《环境空气质量标准》（GB3095-2012）中的二级标准限值</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vMerge w:val="continue"/>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p>
              </w:tc>
              <w:tc>
                <w:tcPr>
                  <w:tcW w:w="2497"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蔡兴村</w:t>
                  </w:r>
                  <w:r>
                    <w:rPr>
                      <w:rFonts w:hint="default" w:ascii="Times New Roman" w:hAnsi="Times New Roman" w:cs="Times New Roman"/>
                      <w:color w:val="auto"/>
                      <w:kern w:val="0"/>
                      <w:sz w:val="21"/>
                      <w:szCs w:val="21"/>
                      <w:highlight w:val="none"/>
                      <w:u w:val="none"/>
                      <w:lang w:val="en-US" w:eastAsia="zh-CN" w:bidi="ar"/>
                    </w:rPr>
                    <w:t>南</w:t>
                  </w:r>
                  <w:r>
                    <w:rPr>
                      <w:rFonts w:hint="default" w:ascii="Times New Roman" w:hAnsi="Times New Roman" w:eastAsia="宋体" w:cs="Times New Roman"/>
                      <w:color w:val="auto"/>
                      <w:kern w:val="0"/>
                      <w:sz w:val="21"/>
                      <w:szCs w:val="21"/>
                      <w:highlight w:val="none"/>
                      <w:u w:val="none"/>
                      <w:lang w:val="en-US" w:eastAsia="zh-CN" w:bidi="ar"/>
                    </w:rPr>
                    <w:t>侧居民点</w:t>
                  </w:r>
                </w:p>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E112°34'13.9686",</w:t>
                  </w:r>
                </w:p>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lang w:val="en-US" w:eastAsia="zh-CN"/>
                    </w:rPr>
                    <w:t>N29°29'55.7733"</w:t>
                  </w:r>
                </w:p>
              </w:tc>
              <w:tc>
                <w:tcPr>
                  <w:tcW w:w="86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221-500m</w:t>
                  </w:r>
                </w:p>
              </w:tc>
              <w:tc>
                <w:tcPr>
                  <w:tcW w:w="618"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S</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约500人</w:t>
                  </w:r>
                </w:p>
              </w:tc>
              <w:tc>
                <w:tcPr>
                  <w:tcW w:w="2130" w:type="dxa"/>
                  <w:vMerge w:val="continue"/>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vMerge w:val="continue"/>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p>
              </w:tc>
              <w:tc>
                <w:tcPr>
                  <w:tcW w:w="2497"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蔡兴二组居民点</w:t>
                  </w:r>
                </w:p>
                <w:p>
                  <w:pPr>
                    <w:snapToGrid w:val="0"/>
                    <w:spacing w:line="360" w:lineRule="exact"/>
                    <w:jc w:val="center"/>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kern w:val="0"/>
                      <w:sz w:val="21"/>
                      <w:szCs w:val="21"/>
                      <w:highlight w:val="none"/>
                      <w:u w:val="none"/>
                      <w:lang w:val="en-US" w:eastAsia="zh-CN" w:bidi="ar"/>
                    </w:rPr>
                    <w:t>E112°34'23.3155"，N29°29'54.3614"</w:t>
                  </w:r>
                </w:p>
              </w:tc>
              <w:tc>
                <w:tcPr>
                  <w:tcW w:w="86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55-500m</w:t>
                  </w:r>
                </w:p>
              </w:tc>
              <w:tc>
                <w:tcPr>
                  <w:tcW w:w="618"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NW</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val="en-US" w:eastAsia="zh-CN"/>
                    </w:rPr>
                    <w:t>约</w:t>
                  </w:r>
                  <w:r>
                    <w:rPr>
                      <w:rFonts w:hint="eastAsia" w:ascii="Times New Roman" w:hAnsi="Times New Roman" w:cs="Times New Roman"/>
                      <w:color w:val="auto"/>
                      <w:sz w:val="21"/>
                      <w:szCs w:val="21"/>
                      <w:highlight w:val="none"/>
                      <w:u w:val="none"/>
                      <w:lang w:val="en-US" w:eastAsia="zh-CN"/>
                    </w:rPr>
                    <w:t>1</w:t>
                  </w:r>
                  <w:r>
                    <w:rPr>
                      <w:rFonts w:hint="default" w:ascii="Times New Roman" w:hAnsi="Times New Roman" w:cs="Times New Roman"/>
                      <w:color w:val="auto"/>
                      <w:sz w:val="21"/>
                      <w:szCs w:val="21"/>
                      <w:highlight w:val="none"/>
                      <w:u w:val="none"/>
                      <w:lang w:val="en-US" w:eastAsia="zh-CN"/>
                    </w:rPr>
                    <w:t>00人</w:t>
                  </w:r>
                </w:p>
              </w:tc>
              <w:tc>
                <w:tcPr>
                  <w:tcW w:w="2130" w:type="dxa"/>
                  <w:vMerge w:val="continue"/>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vMerge w:val="continue"/>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p>
              </w:tc>
              <w:tc>
                <w:tcPr>
                  <w:tcW w:w="2497"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蔡兴</w:t>
                  </w:r>
                  <w:r>
                    <w:rPr>
                      <w:rFonts w:hint="eastAsia" w:ascii="Times New Roman" w:hAnsi="Times New Roman" w:eastAsia="宋体" w:cs="Times New Roman"/>
                      <w:color w:val="auto"/>
                      <w:kern w:val="0"/>
                      <w:sz w:val="21"/>
                      <w:szCs w:val="21"/>
                      <w:highlight w:val="none"/>
                      <w:u w:val="none"/>
                      <w:lang w:val="en-US" w:eastAsia="zh-CN" w:bidi="ar"/>
                    </w:rPr>
                    <w:t>一</w:t>
                  </w:r>
                  <w:r>
                    <w:rPr>
                      <w:rFonts w:hint="default" w:ascii="Times New Roman" w:hAnsi="Times New Roman" w:eastAsia="宋体" w:cs="Times New Roman"/>
                      <w:color w:val="auto"/>
                      <w:kern w:val="0"/>
                      <w:sz w:val="21"/>
                      <w:szCs w:val="21"/>
                      <w:highlight w:val="none"/>
                      <w:u w:val="none"/>
                      <w:lang w:val="en-US" w:eastAsia="zh-CN" w:bidi="ar"/>
                    </w:rPr>
                    <w:t>组居民点E112°34'18.1786"</w:t>
                  </w:r>
                </w:p>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bidi="ar"/>
                    </w:rPr>
                    <w:t>N29°30'02.6311"</w:t>
                  </w:r>
                </w:p>
              </w:tc>
              <w:tc>
                <w:tcPr>
                  <w:tcW w:w="86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149-500m</w:t>
                  </w:r>
                </w:p>
              </w:tc>
              <w:tc>
                <w:tcPr>
                  <w:tcW w:w="618"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eastAsia" w:ascii="Times New Roman" w:hAnsi="Times New Roman" w:cs="Times New Roman"/>
                      <w:color w:val="auto"/>
                      <w:sz w:val="21"/>
                      <w:szCs w:val="21"/>
                      <w:highlight w:val="none"/>
                      <w:u w:val="none"/>
                      <w:lang w:val="en-US" w:eastAsia="zh-CN"/>
                    </w:rPr>
                    <w:t>NW</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约</w:t>
                  </w:r>
                  <w:r>
                    <w:rPr>
                      <w:rFonts w:hint="eastAsia" w:ascii="Times New Roman" w:hAnsi="Times New Roman" w:cs="Times New Roman"/>
                      <w:color w:val="auto"/>
                      <w:sz w:val="21"/>
                      <w:szCs w:val="21"/>
                      <w:highlight w:val="none"/>
                      <w:u w:val="none"/>
                      <w:lang w:val="en-US" w:eastAsia="zh-CN"/>
                    </w:rPr>
                    <w:t>3</w:t>
                  </w:r>
                  <w:r>
                    <w:rPr>
                      <w:rFonts w:hint="default" w:ascii="Times New Roman" w:hAnsi="Times New Roman" w:cs="Times New Roman"/>
                      <w:color w:val="auto"/>
                      <w:sz w:val="21"/>
                      <w:szCs w:val="21"/>
                      <w:highlight w:val="none"/>
                      <w:u w:val="none"/>
                      <w:lang w:val="en-US" w:eastAsia="zh-CN"/>
                    </w:rPr>
                    <w:t>00人</w:t>
                  </w:r>
                </w:p>
              </w:tc>
              <w:tc>
                <w:tcPr>
                  <w:tcW w:w="2130" w:type="dxa"/>
                  <w:vMerge w:val="continue"/>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354" w:hRule="atLeast"/>
                <w:jc w:val="center"/>
              </w:trPr>
              <w:tc>
                <w:tcPr>
                  <w:tcW w:w="683" w:type="dxa"/>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地表水</w:t>
                  </w:r>
                </w:p>
              </w:tc>
              <w:tc>
                <w:tcPr>
                  <w:tcW w:w="2497" w:type="dxa"/>
                  <w:tcBorders>
                    <w:tl2br w:val="nil"/>
                    <w:tr2bl w:val="nil"/>
                  </w:tcBorders>
                  <w:noWrap w:val="0"/>
                  <w:vAlign w:val="center"/>
                </w:tcPr>
                <w:p>
                  <w:pPr>
                    <w:keepNext w:val="0"/>
                    <w:keepLines w:val="0"/>
                    <w:widowControl/>
                    <w:suppressLineNumbers w:val="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kern w:val="0"/>
                      <w:sz w:val="21"/>
                      <w:szCs w:val="21"/>
                      <w:highlight w:val="none"/>
                      <w:u w:val="none"/>
                      <w:lang w:val="en-US" w:eastAsia="zh-CN" w:bidi="ar"/>
                    </w:rPr>
                    <w:t>狗尾巴河</w:t>
                  </w:r>
                </w:p>
              </w:tc>
              <w:tc>
                <w:tcPr>
                  <w:tcW w:w="86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500</w:t>
                  </w:r>
                  <w:r>
                    <w:rPr>
                      <w:rFonts w:hint="default" w:ascii="Times New Roman" w:hAnsi="Times New Roman" w:cs="Times New Roman"/>
                      <w:color w:val="auto"/>
                      <w:sz w:val="21"/>
                      <w:szCs w:val="21"/>
                      <w:highlight w:val="none"/>
                      <w:u w:val="none"/>
                    </w:rPr>
                    <w:t>m</w:t>
                  </w:r>
                </w:p>
              </w:tc>
              <w:tc>
                <w:tcPr>
                  <w:tcW w:w="618"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N</w:t>
                  </w:r>
                </w:p>
              </w:tc>
              <w:tc>
                <w:tcPr>
                  <w:tcW w:w="1025"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lang w:val="en-US" w:eastAsia="zh-CN"/>
                    </w:rPr>
                    <w:t>小河</w:t>
                  </w:r>
                </w:p>
              </w:tc>
              <w:tc>
                <w:tcPr>
                  <w:tcW w:w="2130" w:type="dxa"/>
                  <w:tcBorders>
                    <w:tl2br w:val="nil"/>
                    <w:tr2bl w:val="nil"/>
                  </w:tcBorders>
                  <w:noWrap w:val="0"/>
                  <w:vAlign w:val="center"/>
                </w:tcPr>
                <w:p>
                  <w:pPr>
                    <w:snapToGrid w:val="0"/>
                    <w:spacing w:line="360" w:lineRule="exact"/>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sz w:val="21"/>
                      <w:szCs w:val="21"/>
                      <w:highlight w:val="none"/>
                      <w:u w:val="none"/>
                      <w:lang w:val="en-US" w:eastAsia="zh-CN"/>
                    </w:rPr>
                    <w:t>《地表水环境质量标准》（GB3838-2002）中的Ⅲ类标准</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37" w:hRule="atLeast"/>
                <w:jc w:val="center"/>
              </w:trPr>
              <w:tc>
                <w:tcPr>
                  <w:tcW w:w="683" w:type="dxa"/>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lang w:val="en-US" w:eastAsia="zh-CN"/>
                    </w:rPr>
                  </w:pPr>
                  <w:r>
                    <w:rPr>
                      <w:rFonts w:hint="default" w:ascii="Times New Roman" w:hAnsi="Times New Roman" w:cs="Times New Roman"/>
                      <w:color w:val="auto"/>
                      <w:sz w:val="21"/>
                      <w:szCs w:val="21"/>
                      <w:highlight w:val="none"/>
                      <w:u w:val="none"/>
                    </w:rPr>
                    <w:t>声环境</w:t>
                  </w:r>
                </w:p>
              </w:tc>
              <w:tc>
                <w:tcPr>
                  <w:tcW w:w="7130" w:type="dxa"/>
                  <w:gridSpan w:val="5"/>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厂界外50米范围内无噪声敏感点</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1040" w:hRule="atLeast"/>
                <w:jc w:val="center"/>
              </w:trPr>
              <w:tc>
                <w:tcPr>
                  <w:tcW w:w="683" w:type="dxa"/>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地下水</w:t>
                  </w:r>
                </w:p>
              </w:tc>
              <w:tc>
                <w:tcPr>
                  <w:tcW w:w="7130" w:type="dxa"/>
                  <w:gridSpan w:val="5"/>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厂界外500m范围内无地下水集中式饮用水水源、热水、矿泉水、温泉等特殊地下水资源</w:t>
                  </w:r>
                </w:p>
              </w:tc>
            </w:tr>
            <w:tr>
              <w:tblPrEx>
                <w:tblBorders>
                  <w:top w:val="single" w:color="auto" w:sz="8" w:space="0"/>
                  <w:left w:val="single" w:color="auto" w:sz="8" w:space="0"/>
                  <w:bottom w:val="single" w:color="auto" w:sz="8" w:space="0"/>
                  <w:right w:val="single" w:color="auto" w:sz="8" w:space="0"/>
                  <w:insideH w:val="single" w:color="auto" w:sz="8" w:space="0"/>
                  <w:insideV w:val="single" w:color="auto" w:sz="8" w:space="0"/>
                </w:tblBorders>
                <w:tblCellMar>
                  <w:top w:w="0" w:type="dxa"/>
                  <w:left w:w="108" w:type="dxa"/>
                  <w:bottom w:w="0" w:type="dxa"/>
                  <w:right w:w="108" w:type="dxa"/>
                </w:tblCellMar>
              </w:tblPrEx>
              <w:trPr>
                <w:trHeight w:val="604" w:hRule="atLeast"/>
                <w:jc w:val="center"/>
              </w:trPr>
              <w:tc>
                <w:tcPr>
                  <w:tcW w:w="683" w:type="dxa"/>
                  <w:tcBorders>
                    <w:tl2br w:val="nil"/>
                    <w:tr2bl w:val="nil"/>
                  </w:tcBorders>
                  <w:noWrap w:val="0"/>
                  <w:vAlign w:val="center"/>
                </w:tcPr>
                <w:p>
                  <w:pPr>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生态环境</w:t>
                  </w:r>
                </w:p>
              </w:tc>
              <w:tc>
                <w:tcPr>
                  <w:tcW w:w="7130" w:type="dxa"/>
                  <w:gridSpan w:val="5"/>
                  <w:tcBorders>
                    <w:tl2br w:val="nil"/>
                    <w:tr2bl w:val="nil"/>
                  </w:tcBorders>
                  <w:noWrap w:val="0"/>
                  <w:vAlign w:val="center"/>
                </w:tcPr>
                <w:p>
                  <w:pPr>
                    <w:adjustRightInd w:val="0"/>
                    <w:snapToGrid w:val="0"/>
                    <w:spacing w:line="360" w:lineRule="exact"/>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本项目租用兴南村的空置仓库，无新增用地</w:t>
                  </w:r>
                </w:p>
              </w:tc>
            </w:tr>
          </w:tbl>
          <w:p>
            <w:pPr>
              <w:pStyle w:val="39"/>
              <w:spacing w:line="360" w:lineRule="auto"/>
              <w:jc w:val="left"/>
              <w:rPr>
                <w:rFonts w:ascii="Times New Roman" w:hAnsi="Times New Roman" w:cs="Times New Roman"/>
                <w:color w:val="auto"/>
                <w:sz w:val="24"/>
                <w:szCs w:val="32"/>
                <w:highlight w:val="none"/>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094" w:hRule="atLeast"/>
          <w:jc w:val="center"/>
        </w:trPr>
        <w:tc>
          <w:tcPr>
            <w:tcW w:w="800" w:type="dxa"/>
            <w:tcMar>
              <w:left w:w="28" w:type="dxa"/>
              <w:right w:w="28" w:type="dxa"/>
            </w:tcMar>
            <w:vAlign w:val="center"/>
          </w:tcPr>
          <w:p>
            <w:pPr>
              <w:spacing w:line="360" w:lineRule="auto"/>
              <w:rPr>
                <w:rFonts w:eastAsiaTheme="minorEastAsia"/>
                <w:color w:val="auto"/>
                <w:sz w:val="24"/>
                <w:highlight w:val="none"/>
              </w:rPr>
            </w:pPr>
            <w:r>
              <w:rPr>
                <w:rFonts w:eastAsiaTheme="minorEastAsia"/>
                <w:color w:val="auto"/>
                <w:sz w:val="24"/>
                <w:highlight w:val="none"/>
              </w:rPr>
              <w:t>污染</w:t>
            </w:r>
          </w:p>
          <w:p>
            <w:pPr>
              <w:spacing w:line="360" w:lineRule="auto"/>
              <w:rPr>
                <w:rFonts w:eastAsiaTheme="minorEastAsia"/>
                <w:color w:val="auto"/>
                <w:sz w:val="24"/>
                <w:highlight w:val="none"/>
              </w:rPr>
            </w:pPr>
            <w:r>
              <w:rPr>
                <w:rFonts w:eastAsiaTheme="minorEastAsia"/>
                <w:color w:val="auto"/>
                <w:sz w:val="24"/>
                <w:highlight w:val="none"/>
              </w:rPr>
              <w:t>物排</w:t>
            </w:r>
          </w:p>
          <w:p>
            <w:pPr>
              <w:spacing w:line="360" w:lineRule="auto"/>
              <w:rPr>
                <w:rFonts w:eastAsiaTheme="minorEastAsia"/>
                <w:color w:val="auto"/>
                <w:sz w:val="24"/>
                <w:highlight w:val="none"/>
              </w:rPr>
            </w:pPr>
            <w:r>
              <w:rPr>
                <w:rFonts w:eastAsiaTheme="minorEastAsia"/>
                <w:color w:val="auto"/>
                <w:sz w:val="24"/>
                <w:highlight w:val="none"/>
              </w:rPr>
              <w:t>放控</w:t>
            </w:r>
          </w:p>
          <w:p>
            <w:pPr>
              <w:spacing w:line="360" w:lineRule="auto"/>
              <w:rPr>
                <w:rFonts w:eastAsiaTheme="minorEastAsia"/>
                <w:color w:val="auto"/>
                <w:sz w:val="24"/>
                <w:highlight w:val="none"/>
              </w:rPr>
            </w:pPr>
            <w:r>
              <w:rPr>
                <w:rFonts w:eastAsiaTheme="minorEastAsia"/>
                <w:color w:val="auto"/>
                <w:sz w:val="24"/>
                <w:highlight w:val="none"/>
              </w:rPr>
              <w:t>制标</w:t>
            </w:r>
          </w:p>
          <w:p>
            <w:pPr>
              <w:spacing w:line="360" w:lineRule="auto"/>
              <w:rPr>
                <w:color w:val="auto"/>
                <w:kern w:val="0"/>
                <w:szCs w:val="21"/>
                <w:highlight w:val="none"/>
              </w:rPr>
            </w:pPr>
            <w:r>
              <w:rPr>
                <w:rFonts w:eastAsiaTheme="minorEastAsia"/>
                <w:color w:val="auto"/>
                <w:sz w:val="24"/>
                <w:highlight w:val="none"/>
              </w:rPr>
              <w:t>准</w:t>
            </w:r>
          </w:p>
        </w:tc>
        <w:tc>
          <w:tcPr>
            <w:tcW w:w="8190" w:type="dxa"/>
          </w:tcPr>
          <w:p>
            <w:pPr>
              <w:pStyle w:val="32"/>
              <w:spacing w:line="360" w:lineRule="auto"/>
              <w:ind w:firstLine="0" w:firstLineChars="0"/>
              <w:textAlignment w:val="baseline"/>
              <w:rPr>
                <w:rFonts w:eastAsiaTheme="minorEastAsia"/>
                <w:b/>
                <w:bCs/>
                <w:color w:val="auto"/>
                <w:szCs w:val="24"/>
                <w:highlight w:val="none"/>
              </w:rPr>
            </w:pPr>
            <w:r>
              <w:rPr>
                <w:rFonts w:eastAsiaTheme="minorEastAsia"/>
                <w:b/>
                <w:bCs/>
                <w:color w:val="auto"/>
                <w:szCs w:val="24"/>
                <w:highlight w:val="none"/>
              </w:rPr>
              <w:t>1、废水</w:t>
            </w:r>
          </w:p>
          <w:p>
            <w:pPr>
              <w:bidi w:val="0"/>
              <w:spacing w:line="360" w:lineRule="auto"/>
              <w:ind w:firstLine="480" w:firstLineChars="200"/>
            </w:pPr>
            <w:r>
              <w:rPr>
                <w:color w:val="auto"/>
                <w:sz w:val="24"/>
                <w:szCs w:val="24"/>
                <w:highlight w:val="none"/>
                <w:lang w:val="en-US" w:eastAsia="zh-CN"/>
              </w:rPr>
              <w:t>生活污水经</w:t>
            </w:r>
            <w:r>
              <w:rPr>
                <w:rFonts w:hint="eastAsia"/>
                <w:color w:val="auto"/>
                <w:sz w:val="24"/>
                <w:szCs w:val="24"/>
                <w:highlight w:val="none"/>
                <w:lang w:val="en-US" w:eastAsia="zh-CN"/>
              </w:rPr>
              <w:t>化粪处理做周边农肥使用，不外排；</w:t>
            </w:r>
            <w:r>
              <w:rPr>
                <w:rFonts w:hint="eastAsia" w:ascii="宋体" w:hAnsi="宋体" w:eastAsia="宋体" w:cs="宋体"/>
                <w:color w:val="000000"/>
                <w:kern w:val="0"/>
                <w:sz w:val="24"/>
                <w:szCs w:val="24"/>
                <w:lang w:val="en-US" w:eastAsia="zh-CN" w:bidi="ar"/>
              </w:rPr>
              <w:t>生产废水经预处理满足《污水排入城镇下水道水质标准》（</w:t>
            </w:r>
            <w:r>
              <w:rPr>
                <w:rFonts w:hint="default" w:ascii="宋体" w:hAnsi="宋体" w:eastAsia="宋体" w:cs="宋体"/>
                <w:color w:val="000000"/>
                <w:kern w:val="0"/>
                <w:sz w:val="24"/>
                <w:szCs w:val="24"/>
                <w:lang w:val="en-US" w:eastAsia="zh-CN" w:bidi="ar"/>
              </w:rPr>
              <w:t>GB 31962-2015</w:t>
            </w:r>
            <w:r>
              <w:rPr>
                <w:rFonts w:hint="eastAsia" w:ascii="宋体" w:hAnsi="宋体" w:eastAsia="宋体" w:cs="宋体"/>
                <w:color w:val="000000"/>
                <w:kern w:val="0"/>
                <w:sz w:val="24"/>
                <w:szCs w:val="24"/>
                <w:lang w:val="en-US" w:eastAsia="zh-CN" w:bidi="ar"/>
              </w:rPr>
              <w:t>）表</w:t>
            </w:r>
            <w:r>
              <w:rPr>
                <w:rFonts w:hint="default" w:ascii="宋体" w:hAnsi="宋体" w:eastAsia="宋体" w:cs="宋体"/>
                <w:color w:val="000000"/>
                <w:kern w:val="0"/>
                <w:sz w:val="24"/>
                <w:szCs w:val="24"/>
                <w:lang w:val="en-US" w:eastAsia="zh-CN" w:bidi="ar"/>
              </w:rPr>
              <w:t>1</w:t>
            </w:r>
            <w:r>
              <w:rPr>
                <w:rFonts w:hint="eastAsia" w:ascii="宋体" w:hAnsi="宋体" w:eastAsia="宋体" w:cs="宋体"/>
                <w:color w:val="000000"/>
                <w:kern w:val="0"/>
                <w:sz w:val="24"/>
                <w:szCs w:val="24"/>
                <w:lang w:val="en-US" w:eastAsia="zh-CN" w:bidi="ar"/>
              </w:rPr>
              <w:t>中</w:t>
            </w:r>
            <w:r>
              <w:rPr>
                <w:rFonts w:hint="default" w:ascii="宋体" w:hAnsi="宋体" w:eastAsia="宋体" w:cs="宋体"/>
                <w:color w:val="000000"/>
                <w:kern w:val="0"/>
                <w:sz w:val="24"/>
                <w:szCs w:val="24"/>
                <w:lang w:val="en-US" w:eastAsia="zh-CN" w:bidi="ar"/>
              </w:rPr>
              <w:t>B</w:t>
            </w:r>
            <w:r>
              <w:rPr>
                <w:rFonts w:hint="eastAsia" w:ascii="宋体" w:hAnsi="宋体" w:eastAsia="宋体" w:cs="宋体"/>
                <w:color w:val="000000"/>
                <w:kern w:val="0"/>
                <w:sz w:val="24"/>
                <w:szCs w:val="24"/>
                <w:lang w:val="en-US" w:eastAsia="zh-CN" w:bidi="ar"/>
              </w:rPr>
              <w:t>级标准后，排入园区污水管网，进入华容县桥东污水处理厂处理。</w:t>
            </w:r>
          </w:p>
          <w:p>
            <w:pPr>
              <w:keepNext w:val="0"/>
              <w:keepLines w:val="0"/>
              <w:widowControl/>
              <w:suppressLineNumbers w:val="0"/>
              <w:jc w:val="center"/>
            </w:pPr>
            <w:r>
              <w:rPr>
                <w:b/>
                <w:bCs/>
                <w:color w:val="auto"/>
                <w:highlight w:val="none"/>
              </w:rPr>
              <w:t>表</w:t>
            </w:r>
            <w:r>
              <w:rPr>
                <w:rFonts w:hint="eastAsia"/>
                <w:b/>
                <w:bCs/>
                <w:color w:val="auto"/>
                <w:highlight w:val="none"/>
                <w:lang w:val="en-US" w:eastAsia="zh-CN"/>
              </w:rPr>
              <w:t>3-5</w:t>
            </w:r>
            <w:r>
              <w:rPr>
                <w:b/>
                <w:bCs/>
                <w:color w:val="auto"/>
                <w:highlight w:val="none"/>
              </w:rPr>
              <w:t xml:space="preserve">  </w:t>
            </w:r>
            <w:r>
              <w:rPr>
                <w:rFonts w:hint="eastAsia" w:ascii="宋体" w:hAnsi="宋体" w:eastAsia="宋体" w:cs="宋体"/>
                <w:b/>
                <w:bCs/>
                <w:color w:val="000000"/>
                <w:kern w:val="0"/>
                <w:sz w:val="21"/>
                <w:szCs w:val="21"/>
                <w:lang w:val="en-US" w:eastAsia="zh-CN" w:bidi="ar"/>
              </w:rPr>
              <w:t>项目废水排放执行标准（mg/L）</w:t>
            </w:r>
          </w:p>
          <w:tbl>
            <w:tblPr>
              <w:tblStyle w:val="26"/>
              <w:tblW w:w="797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8"/>
              <w:gridCol w:w="591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default"/>
                      <w:b/>
                      <w:bCs/>
                      <w:color w:val="auto"/>
                      <w:highlight w:val="none"/>
                      <w:vertAlign w:val="baseline"/>
                      <w:lang w:val="en-US" w:eastAsia="zh-CN"/>
                    </w:rPr>
                  </w:pPr>
                  <w:r>
                    <w:rPr>
                      <w:rFonts w:hint="eastAsia"/>
                      <w:b/>
                      <w:bCs/>
                      <w:color w:val="auto"/>
                      <w:highlight w:val="none"/>
                      <w:vertAlign w:val="baseline"/>
                      <w:lang w:val="en-US" w:eastAsia="zh-CN"/>
                    </w:rPr>
                    <w:t>污染物</w:t>
                  </w:r>
                </w:p>
              </w:tc>
              <w:tc>
                <w:tcPr>
                  <w:tcW w:w="5916" w:type="dxa"/>
                </w:tcPr>
                <w:p>
                  <w:pPr>
                    <w:keepNext w:val="0"/>
                    <w:keepLines w:val="0"/>
                    <w:widowControl/>
                    <w:suppressLineNumbers w:val="0"/>
                    <w:jc w:val="left"/>
                    <w:rPr>
                      <w:rFonts w:hint="eastAsia"/>
                      <w:b/>
                      <w:bCs/>
                      <w:color w:val="auto"/>
                      <w:highlight w:val="none"/>
                      <w:vertAlign w:val="baseline"/>
                      <w:lang w:eastAsia="zh-CN"/>
                    </w:rPr>
                  </w:pPr>
                  <w:r>
                    <w:rPr>
                      <w:rFonts w:hint="eastAsia" w:ascii="宋体" w:hAnsi="宋体" w:eastAsia="宋体" w:cs="宋体"/>
                      <w:b/>
                      <w:bCs/>
                      <w:color w:val="000000"/>
                      <w:kern w:val="0"/>
                      <w:sz w:val="21"/>
                      <w:szCs w:val="21"/>
                      <w:lang w:val="en-US" w:eastAsia="zh-CN" w:bidi="ar"/>
                    </w:rPr>
                    <w:t>《污水排入城镇下水道水质标准》（</w:t>
                  </w:r>
                  <w:r>
                    <w:rPr>
                      <w:rFonts w:hint="default" w:ascii="Times New Roman" w:hAnsi="Times New Roman" w:eastAsia="宋体" w:cs="Times New Roman"/>
                      <w:b/>
                      <w:bCs/>
                      <w:color w:val="000000"/>
                      <w:kern w:val="0"/>
                      <w:sz w:val="21"/>
                      <w:szCs w:val="21"/>
                      <w:lang w:val="en-US" w:eastAsia="zh-CN" w:bidi="ar"/>
                    </w:rPr>
                    <w:t>GB 31962-2015</w:t>
                  </w:r>
                  <w:r>
                    <w:rPr>
                      <w:rFonts w:hint="eastAsia" w:ascii="宋体" w:hAnsi="宋体" w:eastAsia="宋体" w:cs="宋体"/>
                      <w:b/>
                      <w:bCs/>
                      <w:color w:val="000000"/>
                      <w:kern w:val="0"/>
                      <w:sz w:val="21"/>
                      <w:szCs w:val="21"/>
                      <w:lang w:val="en-US" w:eastAsia="zh-CN" w:bidi="ar"/>
                    </w:rPr>
                    <w:t xml:space="preserve">）表 </w:t>
                  </w:r>
                  <w:r>
                    <w:rPr>
                      <w:rFonts w:hint="default" w:ascii="Times New Roman" w:hAnsi="Times New Roman" w:eastAsia="宋体" w:cs="Times New Roman"/>
                      <w:b/>
                      <w:bCs/>
                      <w:color w:val="000000"/>
                      <w:kern w:val="0"/>
                      <w:sz w:val="21"/>
                      <w:szCs w:val="21"/>
                      <w:lang w:val="en-US" w:eastAsia="zh-CN" w:bidi="ar"/>
                    </w:rPr>
                    <w:t xml:space="preserve">1 </w:t>
                  </w:r>
                  <w:r>
                    <w:rPr>
                      <w:rFonts w:hint="eastAsia" w:ascii="宋体" w:hAnsi="宋体" w:eastAsia="宋体" w:cs="宋体"/>
                      <w:b/>
                      <w:bCs/>
                      <w:color w:val="000000"/>
                      <w:kern w:val="0"/>
                      <w:sz w:val="21"/>
                      <w:szCs w:val="21"/>
                      <w:lang w:val="en-US" w:eastAsia="zh-CN" w:bidi="ar"/>
                    </w:rPr>
                    <w:t xml:space="preserve">中 </w:t>
                  </w:r>
                  <w:r>
                    <w:rPr>
                      <w:rFonts w:hint="default" w:ascii="Times New Roman" w:hAnsi="Times New Roman" w:eastAsia="宋体" w:cs="Times New Roman"/>
                      <w:b/>
                      <w:bCs/>
                      <w:color w:val="000000"/>
                      <w:kern w:val="0"/>
                      <w:sz w:val="21"/>
                      <w:szCs w:val="21"/>
                      <w:lang w:val="en-US" w:eastAsia="zh-CN" w:bidi="ar"/>
                    </w:rPr>
                    <w:t xml:space="preserve">B </w:t>
                  </w:r>
                  <w:r>
                    <w:rPr>
                      <w:rFonts w:hint="eastAsia" w:ascii="宋体" w:hAnsi="宋体" w:eastAsia="宋体" w:cs="宋体"/>
                      <w:b/>
                      <w:bCs/>
                      <w:color w:val="000000"/>
                      <w:kern w:val="0"/>
                      <w:sz w:val="21"/>
                      <w:szCs w:val="21"/>
                      <w:lang w:val="en-US" w:eastAsia="zh-CN" w:bidi="ar"/>
                    </w:rPr>
                    <w:t xml:space="preserve">级标准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PH</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6.5—9.5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COD</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500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BOD</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350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氨氮</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45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总氮</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70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总磷</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SS</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400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058"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val="en-US" w:eastAsia="zh-CN"/>
                    </w:rPr>
                    <w:t>石油类</w:t>
                  </w:r>
                </w:p>
              </w:tc>
              <w:tc>
                <w:tcPr>
                  <w:tcW w:w="5916" w:type="dxa"/>
                </w:tcPr>
                <w:p>
                  <w:pPr>
                    <w:bidi w:val="0"/>
                    <w:jc w:val="center"/>
                    <w:rPr>
                      <w:rFonts w:hint="eastAsia" w:asciiTheme="minorEastAsia" w:hAnsiTheme="minorEastAsia" w:eastAsiaTheme="minorEastAsia" w:cstheme="minorEastAsia"/>
                      <w:b w:val="0"/>
                      <w:bCs w:val="0"/>
                      <w:color w:val="auto"/>
                      <w:highlight w:val="none"/>
                      <w:vertAlign w:val="baseline"/>
                      <w:lang w:val="en-US" w:eastAsia="zh-CN"/>
                    </w:rPr>
                  </w:pPr>
                  <w:r>
                    <w:rPr>
                      <w:rFonts w:hint="eastAsia" w:asciiTheme="minorEastAsia" w:hAnsiTheme="minorEastAsia" w:eastAsiaTheme="minorEastAsia" w:cstheme="minorEastAsia"/>
                      <w:b w:val="0"/>
                      <w:bCs w:val="0"/>
                      <w:color w:val="auto"/>
                      <w:highlight w:val="none"/>
                      <w:vertAlign w:val="baseline"/>
                      <w:lang w:eastAsia="zh-CN"/>
                    </w:rPr>
                    <w:t>≤</w:t>
                  </w:r>
                  <w:r>
                    <w:rPr>
                      <w:rFonts w:hint="eastAsia" w:asciiTheme="minorEastAsia" w:hAnsiTheme="minorEastAsia" w:eastAsiaTheme="minorEastAsia" w:cstheme="minorEastAsia"/>
                      <w:b w:val="0"/>
                      <w:bCs w:val="0"/>
                      <w:color w:val="auto"/>
                      <w:highlight w:val="none"/>
                      <w:vertAlign w:val="baseline"/>
                      <w:lang w:val="en-US" w:eastAsia="zh-CN"/>
                    </w:rPr>
                    <w:t>15</w:t>
                  </w:r>
                </w:p>
              </w:tc>
            </w:tr>
          </w:tbl>
          <w:p>
            <w:pPr>
              <w:pStyle w:val="32"/>
              <w:spacing w:line="360" w:lineRule="auto"/>
              <w:ind w:firstLine="0" w:firstLineChars="0"/>
              <w:textAlignment w:val="baseline"/>
              <w:rPr>
                <w:rFonts w:eastAsiaTheme="minorEastAsia"/>
                <w:b/>
                <w:bCs/>
                <w:color w:val="auto"/>
                <w:szCs w:val="24"/>
                <w:highlight w:val="none"/>
              </w:rPr>
            </w:pPr>
            <w:r>
              <w:rPr>
                <w:rFonts w:eastAsiaTheme="minorEastAsia"/>
                <w:b/>
                <w:bCs/>
                <w:color w:val="auto"/>
                <w:szCs w:val="24"/>
                <w:highlight w:val="none"/>
              </w:rPr>
              <w:t>2、废气</w:t>
            </w:r>
          </w:p>
          <w:p>
            <w:pPr>
              <w:bidi w:val="0"/>
              <w:spacing w:line="360" w:lineRule="auto"/>
              <w:ind w:firstLine="480" w:firstLineChars="200"/>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本项目颗粒物排放执行《大气污染物综合排放标准》（GB16297-1996）新污染源大气污染物排放二级标准限值；异味气体执行《恶臭污染物》（GB14554-93）中臭气浓度二级新改扩建标准。具体标准见下表。</w:t>
            </w:r>
          </w:p>
          <w:p>
            <w:pPr>
              <w:bidi w:val="0"/>
              <w:jc w:val="center"/>
              <w:rPr>
                <w:rFonts w:hint="eastAsia" w:eastAsia="宋体"/>
                <w:b/>
                <w:bCs/>
                <w:color w:val="auto"/>
                <w:highlight w:val="none"/>
                <w:lang w:eastAsia="zh-CN"/>
              </w:rPr>
            </w:pPr>
            <w:r>
              <w:rPr>
                <w:b/>
                <w:bCs/>
                <w:color w:val="auto"/>
                <w:highlight w:val="none"/>
              </w:rPr>
              <w:t>表</w:t>
            </w:r>
            <w:r>
              <w:rPr>
                <w:rFonts w:hint="eastAsia"/>
                <w:b/>
                <w:bCs/>
                <w:color w:val="auto"/>
                <w:highlight w:val="none"/>
                <w:lang w:val="en-US" w:eastAsia="zh-CN"/>
              </w:rPr>
              <w:t>3-6</w:t>
            </w:r>
            <w:r>
              <w:rPr>
                <w:b/>
                <w:bCs/>
                <w:color w:val="auto"/>
                <w:highlight w:val="none"/>
              </w:rPr>
              <w:t xml:space="preserve">  </w:t>
            </w:r>
            <w:r>
              <w:rPr>
                <w:rFonts w:hint="eastAsia"/>
                <w:b/>
                <w:bCs/>
                <w:color w:val="auto"/>
                <w:highlight w:val="none"/>
                <w:lang w:eastAsia="zh-CN"/>
              </w:rPr>
              <w:t>颗粒物排放标准取值</w:t>
            </w:r>
          </w:p>
          <w:tbl>
            <w:tblPr>
              <w:tblStyle w:val="2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60"/>
              <w:gridCol w:w="3299"/>
              <w:gridCol w:w="330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4" w:type="pct"/>
                  <w:vMerge w:val="restart"/>
                  <w:vAlign w:val="center"/>
                </w:tcPr>
                <w:p>
                  <w:pPr>
                    <w:pStyle w:val="36"/>
                    <w:bidi w:val="0"/>
                    <w:rPr>
                      <w:b/>
                      <w:bCs/>
                      <w:color w:val="auto"/>
                      <w:highlight w:val="none"/>
                    </w:rPr>
                  </w:pPr>
                  <w:r>
                    <w:rPr>
                      <w:rFonts w:hint="eastAsia"/>
                      <w:b/>
                      <w:bCs/>
                      <w:color w:val="auto"/>
                      <w:highlight w:val="none"/>
                    </w:rPr>
                    <w:t>污染物</w:t>
                  </w:r>
                </w:p>
              </w:tc>
              <w:tc>
                <w:tcPr>
                  <w:tcW w:w="4145" w:type="pct"/>
                  <w:gridSpan w:val="2"/>
                  <w:vAlign w:val="center"/>
                </w:tcPr>
                <w:p>
                  <w:pPr>
                    <w:pStyle w:val="36"/>
                    <w:bidi w:val="0"/>
                    <w:rPr>
                      <w:b/>
                      <w:bCs/>
                      <w:color w:val="auto"/>
                      <w:highlight w:val="none"/>
                    </w:rPr>
                  </w:pPr>
                  <w:r>
                    <w:rPr>
                      <w:rFonts w:hint="eastAsia"/>
                      <w:b/>
                      <w:bCs/>
                      <w:color w:val="auto"/>
                      <w:highlight w:val="none"/>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4" w:type="pct"/>
                  <w:vMerge w:val="continue"/>
                  <w:vAlign w:val="center"/>
                </w:tcPr>
                <w:p>
                  <w:pPr>
                    <w:pStyle w:val="36"/>
                    <w:bidi w:val="0"/>
                    <w:rPr>
                      <w:b/>
                      <w:bCs/>
                      <w:color w:val="auto"/>
                      <w:highlight w:val="none"/>
                    </w:rPr>
                  </w:pPr>
                </w:p>
              </w:tc>
              <w:tc>
                <w:tcPr>
                  <w:tcW w:w="2071" w:type="pct"/>
                  <w:vAlign w:val="center"/>
                </w:tcPr>
                <w:p>
                  <w:pPr>
                    <w:pStyle w:val="36"/>
                    <w:bidi w:val="0"/>
                    <w:rPr>
                      <w:b/>
                      <w:bCs/>
                      <w:color w:val="auto"/>
                      <w:highlight w:val="none"/>
                    </w:rPr>
                  </w:pPr>
                  <w:r>
                    <w:rPr>
                      <w:rFonts w:hint="eastAsia"/>
                      <w:b/>
                      <w:bCs/>
                      <w:color w:val="auto"/>
                      <w:highlight w:val="none"/>
                    </w:rPr>
                    <w:t>监控点</w:t>
                  </w:r>
                </w:p>
              </w:tc>
              <w:tc>
                <w:tcPr>
                  <w:tcW w:w="2073" w:type="pct"/>
                  <w:vAlign w:val="center"/>
                </w:tcPr>
                <w:p>
                  <w:pPr>
                    <w:pStyle w:val="36"/>
                    <w:bidi w:val="0"/>
                    <w:rPr>
                      <w:b/>
                      <w:bCs/>
                      <w:color w:val="auto"/>
                      <w:highlight w:val="none"/>
                    </w:rPr>
                  </w:pPr>
                  <w:r>
                    <w:rPr>
                      <w:rFonts w:hint="eastAsia"/>
                      <w:b/>
                      <w:bCs/>
                      <w:color w:val="auto"/>
                      <w:highlight w:val="none"/>
                    </w:rPr>
                    <w:t>浓度（mg</w:t>
                  </w:r>
                  <w:r>
                    <w:rPr>
                      <w:b/>
                      <w:bCs/>
                      <w:color w:val="auto"/>
                      <w:highlight w:val="none"/>
                    </w:rPr>
                    <w:t>/</w:t>
                  </w:r>
                  <w:r>
                    <w:rPr>
                      <w:rFonts w:hint="eastAsia"/>
                      <w:b/>
                      <w:bCs/>
                      <w:color w:val="auto"/>
                      <w:highlight w:val="none"/>
                      <w:lang w:eastAsia="zh-CN"/>
                    </w:rPr>
                    <w:t>m</w:t>
                  </w:r>
                  <w:r>
                    <w:rPr>
                      <w:rFonts w:hint="eastAsia"/>
                      <w:b/>
                      <w:bCs/>
                      <w:color w:val="auto"/>
                      <w:highlight w:val="none"/>
                      <w:vertAlign w:val="superscript"/>
                      <w:lang w:eastAsia="zh-CN"/>
                    </w:rPr>
                    <w:t>3</w:t>
                  </w:r>
                  <w:r>
                    <w:rPr>
                      <w:rFonts w:hint="eastAsia"/>
                      <w:b/>
                      <w:bCs/>
                      <w:color w:val="auto"/>
                      <w:highlight w:val="none"/>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54" w:type="pct"/>
                  <w:vAlign w:val="center"/>
                </w:tcPr>
                <w:p>
                  <w:pPr>
                    <w:pStyle w:val="36"/>
                    <w:bidi w:val="0"/>
                    <w:jc w:val="center"/>
                    <w:rPr>
                      <w:rFonts w:hint="eastAsia" w:eastAsia="宋体"/>
                      <w:color w:val="auto"/>
                      <w:highlight w:val="none"/>
                      <w:lang w:eastAsia="zh-CN"/>
                    </w:rPr>
                  </w:pPr>
                  <w:r>
                    <w:rPr>
                      <w:rFonts w:hint="eastAsia"/>
                      <w:color w:val="auto"/>
                      <w:highlight w:val="none"/>
                      <w:lang w:eastAsia="zh-CN"/>
                    </w:rPr>
                    <w:t>颗粒物</w:t>
                  </w:r>
                </w:p>
              </w:tc>
              <w:tc>
                <w:tcPr>
                  <w:tcW w:w="2071" w:type="pct"/>
                  <w:vAlign w:val="center"/>
                </w:tcPr>
                <w:p>
                  <w:pPr>
                    <w:pStyle w:val="36"/>
                    <w:bidi w:val="0"/>
                    <w:jc w:val="center"/>
                    <w:rPr>
                      <w:color w:val="auto"/>
                      <w:highlight w:val="none"/>
                    </w:rPr>
                  </w:pPr>
                  <w:r>
                    <w:rPr>
                      <w:rFonts w:hint="eastAsia"/>
                      <w:color w:val="auto"/>
                      <w:highlight w:val="none"/>
                    </w:rPr>
                    <w:t>周界外浓度最高点</w:t>
                  </w:r>
                </w:p>
              </w:tc>
              <w:tc>
                <w:tcPr>
                  <w:tcW w:w="2073" w:type="pct"/>
                  <w:vAlign w:val="center"/>
                </w:tcPr>
                <w:p>
                  <w:pPr>
                    <w:pStyle w:val="36"/>
                    <w:bidi w:val="0"/>
                    <w:rPr>
                      <w:color w:val="auto"/>
                      <w:highlight w:val="none"/>
                    </w:rPr>
                  </w:pPr>
                  <w:r>
                    <w:rPr>
                      <w:rFonts w:hint="eastAsia"/>
                      <w:color w:val="auto"/>
                      <w:highlight w:val="none"/>
                    </w:rPr>
                    <w:t>1</w:t>
                  </w:r>
                  <w:r>
                    <w:rPr>
                      <w:color w:val="auto"/>
                      <w:highlight w:val="none"/>
                    </w:rPr>
                    <w:t>.0</w:t>
                  </w:r>
                </w:p>
              </w:tc>
            </w:tr>
          </w:tbl>
          <w:p>
            <w:pPr>
              <w:jc w:val="center"/>
              <w:rPr>
                <w:rFonts w:eastAsiaTheme="minorEastAsia"/>
                <w:b/>
                <w:bCs/>
                <w:color w:val="auto"/>
                <w:highlight w:val="none"/>
              </w:rPr>
            </w:pPr>
          </w:p>
          <w:p>
            <w:pPr>
              <w:jc w:val="center"/>
              <w:rPr>
                <w:rFonts w:eastAsiaTheme="minorEastAsia"/>
                <w:b/>
                <w:bCs/>
                <w:color w:val="auto"/>
                <w:highlight w:val="none"/>
              </w:rPr>
            </w:pPr>
            <w:r>
              <w:rPr>
                <w:rFonts w:eastAsiaTheme="minorEastAsia"/>
                <w:b/>
                <w:bCs/>
                <w:color w:val="auto"/>
                <w:highlight w:val="none"/>
              </w:rPr>
              <w:t>表3-</w:t>
            </w:r>
            <w:r>
              <w:rPr>
                <w:rFonts w:hint="eastAsia" w:eastAsiaTheme="minorEastAsia"/>
                <w:b/>
                <w:bCs/>
                <w:color w:val="auto"/>
                <w:highlight w:val="none"/>
                <w:lang w:val="en-US" w:eastAsia="zh-CN"/>
              </w:rPr>
              <w:t>7</w:t>
            </w:r>
            <w:r>
              <w:rPr>
                <w:rFonts w:eastAsiaTheme="minorEastAsia"/>
                <w:b/>
                <w:bCs/>
                <w:color w:val="auto"/>
                <w:highlight w:val="none"/>
              </w:rPr>
              <w:t xml:space="preserve">  恶臭污染物排放标准</w:t>
            </w:r>
          </w:p>
          <w:tbl>
            <w:tblPr>
              <w:tblStyle w:val="25"/>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108"/>
              <w:gridCol w:w="48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pct"/>
                  <w:vAlign w:val="center"/>
                </w:tcPr>
                <w:p>
                  <w:pPr>
                    <w:jc w:val="center"/>
                    <w:rPr>
                      <w:rFonts w:eastAsiaTheme="minorEastAsia"/>
                      <w:b/>
                      <w:bCs/>
                      <w:color w:val="auto"/>
                      <w:highlight w:val="none"/>
                    </w:rPr>
                  </w:pPr>
                  <w:r>
                    <w:rPr>
                      <w:rFonts w:eastAsiaTheme="minorEastAsia"/>
                      <w:b/>
                      <w:bCs/>
                      <w:color w:val="auto"/>
                      <w:highlight w:val="none"/>
                    </w:rPr>
                    <w:t>污染物</w:t>
                  </w:r>
                </w:p>
              </w:tc>
              <w:tc>
                <w:tcPr>
                  <w:tcW w:w="3049" w:type="pct"/>
                  <w:vAlign w:val="center"/>
                </w:tcPr>
                <w:p>
                  <w:pPr>
                    <w:jc w:val="center"/>
                    <w:rPr>
                      <w:rFonts w:eastAsiaTheme="minorEastAsia"/>
                      <w:b/>
                      <w:bCs/>
                      <w:color w:val="auto"/>
                      <w:highlight w:val="none"/>
                    </w:rPr>
                  </w:pPr>
                  <w:r>
                    <w:rPr>
                      <w:rFonts w:eastAsiaTheme="minorEastAsia"/>
                      <w:b/>
                      <w:bCs/>
                      <w:color w:val="auto"/>
                      <w:highlight w:val="none"/>
                    </w:rPr>
                    <w:t>无组织排放监控浓度限值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pct"/>
                  <w:vAlign w:val="center"/>
                </w:tcPr>
                <w:p>
                  <w:pPr>
                    <w:jc w:val="center"/>
                    <w:rPr>
                      <w:rFonts w:eastAsiaTheme="minorEastAsia"/>
                      <w:color w:val="auto"/>
                      <w:highlight w:val="none"/>
                    </w:rPr>
                  </w:pPr>
                  <w:r>
                    <w:rPr>
                      <w:rFonts w:eastAsiaTheme="minorEastAsia"/>
                      <w:color w:val="auto"/>
                      <w:highlight w:val="none"/>
                    </w:rPr>
                    <w:t>臭气浓度</w:t>
                  </w:r>
                </w:p>
              </w:tc>
              <w:tc>
                <w:tcPr>
                  <w:tcW w:w="3049" w:type="pct"/>
                  <w:vAlign w:val="center"/>
                </w:tcPr>
                <w:p>
                  <w:pPr>
                    <w:jc w:val="center"/>
                    <w:rPr>
                      <w:rFonts w:eastAsiaTheme="minorEastAsia"/>
                      <w:color w:val="auto"/>
                      <w:highlight w:val="none"/>
                    </w:rPr>
                  </w:pPr>
                  <w:r>
                    <w:rPr>
                      <w:rFonts w:eastAsiaTheme="minorEastAsia"/>
                      <w:color w:val="auto"/>
                      <w:highlight w:val="none"/>
                    </w:rPr>
                    <w:t>20（无量纲）</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pct"/>
                  <w:vAlign w:val="center"/>
                </w:tcPr>
                <w:p>
                  <w:pPr>
                    <w:jc w:val="center"/>
                    <w:rPr>
                      <w:rFonts w:eastAsiaTheme="minorEastAsia"/>
                      <w:color w:val="auto"/>
                      <w:highlight w:val="none"/>
                    </w:rPr>
                  </w:pPr>
                  <w:r>
                    <w:rPr>
                      <w:rFonts w:eastAsiaTheme="minorEastAsia"/>
                      <w:color w:val="auto"/>
                      <w:highlight w:val="none"/>
                    </w:rPr>
                    <w:t>NH</w:t>
                  </w:r>
                  <w:r>
                    <w:rPr>
                      <w:rFonts w:eastAsiaTheme="minorEastAsia"/>
                      <w:color w:val="auto"/>
                      <w:highlight w:val="none"/>
                      <w:vertAlign w:val="subscript"/>
                    </w:rPr>
                    <w:t>3</w:t>
                  </w:r>
                </w:p>
              </w:tc>
              <w:tc>
                <w:tcPr>
                  <w:tcW w:w="3049" w:type="pct"/>
                  <w:vAlign w:val="center"/>
                </w:tcPr>
                <w:p>
                  <w:pPr>
                    <w:jc w:val="center"/>
                    <w:rPr>
                      <w:rFonts w:eastAsiaTheme="minorEastAsia"/>
                      <w:color w:val="auto"/>
                      <w:highlight w:val="none"/>
                    </w:rPr>
                  </w:pPr>
                  <w:r>
                    <w:rPr>
                      <w:rFonts w:eastAsiaTheme="minorEastAsia"/>
                      <w:color w:val="auto"/>
                      <w:highlight w:val="none"/>
                    </w:rPr>
                    <w:t>1.5mg/m</w:t>
                  </w:r>
                  <w:r>
                    <w:rPr>
                      <w:rFonts w:eastAsiaTheme="minorEastAsia"/>
                      <w:color w:val="auto"/>
                      <w:highlight w:val="none"/>
                      <w:vertAlign w:val="superscript"/>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hRule="atLeast"/>
                <w:jc w:val="center"/>
              </w:trPr>
              <w:tc>
                <w:tcPr>
                  <w:tcW w:w="1951" w:type="pct"/>
                  <w:vAlign w:val="center"/>
                </w:tcPr>
                <w:p>
                  <w:pPr>
                    <w:jc w:val="center"/>
                    <w:rPr>
                      <w:rFonts w:eastAsiaTheme="minorEastAsia"/>
                      <w:color w:val="auto"/>
                      <w:highlight w:val="none"/>
                    </w:rPr>
                  </w:pPr>
                  <w:r>
                    <w:rPr>
                      <w:rFonts w:eastAsiaTheme="minorEastAsia"/>
                      <w:color w:val="auto"/>
                      <w:highlight w:val="none"/>
                    </w:rPr>
                    <w:t>H</w:t>
                  </w:r>
                  <w:r>
                    <w:rPr>
                      <w:rFonts w:eastAsiaTheme="minorEastAsia"/>
                      <w:color w:val="auto"/>
                      <w:highlight w:val="none"/>
                      <w:vertAlign w:val="subscript"/>
                    </w:rPr>
                    <w:t>2</w:t>
                  </w:r>
                  <w:r>
                    <w:rPr>
                      <w:rFonts w:eastAsiaTheme="minorEastAsia"/>
                      <w:color w:val="auto"/>
                      <w:highlight w:val="none"/>
                    </w:rPr>
                    <w:t>S</w:t>
                  </w:r>
                </w:p>
              </w:tc>
              <w:tc>
                <w:tcPr>
                  <w:tcW w:w="3049" w:type="pct"/>
                  <w:vAlign w:val="center"/>
                </w:tcPr>
                <w:p>
                  <w:pPr>
                    <w:jc w:val="center"/>
                    <w:rPr>
                      <w:rFonts w:eastAsiaTheme="minorEastAsia"/>
                      <w:color w:val="auto"/>
                      <w:highlight w:val="none"/>
                    </w:rPr>
                  </w:pPr>
                  <w:r>
                    <w:rPr>
                      <w:rFonts w:eastAsiaTheme="minorEastAsia"/>
                      <w:color w:val="auto"/>
                      <w:highlight w:val="none"/>
                    </w:rPr>
                    <w:t>0.06mg/m</w:t>
                  </w:r>
                  <w:r>
                    <w:rPr>
                      <w:rFonts w:eastAsiaTheme="minorEastAsia"/>
                      <w:color w:val="auto"/>
                      <w:highlight w:val="none"/>
                      <w:vertAlign w:val="superscript"/>
                    </w:rPr>
                    <w:t>3</w:t>
                  </w:r>
                </w:p>
              </w:tc>
            </w:tr>
          </w:tbl>
          <w:p>
            <w:pPr>
              <w:pStyle w:val="32"/>
              <w:spacing w:line="360" w:lineRule="auto"/>
              <w:ind w:firstLine="0" w:firstLineChars="0"/>
              <w:textAlignment w:val="baseline"/>
              <w:rPr>
                <w:rFonts w:eastAsiaTheme="minorEastAsia"/>
                <w:b/>
                <w:bCs/>
                <w:color w:val="auto"/>
                <w:szCs w:val="24"/>
                <w:highlight w:val="none"/>
              </w:rPr>
            </w:pPr>
            <w:r>
              <w:rPr>
                <w:rFonts w:eastAsiaTheme="minorEastAsia"/>
                <w:b/>
                <w:bCs/>
                <w:color w:val="auto"/>
                <w:szCs w:val="24"/>
                <w:highlight w:val="none"/>
              </w:rPr>
              <w:t>3、噪声</w:t>
            </w:r>
          </w:p>
          <w:p>
            <w:pPr>
              <w:spacing w:line="360" w:lineRule="auto"/>
              <w:ind w:firstLine="480" w:firstLineChars="200"/>
              <w:jc w:val="both"/>
              <w:rPr>
                <w:rFonts w:eastAsiaTheme="minorEastAsia"/>
                <w:b/>
                <w:color w:val="auto"/>
                <w:highlight w:val="none"/>
              </w:rPr>
            </w:pPr>
            <w:r>
              <w:rPr>
                <w:rFonts w:hint="eastAsia" w:eastAsiaTheme="minorEastAsia"/>
                <w:color w:val="auto"/>
                <w:sz w:val="24"/>
                <w:highlight w:val="none"/>
                <w:lang w:val="en-US" w:eastAsia="zh-CN"/>
              </w:rPr>
              <w:t>项目营运</w:t>
            </w:r>
            <w:r>
              <w:rPr>
                <w:rFonts w:eastAsiaTheme="minorEastAsia"/>
                <w:color w:val="auto"/>
                <w:sz w:val="24"/>
                <w:highlight w:val="none"/>
              </w:rPr>
              <w:t>期</w:t>
            </w:r>
            <w:r>
              <w:rPr>
                <w:rFonts w:hint="eastAsia" w:eastAsiaTheme="minorEastAsia"/>
                <w:color w:val="auto"/>
                <w:sz w:val="24"/>
                <w:highlight w:val="none"/>
                <w:lang w:val="en-US" w:eastAsia="zh-CN"/>
              </w:rPr>
              <w:t>厂区噪声</w:t>
            </w:r>
            <w:r>
              <w:rPr>
                <w:rFonts w:eastAsiaTheme="minorEastAsia"/>
                <w:color w:val="auto"/>
                <w:sz w:val="24"/>
                <w:highlight w:val="none"/>
              </w:rPr>
              <w:t>执行《工业企业厂界环境噪声排放标准》（GB12348-2008）表1中</w:t>
            </w:r>
            <w:r>
              <w:rPr>
                <w:rFonts w:hint="eastAsia" w:eastAsiaTheme="minorEastAsia"/>
                <w:color w:val="auto"/>
                <w:sz w:val="24"/>
                <w:highlight w:val="none"/>
                <w:lang w:val="en-US" w:eastAsia="zh-CN"/>
              </w:rPr>
              <w:t>2</w:t>
            </w:r>
            <w:r>
              <w:rPr>
                <w:rFonts w:eastAsiaTheme="minorEastAsia"/>
                <w:color w:val="auto"/>
                <w:sz w:val="24"/>
                <w:highlight w:val="none"/>
              </w:rPr>
              <w:t>类。</w:t>
            </w:r>
          </w:p>
          <w:p>
            <w:pPr>
              <w:jc w:val="center"/>
              <w:rPr>
                <w:rFonts w:eastAsiaTheme="minorEastAsia"/>
                <w:b/>
                <w:color w:val="auto"/>
                <w:sz w:val="24"/>
                <w:highlight w:val="none"/>
              </w:rPr>
            </w:pPr>
            <w:r>
              <w:rPr>
                <w:rFonts w:eastAsiaTheme="minorEastAsia"/>
                <w:b/>
                <w:color w:val="auto"/>
                <w:highlight w:val="none"/>
              </w:rPr>
              <w:t>表3-</w:t>
            </w:r>
            <w:r>
              <w:rPr>
                <w:rFonts w:hint="eastAsia" w:eastAsiaTheme="minorEastAsia"/>
                <w:b/>
                <w:color w:val="auto"/>
                <w:highlight w:val="none"/>
                <w:lang w:val="en-US" w:eastAsia="zh-CN"/>
              </w:rPr>
              <w:t>8</w:t>
            </w:r>
            <w:r>
              <w:rPr>
                <w:rFonts w:eastAsiaTheme="minorEastAsia"/>
                <w:b/>
                <w:color w:val="auto"/>
                <w:highlight w:val="none"/>
              </w:rPr>
              <w:t>噪声排放标准限值   单位：dB（A）</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fixed"/>
              <w:tblCellMar>
                <w:top w:w="0" w:type="dxa"/>
                <w:left w:w="0" w:type="dxa"/>
                <w:bottom w:w="0" w:type="dxa"/>
                <w:right w:w="0" w:type="dxa"/>
              </w:tblCellMar>
            </w:tblPr>
            <w:tblGrid>
              <w:gridCol w:w="4357"/>
              <w:gridCol w:w="1201"/>
              <w:gridCol w:w="1201"/>
              <w:gridCol w:w="12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0" w:type="dxa"/>
                  <w:left w:w="0" w:type="dxa"/>
                  <w:bottom w:w="0" w:type="dxa"/>
                  <w:right w:w="0" w:type="dxa"/>
                </w:tblCellMar>
              </w:tblPrEx>
              <w:trPr>
                <w:cantSplit/>
                <w:trHeight w:val="454" w:hRule="atLeast"/>
                <w:jc w:val="center"/>
              </w:trPr>
              <w:tc>
                <w:tcPr>
                  <w:tcW w:w="2735" w:type="pct"/>
                  <w:tcBorders>
                    <w:tl2br w:val="nil"/>
                    <w:tr2bl w:val="nil"/>
                  </w:tcBorders>
                  <w:shd w:val="clear" w:color="auto" w:fill="FFFFFF"/>
                  <w:vAlign w:val="center"/>
                </w:tcPr>
                <w:p>
                  <w:pPr>
                    <w:jc w:val="center"/>
                    <w:rPr>
                      <w:rFonts w:eastAsiaTheme="minorEastAsia"/>
                      <w:b/>
                      <w:color w:val="auto"/>
                      <w:highlight w:val="none"/>
                    </w:rPr>
                  </w:pPr>
                  <w:r>
                    <w:rPr>
                      <w:rFonts w:eastAsiaTheme="minorEastAsia"/>
                      <w:b/>
                      <w:color w:val="auto"/>
                      <w:highlight w:val="none"/>
                    </w:rPr>
                    <w:t>标准名称及代号</w:t>
                  </w:r>
                </w:p>
              </w:tc>
              <w:tc>
                <w:tcPr>
                  <w:tcW w:w="754" w:type="pct"/>
                  <w:tcBorders>
                    <w:tl2br w:val="nil"/>
                    <w:tr2bl w:val="nil"/>
                  </w:tcBorders>
                  <w:shd w:val="clear" w:color="auto" w:fill="FFFFFF"/>
                  <w:vAlign w:val="center"/>
                </w:tcPr>
                <w:p>
                  <w:pPr>
                    <w:jc w:val="center"/>
                    <w:rPr>
                      <w:rFonts w:eastAsiaTheme="minorEastAsia"/>
                      <w:b/>
                      <w:color w:val="auto"/>
                      <w:highlight w:val="none"/>
                    </w:rPr>
                  </w:pPr>
                  <w:r>
                    <w:rPr>
                      <w:rFonts w:eastAsiaTheme="minorEastAsia"/>
                      <w:b/>
                      <w:color w:val="auto"/>
                      <w:highlight w:val="none"/>
                    </w:rPr>
                    <w:t>功能区</w:t>
                  </w:r>
                </w:p>
              </w:tc>
              <w:tc>
                <w:tcPr>
                  <w:tcW w:w="754" w:type="pct"/>
                  <w:tcBorders>
                    <w:tl2br w:val="nil"/>
                    <w:tr2bl w:val="nil"/>
                  </w:tcBorders>
                  <w:shd w:val="clear" w:color="auto" w:fill="FFFFFF"/>
                  <w:vAlign w:val="center"/>
                </w:tcPr>
                <w:p>
                  <w:pPr>
                    <w:jc w:val="center"/>
                    <w:rPr>
                      <w:rFonts w:eastAsiaTheme="minorEastAsia"/>
                      <w:b/>
                      <w:color w:val="auto"/>
                      <w:highlight w:val="none"/>
                    </w:rPr>
                  </w:pPr>
                  <w:r>
                    <w:rPr>
                      <w:rFonts w:eastAsiaTheme="minorEastAsia"/>
                      <w:b/>
                      <w:color w:val="auto"/>
                      <w:highlight w:val="none"/>
                    </w:rPr>
                    <w:t>昼间</w:t>
                  </w:r>
                </w:p>
              </w:tc>
              <w:tc>
                <w:tcPr>
                  <w:tcW w:w="754" w:type="pct"/>
                  <w:tcBorders>
                    <w:tl2br w:val="nil"/>
                    <w:tr2bl w:val="nil"/>
                  </w:tcBorders>
                  <w:shd w:val="clear" w:color="auto" w:fill="FFFFFF"/>
                  <w:vAlign w:val="center"/>
                </w:tcPr>
                <w:p>
                  <w:pPr>
                    <w:jc w:val="center"/>
                    <w:rPr>
                      <w:rFonts w:eastAsiaTheme="minorEastAsia"/>
                      <w:b/>
                      <w:color w:val="auto"/>
                      <w:highlight w:val="none"/>
                    </w:rPr>
                  </w:pPr>
                  <w:r>
                    <w:rPr>
                      <w:rFonts w:eastAsiaTheme="minorEastAsia"/>
                      <w:b/>
                      <w:color w:val="auto"/>
                      <w:highlight w:val="none"/>
                    </w:rPr>
                    <w:t>夜间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454" w:hRule="atLeast"/>
                <w:jc w:val="center"/>
              </w:trPr>
              <w:tc>
                <w:tcPr>
                  <w:tcW w:w="2735" w:type="pct"/>
                  <w:tcBorders>
                    <w:tl2br w:val="nil"/>
                    <w:tr2bl w:val="nil"/>
                  </w:tcBorders>
                  <w:shd w:val="clear" w:color="auto" w:fill="FFFFFF"/>
                  <w:vAlign w:val="center"/>
                </w:tcPr>
                <w:p>
                  <w:pPr>
                    <w:jc w:val="center"/>
                    <w:rPr>
                      <w:rFonts w:eastAsiaTheme="minorEastAsia"/>
                      <w:color w:val="auto"/>
                      <w:highlight w:val="none"/>
                    </w:rPr>
                  </w:pPr>
                  <w:r>
                    <w:rPr>
                      <w:rFonts w:eastAsiaTheme="minorEastAsia"/>
                      <w:color w:val="auto"/>
                      <w:highlight w:val="none"/>
                    </w:rPr>
                    <w:t>《工业企业厂界环境噪声排放标准》（GB12348-2008）表1中</w:t>
                  </w:r>
                  <w:r>
                    <w:rPr>
                      <w:rFonts w:hint="eastAsia" w:eastAsiaTheme="minorEastAsia"/>
                      <w:color w:val="auto"/>
                      <w:highlight w:val="none"/>
                      <w:lang w:val="en-US" w:eastAsia="zh-CN"/>
                    </w:rPr>
                    <w:t>2</w:t>
                  </w:r>
                  <w:r>
                    <w:rPr>
                      <w:rFonts w:eastAsiaTheme="minorEastAsia"/>
                      <w:color w:val="auto"/>
                      <w:highlight w:val="none"/>
                    </w:rPr>
                    <w:t>类</w:t>
                  </w:r>
                </w:p>
              </w:tc>
              <w:tc>
                <w:tcPr>
                  <w:tcW w:w="754" w:type="pct"/>
                  <w:tcBorders>
                    <w:tl2br w:val="nil"/>
                    <w:tr2bl w:val="nil"/>
                  </w:tcBorders>
                  <w:shd w:val="clear" w:color="auto" w:fill="FFFFFF"/>
                  <w:vAlign w:val="center"/>
                </w:tcPr>
                <w:p>
                  <w:pPr>
                    <w:jc w:val="center"/>
                    <w:rPr>
                      <w:rFonts w:eastAsiaTheme="minorEastAsia"/>
                      <w:color w:val="auto"/>
                      <w:highlight w:val="none"/>
                    </w:rPr>
                  </w:pPr>
                  <w:r>
                    <w:rPr>
                      <w:rFonts w:hint="eastAsia" w:eastAsiaTheme="minorEastAsia"/>
                      <w:color w:val="auto"/>
                      <w:highlight w:val="none"/>
                      <w:lang w:val="en-US" w:eastAsia="zh-CN"/>
                    </w:rPr>
                    <w:t>2</w:t>
                  </w:r>
                  <w:r>
                    <w:rPr>
                      <w:rFonts w:eastAsiaTheme="minorEastAsia"/>
                      <w:color w:val="auto"/>
                      <w:highlight w:val="none"/>
                    </w:rPr>
                    <w:t>类</w:t>
                  </w:r>
                </w:p>
              </w:tc>
              <w:tc>
                <w:tcPr>
                  <w:tcW w:w="754" w:type="pct"/>
                  <w:tcBorders>
                    <w:tl2br w:val="nil"/>
                    <w:tr2bl w:val="nil"/>
                  </w:tcBorders>
                  <w:shd w:val="clear" w:color="auto" w:fill="FFFFFF"/>
                  <w:vAlign w:val="center"/>
                </w:tcPr>
                <w:p>
                  <w:pPr>
                    <w:jc w:val="center"/>
                    <w:rPr>
                      <w:rFonts w:hint="eastAsia" w:eastAsiaTheme="minorEastAsia"/>
                      <w:color w:val="auto"/>
                      <w:highlight w:val="none"/>
                      <w:lang w:eastAsia="zh-CN"/>
                    </w:rPr>
                  </w:pPr>
                  <w:r>
                    <w:rPr>
                      <w:rFonts w:eastAsiaTheme="minorEastAsia"/>
                      <w:color w:val="auto"/>
                      <w:highlight w:val="none"/>
                    </w:rPr>
                    <w:t>6</w:t>
                  </w:r>
                  <w:r>
                    <w:rPr>
                      <w:rFonts w:hint="eastAsia" w:eastAsiaTheme="minorEastAsia"/>
                      <w:color w:val="auto"/>
                      <w:highlight w:val="none"/>
                      <w:lang w:val="en-US" w:eastAsia="zh-CN"/>
                    </w:rPr>
                    <w:t>0</w:t>
                  </w:r>
                </w:p>
              </w:tc>
              <w:tc>
                <w:tcPr>
                  <w:tcW w:w="754" w:type="pct"/>
                  <w:tcBorders>
                    <w:tl2br w:val="nil"/>
                    <w:tr2bl w:val="nil"/>
                  </w:tcBorders>
                  <w:shd w:val="clear" w:color="auto" w:fill="FFFFFF"/>
                  <w:vAlign w:val="center"/>
                </w:tcPr>
                <w:p>
                  <w:pPr>
                    <w:jc w:val="center"/>
                    <w:rPr>
                      <w:rFonts w:hint="eastAsia" w:eastAsiaTheme="minorEastAsia"/>
                      <w:color w:val="auto"/>
                      <w:highlight w:val="none"/>
                      <w:lang w:eastAsia="zh-CN"/>
                    </w:rPr>
                  </w:pPr>
                  <w:r>
                    <w:rPr>
                      <w:rFonts w:eastAsiaTheme="minorEastAsia"/>
                      <w:color w:val="auto"/>
                      <w:highlight w:val="none"/>
                    </w:rPr>
                    <w:t>5</w:t>
                  </w:r>
                  <w:r>
                    <w:rPr>
                      <w:rFonts w:hint="eastAsia" w:eastAsiaTheme="minorEastAsia"/>
                      <w:color w:val="auto"/>
                      <w:highlight w:val="none"/>
                      <w:lang w:val="en-US" w:eastAsia="zh-CN"/>
                    </w:rPr>
                    <w:t>0</w:t>
                  </w:r>
                </w:p>
              </w:tc>
            </w:tr>
          </w:tbl>
          <w:p>
            <w:pPr>
              <w:tabs>
                <w:tab w:val="left" w:pos="1302"/>
              </w:tabs>
              <w:spacing w:line="360" w:lineRule="auto"/>
              <w:rPr>
                <w:rFonts w:eastAsiaTheme="minorEastAsia"/>
                <w:b/>
                <w:color w:val="auto"/>
                <w:sz w:val="24"/>
                <w:highlight w:val="none"/>
              </w:rPr>
            </w:pPr>
            <w:r>
              <w:rPr>
                <w:rFonts w:eastAsiaTheme="minorEastAsia"/>
                <w:b/>
                <w:color w:val="auto"/>
                <w:sz w:val="24"/>
                <w:highlight w:val="none"/>
              </w:rPr>
              <w:t>4、固废</w:t>
            </w:r>
          </w:p>
          <w:p>
            <w:pPr>
              <w:pStyle w:val="39"/>
              <w:spacing w:line="360" w:lineRule="auto"/>
              <w:ind w:firstLine="480" w:firstLineChars="200"/>
              <w:jc w:val="both"/>
              <w:rPr>
                <w:rFonts w:ascii="Times New Roman" w:hAnsi="Times New Roman" w:cs="Times New Roman"/>
                <w:color w:val="auto"/>
                <w:highlight w:val="none"/>
              </w:rPr>
            </w:pPr>
            <w:r>
              <w:rPr>
                <w:rFonts w:ascii="Times New Roman" w:hAnsi="Times New Roman" w:cs="Times New Roman" w:eastAsiaTheme="minorEastAsia"/>
                <w:color w:val="auto"/>
                <w:sz w:val="24"/>
                <w:szCs w:val="32"/>
                <w:highlight w:val="none"/>
              </w:rPr>
              <w:t>一般固废执行</w:t>
            </w:r>
            <w:r>
              <w:rPr>
                <w:rFonts w:hint="eastAsia" w:ascii="Times New Roman" w:hAnsi="宋体" w:eastAsia="宋体"/>
                <w:color w:val="auto"/>
                <w:sz w:val="24"/>
                <w:highlight w:val="none"/>
              </w:rPr>
              <w:t>《一般工业固体废物贮存和填埋污染控制标准》（GB18599-2020）</w:t>
            </w:r>
            <w:r>
              <w:rPr>
                <w:rFonts w:ascii="Times New Roman" w:hAnsi="Times New Roman" w:cs="Times New Roman" w:eastAsiaTheme="minorEastAsia"/>
                <w:color w:val="auto"/>
                <w:sz w:val="24"/>
                <w:szCs w:val="32"/>
                <w:highlight w:val="none"/>
              </w:rPr>
              <w:t>；生活垃圾执行《生活垃圾填埋场污染控制标准》（GB16889-2008）；危险废物执行《危险废物贮存污染控制标准》(GB18597-2001)及其2013年修改单。</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880" w:hRule="atLeast"/>
          <w:jc w:val="center"/>
        </w:trPr>
        <w:tc>
          <w:tcPr>
            <w:tcW w:w="800" w:type="dxa"/>
            <w:vAlign w:val="center"/>
          </w:tcPr>
          <w:p>
            <w:pPr>
              <w:adjustRightInd w:val="0"/>
              <w:snapToGrid w:val="0"/>
              <w:jc w:val="center"/>
              <w:rPr>
                <w:color w:val="auto"/>
                <w:kern w:val="0"/>
                <w:sz w:val="24"/>
                <w:highlight w:val="none"/>
              </w:rPr>
            </w:pPr>
            <w:r>
              <w:rPr>
                <w:color w:val="auto"/>
                <w:kern w:val="0"/>
                <w:sz w:val="24"/>
                <w:highlight w:val="none"/>
              </w:rPr>
              <w:t>总量</w:t>
            </w:r>
          </w:p>
          <w:p>
            <w:pPr>
              <w:adjustRightInd w:val="0"/>
              <w:snapToGrid w:val="0"/>
              <w:jc w:val="center"/>
              <w:rPr>
                <w:color w:val="auto"/>
                <w:kern w:val="0"/>
                <w:sz w:val="24"/>
                <w:highlight w:val="none"/>
              </w:rPr>
            </w:pPr>
            <w:r>
              <w:rPr>
                <w:color w:val="auto"/>
                <w:kern w:val="0"/>
                <w:sz w:val="24"/>
                <w:highlight w:val="none"/>
              </w:rPr>
              <w:t>控制</w:t>
            </w:r>
          </w:p>
          <w:p>
            <w:pPr>
              <w:adjustRightInd w:val="0"/>
              <w:snapToGrid w:val="0"/>
              <w:jc w:val="center"/>
              <w:rPr>
                <w:color w:val="auto"/>
                <w:kern w:val="0"/>
                <w:sz w:val="24"/>
                <w:highlight w:val="none"/>
              </w:rPr>
            </w:pPr>
            <w:r>
              <w:rPr>
                <w:color w:val="auto"/>
                <w:kern w:val="0"/>
                <w:sz w:val="24"/>
                <w:highlight w:val="none"/>
              </w:rPr>
              <w:t>指标</w:t>
            </w:r>
          </w:p>
        </w:tc>
        <w:tc>
          <w:tcPr>
            <w:tcW w:w="8190" w:type="dxa"/>
            <w:vAlign w:val="center"/>
          </w:tcPr>
          <w:p>
            <w:pPr>
              <w:keepNext w:val="0"/>
              <w:keepLines w:val="0"/>
              <w:widowControl/>
              <w:suppressLineNumbers w:val="0"/>
              <w:spacing w:line="360" w:lineRule="auto"/>
              <w:ind w:firstLine="480" w:firstLineChars="200"/>
              <w:jc w:val="both"/>
              <w:rPr>
                <w:rFonts w:ascii="Times New Roman" w:hAnsi="Times New Roman" w:cs="Times New Roman"/>
                <w:color w:val="auto"/>
                <w:highlight w:val="none"/>
              </w:rPr>
            </w:pPr>
            <w:r>
              <w:rPr>
                <w:rFonts w:hint="eastAsia" w:ascii="Times New Roman" w:hAnsi="Times New Roman" w:cs="Times New Roman" w:eastAsiaTheme="minorEastAsia"/>
                <w:color w:val="auto"/>
                <w:kern w:val="2"/>
                <w:sz w:val="24"/>
                <w:szCs w:val="32"/>
                <w:highlight w:val="none"/>
                <w:lang w:val="en-US" w:eastAsia="zh-CN" w:bidi="zh-CN"/>
              </w:rPr>
              <w:t>根据国家主要污染物排放总量控制技术规范要求以及本项目污染物排放特点，本项目生产废水经预处理达标后，通过污水管网汇入华容县桥东污水处理厂处理达标后排放。生产废水年排放量</w:t>
            </w:r>
            <w:r>
              <w:rPr>
                <w:rFonts w:hint="eastAsia" w:cs="Times New Roman" w:eastAsiaTheme="minorEastAsia"/>
                <w:color w:val="auto"/>
                <w:kern w:val="2"/>
                <w:sz w:val="24"/>
                <w:szCs w:val="32"/>
                <w:highlight w:val="none"/>
                <w:lang w:val="en-US" w:eastAsia="zh-CN" w:bidi="zh-CN"/>
              </w:rPr>
              <w:t>477</w:t>
            </w:r>
            <w:r>
              <w:rPr>
                <w:rFonts w:hint="eastAsia" w:ascii="Times New Roman" w:hAnsi="Times New Roman" w:cs="Times New Roman" w:eastAsiaTheme="minorEastAsia"/>
                <w:color w:val="auto"/>
                <w:kern w:val="2"/>
                <w:sz w:val="24"/>
                <w:szCs w:val="32"/>
                <w:highlight w:val="none"/>
                <w:lang w:val="en-US" w:eastAsia="zh-CN" w:bidi="zh-CN"/>
              </w:rPr>
              <w:t>t，COD排放量为0.07155t/a，氨氮排放量为0.011925t/a。故需要</w:t>
            </w:r>
            <w:r>
              <w:rPr>
                <w:rFonts w:hint="eastAsia" w:cs="Times New Roman" w:eastAsiaTheme="minorEastAsia"/>
                <w:color w:val="auto"/>
                <w:kern w:val="2"/>
                <w:sz w:val="24"/>
                <w:szCs w:val="32"/>
                <w:highlight w:val="none"/>
                <w:lang w:val="en-US" w:eastAsia="zh-CN" w:bidi="zh-CN"/>
              </w:rPr>
              <w:t>相关部门</w:t>
            </w:r>
            <w:r>
              <w:rPr>
                <w:rFonts w:hint="eastAsia" w:ascii="Times New Roman" w:hAnsi="Times New Roman" w:cs="Times New Roman" w:eastAsiaTheme="minorEastAsia"/>
                <w:color w:val="auto"/>
                <w:kern w:val="2"/>
                <w:sz w:val="24"/>
                <w:szCs w:val="32"/>
                <w:highlight w:val="none"/>
                <w:lang w:val="en-US" w:eastAsia="zh-CN" w:bidi="zh-CN"/>
              </w:rPr>
              <w:t>购买污染物排放总量。</w:t>
            </w:r>
          </w:p>
        </w:tc>
      </w:tr>
    </w:tbl>
    <w:p>
      <w:pPr>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1"/>
        <w:numPr>
          <w:ilvl w:val="0"/>
          <w:numId w:val="4"/>
        </w:numPr>
        <w:jc w:val="center"/>
        <w:outlineLvl w:val="0"/>
        <w:rPr>
          <w:rFonts w:hint="eastAsia" w:ascii="黑体" w:hAnsi="黑体" w:eastAsia="黑体"/>
          <w:snapToGrid w:val="0"/>
          <w:color w:val="auto"/>
          <w:sz w:val="30"/>
          <w:szCs w:val="30"/>
          <w:highlight w:val="none"/>
        </w:rPr>
      </w:pPr>
      <w:bookmarkStart w:id="43" w:name="_Toc21247"/>
      <w:bookmarkStart w:id="44" w:name="_Toc17547"/>
      <w:bookmarkStart w:id="45" w:name="_Toc13083"/>
      <w:r>
        <w:rPr>
          <w:rFonts w:hint="eastAsia" w:ascii="黑体" w:hAnsi="黑体" w:eastAsia="黑体"/>
          <w:snapToGrid w:val="0"/>
          <w:color w:val="auto"/>
          <w:sz w:val="30"/>
          <w:szCs w:val="30"/>
          <w:highlight w:val="none"/>
        </w:rPr>
        <w:t>主要环境影响和保护措施</w:t>
      </w:r>
      <w:bookmarkEnd w:id="43"/>
      <w:bookmarkEnd w:id="44"/>
      <w:bookmarkEnd w:id="45"/>
    </w:p>
    <w:tbl>
      <w:tblPr>
        <w:tblStyle w:val="25"/>
        <w:tblW w:w="8981"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61"/>
        <w:gridCol w:w="8520"/>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400" w:hRule="atLeast"/>
          <w:jc w:val="center"/>
        </w:trPr>
        <w:tc>
          <w:tcPr>
            <w:tcW w:w="461" w:type="dxa"/>
            <w:noWrap w:val="0"/>
            <w:tcMar>
              <w:left w:w="28" w:type="dxa"/>
              <w:right w:w="28" w:type="dxa"/>
            </w:tcMar>
            <w:vAlign w:val="center"/>
          </w:tcPr>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施</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工</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期</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环</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境</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保</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护</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color w:val="auto"/>
                <w:kern w:val="2"/>
                <w:sz w:val="24"/>
                <w:szCs w:val="24"/>
                <w:highlight w:val="none"/>
              </w:rPr>
            </w:pPr>
            <w:r>
              <w:rPr>
                <w:rFonts w:hint="default" w:ascii="Times New Roman" w:hAnsi="Times New Roman" w:eastAsia="宋体" w:cs="Times New Roman"/>
                <w:color w:val="auto"/>
                <w:kern w:val="2"/>
                <w:sz w:val="24"/>
                <w:szCs w:val="24"/>
                <w:highlight w:val="none"/>
              </w:rPr>
              <w:t>措</w:t>
            </w:r>
          </w:p>
          <w:p>
            <w:pPr>
              <w:pStyle w:val="21"/>
              <w:adjustRightInd w:val="0"/>
              <w:snapToGrid w:val="0"/>
              <w:spacing w:before="0" w:beforeAutospacing="0" w:after="0" w:afterAutospacing="0" w:line="360" w:lineRule="auto"/>
              <w:jc w:val="center"/>
              <w:rPr>
                <w:rFonts w:hint="default" w:ascii="Times New Roman" w:hAnsi="Times New Roman" w:eastAsia="宋体" w:cs="Times New Roman"/>
                <w:bCs/>
                <w:color w:val="auto"/>
                <w:kern w:val="2"/>
                <w:sz w:val="24"/>
                <w:szCs w:val="24"/>
                <w:highlight w:val="none"/>
              </w:rPr>
            </w:pPr>
            <w:r>
              <w:rPr>
                <w:rFonts w:hint="default" w:ascii="Times New Roman" w:hAnsi="Times New Roman" w:eastAsia="宋体" w:cs="Times New Roman"/>
                <w:color w:val="auto"/>
                <w:kern w:val="2"/>
                <w:sz w:val="24"/>
                <w:szCs w:val="24"/>
                <w:highlight w:val="none"/>
              </w:rPr>
              <w:t>施</w:t>
            </w:r>
          </w:p>
        </w:tc>
        <w:tc>
          <w:tcPr>
            <w:tcW w:w="8520" w:type="dxa"/>
            <w:noWrap w:val="0"/>
            <w:vAlign w:val="center"/>
          </w:tcPr>
          <w:p>
            <w:pPr>
              <w:pStyle w:val="41"/>
              <w:keepNext w:val="0"/>
              <w:keepLines w:val="0"/>
              <w:pageBreakBefore w:val="0"/>
              <w:widowControl w:val="0"/>
              <w:kinsoku/>
              <w:wordWrap/>
              <w:overflowPunct/>
              <w:topLinePunct w:val="0"/>
              <w:autoSpaceDE/>
              <w:autoSpaceDN/>
              <w:bidi w:val="0"/>
              <w:snapToGrid w:val="0"/>
              <w:spacing w:line="360" w:lineRule="auto"/>
              <w:ind w:firstLine="48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eastAsia="zh-CN"/>
              </w:rPr>
              <w:t>本项目</w:t>
            </w:r>
            <w:r>
              <w:rPr>
                <w:rFonts w:hint="eastAsia" w:ascii="宋体" w:hAnsi="宋体" w:eastAsia="宋体" w:cs="宋体"/>
                <w:b w:val="0"/>
                <w:bCs w:val="0"/>
                <w:color w:val="auto"/>
                <w:sz w:val="24"/>
                <w:szCs w:val="24"/>
                <w:highlight w:val="none"/>
                <w:lang w:val="en-US" w:eastAsia="zh-CN"/>
              </w:rPr>
              <w:t>租用华容东华棉业有限责任公司的</w:t>
            </w:r>
            <w:r>
              <w:rPr>
                <w:rFonts w:hint="eastAsia" w:ascii="宋体" w:hAnsi="宋体" w:cs="宋体"/>
                <w:b w:val="0"/>
                <w:bCs w:val="0"/>
                <w:color w:val="auto"/>
                <w:sz w:val="24"/>
                <w:szCs w:val="24"/>
                <w:highlight w:val="none"/>
                <w:lang w:val="en-US" w:eastAsia="zh-CN"/>
              </w:rPr>
              <w:t>1#</w:t>
            </w:r>
            <w:r>
              <w:rPr>
                <w:rFonts w:hint="eastAsia" w:ascii="宋体" w:hAnsi="宋体" w:eastAsia="宋体" w:cs="宋体"/>
                <w:b w:val="0"/>
                <w:bCs w:val="0"/>
                <w:color w:val="auto"/>
                <w:sz w:val="24"/>
                <w:szCs w:val="24"/>
                <w:highlight w:val="none"/>
                <w:lang w:val="en-US" w:eastAsia="zh-CN"/>
              </w:rPr>
              <w:t>、</w:t>
            </w:r>
            <w:r>
              <w:rPr>
                <w:rFonts w:hint="eastAsia" w:ascii="宋体" w:hAnsi="宋体" w:cs="宋体"/>
                <w:b w:val="0"/>
                <w:bCs w:val="0"/>
                <w:color w:val="auto"/>
                <w:sz w:val="24"/>
                <w:szCs w:val="24"/>
                <w:highlight w:val="none"/>
                <w:lang w:val="en-US" w:eastAsia="zh-CN"/>
              </w:rPr>
              <w:t>2#</w:t>
            </w:r>
            <w:r>
              <w:rPr>
                <w:rFonts w:hint="eastAsia" w:ascii="宋体" w:hAnsi="宋体" w:eastAsia="宋体" w:cs="宋体"/>
                <w:b w:val="0"/>
                <w:bCs w:val="0"/>
                <w:color w:val="auto"/>
                <w:sz w:val="24"/>
                <w:szCs w:val="24"/>
                <w:highlight w:val="none"/>
                <w:lang w:val="en-US" w:eastAsia="zh-CN"/>
              </w:rPr>
              <w:t>空置仓库</w:t>
            </w:r>
            <w:r>
              <w:rPr>
                <w:rFonts w:hint="eastAsia" w:ascii="宋体" w:hAnsi="宋体" w:eastAsia="宋体" w:cs="宋体"/>
                <w:color w:val="auto"/>
                <w:sz w:val="24"/>
                <w:szCs w:val="24"/>
                <w:highlight w:val="none"/>
                <w:lang w:eastAsia="zh-CN"/>
              </w:rPr>
              <w:t>进行设备安装和厂房装修，施工期环境影响主要表现为施工噪声、设备安装及厂房</w:t>
            </w:r>
            <w:r>
              <w:rPr>
                <w:rFonts w:hint="eastAsia" w:ascii="宋体" w:hAnsi="宋体" w:eastAsia="宋体" w:cs="宋体"/>
                <w:color w:val="auto"/>
                <w:sz w:val="24"/>
                <w:szCs w:val="24"/>
                <w:highlight w:val="none"/>
                <w:lang w:val="en-US" w:eastAsia="zh-CN"/>
              </w:rPr>
              <w:t>装修产生的建筑垃圾，施工机械产生的尾气等。施工期较短，施工环境影响较小，且随施工期结束而消失。因此本次环评主要针对营运期环境影响进行分析。</w:t>
            </w:r>
          </w:p>
          <w:p>
            <w:pPr>
              <w:keepNext w:val="0"/>
              <w:keepLines w:val="0"/>
              <w:widowControl/>
              <w:suppressLineNumbers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
              </w:rPr>
              <w:t>由于不用进行土建，在施工期遇大雨天气不会造成水土流失，因此无施工期含大量悬浮固体的雨水产生；本项目施工期废水排放主要是施工现场工人排放的生活污水，生活污水主要含 SS、COD 等。由于装修以及设备安装所需要的工人较少，</w:t>
            </w:r>
            <w:r>
              <w:rPr>
                <w:rFonts w:hint="eastAsia" w:ascii="宋体" w:hAnsi="宋体" w:eastAsia="宋体" w:cs="宋体"/>
                <w:color w:val="auto"/>
                <w:sz w:val="24"/>
                <w:szCs w:val="24"/>
                <w:highlight w:val="none"/>
                <w:lang w:val="en-US" w:eastAsia="zh-CN"/>
              </w:rPr>
              <w:t>生活污水</w:t>
            </w:r>
            <w:r>
              <w:rPr>
                <w:rFonts w:hint="eastAsia" w:ascii="宋体" w:hAnsi="宋体" w:eastAsia="宋体" w:cs="宋体"/>
                <w:color w:val="auto"/>
                <w:sz w:val="24"/>
                <w:szCs w:val="24"/>
                <w:highlight w:val="none"/>
              </w:rPr>
              <w:t>经</w:t>
            </w:r>
            <w:r>
              <w:rPr>
                <w:rFonts w:hint="eastAsia" w:ascii="宋体" w:hAnsi="宋体" w:eastAsia="宋体" w:cs="宋体"/>
                <w:color w:val="auto"/>
                <w:sz w:val="24"/>
                <w:szCs w:val="24"/>
                <w:highlight w:val="none"/>
                <w:lang w:val="en-US" w:eastAsia="zh-CN"/>
              </w:rPr>
              <w:t>厂区化粪处理后做周边农肥使用，不外排。</w:t>
            </w:r>
            <w:r>
              <w:rPr>
                <w:rFonts w:hint="eastAsia" w:ascii="宋体" w:hAnsi="宋体" w:eastAsia="宋体" w:cs="宋体"/>
                <w:color w:val="auto"/>
                <w:kern w:val="0"/>
                <w:sz w:val="24"/>
                <w:szCs w:val="24"/>
                <w:highlight w:val="none"/>
                <w:lang w:val="en-US" w:eastAsia="zh-CN" w:bidi="ar"/>
              </w:rPr>
              <w:t xml:space="preserve">对水环境影响较小。 </w:t>
            </w:r>
          </w:p>
          <w:p>
            <w:pPr>
              <w:keepNext w:val="0"/>
              <w:keepLines w:val="0"/>
              <w:widowControl/>
              <w:suppressLineNumbers w:val="0"/>
              <w:spacing w:line="360" w:lineRule="auto"/>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kern w:val="0"/>
                <w:sz w:val="24"/>
                <w:szCs w:val="24"/>
                <w:highlight w:val="none"/>
                <w:lang w:val="en-US" w:eastAsia="zh-CN" w:bidi="ar"/>
              </w:rPr>
              <w:t>施工期产生的固体废弃物主要为废弃的装修材料等建筑垃圾以及各类装修材料的包装箱、袋和生活垃圾等。包装物基本上回收利用或销售给废品收购站，建筑垃圾将由环卫部门统一清运。因此，上述废弃物不会对周围环境产生较大影响。</w:t>
            </w:r>
          </w:p>
          <w:p>
            <w:pPr>
              <w:pStyle w:val="41"/>
              <w:keepNext w:val="0"/>
              <w:keepLines w:val="0"/>
              <w:pageBreakBefore w:val="0"/>
              <w:widowControl w:val="0"/>
              <w:kinsoku/>
              <w:wordWrap/>
              <w:overflowPunct/>
              <w:topLinePunct w:val="0"/>
              <w:autoSpaceDE/>
              <w:autoSpaceDN/>
              <w:bidi w:val="0"/>
              <w:snapToGrid w:val="0"/>
              <w:spacing w:line="360" w:lineRule="auto"/>
              <w:ind w:firstLine="480"/>
              <w:textAlignment w:val="auto"/>
              <w:outlineLvl w:val="9"/>
              <w:rPr>
                <w:rFonts w:hint="eastAsia" w:ascii="宋体" w:hAnsi="宋体" w:eastAsia="宋体" w:cs="宋体"/>
                <w:color w:val="auto"/>
                <w:sz w:val="24"/>
                <w:szCs w:val="24"/>
                <w:highlight w:val="none"/>
                <w:lang w:val="en-US" w:eastAsia="zh-CN"/>
              </w:rPr>
            </w:pPr>
            <w:r>
              <w:rPr>
                <w:rFonts w:hint="eastAsia" w:ascii="宋体" w:hAnsi="宋体" w:eastAsia="宋体" w:cs="宋体"/>
                <w:color w:val="auto"/>
                <w:sz w:val="24"/>
                <w:szCs w:val="24"/>
                <w:highlight w:val="none"/>
                <w:lang w:val="en-US" w:eastAsia="zh-CN"/>
              </w:rPr>
              <w:t>施工噪声污染防治措施:尽量选用低噪声或备有消声降噪声的施工机械；对运输车辆、电锯、电刨、砂轮锯等强噪声机械设备必须进行有效控制，现场强噪声采用封闭式隔音棚,运输车辆要禁止鸣笛和高速行驶；施工现场使用隔音围护，可以大大降低施工作业噪声向外界的传播强度。</w:t>
            </w:r>
          </w:p>
          <w:p>
            <w:pPr>
              <w:keepNext w:val="0"/>
              <w:keepLines w:val="0"/>
              <w:widowControl/>
              <w:suppressLineNumbers w:val="0"/>
              <w:spacing w:line="360" w:lineRule="auto"/>
              <w:ind w:firstLine="480" w:firstLineChars="200"/>
              <w:jc w:val="both"/>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综上，项目施工期在采取各项污染防治措施后，对周围环境影响较小。随着</w:t>
            </w:r>
          </w:p>
          <w:p>
            <w:pPr>
              <w:keepNext w:val="0"/>
              <w:keepLines w:val="0"/>
              <w:widowControl/>
              <w:suppressLineNumbers w:val="0"/>
              <w:spacing w:line="360" w:lineRule="auto"/>
              <w:jc w:val="both"/>
              <w:rPr>
                <w:rFonts w:hint="eastAsia" w:ascii="宋体" w:hAnsi="宋体" w:eastAsia="宋体" w:cs="宋体"/>
                <w:color w:val="auto"/>
                <w:kern w:val="0"/>
                <w:sz w:val="24"/>
                <w:szCs w:val="24"/>
                <w:highlight w:val="none"/>
                <w:lang w:val="en-US" w:eastAsia="zh-CN" w:bidi="ar-SA"/>
              </w:rPr>
            </w:pPr>
            <w:r>
              <w:rPr>
                <w:rFonts w:hint="eastAsia" w:ascii="宋体" w:hAnsi="宋体" w:eastAsia="宋体" w:cs="宋体"/>
                <w:color w:val="auto"/>
                <w:kern w:val="0"/>
                <w:sz w:val="24"/>
                <w:szCs w:val="24"/>
                <w:highlight w:val="none"/>
                <w:lang w:val="en-US" w:eastAsia="zh-CN" w:bidi="ar-SA"/>
              </w:rPr>
              <w:t>施工期的结束，这些影响因素都随之消失。</w:t>
            </w:r>
          </w:p>
          <w:p>
            <w:pPr>
              <w:pStyle w:val="41"/>
              <w:keepNext w:val="0"/>
              <w:keepLines w:val="0"/>
              <w:pageBreakBefore w:val="0"/>
              <w:widowControl w:val="0"/>
              <w:kinsoku/>
              <w:wordWrap/>
              <w:overflowPunct/>
              <w:topLinePunct w:val="0"/>
              <w:autoSpaceDE/>
              <w:autoSpaceDN/>
              <w:bidi w:val="0"/>
              <w:snapToGrid w:val="0"/>
              <w:spacing w:line="360" w:lineRule="auto"/>
              <w:ind w:firstLine="480"/>
              <w:textAlignment w:val="auto"/>
              <w:outlineLvl w:val="9"/>
              <w:rPr>
                <w:rFonts w:hint="default" w:ascii="Times New Roman" w:hAnsi="Times New Roman" w:cs="Times New Roman"/>
                <w:color w:val="auto"/>
                <w:sz w:val="24"/>
                <w:szCs w:val="24"/>
                <w:highlight w:val="none"/>
                <w:lang w:val="en-US" w:eastAsia="zh-CN"/>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624" w:hRule="atLeast"/>
          <w:jc w:val="center"/>
        </w:trPr>
        <w:tc>
          <w:tcPr>
            <w:tcW w:w="461" w:type="dxa"/>
            <w:noWrap w:val="0"/>
            <w:tcMar>
              <w:left w:w="28" w:type="dxa"/>
              <w:right w:w="28" w:type="dxa"/>
            </w:tcMar>
            <w:vAlign w:val="center"/>
          </w:tcPr>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运</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营期</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环</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境</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影</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响</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和</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保</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护</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措</w:t>
            </w:r>
          </w:p>
          <w:p>
            <w:pPr>
              <w:adjustRightInd w:val="0"/>
              <w:snapToGrid w:val="0"/>
              <w:spacing w:line="360" w:lineRule="auto"/>
              <w:jc w:val="center"/>
              <w:rPr>
                <w:rFonts w:hint="default" w:ascii="Times New Roman" w:hAnsi="Times New Roman" w:eastAsia="宋体" w:cs="Times New Roman"/>
                <w:bCs/>
                <w:color w:val="auto"/>
                <w:sz w:val="24"/>
                <w:szCs w:val="24"/>
                <w:highlight w:val="none"/>
              </w:rPr>
            </w:pPr>
            <w:r>
              <w:rPr>
                <w:rFonts w:hint="default" w:ascii="Times New Roman" w:hAnsi="Times New Roman" w:eastAsia="宋体" w:cs="Times New Roman"/>
                <w:bCs/>
                <w:color w:val="auto"/>
                <w:sz w:val="24"/>
                <w:szCs w:val="24"/>
                <w:highlight w:val="none"/>
              </w:rPr>
              <w:t>施</w:t>
            </w:r>
          </w:p>
        </w:tc>
        <w:tc>
          <w:tcPr>
            <w:tcW w:w="8520" w:type="dxa"/>
            <w:noWrap w:val="0"/>
            <w:vAlign w:val="center"/>
          </w:tcPr>
          <w:p>
            <w:pPr>
              <w:keepNext w:val="0"/>
              <w:keepLines w:val="0"/>
              <w:widowControl/>
              <w:suppressLineNumbers w:val="0"/>
              <w:spacing w:line="360" w:lineRule="auto"/>
              <w:jc w:val="left"/>
              <w:rPr>
                <w:color w:val="auto"/>
                <w:sz w:val="24"/>
                <w:szCs w:val="24"/>
                <w:highlight w:val="none"/>
              </w:rPr>
            </w:pPr>
            <w:r>
              <w:rPr>
                <w:rFonts w:hint="eastAsia" w:ascii="宋体" w:hAnsi="宋体" w:eastAsia="宋体" w:cs="宋体"/>
                <w:b/>
                <w:bCs/>
                <w:color w:val="auto"/>
                <w:kern w:val="0"/>
                <w:sz w:val="24"/>
                <w:szCs w:val="24"/>
                <w:highlight w:val="none"/>
                <w:lang w:val="en-US" w:eastAsia="zh-CN" w:bidi="ar"/>
              </w:rPr>
              <w:t xml:space="preserve">1、废气 </w:t>
            </w:r>
          </w:p>
          <w:p>
            <w:pPr>
              <w:keepNext w:val="0"/>
              <w:keepLines w:val="0"/>
              <w:widowControl/>
              <w:suppressLineNumbers w:val="0"/>
              <w:spacing w:line="360" w:lineRule="auto"/>
              <w:ind w:firstLine="480" w:firstLineChars="200"/>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本项目不涉及熔融造粒工序，无熔融造粒废气及废滤网处理废气产生；原料在常温下采取湿法破碎，破碎工序无有机废气产生。项目产生的废气污染物 </w:t>
            </w:r>
          </w:p>
          <w:p>
            <w:pPr>
              <w:keepNext w:val="0"/>
              <w:keepLines w:val="0"/>
              <w:widowControl/>
              <w:suppressLineNumbers w:val="0"/>
              <w:spacing w:line="360" w:lineRule="auto"/>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主要为原料装卸搬运、投料、脱标及破碎粉尘等。 </w:t>
            </w:r>
          </w:p>
          <w:p>
            <w:pPr>
              <w:keepNext w:val="0"/>
              <w:keepLines w:val="0"/>
              <w:widowControl/>
              <w:suppressLineNumbers w:val="0"/>
              <w:spacing w:line="360" w:lineRule="auto"/>
              <w:ind w:firstLine="482" w:firstLineChars="200"/>
              <w:jc w:val="left"/>
              <w:rPr>
                <w:color w:val="auto"/>
                <w:sz w:val="24"/>
                <w:szCs w:val="24"/>
                <w:highlight w:val="none"/>
              </w:rPr>
            </w:pPr>
            <w:r>
              <w:rPr>
                <w:rFonts w:hint="eastAsia" w:ascii="宋体" w:hAnsi="宋体" w:eastAsia="宋体" w:cs="宋体"/>
                <w:b/>
                <w:bCs/>
                <w:color w:val="auto"/>
                <w:kern w:val="0"/>
                <w:sz w:val="24"/>
                <w:szCs w:val="24"/>
                <w:highlight w:val="none"/>
                <w:lang w:val="en-US" w:eastAsia="zh-CN" w:bidi="ar"/>
              </w:rPr>
              <w:t>（</w:t>
            </w:r>
            <w:r>
              <w:rPr>
                <w:rFonts w:hint="default" w:ascii="Times New Roman" w:hAnsi="Times New Roman" w:eastAsia="宋体" w:cs="Times New Roman"/>
                <w:b/>
                <w:bCs/>
                <w:color w:val="auto"/>
                <w:kern w:val="0"/>
                <w:sz w:val="24"/>
                <w:szCs w:val="24"/>
                <w:highlight w:val="none"/>
                <w:lang w:val="en-US" w:eastAsia="zh-CN" w:bidi="ar"/>
              </w:rPr>
              <w:t>1</w:t>
            </w:r>
            <w:r>
              <w:rPr>
                <w:rFonts w:hint="eastAsia" w:ascii="宋体" w:hAnsi="宋体" w:eastAsia="宋体" w:cs="宋体"/>
                <w:b/>
                <w:bCs/>
                <w:color w:val="auto"/>
                <w:kern w:val="0"/>
                <w:sz w:val="24"/>
                <w:szCs w:val="24"/>
                <w:highlight w:val="none"/>
                <w:lang w:val="en-US" w:eastAsia="zh-CN" w:bidi="ar"/>
              </w:rPr>
              <w:t xml:space="preserve">）原料装卸搬运、投料、脱标及破碎粉尘 </w:t>
            </w:r>
          </w:p>
          <w:p>
            <w:pPr>
              <w:keepNext w:val="0"/>
              <w:keepLines w:val="0"/>
              <w:widowControl/>
              <w:suppressLineNumbers w:val="0"/>
              <w:spacing w:line="360" w:lineRule="auto"/>
              <w:ind w:firstLine="480" w:firstLineChars="200"/>
              <w:jc w:val="left"/>
              <w:rPr>
                <w:rFonts w:hint="default"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项目原料主要是从再生资源回收站点外购的符合环保法律、法规要求的废旧塑料，在原料运输至厂内过程中，原料会附带少量粉尘，在进行原料装卸搬运、投料、脱标过程中，因翻动会产生少量粉尘。</w:t>
            </w:r>
            <w:r>
              <w:rPr>
                <w:rFonts w:hint="eastAsia" w:ascii="宋体" w:hAnsi="宋体" w:cs="宋体"/>
                <w:color w:val="auto"/>
                <w:kern w:val="0"/>
                <w:sz w:val="24"/>
                <w:szCs w:val="24"/>
                <w:highlight w:val="none"/>
                <w:lang w:val="en-US" w:eastAsia="zh-CN" w:bidi="ar"/>
              </w:rPr>
              <w:t>一般采取打包运输和洒水抑尘等措施控制运输及</w:t>
            </w:r>
            <w:r>
              <w:rPr>
                <w:rFonts w:hint="eastAsia" w:ascii="宋体" w:hAnsi="宋体" w:eastAsia="宋体" w:cs="宋体"/>
                <w:color w:val="auto"/>
                <w:kern w:val="0"/>
                <w:sz w:val="24"/>
                <w:szCs w:val="24"/>
                <w:highlight w:val="none"/>
                <w:lang w:val="en-US" w:eastAsia="zh-CN" w:bidi="ar"/>
              </w:rPr>
              <w:t>装卸搬运</w:t>
            </w:r>
            <w:r>
              <w:rPr>
                <w:rFonts w:hint="eastAsia" w:ascii="宋体" w:hAnsi="宋体" w:cs="宋体"/>
                <w:color w:val="auto"/>
                <w:kern w:val="0"/>
                <w:sz w:val="24"/>
                <w:szCs w:val="24"/>
                <w:highlight w:val="none"/>
                <w:lang w:val="en-US" w:eastAsia="zh-CN" w:bidi="ar"/>
              </w:rPr>
              <w:t>过程中的粉尘。</w:t>
            </w:r>
          </w:p>
          <w:p>
            <w:pPr>
              <w:keepNext w:val="0"/>
              <w:keepLines w:val="0"/>
              <w:widowControl/>
              <w:suppressLineNumbers w:val="0"/>
              <w:spacing w:line="360" w:lineRule="auto"/>
              <w:ind w:firstLine="480" w:firstLineChars="200"/>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项目废塑料瓶通过封闭式破碎机进行破碎，破碎后的塑料碎片尺寸较大（约 </w:t>
            </w:r>
            <w:r>
              <w:rPr>
                <w:rFonts w:hint="default" w:ascii="Times New Roman" w:hAnsi="Times New Roman" w:eastAsia="宋体" w:cs="Times New Roman"/>
                <w:color w:val="auto"/>
                <w:kern w:val="0"/>
                <w:sz w:val="24"/>
                <w:szCs w:val="24"/>
                <w:highlight w:val="none"/>
                <w:lang w:val="en-US" w:eastAsia="zh-CN" w:bidi="ar"/>
              </w:rPr>
              <w:t>10</w:t>
            </w: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25mm</w:t>
            </w:r>
            <w:r>
              <w:rPr>
                <w:rFonts w:hint="eastAsia" w:ascii="宋体" w:hAnsi="宋体" w:eastAsia="宋体" w:cs="宋体"/>
                <w:color w:val="auto"/>
                <w:kern w:val="0"/>
                <w:sz w:val="24"/>
                <w:szCs w:val="24"/>
                <w:highlight w:val="none"/>
                <w:lang w:val="en-US" w:eastAsia="zh-CN" w:bidi="ar"/>
              </w:rPr>
              <w:t xml:space="preserve">），为使破碎机更好的运转并减少破碎工段粉尘的产生，每台破碎机内设置洒水喷头，破碎时进行喷水降尘同时降低破碎刀口温度。项目废旧塑料瓶破碎工序产生少量粉尘。购买回来的废旧塑料已经在回收站进行粗加工，粉尘含量较低，类比同类项目，项目在原料装卸搬运、投料及破碎工序粉尘产生量为 </w:t>
            </w:r>
            <w:r>
              <w:rPr>
                <w:rFonts w:hint="default" w:ascii="Times New Roman" w:hAnsi="Times New Roman" w:eastAsia="宋体" w:cs="Times New Roman"/>
                <w:color w:val="auto"/>
                <w:kern w:val="0"/>
                <w:sz w:val="24"/>
                <w:szCs w:val="24"/>
                <w:highlight w:val="none"/>
                <w:lang w:val="en-US" w:eastAsia="zh-CN" w:bidi="ar"/>
              </w:rPr>
              <w:t xml:space="preserve">0.1kg/t </w:t>
            </w:r>
            <w:r>
              <w:rPr>
                <w:rFonts w:hint="eastAsia" w:ascii="宋体" w:hAnsi="宋体" w:eastAsia="宋体" w:cs="宋体"/>
                <w:color w:val="auto"/>
                <w:kern w:val="0"/>
                <w:sz w:val="24"/>
                <w:szCs w:val="24"/>
                <w:highlight w:val="none"/>
                <w:lang w:val="en-US" w:eastAsia="zh-CN" w:bidi="ar"/>
              </w:rPr>
              <w:t>原料，本项目建成后废旧塑料原料用量共为</w:t>
            </w:r>
            <w:r>
              <w:rPr>
                <w:rFonts w:hint="eastAsia" w:ascii="宋体" w:hAnsi="宋体" w:cs="宋体"/>
                <w:color w:val="auto"/>
                <w:kern w:val="0"/>
                <w:sz w:val="24"/>
                <w:szCs w:val="24"/>
                <w:highlight w:val="none"/>
                <w:lang w:val="en-US" w:eastAsia="zh-CN" w:bidi="ar"/>
              </w:rPr>
              <w:t>530</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，则项目在原料装卸搬运、投料、脱标及破碎工序粉尘产生量均为</w:t>
            </w:r>
            <w:r>
              <w:rPr>
                <w:rFonts w:hint="eastAsia" w:cs="Times New Roman"/>
                <w:color w:val="auto"/>
                <w:kern w:val="0"/>
                <w:sz w:val="24"/>
                <w:szCs w:val="24"/>
                <w:highlight w:val="none"/>
                <w:lang w:val="en-US" w:eastAsia="zh-CN" w:bidi="ar"/>
              </w:rPr>
              <w:t>53</w:t>
            </w:r>
            <w:r>
              <w:rPr>
                <w:rFonts w:hint="eastAsia" w:ascii="Times New Roman" w:hAnsi="Times New Roman" w:eastAsia="宋体" w:cs="Times New Roman"/>
                <w:color w:val="auto"/>
                <w:kern w:val="0"/>
                <w:sz w:val="24"/>
                <w:szCs w:val="24"/>
                <w:highlight w:val="none"/>
                <w:lang w:val="en-US" w:eastAsia="zh-CN" w:bidi="ar"/>
              </w:rPr>
              <w:t>kg</w:t>
            </w:r>
            <w:r>
              <w:rPr>
                <w:rFonts w:hint="default" w:ascii="Times New Roman" w:hAnsi="Times New Roman" w:eastAsia="宋体" w:cs="Times New Roman"/>
                <w:color w:val="auto"/>
                <w:kern w:val="0"/>
                <w:sz w:val="24"/>
                <w:szCs w:val="24"/>
                <w:highlight w:val="none"/>
                <w:lang w:val="en-US" w:eastAsia="zh-CN" w:bidi="ar"/>
              </w:rPr>
              <w:t>/a</w:t>
            </w:r>
            <w:r>
              <w:rPr>
                <w:rFonts w:hint="eastAsia" w:ascii="宋体" w:hAnsi="宋体" w:eastAsia="宋体" w:cs="宋体"/>
                <w:color w:val="auto"/>
                <w:kern w:val="0"/>
                <w:sz w:val="24"/>
                <w:szCs w:val="24"/>
                <w:highlight w:val="none"/>
                <w:lang w:val="en-US" w:eastAsia="zh-CN" w:bidi="ar"/>
              </w:rPr>
              <w:t xml:space="preserve">。项目采取喷淋降尘、加强车间通风等措施后，降尘率能达 </w:t>
            </w:r>
            <w:r>
              <w:rPr>
                <w:rFonts w:hint="default" w:ascii="Times New Roman" w:hAnsi="Times New Roman" w:eastAsia="宋体" w:cs="Times New Roman"/>
                <w:color w:val="auto"/>
                <w:kern w:val="0"/>
                <w:sz w:val="24"/>
                <w:szCs w:val="24"/>
                <w:highlight w:val="none"/>
                <w:lang w:val="en-US" w:eastAsia="zh-CN" w:bidi="ar"/>
              </w:rPr>
              <w:t>75%</w:t>
            </w:r>
            <w:r>
              <w:rPr>
                <w:rFonts w:hint="eastAsia" w:ascii="宋体" w:hAnsi="宋体" w:eastAsia="宋体" w:cs="宋体"/>
                <w:color w:val="auto"/>
                <w:kern w:val="0"/>
                <w:sz w:val="24"/>
                <w:szCs w:val="24"/>
                <w:highlight w:val="none"/>
                <w:lang w:val="en-US" w:eastAsia="zh-CN" w:bidi="ar"/>
              </w:rPr>
              <w:t xml:space="preserve">以上，则粉尘排放量约为 </w:t>
            </w:r>
            <w:r>
              <w:rPr>
                <w:rFonts w:hint="eastAsia" w:cs="Times New Roman"/>
                <w:color w:val="auto"/>
                <w:kern w:val="0"/>
                <w:sz w:val="24"/>
                <w:szCs w:val="24"/>
                <w:highlight w:val="none"/>
                <w:lang w:val="en-US" w:eastAsia="zh-CN" w:bidi="ar"/>
              </w:rPr>
              <w:t>13.25</w:t>
            </w:r>
            <w:r>
              <w:rPr>
                <w:rFonts w:hint="eastAsia" w:ascii="Times New Roman" w:hAnsi="Times New Roman" w:eastAsia="宋体" w:cs="Times New Roman"/>
                <w:color w:val="auto"/>
                <w:kern w:val="0"/>
                <w:sz w:val="24"/>
                <w:szCs w:val="24"/>
                <w:highlight w:val="none"/>
                <w:lang w:val="en-US" w:eastAsia="zh-CN" w:bidi="ar"/>
              </w:rPr>
              <w:t>kg</w:t>
            </w:r>
            <w:r>
              <w:rPr>
                <w:rFonts w:hint="default" w:ascii="Times New Roman" w:hAnsi="Times New Roman" w:eastAsia="宋体" w:cs="Times New Roman"/>
                <w:color w:val="auto"/>
                <w:kern w:val="0"/>
                <w:sz w:val="24"/>
                <w:szCs w:val="24"/>
                <w:highlight w:val="none"/>
                <w:lang w:val="en-US" w:eastAsia="zh-CN" w:bidi="ar"/>
              </w:rPr>
              <w:t>/a</w:t>
            </w:r>
            <w:r>
              <w:rPr>
                <w:rFonts w:hint="eastAsia" w:ascii="宋体" w:hAnsi="宋体" w:eastAsia="宋体" w:cs="宋体"/>
                <w:color w:val="auto"/>
                <w:kern w:val="0"/>
                <w:sz w:val="24"/>
                <w:szCs w:val="24"/>
                <w:highlight w:val="none"/>
                <w:lang w:val="en-US" w:eastAsia="zh-CN" w:bidi="ar"/>
              </w:rPr>
              <w:t>。粉尘在车间以无组织面源排放。项目年工作时间为</w:t>
            </w:r>
            <w:r>
              <w:rPr>
                <w:rFonts w:hint="default" w:ascii="Times New Roman" w:hAnsi="Times New Roman" w:eastAsia="宋体" w:cs="Times New Roman"/>
                <w:color w:val="auto"/>
                <w:kern w:val="0"/>
                <w:sz w:val="24"/>
                <w:szCs w:val="24"/>
                <w:highlight w:val="none"/>
                <w:lang w:val="en-US" w:eastAsia="zh-CN" w:bidi="ar"/>
              </w:rPr>
              <w:t>2400h/a</w:t>
            </w:r>
            <w:r>
              <w:rPr>
                <w:rFonts w:hint="eastAsia" w:ascii="宋体" w:hAnsi="宋体" w:eastAsia="宋体" w:cs="宋体"/>
                <w:color w:val="auto"/>
                <w:kern w:val="0"/>
                <w:sz w:val="24"/>
                <w:szCs w:val="24"/>
                <w:highlight w:val="none"/>
                <w:lang w:val="en-US" w:eastAsia="zh-CN" w:bidi="ar"/>
              </w:rPr>
              <w:t xml:space="preserve">，则项目在原料装卸搬运、投料、脱标及破碎粉尘产排情况见下表。 </w:t>
            </w:r>
          </w:p>
          <w:p>
            <w:pPr>
              <w:keepNext w:val="0"/>
              <w:keepLines w:val="0"/>
              <w:widowControl/>
              <w:suppressLineNumbers w:val="0"/>
              <w:spacing w:line="36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 xml:space="preserve">表 </w:t>
            </w:r>
            <w:r>
              <w:rPr>
                <w:rFonts w:hint="default" w:ascii="Times New Roman" w:hAnsi="Times New Roman" w:eastAsia="宋体" w:cs="Times New Roman"/>
                <w:b/>
                <w:bCs/>
                <w:color w:val="auto"/>
                <w:kern w:val="0"/>
                <w:sz w:val="21"/>
                <w:szCs w:val="21"/>
                <w:highlight w:val="none"/>
                <w:lang w:val="en-US" w:eastAsia="zh-CN" w:bidi="ar"/>
              </w:rPr>
              <w:t xml:space="preserve">4-1 </w:t>
            </w:r>
            <w:r>
              <w:rPr>
                <w:rFonts w:hint="eastAsia" w:ascii="宋体" w:hAnsi="宋体" w:eastAsia="宋体" w:cs="宋体"/>
                <w:b/>
                <w:bCs/>
                <w:color w:val="auto"/>
                <w:kern w:val="0"/>
                <w:sz w:val="21"/>
                <w:szCs w:val="21"/>
                <w:highlight w:val="none"/>
                <w:lang w:val="en-US" w:eastAsia="zh-CN" w:bidi="ar"/>
              </w:rPr>
              <w:t>项目原料装卸搬运、投料、脱标及破碎粉尘产排情况表</w:t>
            </w:r>
          </w:p>
          <w:tbl>
            <w:tblPr>
              <w:tblStyle w:val="26"/>
              <w:tblW w:w="82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04"/>
              <w:gridCol w:w="1032"/>
              <w:gridCol w:w="1152"/>
              <w:gridCol w:w="1186"/>
              <w:gridCol w:w="723"/>
              <w:gridCol w:w="1023"/>
              <w:gridCol w:w="1141"/>
              <w:gridCol w:w="100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污染</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因子</w:t>
                  </w:r>
                </w:p>
              </w:tc>
              <w:tc>
                <w:tcPr>
                  <w:tcW w:w="1033"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产生量</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w:t>
                  </w:r>
                  <w:r>
                    <w:rPr>
                      <w:rFonts w:hint="eastAsia" w:ascii="Times New Roman" w:hAnsi="Times New Roman" w:eastAsia="宋体" w:cs="Times New Roman"/>
                      <w:b/>
                      <w:bCs/>
                      <w:color w:val="auto"/>
                      <w:kern w:val="0"/>
                      <w:sz w:val="21"/>
                      <w:szCs w:val="21"/>
                      <w:highlight w:val="none"/>
                      <w:lang w:val="en-US" w:eastAsia="zh-CN" w:bidi="ar"/>
                    </w:rPr>
                    <w:t>kg</w:t>
                  </w:r>
                  <w:r>
                    <w:rPr>
                      <w:rFonts w:hint="default" w:ascii="Times New Roman" w:hAnsi="Times New Roman" w:eastAsia="宋体" w:cs="Times New Roman"/>
                      <w:b/>
                      <w:bCs/>
                      <w:color w:val="auto"/>
                      <w:kern w:val="0"/>
                      <w:sz w:val="21"/>
                      <w:szCs w:val="21"/>
                      <w:highlight w:val="none"/>
                      <w:lang w:val="en-US" w:eastAsia="zh-CN" w:bidi="ar"/>
                    </w:rPr>
                    <w:t>/a</w:t>
                  </w:r>
                  <w:r>
                    <w:rPr>
                      <w:rFonts w:hint="eastAsia" w:ascii="宋体" w:hAnsi="宋体" w:eastAsia="宋体" w:cs="宋体"/>
                      <w:b/>
                      <w:bCs/>
                      <w:color w:val="auto"/>
                      <w:kern w:val="0"/>
                      <w:sz w:val="21"/>
                      <w:szCs w:val="21"/>
                      <w:highlight w:val="none"/>
                      <w:lang w:val="en-US" w:eastAsia="zh-CN" w:bidi="ar"/>
                    </w:rPr>
                    <w:t>）</w:t>
                  </w:r>
                </w:p>
              </w:tc>
              <w:tc>
                <w:tcPr>
                  <w:tcW w:w="1158"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产生速</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率（</w:t>
                  </w:r>
                  <w:r>
                    <w:rPr>
                      <w:rFonts w:hint="default" w:ascii="Times New Roman" w:hAnsi="Times New Roman" w:eastAsia="宋体" w:cs="Times New Roman"/>
                      <w:b/>
                      <w:bCs/>
                      <w:color w:val="auto"/>
                      <w:kern w:val="0"/>
                      <w:sz w:val="21"/>
                      <w:szCs w:val="21"/>
                      <w:highlight w:val="none"/>
                      <w:lang w:val="en-US" w:eastAsia="zh-CN" w:bidi="ar"/>
                    </w:rPr>
                    <w:t>kg/h</w:t>
                  </w:r>
                  <w:r>
                    <w:rPr>
                      <w:rFonts w:hint="eastAsia" w:ascii="宋体" w:hAnsi="宋体" w:eastAsia="宋体" w:cs="宋体"/>
                      <w:b/>
                      <w:bCs/>
                      <w:color w:val="auto"/>
                      <w:kern w:val="0"/>
                      <w:sz w:val="21"/>
                      <w:szCs w:val="21"/>
                      <w:highlight w:val="none"/>
                      <w:lang w:val="en-US" w:eastAsia="zh-CN" w:bidi="ar"/>
                    </w:rPr>
                    <w:t>）</w:t>
                  </w:r>
                </w:p>
              </w:tc>
              <w:tc>
                <w:tcPr>
                  <w:tcW w:w="1213" w:type="dxa"/>
                  <w:vAlign w:val="center"/>
                </w:tcPr>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治理措施</w:t>
                  </w:r>
                </w:p>
              </w:tc>
              <w:tc>
                <w:tcPr>
                  <w:tcW w:w="728"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去除</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效率</w:t>
                  </w:r>
                </w:p>
              </w:tc>
              <w:tc>
                <w:tcPr>
                  <w:tcW w:w="922"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排放量</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w:t>
                  </w:r>
                  <w:r>
                    <w:rPr>
                      <w:rFonts w:hint="eastAsia" w:ascii="Times New Roman" w:hAnsi="Times New Roman" w:eastAsia="宋体" w:cs="Times New Roman"/>
                      <w:b/>
                      <w:bCs/>
                      <w:color w:val="auto"/>
                      <w:kern w:val="0"/>
                      <w:sz w:val="21"/>
                      <w:szCs w:val="21"/>
                      <w:highlight w:val="none"/>
                      <w:lang w:val="en-US" w:eastAsia="zh-CN" w:bidi="ar"/>
                    </w:rPr>
                    <w:t>kg/</w:t>
                  </w:r>
                  <w:r>
                    <w:rPr>
                      <w:rFonts w:hint="default" w:ascii="Times New Roman" w:hAnsi="Times New Roman" w:eastAsia="宋体" w:cs="Times New Roman"/>
                      <w:b/>
                      <w:bCs/>
                      <w:color w:val="auto"/>
                      <w:kern w:val="0"/>
                      <w:sz w:val="21"/>
                      <w:szCs w:val="21"/>
                      <w:highlight w:val="none"/>
                      <w:lang w:val="en-US" w:eastAsia="zh-CN" w:bidi="ar"/>
                    </w:rPr>
                    <w:t>a</w:t>
                  </w:r>
                  <w:r>
                    <w:rPr>
                      <w:rFonts w:hint="eastAsia" w:ascii="宋体" w:hAnsi="宋体" w:eastAsia="宋体" w:cs="宋体"/>
                      <w:b/>
                      <w:bCs/>
                      <w:color w:val="auto"/>
                      <w:kern w:val="0"/>
                      <w:sz w:val="21"/>
                      <w:szCs w:val="21"/>
                      <w:highlight w:val="none"/>
                      <w:lang w:val="en-US" w:eastAsia="zh-CN" w:bidi="ar"/>
                    </w:rPr>
                    <w:t>）</w:t>
                  </w:r>
                </w:p>
              </w:tc>
              <w:tc>
                <w:tcPr>
                  <w:tcW w:w="1146"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排放速率</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w:t>
                  </w:r>
                  <w:r>
                    <w:rPr>
                      <w:rFonts w:hint="default" w:ascii="Times New Roman" w:hAnsi="Times New Roman" w:eastAsia="宋体" w:cs="Times New Roman"/>
                      <w:b/>
                      <w:bCs/>
                      <w:color w:val="auto"/>
                      <w:kern w:val="0"/>
                      <w:sz w:val="21"/>
                      <w:szCs w:val="21"/>
                      <w:highlight w:val="none"/>
                      <w:lang w:val="en-US" w:eastAsia="zh-CN" w:bidi="ar"/>
                    </w:rPr>
                    <w:t>kg/h</w:t>
                  </w:r>
                  <w:r>
                    <w:rPr>
                      <w:rFonts w:hint="eastAsia" w:ascii="宋体" w:hAnsi="宋体" w:eastAsia="宋体" w:cs="宋体"/>
                      <w:b/>
                      <w:bCs/>
                      <w:color w:val="auto"/>
                      <w:kern w:val="0"/>
                      <w:sz w:val="21"/>
                      <w:szCs w:val="21"/>
                      <w:highlight w:val="none"/>
                      <w:lang w:val="en-US" w:eastAsia="zh-CN" w:bidi="ar"/>
                    </w:rPr>
                    <w:t>）</w:t>
                  </w:r>
                </w:p>
              </w:tc>
              <w:tc>
                <w:tcPr>
                  <w:tcW w:w="1034" w:type="dxa"/>
                  <w:vAlign w:val="center"/>
                </w:tcPr>
                <w:p>
                  <w:pPr>
                    <w:keepNext w:val="0"/>
                    <w:keepLines w:val="0"/>
                    <w:widowControl/>
                    <w:suppressLineNumbers w:val="0"/>
                    <w:spacing w:line="240" w:lineRule="auto"/>
                    <w:jc w:val="center"/>
                    <w:rPr>
                      <w:color w:val="auto"/>
                      <w:sz w:val="21"/>
                      <w:szCs w:val="21"/>
                      <w:highlight w:val="none"/>
                    </w:rPr>
                  </w:pPr>
                  <w:r>
                    <w:rPr>
                      <w:rFonts w:hint="eastAsia" w:ascii="宋体" w:hAnsi="宋体" w:eastAsia="宋体" w:cs="宋体"/>
                      <w:b/>
                      <w:bCs/>
                      <w:color w:val="auto"/>
                      <w:kern w:val="0"/>
                      <w:sz w:val="21"/>
                      <w:szCs w:val="21"/>
                      <w:highlight w:val="none"/>
                      <w:lang w:val="en-US" w:eastAsia="zh-CN" w:bidi="ar"/>
                    </w:rPr>
                    <w:t>排放</w:t>
                  </w:r>
                </w:p>
                <w:p>
                  <w:pPr>
                    <w:keepNext w:val="0"/>
                    <w:keepLines w:val="0"/>
                    <w:widowControl/>
                    <w:suppressLineNumbers w:val="0"/>
                    <w:spacing w:line="240" w:lineRule="auto"/>
                    <w:jc w:val="center"/>
                    <w:rPr>
                      <w:rFonts w:hint="default" w:ascii="Times New Roman" w:hAnsi="Times New Roman" w:eastAsia="宋体" w:cs="Times New Roman"/>
                      <w:b/>
                      <w:color w:val="auto"/>
                      <w:spacing w:val="4"/>
                      <w:sz w:val="21"/>
                      <w:szCs w:val="21"/>
                      <w:highlight w:val="none"/>
                      <w:vertAlign w:val="baseline"/>
                    </w:rPr>
                  </w:pPr>
                  <w:r>
                    <w:rPr>
                      <w:rFonts w:hint="eastAsia" w:ascii="宋体" w:hAnsi="宋体" w:eastAsia="宋体" w:cs="宋体"/>
                      <w:b/>
                      <w:bCs/>
                      <w:color w:val="auto"/>
                      <w:kern w:val="0"/>
                      <w:sz w:val="21"/>
                      <w:szCs w:val="21"/>
                      <w:highlight w:val="none"/>
                      <w:lang w:val="en-US" w:eastAsia="zh-CN" w:bidi="ar"/>
                    </w:rPr>
                    <w:t>形式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33"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eastAsia" w:ascii="Times New Roman" w:hAnsi="Times New Roman" w:eastAsia="宋体" w:cs="Times New Roman"/>
                      <w:b w:val="0"/>
                      <w:bCs/>
                      <w:color w:val="auto"/>
                      <w:spacing w:val="4"/>
                      <w:sz w:val="21"/>
                      <w:szCs w:val="21"/>
                      <w:highlight w:val="none"/>
                      <w:vertAlign w:val="baseline"/>
                      <w:lang w:val="en-US" w:eastAsia="zh-CN"/>
                    </w:rPr>
                  </w:pPr>
                  <w:r>
                    <w:rPr>
                      <w:rFonts w:hint="eastAsia" w:ascii="Times New Roman" w:hAnsi="Times New Roman" w:cs="Times New Roman"/>
                      <w:b w:val="0"/>
                      <w:bCs/>
                      <w:color w:val="auto"/>
                      <w:spacing w:val="4"/>
                      <w:sz w:val="21"/>
                      <w:szCs w:val="21"/>
                      <w:highlight w:val="none"/>
                      <w:vertAlign w:val="baseline"/>
                      <w:lang w:val="en-US" w:eastAsia="zh-CN"/>
                    </w:rPr>
                    <w:t>粉尘</w:t>
                  </w:r>
                </w:p>
              </w:tc>
              <w:tc>
                <w:tcPr>
                  <w:tcW w:w="1033"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eastAsia="宋体" w:cs="Times New Roman"/>
                      <w:b w:val="0"/>
                      <w:bCs/>
                      <w:color w:val="auto"/>
                      <w:spacing w:val="4"/>
                      <w:sz w:val="21"/>
                      <w:szCs w:val="21"/>
                      <w:highlight w:val="none"/>
                      <w:vertAlign w:val="baseline"/>
                      <w:lang w:val="en-US" w:eastAsia="zh-CN"/>
                    </w:rPr>
                  </w:pPr>
                  <w:r>
                    <w:rPr>
                      <w:rFonts w:hint="eastAsia" w:cs="Times New Roman"/>
                      <w:b w:val="0"/>
                      <w:bCs/>
                      <w:color w:val="auto"/>
                      <w:spacing w:val="4"/>
                      <w:sz w:val="21"/>
                      <w:szCs w:val="21"/>
                      <w:highlight w:val="none"/>
                      <w:vertAlign w:val="baseline"/>
                      <w:lang w:val="en-US" w:eastAsia="zh-CN"/>
                    </w:rPr>
                    <w:t>53</w:t>
                  </w:r>
                </w:p>
              </w:tc>
              <w:tc>
                <w:tcPr>
                  <w:tcW w:w="1158"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eastAsia="宋体" w:cs="Times New Roman"/>
                      <w:b w:val="0"/>
                      <w:bCs/>
                      <w:color w:val="auto"/>
                      <w:spacing w:val="4"/>
                      <w:sz w:val="21"/>
                      <w:szCs w:val="21"/>
                      <w:highlight w:val="none"/>
                      <w:vertAlign w:val="baseline"/>
                      <w:lang w:val="en-US" w:eastAsia="zh-CN"/>
                    </w:rPr>
                  </w:pPr>
                  <w:r>
                    <w:rPr>
                      <w:rFonts w:hint="eastAsia" w:cs="Times New Roman"/>
                      <w:b w:val="0"/>
                      <w:bCs/>
                      <w:color w:val="auto"/>
                      <w:spacing w:val="4"/>
                      <w:sz w:val="21"/>
                      <w:szCs w:val="21"/>
                      <w:highlight w:val="none"/>
                      <w:vertAlign w:val="baseline"/>
                      <w:lang w:val="en-US" w:eastAsia="zh-CN"/>
                    </w:rPr>
                    <w:t>0.022</w:t>
                  </w:r>
                </w:p>
              </w:tc>
              <w:tc>
                <w:tcPr>
                  <w:tcW w:w="1213" w:type="dxa"/>
                  <w:vAlign w:val="center"/>
                </w:tcPr>
                <w:p>
                  <w:pPr>
                    <w:keepNext w:val="0"/>
                    <w:keepLines w:val="0"/>
                    <w:widowControl/>
                    <w:suppressLineNumbers w:val="0"/>
                    <w:spacing w:line="240" w:lineRule="auto"/>
                    <w:jc w:val="center"/>
                    <w:rPr>
                      <w:b w:val="0"/>
                      <w:bCs/>
                      <w:color w:val="auto"/>
                      <w:sz w:val="21"/>
                      <w:szCs w:val="21"/>
                      <w:highlight w:val="none"/>
                    </w:rPr>
                  </w:pPr>
                  <w:r>
                    <w:rPr>
                      <w:rFonts w:hint="eastAsia" w:ascii="宋体" w:hAnsi="宋体" w:eastAsia="宋体" w:cs="宋体"/>
                      <w:b w:val="0"/>
                      <w:bCs/>
                      <w:color w:val="auto"/>
                      <w:kern w:val="0"/>
                      <w:sz w:val="21"/>
                      <w:szCs w:val="21"/>
                      <w:highlight w:val="none"/>
                      <w:lang w:val="en-US" w:eastAsia="zh-CN" w:bidi="ar"/>
                    </w:rPr>
                    <w:t>喷淋降尘、</w:t>
                  </w:r>
                </w:p>
                <w:p>
                  <w:pPr>
                    <w:keepNext w:val="0"/>
                    <w:keepLines w:val="0"/>
                    <w:widowControl/>
                    <w:suppressLineNumbers w:val="0"/>
                    <w:spacing w:line="240" w:lineRule="auto"/>
                    <w:jc w:val="center"/>
                    <w:rPr>
                      <w:b w:val="0"/>
                      <w:bCs/>
                      <w:color w:val="auto"/>
                      <w:sz w:val="21"/>
                      <w:szCs w:val="21"/>
                      <w:highlight w:val="none"/>
                    </w:rPr>
                  </w:pPr>
                  <w:r>
                    <w:rPr>
                      <w:rFonts w:hint="eastAsia" w:ascii="宋体" w:hAnsi="宋体" w:eastAsia="宋体" w:cs="宋体"/>
                      <w:b w:val="0"/>
                      <w:bCs/>
                      <w:color w:val="auto"/>
                      <w:kern w:val="0"/>
                      <w:sz w:val="21"/>
                      <w:szCs w:val="21"/>
                      <w:highlight w:val="none"/>
                      <w:lang w:val="en-US" w:eastAsia="zh-CN" w:bidi="ar"/>
                    </w:rPr>
                    <w:t>加强车间</w:t>
                  </w:r>
                </w:p>
                <w:p>
                  <w:pPr>
                    <w:keepNext w:val="0"/>
                    <w:keepLines w:val="0"/>
                    <w:widowControl/>
                    <w:suppressLineNumbers w:val="0"/>
                    <w:spacing w:line="240" w:lineRule="auto"/>
                    <w:jc w:val="center"/>
                    <w:rPr>
                      <w:rFonts w:hint="default" w:ascii="Times New Roman" w:hAnsi="Times New Roman" w:eastAsia="宋体" w:cs="Times New Roman"/>
                      <w:b w:val="0"/>
                      <w:bCs/>
                      <w:color w:val="auto"/>
                      <w:spacing w:val="4"/>
                      <w:sz w:val="21"/>
                      <w:szCs w:val="21"/>
                      <w:highlight w:val="none"/>
                      <w:vertAlign w:val="baseline"/>
                    </w:rPr>
                  </w:pPr>
                  <w:r>
                    <w:rPr>
                      <w:rFonts w:hint="eastAsia" w:ascii="宋体" w:hAnsi="宋体" w:eastAsia="宋体" w:cs="宋体"/>
                      <w:b w:val="0"/>
                      <w:bCs/>
                      <w:color w:val="auto"/>
                      <w:kern w:val="0"/>
                      <w:sz w:val="21"/>
                      <w:szCs w:val="21"/>
                      <w:highlight w:val="none"/>
                      <w:lang w:val="en-US" w:eastAsia="zh-CN" w:bidi="ar"/>
                    </w:rPr>
                    <w:t>通风等</w:t>
                  </w:r>
                </w:p>
              </w:tc>
              <w:tc>
                <w:tcPr>
                  <w:tcW w:w="728"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eastAsia="宋体" w:cs="Times New Roman"/>
                      <w:b w:val="0"/>
                      <w:bCs/>
                      <w:color w:val="auto"/>
                      <w:spacing w:val="4"/>
                      <w:sz w:val="21"/>
                      <w:szCs w:val="21"/>
                      <w:highlight w:val="none"/>
                      <w:vertAlign w:val="baseline"/>
                      <w:lang w:val="en-US" w:eastAsia="zh-CN"/>
                    </w:rPr>
                  </w:pPr>
                  <w:r>
                    <w:rPr>
                      <w:rFonts w:hint="eastAsia" w:ascii="Times New Roman" w:hAnsi="Times New Roman" w:cs="Times New Roman"/>
                      <w:b w:val="0"/>
                      <w:bCs/>
                      <w:color w:val="auto"/>
                      <w:spacing w:val="4"/>
                      <w:sz w:val="21"/>
                      <w:szCs w:val="21"/>
                      <w:highlight w:val="none"/>
                      <w:vertAlign w:val="baseline"/>
                      <w:lang w:val="en-US" w:eastAsia="zh-CN"/>
                    </w:rPr>
                    <w:t>75%</w:t>
                  </w:r>
                </w:p>
              </w:tc>
              <w:tc>
                <w:tcPr>
                  <w:tcW w:w="922"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eastAsia="宋体" w:cs="Times New Roman"/>
                      <w:b w:val="0"/>
                      <w:bCs/>
                      <w:color w:val="auto"/>
                      <w:spacing w:val="4"/>
                      <w:sz w:val="21"/>
                      <w:szCs w:val="21"/>
                      <w:highlight w:val="none"/>
                      <w:vertAlign w:val="baseline"/>
                      <w:lang w:val="en-US" w:eastAsia="zh-CN"/>
                    </w:rPr>
                  </w:pPr>
                  <w:r>
                    <w:rPr>
                      <w:rFonts w:hint="eastAsia" w:cs="Times New Roman"/>
                      <w:b w:val="0"/>
                      <w:bCs/>
                      <w:color w:val="auto"/>
                      <w:spacing w:val="4"/>
                      <w:sz w:val="21"/>
                      <w:szCs w:val="21"/>
                      <w:highlight w:val="none"/>
                      <w:vertAlign w:val="baseline"/>
                      <w:lang w:val="en-US" w:eastAsia="zh-CN"/>
                    </w:rPr>
                    <w:t>13.25</w:t>
                  </w:r>
                </w:p>
              </w:tc>
              <w:tc>
                <w:tcPr>
                  <w:tcW w:w="1146"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default" w:ascii="Times New Roman" w:hAnsi="Times New Roman" w:eastAsia="宋体" w:cs="Times New Roman"/>
                      <w:b w:val="0"/>
                      <w:bCs/>
                      <w:color w:val="auto"/>
                      <w:spacing w:val="4"/>
                      <w:sz w:val="21"/>
                      <w:szCs w:val="21"/>
                      <w:highlight w:val="none"/>
                      <w:vertAlign w:val="baseline"/>
                      <w:lang w:val="en-US" w:eastAsia="zh-CN"/>
                    </w:rPr>
                  </w:pPr>
                  <w:r>
                    <w:rPr>
                      <w:rFonts w:hint="eastAsia" w:cs="Times New Roman"/>
                      <w:b w:val="0"/>
                      <w:bCs/>
                      <w:color w:val="auto"/>
                      <w:spacing w:val="4"/>
                      <w:sz w:val="21"/>
                      <w:szCs w:val="21"/>
                      <w:highlight w:val="none"/>
                      <w:vertAlign w:val="baseline"/>
                      <w:lang w:val="en-US" w:eastAsia="zh-CN"/>
                    </w:rPr>
                    <w:t>0.0055</w:t>
                  </w:r>
                </w:p>
              </w:tc>
              <w:tc>
                <w:tcPr>
                  <w:tcW w:w="1034" w:type="dxa"/>
                  <w:vAlign w:val="center"/>
                </w:tcPr>
                <w:p>
                  <w:pPr>
                    <w:keepNext w:val="0"/>
                    <w:keepLines w:val="0"/>
                    <w:pageBreakBefore w:val="0"/>
                    <w:widowControl w:val="0"/>
                    <w:kinsoku/>
                    <w:wordWrap/>
                    <w:overflowPunct/>
                    <w:topLinePunct w:val="0"/>
                    <w:bidi w:val="0"/>
                    <w:snapToGrid w:val="0"/>
                    <w:spacing w:line="240" w:lineRule="auto"/>
                    <w:jc w:val="center"/>
                    <w:textAlignment w:val="auto"/>
                    <w:rPr>
                      <w:rFonts w:hint="eastAsia" w:ascii="Times New Roman" w:hAnsi="Times New Roman" w:eastAsia="宋体" w:cs="Times New Roman"/>
                      <w:b w:val="0"/>
                      <w:bCs/>
                      <w:color w:val="auto"/>
                      <w:spacing w:val="4"/>
                      <w:sz w:val="21"/>
                      <w:szCs w:val="21"/>
                      <w:highlight w:val="none"/>
                      <w:vertAlign w:val="baseline"/>
                      <w:lang w:val="en-US" w:eastAsia="zh-CN"/>
                    </w:rPr>
                  </w:pPr>
                  <w:r>
                    <w:rPr>
                      <w:rFonts w:hint="eastAsia" w:ascii="Times New Roman" w:hAnsi="Times New Roman" w:cs="Times New Roman"/>
                      <w:b w:val="0"/>
                      <w:bCs/>
                      <w:color w:val="auto"/>
                      <w:spacing w:val="4"/>
                      <w:sz w:val="21"/>
                      <w:szCs w:val="21"/>
                      <w:highlight w:val="none"/>
                      <w:vertAlign w:val="baseline"/>
                      <w:lang w:val="en-US" w:eastAsia="zh-CN"/>
                    </w:rPr>
                    <w:t>无组织</w:t>
                  </w:r>
                </w:p>
              </w:tc>
            </w:tr>
          </w:tbl>
          <w:p>
            <w:pPr>
              <w:keepNext w:val="0"/>
              <w:keepLines w:val="0"/>
              <w:widowControl/>
              <w:suppressLineNumbers w:val="0"/>
              <w:spacing w:line="360" w:lineRule="auto"/>
              <w:ind w:firstLine="480" w:firstLineChars="200"/>
              <w:jc w:val="both"/>
              <w:rPr>
                <w:rFonts w:hint="eastAsia" w:ascii="宋体" w:hAnsi="宋体" w:eastAsia="宋体" w:cs="宋体"/>
                <w:b/>
                <w:bCs/>
                <w:color w:val="auto"/>
                <w:kern w:val="0"/>
                <w:sz w:val="24"/>
                <w:szCs w:val="24"/>
                <w:highlight w:val="none"/>
                <w:lang w:val="en-US" w:eastAsia="zh-CN" w:bidi="ar"/>
              </w:rPr>
            </w:pPr>
            <w:r>
              <w:rPr>
                <w:rFonts w:hint="default" w:ascii="Times New Roman" w:hAnsi="Times New Roman" w:cs="Times New Roman"/>
                <w:color w:val="auto"/>
                <w:sz w:val="24"/>
                <w:szCs w:val="24"/>
                <w:highlight w:val="none"/>
                <w:lang w:eastAsia="zh-CN"/>
              </w:rPr>
              <w:t>本项目采取</w:t>
            </w:r>
            <w:r>
              <w:rPr>
                <w:rFonts w:hint="eastAsia" w:cs="Times New Roman"/>
                <w:color w:val="auto"/>
                <w:sz w:val="24"/>
                <w:szCs w:val="24"/>
                <w:highlight w:val="none"/>
                <w:lang w:eastAsia="zh-CN"/>
              </w:rPr>
              <w:t>过程密闭、车间密闭、</w:t>
            </w:r>
            <w:r>
              <w:rPr>
                <w:rFonts w:hint="eastAsia" w:cs="Times New Roman"/>
                <w:color w:val="auto"/>
                <w:sz w:val="24"/>
                <w:szCs w:val="24"/>
                <w:highlight w:val="none"/>
                <w:lang w:val="en-US" w:eastAsia="zh-CN"/>
              </w:rPr>
              <w:t>洒水抑尘等</w:t>
            </w:r>
            <w:r>
              <w:rPr>
                <w:rFonts w:hint="eastAsia" w:cs="Times New Roman"/>
                <w:color w:val="auto"/>
                <w:sz w:val="24"/>
                <w:szCs w:val="24"/>
                <w:highlight w:val="none"/>
                <w:lang w:eastAsia="zh-CN"/>
              </w:rPr>
              <w:t>过程控制措施，</w:t>
            </w:r>
            <w:r>
              <w:rPr>
                <w:rFonts w:hint="eastAsia" w:cs="Times New Roman"/>
                <w:color w:val="auto"/>
                <w:sz w:val="24"/>
                <w:szCs w:val="24"/>
                <w:highlight w:val="none"/>
                <w:lang w:val="en-US" w:eastAsia="zh-CN"/>
              </w:rPr>
              <w:t>可以达到</w:t>
            </w:r>
            <w:r>
              <w:rPr>
                <w:rFonts w:hint="eastAsia" w:ascii="Times New Roman" w:hAnsi="Times New Roman" w:eastAsia="宋体" w:cs="Times New Roman"/>
                <w:color w:val="auto"/>
                <w:sz w:val="24"/>
                <w:szCs w:val="24"/>
                <w:highlight w:val="none"/>
                <w:lang w:val="en-US" w:eastAsia="zh-CN"/>
              </w:rPr>
              <w:t>《大气污染物综合排放标准》（GB16297-1996）新污染源大气污染物排放二级标准限值</w:t>
            </w:r>
            <w:r>
              <w:rPr>
                <w:rFonts w:hint="eastAsia"/>
                <w:color w:val="auto"/>
                <w:sz w:val="24"/>
                <w:szCs w:val="24"/>
                <w:highlight w:val="none"/>
                <w:lang w:val="en-US" w:eastAsia="zh-CN"/>
              </w:rPr>
              <w:t>。同时本项目所在区域环境现状良好，且项目与周边居民通过围墙、厂房阻隔，</w:t>
            </w:r>
            <w:r>
              <w:rPr>
                <w:rFonts w:hint="default" w:ascii="Times New Roman" w:hAnsi="Times New Roman" w:cs="Times New Roman"/>
                <w:color w:val="auto"/>
                <w:sz w:val="24"/>
                <w:szCs w:val="24"/>
                <w:highlight w:val="none"/>
                <w:lang w:val="en-US" w:eastAsia="zh-CN"/>
              </w:rPr>
              <w:t>项目废气经处理后排放不会对周边大气环境产生明显影响</w:t>
            </w:r>
            <w:r>
              <w:rPr>
                <w:rFonts w:hint="eastAsia" w:cs="Times New Roman"/>
                <w:color w:val="auto"/>
                <w:sz w:val="24"/>
                <w:szCs w:val="24"/>
                <w:highlight w:val="none"/>
                <w:lang w:val="en-US" w:eastAsia="zh-CN"/>
              </w:rPr>
              <w:t>。</w:t>
            </w:r>
          </w:p>
          <w:p>
            <w:pPr>
              <w:keepNext w:val="0"/>
              <w:keepLines w:val="0"/>
              <w:widowControl/>
              <w:suppressLineNumbers w:val="0"/>
              <w:spacing w:line="360" w:lineRule="auto"/>
              <w:ind w:firstLine="482" w:firstLineChars="200"/>
              <w:jc w:val="left"/>
              <w:rPr>
                <w:color w:val="auto"/>
                <w:sz w:val="24"/>
                <w:szCs w:val="24"/>
                <w:highlight w:val="none"/>
              </w:rPr>
            </w:pPr>
            <w:r>
              <w:rPr>
                <w:rFonts w:hint="eastAsia" w:ascii="宋体" w:hAnsi="宋体" w:eastAsia="宋体" w:cs="宋体"/>
                <w:b/>
                <w:bCs/>
                <w:color w:val="auto"/>
                <w:kern w:val="0"/>
                <w:sz w:val="24"/>
                <w:szCs w:val="24"/>
                <w:highlight w:val="none"/>
                <w:lang w:val="en-US" w:eastAsia="zh-CN" w:bidi="ar"/>
              </w:rPr>
              <w:t>（</w:t>
            </w:r>
            <w:r>
              <w:rPr>
                <w:rFonts w:hint="default" w:ascii="Times New Roman" w:hAnsi="Times New Roman" w:eastAsia="宋体" w:cs="Times New Roman"/>
                <w:b/>
                <w:bCs/>
                <w:color w:val="auto"/>
                <w:kern w:val="0"/>
                <w:sz w:val="24"/>
                <w:szCs w:val="24"/>
                <w:highlight w:val="none"/>
                <w:lang w:val="en-US" w:eastAsia="zh-CN" w:bidi="ar"/>
              </w:rPr>
              <w:t>2</w:t>
            </w:r>
            <w:r>
              <w:rPr>
                <w:rFonts w:hint="eastAsia" w:ascii="宋体" w:hAnsi="宋体" w:eastAsia="宋体" w:cs="宋体"/>
                <w:b/>
                <w:bCs/>
                <w:color w:val="auto"/>
                <w:kern w:val="0"/>
                <w:sz w:val="24"/>
                <w:szCs w:val="24"/>
                <w:highlight w:val="none"/>
                <w:lang w:val="en-US" w:eastAsia="zh-CN" w:bidi="ar"/>
              </w:rPr>
              <w:t xml:space="preserve">）厂区恶臭 </w:t>
            </w:r>
          </w:p>
          <w:p>
            <w:pPr>
              <w:keepNext w:val="0"/>
              <w:keepLines w:val="0"/>
              <w:widowControl/>
              <w:suppressLineNumbers w:val="0"/>
              <w:spacing w:line="360" w:lineRule="auto"/>
              <w:ind w:firstLine="480" w:firstLineChars="200"/>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本项目产生恶臭的环节主要有未及时清洗的原料产生的恶臭、污水处理设施产生的恶臭项目。项目收回来的原料全部堆放在生产车间内，及时清洗原料，不长期贮存原料，原料堆放区采取定期清扫、加强通风等管理措施后，产生的臭气对周边环境影响较小。 </w:t>
            </w:r>
          </w:p>
          <w:p>
            <w:pPr>
              <w:keepNext w:val="0"/>
              <w:keepLines w:val="0"/>
              <w:widowControl/>
              <w:suppressLineNumbers w:val="0"/>
              <w:spacing w:line="360" w:lineRule="auto"/>
              <w:ind w:firstLine="480" w:firstLineChars="200"/>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污水处理设施设置在塑料</w:t>
            </w:r>
            <w:r>
              <w:rPr>
                <w:rFonts w:hint="eastAsia" w:ascii="宋体" w:hAnsi="宋体" w:cs="宋体"/>
                <w:color w:val="auto"/>
                <w:kern w:val="0"/>
                <w:sz w:val="24"/>
                <w:szCs w:val="24"/>
                <w:highlight w:val="none"/>
                <w:lang w:val="en-US" w:eastAsia="zh-CN" w:bidi="ar"/>
              </w:rPr>
              <w:t>破碎</w:t>
            </w:r>
            <w:r>
              <w:rPr>
                <w:rFonts w:hint="eastAsia" w:ascii="宋体" w:hAnsi="宋体" w:eastAsia="宋体" w:cs="宋体"/>
                <w:color w:val="auto"/>
                <w:kern w:val="0"/>
                <w:sz w:val="24"/>
                <w:szCs w:val="24"/>
                <w:highlight w:val="none"/>
                <w:lang w:val="en-US" w:eastAsia="zh-CN" w:bidi="ar"/>
              </w:rPr>
              <w:t xml:space="preserve">生产车间外部，污水处理设施均为封闭式，污水处理设施周边无居民，污水处理设施周边采取加强通风、及时清扫、喷洒除臭剂等管理措施后，产生的臭气对周边环境影响较小。 </w:t>
            </w:r>
          </w:p>
          <w:p>
            <w:pPr>
              <w:keepNext w:val="0"/>
              <w:keepLines w:val="0"/>
              <w:widowControl/>
              <w:suppressLineNumbers w:val="0"/>
              <w:spacing w:line="360" w:lineRule="auto"/>
              <w:ind w:firstLine="480" w:firstLineChars="200"/>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采取以上环保措施后，厂界能满足《恶臭污染物排放标准》（</w:t>
            </w:r>
            <w:r>
              <w:rPr>
                <w:rFonts w:hint="default" w:ascii="Times New Roman" w:hAnsi="Times New Roman" w:eastAsia="宋体" w:cs="Times New Roman"/>
                <w:color w:val="auto"/>
                <w:kern w:val="0"/>
                <w:sz w:val="24"/>
                <w:szCs w:val="24"/>
                <w:highlight w:val="none"/>
                <w:lang w:val="en-US" w:eastAsia="zh-CN" w:bidi="ar"/>
              </w:rPr>
              <w:t>GB 14554-93</w:t>
            </w:r>
            <w:r>
              <w:rPr>
                <w:rFonts w:hint="eastAsia" w:ascii="宋体" w:hAnsi="宋体" w:eastAsia="宋体" w:cs="宋体"/>
                <w:color w:val="auto"/>
                <w:kern w:val="0"/>
                <w:sz w:val="24"/>
                <w:szCs w:val="24"/>
                <w:highlight w:val="none"/>
                <w:lang w:val="en-US" w:eastAsia="zh-CN" w:bidi="ar"/>
              </w:rPr>
              <w:t xml:space="preserve">） </w:t>
            </w:r>
          </w:p>
          <w:p>
            <w:pPr>
              <w:keepNext w:val="0"/>
              <w:keepLines w:val="0"/>
              <w:widowControl/>
              <w:suppressLineNumbers w:val="0"/>
              <w:spacing w:line="360" w:lineRule="auto"/>
              <w:jc w:val="left"/>
              <w:rPr>
                <w:color w:val="auto"/>
                <w:sz w:val="24"/>
                <w:szCs w:val="24"/>
                <w:highlight w:val="none"/>
              </w:rPr>
            </w:pPr>
            <w:r>
              <w:rPr>
                <w:rFonts w:hint="eastAsia" w:ascii="宋体" w:hAnsi="宋体" w:eastAsia="宋体" w:cs="宋体"/>
                <w:color w:val="auto"/>
                <w:kern w:val="0"/>
                <w:sz w:val="24"/>
                <w:szCs w:val="24"/>
                <w:highlight w:val="none"/>
                <w:lang w:val="en-US" w:eastAsia="zh-CN" w:bidi="ar"/>
              </w:rPr>
              <w:t xml:space="preserve">表 </w:t>
            </w:r>
            <w:r>
              <w:rPr>
                <w:rFonts w:hint="default" w:ascii="Times New Roman" w:hAnsi="Times New Roman" w:eastAsia="宋体" w:cs="Times New Roman"/>
                <w:color w:val="auto"/>
                <w:kern w:val="0"/>
                <w:sz w:val="24"/>
                <w:szCs w:val="24"/>
                <w:highlight w:val="none"/>
                <w:lang w:val="en-US" w:eastAsia="zh-CN" w:bidi="ar"/>
              </w:rPr>
              <w:t xml:space="preserve">1 </w:t>
            </w:r>
            <w:r>
              <w:rPr>
                <w:rFonts w:hint="eastAsia" w:ascii="宋体" w:hAnsi="宋体" w:eastAsia="宋体" w:cs="宋体"/>
                <w:color w:val="auto"/>
                <w:kern w:val="0"/>
                <w:sz w:val="24"/>
                <w:szCs w:val="24"/>
                <w:highlight w:val="none"/>
                <w:lang w:val="en-US" w:eastAsia="zh-CN" w:bidi="ar"/>
              </w:rPr>
              <w:t>中二级新扩改建标准限值要求。</w:t>
            </w:r>
          </w:p>
          <w:p>
            <w:pPr>
              <w:keepNext w:val="0"/>
              <w:keepLines w:val="0"/>
              <w:widowControl/>
              <w:suppressLineNumbers w:val="0"/>
              <w:spacing w:line="360" w:lineRule="auto"/>
              <w:ind w:firstLine="482" w:firstLineChars="200"/>
              <w:jc w:val="left"/>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b/>
                <w:bCs/>
                <w:color w:val="auto"/>
                <w:kern w:val="0"/>
                <w:sz w:val="24"/>
                <w:szCs w:val="24"/>
                <w:highlight w:val="none"/>
                <w:lang w:val="en-US" w:eastAsia="zh-CN" w:bidi="ar"/>
              </w:rPr>
              <w:t>废气环境保护措施及其可行性论证：</w:t>
            </w:r>
            <w:r>
              <w:rPr>
                <w:rFonts w:hint="eastAsia" w:ascii="宋体" w:hAnsi="宋体" w:eastAsia="宋体" w:cs="宋体"/>
                <w:color w:val="auto"/>
                <w:kern w:val="0"/>
                <w:sz w:val="24"/>
                <w:szCs w:val="24"/>
                <w:highlight w:val="none"/>
                <w:lang w:val="en-US" w:eastAsia="zh-CN" w:bidi="ar"/>
              </w:rPr>
              <w:t>项目采取喷淋降尘处理生产过程中产生的颗粒物为废塑料加工工业中的废气污染防治可行技术，因此，项目采取喷淋降尘、加强车间通风等措施来处理原料装卸搬运、投料、脱标及破碎工序粉尘为可行技术。</w:t>
            </w:r>
          </w:p>
          <w:p>
            <w:pPr>
              <w:keepNext w:val="0"/>
              <w:keepLines w:val="0"/>
              <w:widowControl/>
              <w:suppressLineNumbers w:val="0"/>
              <w:spacing w:line="360" w:lineRule="auto"/>
              <w:ind w:firstLine="482" w:firstLineChars="200"/>
              <w:jc w:val="left"/>
              <w:rPr>
                <w:color w:val="auto"/>
                <w:sz w:val="24"/>
                <w:szCs w:val="24"/>
                <w:highlight w:val="none"/>
                <w:u w:val="none"/>
              </w:rPr>
            </w:pPr>
            <w:r>
              <w:rPr>
                <w:rFonts w:hint="eastAsia" w:ascii="宋体" w:hAnsi="宋体" w:eastAsia="宋体" w:cs="宋体"/>
                <w:b/>
                <w:bCs/>
                <w:color w:val="auto"/>
                <w:kern w:val="0"/>
                <w:sz w:val="24"/>
                <w:szCs w:val="24"/>
                <w:highlight w:val="none"/>
                <w:u w:val="none"/>
                <w:lang w:val="en-US" w:eastAsia="zh-CN" w:bidi="ar"/>
              </w:rPr>
              <w:t>大气监测计划：</w:t>
            </w:r>
          </w:p>
          <w:p>
            <w:pPr>
              <w:keepNext w:val="0"/>
              <w:keepLines w:val="0"/>
              <w:widowControl/>
              <w:suppressLineNumbers w:val="0"/>
              <w:spacing w:line="360" w:lineRule="auto"/>
              <w:jc w:val="center"/>
              <w:rPr>
                <w:color w:val="auto"/>
                <w:sz w:val="21"/>
                <w:szCs w:val="21"/>
                <w:highlight w:val="none"/>
                <w:u w:val="none"/>
              </w:rPr>
            </w:pPr>
            <w:r>
              <w:rPr>
                <w:rFonts w:hint="eastAsia" w:ascii="宋体" w:hAnsi="宋体" w:eastAsia="宋体" w:cs="宋体"/>
                <w:b/>
                <w:bCs/>
                <w:color w:val="auto"/>
                <w:kern w:val="0"/>
                <w:sz w:val="21"/>
                <w:szCs w:val="21"/>
                <w:highlight w:val="none"/>
                <w:u w:val="none"/>
                <w:lang w:val="en-US" w:eastAsia="zh-CN" w:bidi="ar"/>
              </w:rPr>
              <w:t xml:space="preserve">表 </w:t>
            </w:r>
            <w:r>
              <w:rPr>
                <w:rFonts w:hint="default" w:ascii="Times New Roman" w:hAnsi="Times New Roman" w:eastAsia="宋体" w:cs="Times New Roman"/>
                <w:b/>
                <w:bCs/>
                <w:color w:val="auto"/>
                <w:kern w:val="0"/>
                <w:sz w:val="21"/>
                <w:szCs w:val="21"/>
                <w:highlight w:val="none"/>
                <w:u w:val="none"/>
                <w:lang w:val="en-US" w:eastAsia="zh-CN" w:bidi="ar"/>
              </w:rPr>
              <w:t xml:space="preserve">4-4 </w:t>
            </w:r>
            <w:r>
              <w:rPr>
                <w:rFonts w:hint="eastAsia" w:ascii="宋体" w:hAnsi="宋体" w:eastAsia="宋体" w:cs="宋体"/>
                <w:b/>
                <w:bCs/>
                <w:color w:val="auto"/>
                <w:kern w:val="0"/>
                <w:sz w:val="21"/>
                <w:szCs w:val="21"/>
                <w:highlight w:val="none"/>
                <w:u w:val="none"/>
                <w:lang w:val="en-US" w:eastAsia="zh-CN" w:bidi="ar"/>
              </w:rPr>
              <w:t>废气排放口设置及大气污染物监测计划表</w:t>
            </w:r>
          </w:p>
          <w:tbl>
            <w:tblPr>
              <w:tblStyle w:val="26"/>
              <w:tblW w:w="82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899"/>
              <w:gridCol w:w="1200"/>
              <w:gridCol w:w="1125"/>
              <w:gridCol w:w="404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9" w:type="dxa"/>
                  <w:vAlign w:val="center"/>
                </w:tcPr>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b/>
                      <w:bCs/>
                      <w:color w:val="auto"/>
                      <w:kern w:val="0"/>
                      <w:sz w:val="21"/>
                      <w:szCs w:val="21"/>
                      <w:highlight w:val="none"/>
                      <w:u w:val="none"/>
                      <w:lang w:val="en-US" w:eastAsia="zh-CN" w:bidi="ar"/>
                    </w:rPr>
                    <w:t>监测点位</w:t>
                  </w:r>
                </w:p>
              </w:tc>
              <w:tc>
                <w:tcPr>
                  <w:tcW w:w="1200" w:type="dxa"/>
                  <w:vAlign w:val="center"/>
                </w:tcPr>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b/>
                      <w:bCs/>
                      <w:color w:val="auto"/>
                      <w:kern w:val="0"/>
                      <w:sz w:val="21"/>
                      <w:szCs w:val="21"/>
                      <w:highlight w:val="none"/>
                      <w:u w:val="none"/>
                      <w:lang w:val="en-US" w:eastAsia="zh-CN" w:bidi="ar"/>
                    </w:rPr>
                    <w:t>监测指标</w:t>
                  </w:r>
                </w:p>
              </w:tc>
              <w:tc>
                <w:tcPr>
                  <w:tcW w:w="1125" w:type="dxa"/>
                  <w:vAlign w:val="center"/>
                </w:tcPr>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b/>
                      <w:bCs/>
                      <w:color w:val="auto"/>
                      <w:kern w:val="0"/>
                      <w:sz w:val="21"/>
                      <w:szCs w:val="21"/>
                      <w:highlight w:val="none"/>
                      <w:u w:val="none"/>
                      <w:lang w:val="en-US" w:eastAsia="zh-CN" w:bidi="ar"/>
                    </w:rPr>
                    <w:t>监测频次</w:t>
                  </w:r>
                </w:p>
              </w:tc>
              <w:tc>
                <w:tcPr>
                  <w:tcW w:w="4043" w:type="dxa"/>
                  <w:vAlign w:val="center"/>
                </w:tcPr>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b/>
                      <w:bCs/>
                      <w:color w:val="auto"/>
                      <w:kern w:val="0"/>
                      <w:sz w:val="21"/>
                      <w:szCs w:val="21"/>
                      <w:highlight w:val="none"/>
                      <w:u w:val="none"/>
                      <w:lang w:val="en-US" w:eastAsia="zh-CN" w:bidi="ar"/>
                    </w:rPr>
                    <w:t>执行排放标准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9" w:type="dxa"/>
                  <w:vMerge w:val="restart"/>
                  <w:vAlign w:val="center"/>
                </w:tcPr>
                <w:p>
                  <w:pPr>
                    <w:keepNext w:val="0"/>
                    <w:keepLines w:val="0"/>
                    <w:widowControl/>
                    <w:suppressLineNumbers w:val="0"/>
                    <w:jc w:val="both"/>
                    <w:rPr>
                      <w:rFonts w:hint="default"/>
                      <w:color w:val="auto"/>
                      <w:highlight w:val="none"/>
                      <w:u w:val="none"/>
                      <w:vertAlign w:val="baseline"/>
                      <w:lang w:val="en-US"/>
                    </w:rPr>
                  </w:pPr>
                  <w:r>
                    <w:rPr>
                      <w:rFonts w:hint="eastAsia" w:ascii="宋体" w:hAnsi="宋体" w:eastAsia="宋体" w:cs="宋体"/>
                      <w:color w:val="auto"/>
                      <w:kern w:val="0"/>
                      <w:sz w:val="21"/>
                      <w:szCs w:val="21"/>
                      <w:highlight w:val="none"/>
                      <w:u w:val="none"/>
                      <w:lang w:val="en-US" w:eastAsia="zh-CN" w:bidi="ar"/>
                    </w:rPr>
                    <w:t>项目厂界（上风向厂界设置</w:t>
                  </w:r>
                  <w:r>
                    <w:rPr>
                      <w:rFonts w:hint="default" w:ascii="Times New Roman" w:hAnsi="Times New Roman" w:eastAsia="宋体" w:cs="Times New Roman"/>
                      <w:color w:val="auto"/>
                      <w:kern w:val="0"/>
                      <w:sz w:val="21"/>
                      <w:szCs w:val="21"/>
                      <w:highlight w:val="none"/>
                      <w:u w:val="none"/>
                      <w:lang w:val="en-US" w:eastAsia="zh-CN" w:bidi="ar"/>
                    </w:rPr>
                    <w:t>1</w:t>
                  </w:r>
                  <w:r>
                    <w:rPr>
                      <w:rFonts w:hint="eastAsia" w:ascii="宋体" w:hAnsi="宋体" w:eastAsia="宋体" w:cs="宋体"/>
                      <w:color w:val="auto"/>
                      <w:kern w:val="0"/>
                      <w:sz w:val="21"/>
                      <w:szCs w:val="21"/>
                      <w:highlight w:val="none"/>
                      <w:u w:val="none"/>
                      <w:lang w:val="en-US" w:eastAsia="zh-CN" w:bidi="ar"/>
                    </w:rPr>
                    <w:t>个，下风向厂界设置</w:t>
                  </w:r>
                  <w:r>
                    <w:rPr>
                      <w:rFonts w:hint="default" w:ascii="Times New Roman" w:hAnsi="Times New Roman" w:eastAsia="宋体" w:cs="Times New Roman"/>
                      <w:color w:val="auto"/>
                      <w:kern w:val="0"/>
                      <w:sz w:val="21"/>
                      <w:szCs w:val="21"/>
                      <w:highlight w:val="none"/>
                      <w:u w:val="none"/>
                      <w:lang w:val="en-US" w:eastAsia="zh-CN" w:bidi="ar"/>
                    </w:rPr>
                    <w:t>3</w:t>
                  </w:r>
                  <w:r>
                    <w:rPr>
                      <w:rFonts w:hint="eastAsia" w:ascii="宋体" w:hAnsi="宋体" w:eastAsia="宋体" w:cs="宋体"/>
                      <w:color w:val="auto"/>
                      <w:kern w:val="0"/>
                      <w:sz w:val="21"/>
                      <w:szCs w:val="21"/>
                      <w:highlight w:val="none"/>
                      <w:u w:val="none"/>
                      <w:lang w:val="en-US" w:eastAsia="zh-CN" w:bidi="ar"/>
                    </w:rPr>
                    <w:t>个）</w:t>
                  </w:r>
                </w:p>
              </w:tc>
              <w:tc>
                <w:tcPr>
                  <w:tcW w:w="1200" w:type="dxa"/>
                  <w:vAlign w:val="center"/>
                </w:tcPr>
                <w:p>
                  <w:pPr>
                    <w:bidi w:val="0"/>
                    <w:jc w:val="center"/>
                    <w:rPr>
                      <w:rFonts w:hint="eastAsia" w:eastAsia="宋体"/>
                      <w:color w:val="auto"/>
                      <w:highlight w:val="none"/>
                      <w:u w:val="none"/>
                      <w:vertAlign w:val="baseline"/>
                      <w:lang w:val="en-US" w:eastAsia="zh-CN"/>
                    </w:rPr>
                  </w:pPr>
                  <w:r>
                    <w:rPr>
                      <w:rFonts w:hint="eastAsia"/>
                      <w:color w:val="auto"/>
                      <w:highlight w:val="none"/>
                      <w:u w:val="none"/>
                      <w:vertAlign w:val="baseline"/>
                      <w:lang w:val="en-US" w:eastAsia="zh-CN"/>
                    </w:rPr>
                    <w:t>颗粒物</w:t>
                  </w:r>
                </w:p>
              </w:tc>
              <w:tc>
                <w:tcPr>
                  <w:tcW w:w="1125" w:type="dxa"/>
                  <w:vMerge w:val="restart"/>
                  <w:vAlign w:val="center"/>
                </w:tcPr>
                <w:p>
                  <w:pPr>
                    <w:pStyle w:val="9"/>
                    <w:jc w:val="center"/>
                    <w:rPr>
                      <w:rFonts w:hint="default"/>
                      <w:color w:val="auto"/>
                      <w:highlight w:val="none"/>
                      <w:u w:val="none"/>
                      <w:lang w:val="en-US" w:eastAsia="zh-CN"/>
                    </w:rPr>
                  </w:pPr>
                  <w:r>
                    <w:rPr>
                      <w:rFonts w:hint="eastAsia"/>
                      <w:color w:val="auto"/>
                      <w:highlight w:val="none"/>
                      <w:u w:val="none"/>
                      <w:vertAlign w:val="baseline"/>
                      <w:lang w:val="en-US" w:eastAsia="zh-CN"/>
                    </w:rPr>
                    <w:t>半年一次</w:t>
                  </w:r>
                </w:p>
              </w:tc>
              <w:tc>
                <w:tcPr>
                  <w:tcW w:w="4043" w:type="dxa"/>
                  <w:vAlign w:val="center"/>
                </w:tcPr>
                <w:p>
                  <w:pPr>
                    <w:keepNext w:val="0"/>
                    <w:keepLines w:val="0"/>
                    <w:widowControl/>
                    <w:suppressLineNumbers w:val="0"/>
                    <w:jc w:val="center"/>
                    <w:rPr>
                      <w:color w:val="auto"/>
                      <w:highlight w:val="none"/>
                      <w:u w:val="none"/>
                    </w:rPr>
                  </w:pPr>
                  <w:r>
                    <w:rPr>
                      <w:rFonts w:hint="eastAsia" w:ascii="宋体" w:hAnsi="宋体" w:eastAsia="宋体" w:cs="宋体"/>
                      <w:color w:val="auto"/>
                      <w:kern w:val="0"/>
                      <w:sz w:val="21"/>
                      <w:szCs w:val="21"/>
                      <w:highlight w:val="none"/>
                      <w:u w:val="none"/>
                      <w:lang w:val="en-US" w:eastAsia="zh-CN" w:bidi="ar"/>
                    </w:rPr>
                    <w:t>《大气污染物综合排放标准》</w:t>
                  </w:r>
                </w:p>
                <w:p>
                  <w:pPr>
                    <w:keepNext w:val="0"/>
                    <w:keepLines w:val="0"/>
                    <w:widowControl/>
                    <w:suppressLineNumbers w:val="0"/>
                    <w:jc w:val="center"/>
                    <w:rPr>
                      <w:color w:val="auto"/>
                      <w:highlight w:val="none"/>
                      <w:u w:val="none"/>
                    </w:rPr>
                  </w:pP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GB16297-1996</w:t>
                  </w:r>
                  <w:r>
                    <w:rPr>
                      <w:rFonts w:hint="eastAsia" w:ascii="宋体" w:hAnsi="宋体" w:eastAsia="宋体" w:cs="宋体"/>
                      <w:color w:val="auto"/>
                      <w:kern w:val="0"/>
                      <w:sz w:val="21"/>
                      <w:szCs w:val="21"/>
                      <w:highlight w:val="none"/>
                      <w:u w:val="none"/>
                      <w:lang w:val="en-US" w:eastAsia="zh-CN" w:bidi="ar"/>
                    </w:rPr>
                    <w:t xml:space="preserve">）表 </w:t>
                  </w:r>
                  <w:r>
                    <w:rPr>
                      <w:rFonts w:hint="default" w:ascii="Times New Roman" w:hAnsi="Times New Roman" w:eastAsia="宋体" w:cs="Times New Roman"/>
                      <w:color w:val="auto"/>
                      <w:kern w:val="0"/>
                      <w:sz w:val="21"/>
                      <w:szCs w:val="21"/>
                      <w:highlight w:val="none"/>
                      <w:u w:val="none"/>
                      <w:lang w:val="en-US" w:eastAsia="zh-CN" w:bidi="ar"/>
                    </w:rPr>
                    <w:t xml:space="preserve">2 </w:t>
                  </w:r>
                  <w:r>
                    <w:rPr>
                      <w:rFonts w:hint="eastAsia" w:ascii="宋体" w:hAnsi="宋体" w:eastAsia="宋体" w:cs="宋体"/>
                      <w:color w:val="auto"/>
                      <w:kern w:val="0"/>
                      <w:sz w:val="21"/>
                      <w:szCs w:val="21"/>
                      <w:highlight w:val="none"/>
                      <w:u w:val="none"/>
                      <w:lang w:val="en-US" w:eastAsia="zh-CN" w:bidi="ar"/>
                    </w:rPr>
                    <w:t>新污染源大气污</w:t>
                  </w:r>
                </w:p>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color w:val="auto"/>
                      <w:kern w:val="0"/>
                      <w:sz w:val="21"/>
                      <w:szCs w:val="21"/>
                      <w:highlight w:val="none"/>
                      <w:u w:val="none"/>
                      <w:lang w:val="en-US" w:eastAsia="zh-CN" w:bidi="ar"/>
                    </w:rPr>
                    <w:t>染物无组织排放监控浓度标准限值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899" w:type="dxa"/>
                  <w:vMerge w:val="continue"/>
                  <w:vAlign w:val="center"/>
                </w:tcPr>
                <w:p>
                  <w:pPr>
                    <w:bidi w:val="0"/>
                    <w:jc w:val="center"/>
                    <w:rPr>
                      <w:rFonts w:hint="default"/>
                      <w:color w:val="auto"/>
                      <w:highlight w:val="none"/>
                      <w:u w:val="none"/>
                      <w:vertAlign w:val="baseline"/>
                    </w:rPr>
                  </w:pPr>
                </w:p>
              </w:tc>
              <w:tc>
                <w:tcPr>
                  <w:tcW w:w="1200" w:type="dxa"/>
                  <w:vAlign w:val="center"/>
                </w:tcPr>
                <w:p>
                  <w:pPr>
                    <w:keepNext w:val="0"/>
                    <w:keepLines w:val="0"/>
                    <w:widowControl/>
                    <w:suppressLineNumbers w:val="0"/>
                    <w:jc w:val="center"/>
                    <w:rPr>
                      <w:rFonts w:hint="default"/>
                      <w:color w:val="auto"/>
                      <w:highlight w:val="none"/>
                      <w:u w:val="none"/>
                      <w:vertAlign w:val="baseline"/>
                    </w:rPr>
                  </w:pPr>
                  <w:r>
                    <w:rPr>
                      <w:rFonts w:hint="default" w:ascii="Times New Roman" w:hAnsi="Times New Roman" w:eastAsia="宋体" w:cs="Times New Roman"/>
                      <w:color w:val="auto"/>
                      <w:kern w:val="0"/>
                      <w:sz w:val="21"/>
                      <w:szCs w:val="21"/>
                      <w:highlight w:val="none"/>
                      <w:u w:val="none"/>
                      <w:lang w:val="en-US" w:eastAsia="zh-CN" w:bidi="ar"/>
                    </w:rPr>
                    <w:t>NH</w:t>
                  </w:r>
                  <w:r>
                    <w:rPr>
                      <w:rFonts w:hint="default" w:ascii="Times New Roman" w:hAnsi="Times New Roman" w:eastAsia="宋体" w:cs="Times New Roman"/>
                      <w:color w:val="auto"/>
                      <w:kern w:val="0"/>
                      <w:sz w:val="13"/>
                      <w:szCs w:val="13"/>
                      <w:highlight w:val="none"/>
                      <w:u w:val="none"/>
                      <w:lang w:val="en-US" w:eastAsia="zh-CN" w:bidi="ar"/>
                    </w:rPr>
                    <w:t>3</w:t>
                  </w: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H</w:t>
                  </w:r>
                  <w:r>
                    <w:rPr>
                      <w:rFonts w:hint="default" w:ascii="Times New Roman" w:hAnsi="Times New Roman" w:eastAsia="宋体" w:cs="Times New Roman"/>
                      <w:color w:val="auto"/>
                      <w:kern w:val="0"/>
                      <w:sz w:val="13"/>
                      <w:szCs w:val="13"/>
                      <w:highlight w:val="none"/>
                      <w:u w:val="none"/>
                      <w:lang w:val="en-US" w:eastAsia="zh-CN" w:bidi="ar"/>
                    </w:rPr>
                    <w:t>2</w:t>
                  </w:r>
                  <w:r>
                    <w:rPr>
                      <w:rFonts w:hint="default" w:ascii="Times New Roman" w:hAnsi="Times New Roman" w:eastAsia="宋体" w:cs="Times New Roman"/>
                      <w:color w:val="auto"/>
                      <w:kern w:val="0"/>
                      <w:sz w:val="21"/>
                      <w:szCs w:val="21"/>
                      <w:highlight w:val="none"/>
                      <w:u w:val="none"/>
                      <w:lang w:val="en-US" w:eastAsia="zh-CN" w:bidi="ar"/>
                    </w:rPr>
                    <w:t>S</w:t>
                  </w:r>
                </w:p>
              </w:tc>
              <w:tc>
                <w:tcPr>
                  <w:tcW w:w="1125" w:type="dxa"/>
                  <w:vMerge w:val="continue"/>
                  <w:vAlign w:val="center"/>
                </w:tcPr>
                <w:p>
                  <w:pPr>
                    <w:bidi w:val="0"/>
                    <w:jc w:val="center"/>
                    <w:rPr>
                      <w:rFonts w:hint="default"/>
                      <w:color w:val="auto"/>
                      <w:highlight w:val="none"/>
                      <w:u w:val="none"/>
                      <w:vertAlign w:val="baseline"/>
                    </w:rPr>
                  </w:pPr>
                </w:p>
              </w:tc>
              <w:tc>
                <w:tcPr>
                  <w:tcW w:w="4043" w:type="dxa"/>
                  <w:vAlign w:val="center"/>
                </w:tcPr>
                <w:p>
                  <w:pPr>
                    <w:keepNext w:val="0"/>
                    <w:keepLines w:val="0"/>
                    <w:widowControl/>
                    <w:suppressLineNumbers w:val="0"/>
                    <w:jc w:val="center"/>
                    <w:rPr>
                      <w:color w:val="auto"/>
                      <w:highlight w:val="none"/>
                      <w:u w:val="none"/>
                    </w:rPr>
                  </w:pPr>
                  <w:r>
                    <w:rPr>
                      <w:rFonts w:hint="eastAsia" w:ascii="宋体" w:hAnsi="宋体" w:eastAsia="宋体" w:cs="宋体"/>
                      <w:color w:val="auto"/>
                      <w:kern w:val="0"/>
                      <w:sz w:val="21"/>
                      <w:szCs w:val="21"/>
                      <w:highlight w:val="none"/>
                      <w:u w:val="none"/>
                      <w:lang w:val="en-US" w:eastAsia="zh-CN" w:bidi="ar"/>
                    </w:rPr>
                    <w:t>《恶臭污染物排放标准》（</w:t>
                  </w:r>
                  <w:r>
                    <w:rPr>
                      <w:rFonts w:hint="default" w:ascii="Times New Roman" w:hAnsi="Times New Roman" w:eastAsia="宋体" w:cs="Times New Roman"/>
                      <w:color w:val="auto"/>
                      <w:kern w:val="0"/>
                      <w:sz w:val="21"/>
                      <w:szCs w:val="21"/>
                      <w:highlight w:val="none"/>
                      <w:u w:val="none"/>
                      <w:lang w:val="en-US" w:eastAsia="zh-CN" w:bidi="ar"/>
                    </w:rPr>
                    <w:t>GB14554-93</w:t>
                  </w:r>
                  <w:r>
                    <w:rPr>
                      <w:rFonts w:hint="eastAsia" w:ascii="宋体" w:hAnsi="宋体" w:eastAsia="宋体" w:cs="宋体"/>
                      <w:color w:val="auto"/>
                      <w:kern w:val="0"/>
                      <w:sz w:val="21"/>
                      <w:szCs w:val="21"/>
                      <w:highlight w:val="none"/>
                      <w:u w:val="none"/>
                      <w:lang w:val="en-US" w:eastAsia="zh-CN" w:bidi="ar"/>
                    </w:rPr>
                    <w:t>）</w:t>
                  </w:r>
                </w:p>
                <w:p>
                  <w:pPr>
                    <w:keepNext w:val="0"/>
                    <w:keepLines w:val="0"/>
                    <w:widowControl/>
                    <w:suppressLineNumbers w:val="0"/>
                    <w:jc w:val="center"/>
                    <w:rPr>
                      <w:rFonts w:hint="default"/>
                      <w:color w:val="auto"/>
                      <w:highlight w:val="none"/>
                      <w:u w:val="none"/>
                      <w:vertAlign w:val="baseline"/>
                    </w:rPr>
                  </w:pPr>
                  <w:r>
                    <w:rPr>
                      <w:rFonts w:hint="eastAsia" w:ascii="宋体" w:hAnsi="宋体" w:eastAsia="宋体" w:cs="宋体"/>
                      <w:color w:val="auto"/>
                      <w:kern w:val="0"/>
                      <w:sz w:val="21"/>
                      <w:szCs w:val="21"/>
                      <w:highlight w:val="none"/>
                      <w:u w:val="none"/>
                      <w:lang w:val="en-US" w:eastAsia="zh-CN" w:bidi="ar"/>
                    </w:rPr>
                    <w:t>二级标准限值</w:t>
                  </w:r>
                </w:p>
              </w:tc>
            </w:tr>
          </w:tbl>
          <w:p>
            <w:pPr>
              <w:keepNext w:val="0"/>
              <w:keepLines w:val="0"/>
              <w:widowControl/>
              <w:suppressLineNumbers w:val="0"/>
              <w:spacing w:line="360" w:lineRule="auto"/>
              <w:ind w:firstLine="482" w:firstLineChars="200"/>
              <w:jc w:val="both"/>
              <w:rPr>
                <w:rFonts w:hint="default" w:ascii="Times New Roman" w:hAnsi="Times New Roman" w:eastAsia="宋体" w:cs="Times New Roman"/>
                <w:b/>
                <w:color w:val="auto"/>
                <w:spacing w:val="4"/>
                <w:sz w:val="24"/>
                <w:szCs w:val="24"/>
                <w:highlight w:val="none"/>
              </w:rPr>
            </w:pPr>
            <w:r>
              <w:rPr>
                <w:rFonts w:hint="eastAsia" w:ascii="宋体" w:hAnsi="宋体" w:eastAsia="宋体" w:cs="宋体"/>
                <w:b/>
                <w:bCs/>
                <w:color w:val="auto"/>
                <w:kern w:val="0"/>
                <w:sz w:val="24"/>
                <w:szCs w:val="24"/>
                <w:highlight w:val="none"/>
                <w:u w:val="none"/>
                <w:lang w:val="en-US" w:eastAsia="zh-CN" w:bidi="ar"/>
              </w:rPr>
              <w:t>废气达标排放情况分析：</w:t>
            </w:r>
            <w:r>
              <w:rPr>
                <w:rFonts w:hint="eastAsia" w:ascii="宋体" w:hAnsi="宋体" w:eastAsia="宋体" w:cs="宋体"/>
                <w:color w:val="auto"/>
                <w:kern w:val="0"/>
                <w:sz w:val="24"/>
                <w:szCs w:val="24"/>
                <w:highlight w:val="none"/>
                <w:u w:val="none"/>
                <w:lang w:val="en-US" w:eastAsia="zh-CN" w:bidi="ar"/>
              </w:rPr>
              <w:t>根据前文分析，本项目厂界颗粒物可满足《大气污染物综合排放标准》 （</w:t>
            </w:r>
            <w:r>
              <w:rPr>
                <w:rFonts w:hint="default" w:ascii="Times New Roman" w:hAnsi="Times New Roman" w:eastAsia="宋体" w:cs="Times New Roman"/>
                <w:color w:val="auto"/>
                <w:kern w:val="0"/>
                <w:sz w:val="24"/>
                <w:szCs w:val="24"/>
                <w:highlight w:val="none"/>
                <w:u w:val="none"/>
                <w:lang w:val="en-US" w:eastAsia="zh-CN" w:bidi="ar"/>
              </w:rPr>
              <w:t>GB16297-1996</w:t>
            </w:r>
            <w:r>
              <w:rPr>
                <w:rFonts w:hint="eastAsia" w:ascii="宋体" w:hAnsi="宋体" w:eastAsia="宋体" w:cs="宋体"/>
                <w:color w:val="auto"/>
                <w:kern w:val="0"/>
                <w:sz w:val="24"/>
                <w:szCs w:val="24"/>
                <w:highlight w:val="none"/>
                <w:u w:val="none"/>
                <w:lang w:val="en-US" w:eastAsia="zh-CN" w:bidi="ar"/>
              </w:rPr>
              <w:t xml:space="preserve">）表 </w:t>
            </w:r>
            <w:r>
              <w:rPr>
                <w:rFonts w:hint="default" w:ascii="Times New Roman" w:hAnsi="Times New Roman" w:eastAsia="宋体" w:cs="Times New Roman"/>
                <w:color w:val="auto"/>
                <w:kern w:val="0"/>
                <w:sz w:val="24"/>
                <w:szCs w:val="24"/>
                <w:highlight w:val="none"/>
                <w:u w:val="none"/>
                <w:lang w:val="en-US" w:eastAsia="zh-CN" w:bidi="ar"/>
              </w:rPr>
              <w:t xml:space="preserve">2 </w:t>
            </w:r>
            <w:r>
              <w:rPr>
                <w:rFonts w:hint="eastAsia" w:ascii="宋体" w:hAnsi="宋体" w:eastAsia="宋体" w:cs="宋体"/>
                <w:color w:val="auto"/>
                <w:kern w:val="0"/>
                <w:sz w:val="24"/>
                <w:szCs w:val="24"/>
                <w:highlight w:val="none"/>
                <w:u w:val="none"/>
                <w:lang w:val="en-US" w:eastAsia="zh-CN" w:bidi="ar"/>
              </w:rPr>
              <w:t>新污染源大气污染物无组织排放监控浓度标准限值。厂界臭气浓度、硫化氢、氨可</w:t>
            </w:r>
            <w:r>
              <w:rPr>
                <w:rFonts w:hint="eastAsia" w:ascii="宋体" w:hAnsi="宋体" w:eastAsia="宋体" w:cs="宋体"/>
                <w:color w:val="auto"/>
                <w:kern w:val="0"/>
                <w:sz w:val="24"/>
                <w:szCs w:val="24"/>
                <w:highlight w:val="none"/>
                <w:lang w:val="en-US" w:eastAsia="zh-CN" w:bidi="ar"/>
              </w:rPr>
              <w:t>满足《恶臭污染物排放标准》（</w:t>
            </w:r>
            <w:r>
              <w:rPr>
                <w:rFonts w:hint="default" w:ascii="Times New Roman" w:hAnsi="Times New Roman" w:eastAsia="宋体" w:cs="Times New Roman"/>
                <w:color w:val="auto"/>
                <w:kern w:val="0"/>
                <w:sz w:val="24"/>
                <w:szCs w:val="24"/>
                <w:highlight w:val="none"/>
                <w:lang w:val="en-US" w:eastAsia="zh-CN" w:bidi="ar"/>
              </w:rPr>
              <w:t>GB 14554-93</w:t>
            </w:r>
            <w:r>
              <w:rPr>
                <w:rFonts w:hint="eastAsia" w:ascii="宋体" w:hAnsi="宋体" w:eastAsia="宋体" w:cs="宋体"/>
                <w:color w:val="auto"/>
                <w:kern w:val="0"/>
                <w:sz w:val="24"/>
                <w:szCs w:val="24"/>
                <w:highlight w:val="none"/>
                <w:lang w:val="en-US" w:eastAsia="zh-CN" w:bidi="ar"/>
              </w:rPr>
              <w:t xml:space="preserve">）表 </w:t>
            </w:r>
            <w:r>
              <w:rPr>
                <w:rFonts w:hint="default" w:ascii="Times New Roman" w:hAnsi="Times New Roman" w:eastAsia="宋体" w:cs="Times New Roman"/>
                <w:color w:val="auto"/>
                <w:kern w:val="0"/>
                <w:sz w:val="24"/>
                <w:szCs w:val="24"/>
                <w:highlight w:val="none"/>
                <w:lang w:val="en-US" w:eastAsia="zh-CN" w:bidi="ar"/>
              </w:rPr>
              <w:t xml:space="preserve">1 </w:t>
            </w:r>
            <w:r>
              <w:rPr>
                <w:rFonts w:hint="eastAsia" w:ascii="宋体" w:hAnsi="宋体" w:eastAsia="宋体" w:cs="宋体"/>
                <w:color w:val="auto"/>
                <w:kern w:val="0"/>
                <w:sz w:val="24"/>
                <w:szCs w:val="24"/>
                <w:highlight w:val="none"/>
                <w:lang w:val="en-US" w:eastAsia="zh-CN" w:bidi="ar"/>
              </w:rPr>
              <w:t xml:space="preserve">中二级新扩改建标准。 </w:t>
            </w:r>
          </w:p>
          <w:p>
            <w:pPr>
              <w:keepNext w:val="0"/>
              <w:keepLines w:val="0"/>
              <w:widowControl/>
              <w:suppressLineNumbers w:val="0"/>
              <w:spacing w:line="360" w:lineRule="auto"/>
              <w:jc w:val="left"/>
              <w:rPr>
                <w:color w:val="auto"/>
                <w:sz w:val="24"/>
                <w:szCs w:val="24"/>
                <w:highlight w:val="none"/>
              </w:rPr>
            </w:pPr>
            <w:r>
              <w:rPr>
                <w:rFonts w:hint="default" w:ascii="Times New Roman" w:hAnsi="Times New Roman" w:eastAsia="宋体" w:cs="Times New Roman"/>
                <w:b/>
                <w:bCs/>
                <w:color w:val="auto"/>
                <w:kern w:val="0"/>
                <w:sz w:val="24"/>
                <w:szCs w:val="24"/>
                <w:highlight w:val="none"/>
                <w:lang w:val="en-US" w:eastAsia="zh-CN" w:bidi="ar"/>
              </w:rPr>
              <w:t>2</w:t>
            </w:r>
            <w:r>
              <w:rPr>
                <w:rFonts w:hint="eastAsia" w:ascii="宋体" w:hAnsi="宋体" w:eastAsia="宋体" w:cs="宋体"/>
                <w:b/>
                <w:bCs/>
                <w:color w:val="auto"/>
                <w:kern w:val="0"/>
                <w:sz w:val="24"/>
                <w:szCs w:val="24"/>
                <w:highlight w:val="none"/>
                <w:lang w:val="en-US" w:eastAsia="zh-CN" w:bidi="ar"/>
              </w:rPr>
              <w:t xml:space="preserve">、废水 </w:t>
            </w:r>
          </w:p>
          <w:p>
            <w:pPr>
              <w:keepNext w:val="0"/>
              <w:keepLines w:val="0"/>
              <w:widowControl/>
              <w:suppressLineNumbers w:val="0"/>
              <w:spacing w:line="360" w:lineRule="auto"/>
              <w:ind w:firstLine="480" w:firstLineChars="200"/>
              <w:jc w:val="left"/>
              <w:rPr>
                <w:rFonts w:hint="default"/>
                <w:color w:val="auto"/>
                <w:sz w:val="24"/>
                <w:szCs w:val="24"/>
                <w:highlight w:val="none"/>
                <w:lang w:val="en-US"/>
              </w:rPr>
            </w:pPr>
            <w:r>
              <w:rPr>
                <w:rFonts w:hint="eastAsia" w:ascii="宋体" w:hAnsi="宋体" w:eastAsia="宋体" w:cs="宋体"/>
                <w:color w:val="auto"/>
                <w:kern w:val="0"/>
                <w:sz w:val="24"/>
                <w:szCs w:val="24"/>
                <w:highlight w:val="none"/>
                <w:lang w:val="en-US" w:eastAsia="zh-CN" w:bidi="ar"/>
              </w:rPr>
              <w:t>建设项目采取“雨污分流”原则，雨水经市政雨水管网收集后排入区域雨水管网；本项目生产过程中产生的废水为生活污水、破碎废水、清洗废水。</w:t>
            </w:r>
          </w:p>
          <w:p>
            <w:pPr>
              <w:keepNext w:val="0"/>
              <w:keepLines w:val="0"/>
              <w:widowControl/>
              <w:suppressLineNumbers w:val="0"/>
              <w:spacing w:line="360" w:lineRule="auto"/>
              <w:ind w:firstLine="482" w:firstLineChars="200"/>
              <w:jc w:val="left"/>
              <w:rPr>
                <w:color w:val="auto"/>
                <w:sz w:val="24"/>
                <w:szCs w:val="24"/>
                <w:highlight w:val="none"/>
              </w:rPr>
            </w:pPr>
            <w:r>
              <w:rPr>
                <w:rFonts w:eastAsiaTheme="minorEastAsia"/>
                <w:b/>
                <w:bCs/>
                <w:color w:val="auto"/>
                <w:sz w:val="24"/>
                <w:szCs w:val="24"/>
                <w:highlight w:val="none"/>
              </w:rPr>
              <w:t>生活污水</w:t>
            </w:r>
            <w:r>
              <w:rPr>
                <w:rFonts w:hint="eastAsia" w:eastAsiaTheme="minorEastAsia"/>
                <w:b/>
                <w:bCs/>
                <w:color w:val="auto"/>
                <w:sz w:val="24"/>
                <w:szCs w:val="24"/>
                <w:highlight w:val="none"/>
                <w:lang w:eastAsia="zh-CN"/>
              </w:rPr>
              <w:t>：</w:t>
            </w:r>
            <w:r>
              <w:rPr>
                <w:rFonts w:hint="eastAsia" w:ascii="宋体" w:hAnsi="宋体" w:eastAsia="宋体" w:cs="宋体"/>
                <w:color w:val="auto"/>
                <w:kern w:val="0"/>
                <w:sz w:val="24"/>
                <w:szCs w:val="24"/>
                <w:highlight w:val="none"/>
                <w:lang w:val="en-US" w:eastAsia="zh-CN" w:bidi="ar"/>
              </w:rPr>
              <w:t xml:space="preserve">本项目职工 </w:t>
            </w:r>
            <w:r>
              <w:rPr>
                <w:rFonts w:hint="eastAsia" w:ascii="宋体" w:hAnsi="宋体" w:cs="宋体"/>
                <w:color w:val="auto"/>
                <w:kern w:val="0"/>
                <w:sz w:val="24"/>
                <w:szCs w:val="24"/>
                <w:highlight w:val="none"/>
                <w:lang w:val="en-US" w:eastAsia="zh-CN" w:bidi="ar"/>
              </w:rPr>
              <w:t>20</w:t>
            </w:r>
            <w:r>
              <w:rPr>
                <w:rFonts w:hint="default" w:ascii="Times New Roman" w:hAnsi="Times New Roman" w:eastAsia="宋体" w:cs="Times New Roman"/>
                <w:color w:val="auto"/>
                <w:kern w:val="0"/>
                <w:sz w:val="24"/>
                <w:szCs w:val="24"/>
                <w:highlight w:val="none"/>
                <w:lang w:val="en-US" w:eastAsia="zh-CN" w:bidi="ar"/>
              </w:rPr>
              <w:t xml:space="preserve"> </w:t>
            </w:r>
            <w:r>
              <w:rPr>
                <w:rFonts w:hint="eastAsia" w:ascii="宋体" w:hAnsi="宋体" w:eastAsia="宋体" w:cs="宋体"/>
                <w:color w:val="auto"/>
                <w:kern w:val="0"/>
                <w:sz w:val="24"/>
                <w:szCs w:val="24"/>
                <w:highlight w:val="none"/>
                <w:lang w:val="en-US" w:eastAsia="zh-CN" w:bidi="ar"/>
              </w:rPr>
              <w:t xml:space="preserve">人，厂区内不提供食宿，根据《湖南省用水定额》 </w:t>
            </w:r>
          </w:p>
          <w:p>
            <w:pPr>
              <w:keepNext w:val="0"/>
              <w:keepLines w:val="0"/>
              <w:widowControl/>
              <w:suppressLineNumbers w:val="0"/>
              <w:spacing w:line="360" w:lineRule="auto"/>
              <w:jc w:val="left"/>
              <w:rPr>
                <w:rFonts w:eastAsiaTheme="minorEastAsia"/>
                <w:color w:val="auto"/>
                <w:sz w:val="24"/>
                <w:szCs w:val="24"/>
                <w:highlight w:val="none"/>
                <w:u w:val="none"/>
              </w:rPr>
            </w:pPr>
            <w:r>
              <w:rPr>
                <w:rFonts w:hint="eastAsia" w:ascii="宋体" w:hAnsi="宋体" w:eastAsia="宋体" w:cs="宋体"/>
                <w:color w:val="auto"/>
                <w:kern w:val="0"/>
                <w:sz w:val="24"/>
                <w:szCs w:val="24"/>
                <w:highlight w:val="none"/>
                <w:lang w:val="en-US" w:eastAsia="zh-CN" w:bidi="ar"/>
              </w:rPr>
              <w:t>（</w:t>
            </w:r>
            <w:r>
              <w:rPr>
                <w:rFonts w:hint="default" w:ascii="Times New Roman" w:hAnsi="Times New Roman" w:eastAsia="宋体" w:cs="Times New Roman"/>
                <w:color w:val="auto"/>
                <w:kern w:val="0"/>
                <w:sz w:val="24"/>
                <w:szCs w:val="24"/>
                <w:highlight w:val="none"/>
                <w:lang w:val="en-US" w:eastAsia="zh-CN" w:bidi="ar"/>
              </w:rPr>
              <w:t>DB43/T388-2020</w:t>
            </w:r>
            <w:r>
              <w:rPr>
                <w:rFonts w:hint="eastAsia" w:ascii="宋体" w:hAnsi="宋体" w:eastAsia="宋体" w:cs="宋体"/>
                <w:color w:val="auto"/>
                <w:kern w:val="0"/>
                <w:sz w:val="24"/>
                <w:szCs w:val="24"/>
                <w:highlight w:val="none"/>
                <w:lang w:val="en-US" w:eastAsia="zh-CN" w:bidi="ar"/>
              </w:rPr>
              <w:t xml:space="preserve">）员工每人用水 </w:t>
            </w:r>
            <w:r>
              <w:rPr>
                <w:rFonts w:hint="default" w:ascii="Times New Roman" w:hAnsi="Times New Roman" w:eastAsia="宋体" w:cs="Times New Roman"/>
                <w:color w:val="auto"/>
                <w:kern w:val="0"/>
                <w:sz w:val="24"/>
                <w:szCs w:val="24"/>
                <w:highlight w:val="none"/>
                <w:lang w:val="en-US" w:eastAsia="zh-CN" w:bidi="ar"/>
              </w:rPr>
              <w:t>100L/d</w:t>
            </w:r>
            <w:r>
              <w:rPr>
                <w:rFonts w:hint="eastAsia" w:ascii="宋体" w:hAnsi="宋体" w:eastAsia="宋体" w:cs="宋体"/>
                <w:color w:val="auto"/>
                <w:kern w:val="0"/>
                <w:sz w:val="24"/>
                <w:szCs w:val="24"/>
                <w:highlight w:val="none"/>
                <w:lang w:val="en-US" w:eastAsia="zh-CN" w:bidi="ar"/>
              </w:rPr>
              <w:t xml:space="preserve">，年工作日 </w:t>
            </w:r>
            <w:r>
              <w:rPr>
                <w:rFonts w:hint="default" w:ascii="Times New Roman" w:hAnsi="Times New Roman" w:eastAsia="宋体" w:cs="Times New Roman"/>
                <w:color w:val="auto"/>
                <w:kern w:val="0"/>
                <w:sz w:val="24"/>
                <w:szCs w:val="24"/>
                <w:highlight w:val="none"/>
                <w:lang w:val="en-US" w:eastAsia="zh-CN" w:bidi="ar"/>
              </w:rPr>
              <w:t xml:space="preserve">300 </w:t>
            </w:r>
            <w:r>
              <w:rPr>
                <w:rFonts w:hint="eastAsia" w:ascii="宋体" w:hAnsi="宋体" w:eastAsia="宋体" w:cs="宋体"/>
                <w:color w:val="auto"/>
                <w:kern w:val="0"/>
                <w:sz w:val="24"/>
                <w:szCs w:val="24"/>
                <w:highlight w:val="none"/>
                <w:lang w:val="en-US" w:eastAsia="zh-CN" w:bidi="ar"/>
              </w:rPr>
              <w:t>天。则职工生活用水量</w:t>
            </w:r>
            <w:r>
              <w:rPr>
                <w:rFonts w:hint="eastAsia" w:ascii="宋体" w:hAnsi="宋体" w:cs="宋体"/>
                <w:color w:val="auto"/>
                <w:kern w:val="0"/>
                <w:sz w:val="24"/>
                <w:szCs w:val="24"/>
                <w:highlight w:val="none"/>
                <w:lang w:val="en-US" w:eastAsia="zh-CN" w:bidi="ar"/>
              </w:rPr>
              <w:t>6</w:t>
            </w:r>
            <w:r>
              <w:rPr>
                <w:rFonts w:hint="eastAsia" w:cs="Times New Roman"/>
                <w:color w:val="auto"/>
                <w:kern w:val="0"/>
                <w:sz w:val="24"/>
                <w:szCs w:val="24"/>
                <w:highlight w:val="none"/>
                <w:lang w:val="en-US" w:eastAsia="zh-CN" w:bidi="ar"/>
              </w:rPr>
              <w:t>00</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 /a</w:t>
            </w:r>
            <w:r>
              <w:rPr>
                <w:rFonts w:hint="eastAsia" w:ascii="宋体" w:hAnsi="宋体" w:eastAsia="宋体" w:cs="宋体"/>
                <w:color w:val="auto"/>
                <w:kern w:val="0"/>
                <w:sz w:val="24"/>
                <w:szCs w:val="24"/>
                <w:highlight w:val="none"/>
                <w:lang w:val="en-US" w:eastAsia="zh-CN" w:bidi="ar"/>
              </w:rPr>
              <w:t xml:space="preserve">；污水排放量按用水量的 </w:t>
            </w:r>
            <w:r>
              <w:rPr>
                <w:rFonts w:hint="default" w:ascii="Times New Roman" w:hAnsi="Times New Roman" w:eastAsia="宋体" w:cs="Times New Roman"/>
                <w:color w:val="auto"/>
                <w:kern w:val="0"/>
                <w:sz w:val="24"/>
                <w:szCs w:val="24"/>
                <w:highlight w:val="none"/>
                <w:lang w:val="en-US" w:eastAsia="zh-CN" w:bidi="ar"/>
              </w:rPr>
              <w:t>80%</w:t>
            </w:r>
            <w:r>
              <w:rPr>
                <w:rFonts w:hint="eastAsia" w:ascii="宋体" w:hAnsi="宋体" w:eastAsia="宋体" w:cs="宋体"/>
                <w:color w:val="auto"/>
                <w:kern w:val="0"/>
                <w:sz w:val="24"/>
                <w:szCs w:val="24"/>
                <w:highlight w:val="none"/>
                <w:lang w:val="en-US" w:eastAsia="zh-CN" w:bidi="ar"/>
              </w:rPr>
              <w:t xml:space="preserve">计，则生活污水产生量为 </w:t>
            </w:r>
            <w:r>
              <w:rPr>
                <w:rFonts w:hint="eastAsia" w:cs="Times New Roman"/>
                <w:color w:val="auto"/>
                <w:kern w:val="0"/>
                <w:sz w:val="24"/>
                <w:szCs w:val="24"/>
                <w:highlight w:val="none"/>
                <w:lang w:val="en-US" w:eastAsia="zh-CN" w:bidi="ar"/>
              </w:rPr>
              <w:t>480</w:t>
            </w:r>
            <w:r>
              <w:rPr>
                <w:rFonts w:hint="default" w:ascii="Times New Roman" w:hAnsi="Times New Roman" w:eastAsia="宋体" w:cs="Times New Roman"/>
                <w:color w:val="auto"/>
                <w:kern w:val="0"/>
                <w:sz w:val="24"/>
                <w:szCs w:val="24"/>
                <w:highlight w:val="none"/>
                <w:lang w:val="en-US" w:eastAsia="zh-CN" w:bidi="ar"/>
              </w:rPr>
              <w:t>m</w:t>
            </w:r>
            <w:r>
              <w:rPr>
                <w:rFonts w:hint="default" w:ascii="Times New Roman" w:hAnsi="Times New Roman" w:eastAsia="宋体" w:cs="Times New Roman"/>
                <w:color w:val="auto"/>
                <w:kern w:val="0"/>
                <w:sz w:val="24"/>
                <w:szCs w:val="24"/>
                <w:highlight w:val="none"/>
                <w:vertAlign w:val="superscript"/>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 /a </w:t>
            </w:r>
            <w:r>
              <w:rPr>
                <w:rFonts w:hint="eastAsia" w:ascii="宋体" w:hAnsi="宋体" w:eastAsia="宋体" w:cs="宋体"/>
                <w:color w:val="auto"/>
                <w:kern w:val="0"/>
                <w:sz w:val="24"/>
                <w:szCs w:val="24"/>
                <w:highlight w:val="none"/>
                <w:lang w:val="en-US" w:eastAsia="zh-CN" w:bidi="ar"/>
              </w:rPr>
              <w:t>。</w:t>
            </w:r>
            <w:r>
              <w:rPr>
                <w:rFonts w:hint="eastAsia" w:eastAsiaTheme="minorEastAsia"/>
                <w:color w:val="auto"/>
                <w:sz w:val="24"/>
                <w:szCs w:val="24"/>
                <w:highlight w:val="none"/>
                <w:lang w:val="en-US" w:eastAsia="zh-CN"/>
              </w:rPr>
              <w:t>生活污水</w:t>
            </w:r>
            <w:r>
              <w:rPr>
                <w:rFonts w:eastAsiaTheme="minorEastAsia"/>
                <w:color w:val="auto"/>
                <w:sz w:val="24"/>
                <w:szCs w:val="24"/>
                <w:highlight w:val="none"/>
              </w:rPr>
              <w:t>经</w:t>
            </w:r>
            <w:r>
              <w:rPr>
                <w:rFonts w:hint="eastAsia" w:eastAsiaTheme="minorEastAsia"/>
                <w:color w:val="auto"/>
                <w:sz w:val="24"/>
                <w:szCs w:val="24"/>
                <w:highlight w:val="none"/>
                <w:lang w:val="en-US" w:eastAsia="zh-CN"/>
              </w:rPr>
              <w:t>厂区</w:t>
            </w:r>
            <w:r>
              <w:rPr>
                <w:rFonts w:hint="eastAsia" w:ascii="Times New Roman" w:hAnsi="Times New Roman" w:cs="Times New Roman" w:eastAsiaTheme="minorEastAsia"/>
                <w:color w:val="auto"/>
                <w:sz w:val="24"/>
                <w:szCs w:val="24"/>
                <w:highlight w:val="none"/>
                <w:lang w:val="en-US" w:eastAsia="zh-CN"/>
              </w:rPr>
              <w:t>化粪</w:t>
            </w:r>
            <w:r>
              <w:rPr>
                <w:rFonts w:hint="eastAsia" w:cs="Times New Roman" w:eastAsiaTheme="minorEastAsia"/>
                <w:color w:val="auto"/>
                <w:sz w:val="24"/>
                <w:szCs w:val="24"/>
                <w:highlight w:val="none"/>
                <w:lang w:val="en-US" w:eastAsia="zh-CN"/>
              </w:rPr>
              <w:t>处理后做周边农肥使用</w:t>
            </w:r>
            <w:r>
              <w:rPr>
                <w:rFonts w:hint="eastAsia" w:ascii="Times New Roman" w:hAnsi="Times New Roman" w:cs="Times New Roman" w:eastAsiaTheme="minorEastAsia"/>
                <w:color w:val="auto"/>
                <w:sz w:val="24"/>
                <w:szCs w:val="24"/>
                <w:highlight w:val="none"/>
                <w:lang w:val="en-US" w:eastAsia="zh-CN"/>
              </w:rPr>
              <w:t>，</w:t>
            </w:r>
            <w:r>
              <w:rPr>
                <w:rFonts w:hint="eastAsia" w:cs="Times New Roman" w:eastAsiaTheme="minorEastAsia"/>
                <w:color w:val="auto"/>
                <w:sz w:val="24"/>
                <w:szCs w:val="24"/>
                <w:highlight w:val="none"/>
                <w:lang w:val="en-US" w:eastAsia="zh-CN"/>
              </w:rPr>
              <w:t>不外排。</w:t>
            </w:r>
          </w:p>
          <w:p>
            <w:pPr>
              <w:pStyle w:val="32"/>
              <w:spacing w:line="360" w:lineRule="auto"/>
              <w:ind w:firstLine="482" w:firstLineChars="200"/>
              <w:textAlignment w:val="baseline"/>
              <w:rPr>
                <w:rFonts w:hint="eastAsia" w:ascii="Times New Roman" w:hAnsi="Times New Roman" w:cs="Times New Roman" w:eastAsiaTheme="minorEastAsia"/>
                <w:color w:val="auto"/>
                <w:szCs w:val="24"/>
                <w:highlight w:val="none"/>
                <w:u w:val="single"/>
                <w:lang w:val="en-US" w:eastAsia="zh-CN"/>
              </w:rPr>
            </w:pPr>
            <w:r>
              <w:rPr>
                <w:rFonts w:hint="eastAsia" w:ascii="Times New Roman" w:hAnsi="Times New Roman" w:cs="Times New Roman" w:eastAsiaTheme="minorEastAsia"/>
                <w:b/>
                <w:bCs/>
                <w:color w:val="auto"/>
                <w:sz w:val="24"/>
                <w:szCs w:val="24"/>
                <w:highlight w:val="none"/>
                <w:lang w:val="en-US" w:eastAsia="zh-CN"/>
              </w:rPr>
              <w:t>生产废水：</w:t>
            </w:r>
            <w:r>
              <w:rPr>
                <w:rFonts w:hint="eastAsia" w:ascii="Times New Roman" w:hAnsi="Times New Roman" w:cs="Times New Roman" w:eastAsiaTheme="minorEastAsia"/>
                <w:color w:val="auto"/>
                <w:kern w:val="2"/>
                <w:sz w:val="24"/>
                <w:szCs w:val="24"/>
                <w:highlight w:val="none"/>
                <w:lang w:val="en-US" w:eastAsia="zh-CN" w:bidi="ar-SA"/>
              </w:rPr>
              <w:t>破碎废水、清洗废水等经自建污水处理设施处理后，外排至市政污水管网，最后进入华容县桥东污水处理厂处置。</w:t>
            </w:r>
          </w:p>
          <w:p>
            <w:pPr>
              <w:pStyle w:val="32"/>
              <w:spacing w:line="360" w:lineRule="auto"/>
              <w:ind w:firstLine="480" w:firstLineChars="200"/>
              <w:textAlignment w:val="baseline"/>
              <w:rPr>
                <w:rFonts w:hint="default" w:ascii="Times New Roman" w:hAnsi="Times New Roman" w:eastAsia="宋体" w:cs="Times New Roman"/>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为使破碎机更好的运转并减少破碎工段粉尘的产生，在每台破碎机内设置洒水喷头，破碎时进行喷水降尘同时降低破碎刀口温度。本项目对塑料碎片进行清洗，根据实际运行情况，参考 《排放源统计调查产排污核算方法和系数手册》</w:t>
            </w:r>
            <w:r>
              <w:rPr>
                <w:rFonts w:hint="default" w:ascii="Times New Roman" w:hAnsi="Times New Roman" w:eastAsia="宋体" w:cs="Times New Roman"/>
                <w:color w:val="auto"/>
                <w:kern w:val="0"/>
                <w:sz w:val="24"/>
                <w:szCs w:val="24"/>
                <w:highlight w:val="none"/>
                <w:lang w:val="en-US" w:eastAsia="zh-CN" w:bidi="ar"/>
              </w:rPr>
              <w:t xml:space="preserve">42 </w:t>
            </w:r>
            <w:r>
              <w:rPr>
                <w:rFonts w:hint="eastAsia" w:ascii="宋体" w:hAnsi="宋体" w:eastAsia="宋体" w:cs="宋体"/>
                <w:color w:val="auto"/>
                <w:kern w:val="0"/>
                <w:sz w:val="24"/>
                <w:szCs w:val="24"/>
                <w:highlight w:val="none"/>
                <w:lang w:val="en-US" w:eastAsia="zh-CN" w:bidi="ar"/>
              </w:rPr>
              <w:t xml:space="preserve">废弃资源综合利用行业系数手册中相关系数，其他废塑料清洗产生的工业废水量为 </w:t>
            </w:r>
            <w:r>
              <w:rPr>
                <w:rFonts w:hint="default" w:ascii="Times New Roman" w:hAnsi="Times New Roman" w:eastAsia="宋体" w:cs="Times New Roman"/>
                <w:color w:val="auto"/>
                <w:kern w:val="0"/>
                <w:sz w:val="24"/>
                <w:szCs w:val="24"/>
                <w:highlight w:val="none"/>
                <w:lang w:val="en-US" w:eastAsia="zh-CN" w:bidi="ar"/>
              </w:rPr>
              <w:t>1t/t-</w:t>
            </w:r>
            <w:r>
              <w:rPr>
                <w:rFonts w:hint="eastAsia" w:ascii="宋体" w:hAnsi="宋体" w:eastAsia="宋体" w:cs="宋体"/>
                <w:color w:val="auto"/>
                <w:kern w:val="0"/>
                <w:sz w:val="24"/>
                <w:szCs w:val="24"/>
                <w:highlight w:val="none"/>
                <w:lang w:val="en-US" w:eastAsia="zh-CN" w:bidi="ar"/>
              </w:rPr>
              <w:t>原料，本项目年破碎</w:t>
            </w:r>
            <w:r>
              <w:rPr>
                <w:rFonts w:hint="default" w:ascii="Times New Roman" w:hAnsi="Times New Roman" w:cs="Times New Roman"/>
                <w:color w:val="auto"/>
                <w:kern w:val="0"/>
                <w:sz w:val="24"/>
                <w:szCs w:val="24"/>
                <w:highlight w:val="none"/>
                <w:lang w:val="en-US" w:eastAsia="zh-CN" w:bidi="ar"/>
              </w:rPr>
              <w:t>原料</w:t>
            </w:r>
            <w:r>
              <w:rPr>
                <w:rFonts w:hint="default" w:ascii="Times New Roman" w:hAnsi="Times New Roman" w:eastAsia="宋体" w:cs="Times New Roman"/>
                <w:color w:val="auto"/>
                <w:kern w:val="0"/>
                <w:sz w:val="24"/>
                <w:szCs w:val="24"/>
                <w:highlight w:val="none"/>
                <w:lang w:val="en-US" w:eastAsia="zh-CN" w:bidi="ar"/>
              </w:rPr>
              <w:t xml:space="preserve">废料为 </w:t>
            </w:r>
            <w:r>
              <w:rPr>
                <w:rFonts w:hint="default" w:ascii="Times New Roman" w:hAnsi="Times New Roman" w:cs="Times New Roman"/>
                <w:color w:val="auto"/>
                <w:kern w:val="0"/>
                <w:sz w:val="24"/>
                <w:szCs w:val="24"/>
                <w:highlight w:val="none"/>
                <w:lang w:val="en-US" w:eastAsia="zh-CN" w:bidi="ar"/>
              </w:rPr>
              <w:t>530</w:t>
            </w:r>
            <w:r>
              <w:rPr>
                <w:rFonts w:hint="default" w:ascii="Times New Roman" w:hAnsi="Times New Roman" w:eastAsia="宋体" w:cs="Times New Roman"/>
                <w:color w:val="auto"/>
                <w:kern w:val="0"/>
                <w:sz w:val="24"/>
                <w:szCs w:val="24"/>
                <w:highlight w:val="none"/>
                <w:lang w:val="en-US" w:eastAsia="zh-CN" w:bidi="ar"/>
              </w:rPr>
              <w:t>t，则产生的原料清洗废水量为</w:t>
            </w:r>
            <w:r>
              <w:rPr>
                <w:rFonts w:hint="default" w:ascii="Times New Roman" w:hAnsi="Times New Roman" w:cs="Times New Roman"/>
                <w:color w:val="auto"/>
                <w:kern w:val="0"/>
                <w:sz w:val="24"/>
                <w:szCs w:val="24"/>
                <w:highlight w:val="none"/>
                <w:lang w:val="en-US" w:eastAsia="zh-CN" w:bidi="ar"/>
              </w:rPr>
              <w:t>530</w:t>
            </w:r>
            <w:r>
              <w:rPr>
                <w:rFonts w:hint="default" w:ascii="Times New Roman" w:hAnsi="Times New Roman" w:eastAsia="宋体" w:cs="Times New Roman"/>
                <w:color w:val="auto"/>
                <w:kern w:val="0"/>
                <w:sz w:val="24"/>
                <w:szCs w:val="24"/>
                <w:highlight w:val="none"/>
                <w:lang w:val="en-US" w:eastAsia="zh-CN" w:bidi="ar"/>
              </w:rPr>
              <w:t>t/a；废水产生量取0.9，则产生废水</w:t>
            </w:r>
            <w:r>
              <w:rPr>
                <w:rFonts w:hint="default" w:ascii="Times New Roman" w:hAnsi="Times New Roman" w:cs="Times New Roman"/>
                <w:color w:val="auto"/>
                <w:kern w:val="0"/>
                <w:sz w:val="24"/>
                <w:szCs w:val="24"/>
                <w:highlight w:val="none"/>
                <w:lang w:val="en-US" w:eastAsia="zh-CN" w:bidi="ar"/>
              </w:rPr>
              <w:t>477</w:t>
            </w:r>
            <w:r>
              <w:rPr>
                <w:rFonts w:hint="default" w:ascii="Times New Roman" w:hAnsi="Times New Roman" w:eastAsia="宋体" w:cs="Times New Roman"/>
                <w:color w:val="auto"/>
                <w:kern w:val="0"/>
                <w:sz w:val="24"/>
                <w:szCs w:val="24"/>
                <w:highlight w:val="none"/>
                <w:lang w:val="en-US" w:eastAsia="zh-CN" w:bidi="ar"/>
              </w:rPr>
              <w:t>t/a 。</w:t>
            </w:r>
            <w:r>
              <w:rPr>
                <w:rFonts w:hint="default" w:ascii="Times New Roman" w:hAnsi="Times New Roman" w:cs="Times New Roman"/>
                <w:color w:val="auto"/>
                <w:kern w:val="0"/>
                <w:sz w:val="24"/>
                <w:szCs w:val="24"/>
                <w:highlight w:val="none"/>
                <w:lang w:val="en-US" w:eastAsia="zh-CN" w:bidi="ar"/>
              </w:rPr>
              <w:t>参照同行业同类型生产废水情况，生产废水中COD排放浓度约150mg/L，氨氮排放浓度约25mg/L</w:t>
            </w:r>
            <w:r>
              <w:rPr>
                <w:rFonts w:hint="eastAsia" w:ascii="Times New Roman" w:hAnsi="Times New Roman" w:cs="Times New Roman"/>
                <w:color w:val="auto"/>
                <w:kern w:val="0"/>
                <w:sz w:val="24"/>
                <w:szCs w:val="24"/>
                <w:highlight w:val="none"/>
                <w:lang w:val="en-US" w:eastAsia="zh-CN" w:bidi="ar"/>
              </w:rPr>
              <w:t>，即COD排放量为0.07155t/a，氨氮排放量为0.011925t/a</w:t>
            </w:r>
            <w:r>
              <w:rPr>
                <w:rFonts w:hint="default" w:ascii="Times New Roman" w:hAnsi="Times New Roman" w:cs="Times New Roman"/>
                <w:color w:val="auto"/>
                <w:kern w:val="0"/>
                <w:sz w:val="24"/>
                <w:szCs w:val="24"/>
                <w:highlight w:val="none"/>
                <w:lang w:val="en-US" w:eastAsia="zh-CN" w:bidi="ar"/>
              </w:rPr>
              <w:t>。</w:t>
            </w:r>
          </w:p>
          <w:p>
            <w:pPr>
              <w:pStyle w:val="32"/>
              <w:spacing w:line="360" w:lineRule="auto"/>
              <w:ind w:firstLine="480" w:firstLineChars="200"/>
              <w:textAlignment w:val="baseline"/>
              <w:rPr>
                <w:rFonts w:hint="default" w:ascii="Times New Roman" w:hAnsi="Times New Roman" w:cs="Times New Roman" w:eastAsiaTheme="minorEastAsia"/>
                <w:color w:val="auto"/>
                <w:szCs w:val="24"/>
                <w:highlight w:val="none"/>
                <w:u w:val="single"/>
                <w:lang w:val="en-US" w:eastAsia="zh-CN"/>
              </w:rPr>
            </w:pPr>
            <w:r>
              <w:rPr>
                <w:rFonts w:hint="default" w:ascii="Times New Roman" w:hAnsi="Times New Roman" w:eastAsia="宋体" w:cs="Times New Roman"/>
                <w:color w:val="auto"/>
                <w:kern w:val="0"/>
                <w:sz w:val="24"/>
                <w:szCs w:val="24"/>
                <w:highlight w:val="none"/>
                <w:lang w:val="en-US" w:eastAsia="zh-CN" w:bidi="ar"/>
              </w:rPr>
              <w:t>生产废水经自建污水处理设施处理达标后，</w:t>
            </w:r>
            <w:r>
              <w:rPr>
                <w:rFonts w:hint="default" w:ascii="Times New Roman" w:hAnsi="Times New Roman" w:cs="Times New Roman"/>
                <w:color w:val="auto"/>
                <w:kern w:val="0"/>
                <w:sz w:val="24"/>
                <w:szCs w:val="24"/>
                <w:highlight w:val="none"/>
                <w:lang w:val="en-US" w:eastAsia="zh-CN" w:bidi="ar"/>
              </w:rPr>
              <w:t>厂区内设置排放口（DW001）</w:t>
            </w:r>
            <w:r>
              <w:rPr>
                <w:rFonts w:hint="default" w:ascii="Times New Roman" w:hAnsi="Times New Roman" w:cs="Times New Roman" w:eastAsiaTheme="minorEastAsia"/>
                <w:color w:val="auto"/>
                <w:kern w:val="2"/>
                <w:sz w:val="24"/>
                <w:szCs w:val="24"/>
                <w:highlight w:val="none"/>
                <w:lang w:val="en-US" w:eastAsia="zh-CN" w:bidi="ar-SA"/>
              </w:rPr>
              <w:t>外排至市政污水管网，最后进入华容县桥东污水处理厂处置。</w:t>
            </w:r>
          </w:p>
          <w:p>
            <w:pPr>
              <w:pStyle w:val="32"/>
              <w:spacing w:line="360" w:lineRule="auto"/>
              <w:ind w:firstLine="482" w:firstLineChars="200"/>
              <w:textAlignment w:val="baseline"/>
              <w:rPr>
                <w:rFonts w:hint="eastAsia" w:ascii="Times New Roman" w:hAnsi="Times New Roman" w:cs="Times New Roman" w:eastAsiaTheme="minorEastAsia"/>
                <w:color w:val="auto"/>
                <w:szCs w:val="24"/>
                <w:highlight w:val="none"/>
                <w:u w:val="none"/>
                <w:lang w:val="en-US" w:eastAsia="zh-CN"/>
              </w:rPr>
            </w:pPr>
            <w:r>
              <w:rPr>
                <w:rFonts w:hint="eastAsia" w:ascii="宋体" w:hAnsi="宋体" w:eastAsia="宋体" w:cs="宋体"/>
                <w:b/>
                <w:bCs/>
                <w:color w:val="000000"/>
                <w:kern w:val="0"/>
                <w:sz w:val="24"/>
                <w:highlight w:val="none"/>
                <w:u w:val="none"/>
                <w:lang w:bidi="ar"/>
              </w:rPr>
              <w:t>废水处理的合理性分析</w:t>
            </w:r>
            <w:r>
              <w:rPr>
                <w:rFonts w:hint="eastAsia" w:ascii="宋体" w:hAnsi="宋体" w:cs="宋体"/>
                <w:b/>
                <w:bCs/>
                <w:color w:val="000000"/>
                <w:kern w:val="0"/>
                <w:sz w:val="24"/>
                <w:highlight w:val="none"/>
                <w:u w:val="none"/>
                <w:lang w:eastAsia="zh-CN" w:bidi="ar"/>
              </w:rPr>
              <w:t>：</w:t>
            </w:r>
            <w:r>
              <w:rPr>
                <w:rFonts w:hint="eastAsia" w:ascii="宋体" w:hAnsi="宋体" w:eastAsia="宋体" w:cs="宋体"/>
                <w:color w:val="auto"/>
                <w:kern w:val="0"/>
                <w:sz w:val="24"/>
                <w:szCs w:val="24"/>
                <w:highlight w:val="none"/>
                <w:u w:val="none"/>
                <w:lang w:val="en-US" w:eastAsia="zh-CN" w:bidi="ar"/>
              </w:rPr>
              <w:t>项目破碎废水、清洗废水经厂区污水处理设施（格栅</w:t>
            </w:r>
            <w:r>
              <w:rPr>
                <w:rFonts w:hint="default" w:ascii="Times New Roman" w:hAnsi="Times New Roman" w:eastAsia="宋体" w:cs="Times New Roman"/>
                <w:color w:val="auto"/>
                <w:kern w:val="0"/>
                <w:sz w:val="24"/>
                <w:szCs w:val="24"/>
                <w:highlight w:val="none"/>
                <w:u w:val="none"/>
                <w:lang w:val="en-US" w:eastAsia="zh-CN" w:bidi="ar"/>
              </w:rPr>
              <w:t>+</w:t>
            </w:r>
            <w:r>
              <w:rPr>
                <w:rFonts w:hint="eastAsia" w:ascii="宋体" w:hAnsi="宋体" w:eastAsia="宋体" w:cs="宋体"/>
                <w:color w:val="auto"/>
                <w:kern w:val="0"/>
                <w:sz w:val="24"/>
                <w:szCs w:val="24"/>
                <w:highlight w:val="none"/>
                <w:u w:val="none"/>
                <w:lang w:val="en-US" w:eastAsia="zh-CN" w:bidi="ar"/>
              </w:rPr>
              <w:t>隔油池</w:t>
            </w:r>
            <w:r>
              <w:rPr>
                <w:rFonts w:hint="default" w:ascii="Times New Roman" w:hAnsi="Times New Roman" w:eastAsia="宋体" w:cs="Times New Roman"/>
                <w:color w:val="auto"/>
                <w:kern w:val="0"/>
                <w:sz w:val="24"/>
                <w:szCs w:val="24"/>
                <w:highlight w:val="none"/>
                <w:u w:val="none"/>
                <w:lang w:val="en-US" w:eastAsia="zh-CN" w:bidi="ar"/>
              </w:rPr>
              <w:t>+</w:t>
            </w:r>
            <w:r>
              <w:rPr>
                <w:rFonts w:hint="eastAsia" w:ascii="宋体" w:hAnsi="宋体" w:eastAsia="宋体" w:cs="宋体"/>
                <w:color w:val="auto"/>
                <w:kern w:val="0"/>
                <w:sz w:val="24"/>
                <w:szCs w:val="24"/>
                <w:highlight w:val="none"/>
                <w:u w:val="none"/>
                <w:lang w:val="en-US" w:eastAsia="zh-CN" w:bidi="ar"/>
              </w:rPr>
              <w:t>沉砂池</w:t>
            </w:r>
            <w:r>
              <w:rPr>
                <w:rFonts w:hint="default" w:ascii="Times New Roman" w:hAnsi="Times New Roman" w:eastAsia="宋体" w:cs="Times New Roman"/>
                <w:color w:val="auto"/>
                <w:kern w:val="0"/>
                <w:sz w:val="24"/>
                <w:szCs w:val="24"/>
                <w:highlight w:val="none"/>
                <w:u w:val="none"/>
                <w:lang w:val="en-US" w:eastAsia="zh-CN" w:bidi="ar"/>
              </w:rPr>
              <w:t>+</w:t>
            </w:r>
            <w:r>
              <w:rPr>
                <w:rFonts w:hint="eastAsia" w:ascii="宋体" w:hAnsi="宋体" w:eastAsia="宋体" w:cs="宋体"/>
                <w:color w:val="auto"/>
                <w:kern w:val="0"/>
                <w:sz w:val="24"/>
                <w:szCs w:val="24"/>
                <w:highlight w:val="none"/>
                <w:u w:val="none"/>
                <w:lang w:val="en-US" w:eastAsia="zh-CN" w:bidi="ar"/>
              </w:rPr>
              <w:t>调节池</w:t>
            </w:r>
            <w:r>
              <w:rPr>
                <w:rFonts w:hint="default" w:ascii="Times New Roman" w:hAnsi="Times New Roman" w:eastAsia="宋体" w:cs="Times New Roman"/>
                <w:color w:val="auto"/>
                <w:kern w:val="0"/>
                <w:sz w:val="24"/>
                <w:szCs w:val="24"/>
                <w:highlight w:val="none"/>
                <w:u w:val="none"/>
                <w:lang w:val="en-US" w:eastAsia="zh-CN" w:bidi="ar"/>
              </w:rPr>
              <w:t>+</w:t>
            </w:r>
            <w:r>
              <w:rPr>
                <w:rFonts w:hint="eastAsia" w:ascii="宋体" w:hAnsi="宋体" w:eastAsia="宋体" w:cs="宋体"/>
                <w:color w:val="auto"/>
                <w:kern w:val="0"/>
                <w:sz w:val="24"/>
                <w:szCs w:val="24"/>
                <w:highlight w:val="none"/>
                <w:u w:val="none"/>
                <w:lang w:val="en-US" w:eastAsia="zh-CN" w:bidi="ar"/>
              </w:rPr>
              <w:t>清水池）处理后</w:t>
            </w:r>
            <w:r>
              <w:rPr>
                <w:rFonts w:hint="eastAsia" w:ascii="宋体" w:hAnsi="宋体" w:cs="宋体"/>
                <w:color w:val="auto"/>
                <w:kern w:val="0"/>
                <w:sz w:val="24"/>
                <w:szCs w:val="24"/>
                <w:highlight w:val="none"/>
                <w:u w:val="none"/>
                <w:lang w:val="en-US" w:eastAsia="zh-CN" w:bidi="ar"/>
              </w:rPr>
              <w:t>，</w:t>
            </w:r>
            <w:r>
              <w:rPr>
                <w:rFonts w:hint="eastAsia" w:ascii="Times New Roman" w:hAnsi="Times New Roman" w:cs="Times New Roman" w:eastAsiaTheme="minorEastAsia"/>
                <w:color w:val="auto"/>
                <w:kern w:val="2"/>
                <w:sz w:val="24"/>
                <w:szCs w:val="24"/>
                <w:highlight w:val="none"/>
                <w:u w:val="none"/>
                <w:lang w:val="en-US" w:eastAsia="zh-CN" w:bidi="ar-SA"/>
              </w:rPr>
              <w:t>外排至市政污水管网，最后进入华容县桥东污水处理厂处置。</w:t>
            </w:r>
          </w:p>
          <w:p>
            <w:pPr>
              <w:pStyle w:val="32"/>
              <w:spacing w:line="360" w:lineRule="auto"/>
              <w:ind w:firstLine="480" w:firstLineChars="200"/>
              <w:textAlignment w:val="baseline"/>
              <w:rPr>
                <w:rFonts w:hint="eastAsia" w:ascii="Times New Roman" w:hAnsi="Times New Roman" w:cs="Times New Roman" w:eastAsiaTheme="minorEastAsia"/>
                <w:color w:val="auto"/>
                <w:szCs w:val="24"/>
                <w:highlight w:val="none"/>
                <w:u w:val="none"/>
                <w:lang w:val="en-US" w:eastAsia="zh-CN"/>
              </w:rPr>
            </w:pPr>
            <w:r>
              <w:rPr>
                <w:rFonts w:hint="eastAsia" w:ascii="宋体" w:hAnsi="宋体" w:eastAsia="宋体" w:cs="宋体"/>
                <w:color w:val="auto"/>
                <w:kern w:val="0"/>
                <w:sz w:val="24"/>
                <w:szCs w:val="24"/>
                <w:highlight w:val="none"/>
                <w:u w:val="none"/>
                <w:lang w:val="en-US" w:eastAsia="zh-CN" w:bidi="ar"/>
              </w:rPr>
              <w:t xml:space="preserve">项目原料主要是从再生资源回收站点外购的符合环保法律、法规要求的废旧塑料（主要为生活日用塑料制品（主要成分有聚乙烯 </w:t>
            </w:r>
            <w:r>
              <w:rPr>
                <w:rFonts w:hint="default" w:ascii="Times New Roman" w:hAnsi="Times New Roman" w:eastAsia="宋体" w:cs="Times New Roman"/>
                <w:color w:val="auto"/>
                <w:kern w:val="0"/>
                <w:sz w:val="24"/>
                <w:szCs w:val="24"/>
                <w:highlight w:val="none"/>
                <w:u w:val="none"/>
                <w:lang w:val="en-US" w:eastAsia="zh-CN" w:bidi="ar"/>
              </w:rPr>
              <w:t>PE</w:t>
            </w:r>
            <w:r>
              <w:rPr>
                <w:rFonts w:hint="eastAsia" w:ascii="宋体" w:hAnsi="宋体" w:eastAsia="宋体" w:cs="宋体"/>
                <w:color w:val="auto"/>
                <w:kern w:val="0"/>
                <w:sz w:val="24"/>
                <w:szCs w:val="24"/>
                <w:highlight w:val="none"/>
                <w:u w:val="none"/>
                <w:lang w:val="en-US" w:eastAsia="zh-CN" w:bidi="ar"/>
              </w:rPr>
              <w:t xml:space="preserve">、聚丙烯 </w:t>
            </w:r>
            <w:r>
              <w:rPr>
                <w:rFonts w:hint="default" w:ascii="Times New Roman" w:hAnsi="Times New Roman" w:eastAsia="宋体" w:cs="Times New Roman"/>
                <w:color w:val="auto"/>
                <w:kern w:val="0"/>
                <w:sz w:val="24"/>
                <w:szCs w:val="24"/>
                <w:highlight w:val="none"/>
                <w:u w:val="none"/>
                <w:lang w:val="en-US" w:eastAsia="zh-CN" w:bidi="ar"/>
              </w:rPr>
              <w:t>PP</w:t>
            </w:r>
            <w:r>
              <w:rPr>
                <w:rFonts w:hint="eastAsia" w:ascii="宋体" w:hAnsi="宋体" w:eastAsia="宋体" w:cs="宋体"/>
                <w:color w:val="auto"/>
                <w:kern w:val="0"/>
                <w:sz w:val="24"/>
                <w:szCs w:val="24"/>
                <w:highlight w:val="none"/>
                <w:u w:val="none"/>
                <w:lang w:val="en-US" w:eastAsia="zh-CN" w:bidi="ar"/>
              </w:rPr>
              <w:t>、聚脂</w:t>
            </w:r>
            <w:r>
              <w:rPr>
                <w:rFonts w:hint="default" w:ascii="Times New Roman" w:hAnsi="Times New Roman" w:eastAsia="宋体" w:cs="Times New Roman"/>
                <w:color w:val="auto"/>
                <w:kern w:val="0"/>
                <w:sz w:val="24"/>
                <w:szCs w:val="24"/>
                <w:highlight w:val="none"/>
                <w:u w:val="none"/>
                <w:lang w:val="en-US" w:eastAsia="zh-CN" w:bidi="ar"/>
              </w:rPr>
              <w:t>PET</w:t>
            </w:r>
            <w:r>
              <w:rPr>
                <w:rFonts w:hint="eastAsia" w:ascii="宋体" w:hAnsi="宋体" w:eastAsia="宋体" w:cs="宋体"/>
                <w:color w:val="auto"/>
                <w:kern w:val="0"/>
                <w:sz w:val="24"/>
                <w:szCs w:val="24"/>
                <w:highlight w:val="none"/>
                <w:u w:val="none"/>
                <w:lang w:val="en-US" w:eastAsia="zh-CN" w:bidi="ar"/>
              </w:rPr>
              <w:t>）），根据行业特点和原料性质，清洗的目的主要是去除瓶体内外的杂质、灰尘和少量剩余残液，由此可知本项目破碎、清洗废水中的主要污染因子为悬浮物，有机物的含量并不多。</w:t>
            </w:r>
            <w:r>
              <w:rPr>
                <w:rFonts w:hint="eastAsia" w:ascii="宋体" w:hAnsi="宋体" w:cs="宋体"/>
                <w:color w:val="auto"/>
                <w:kern w:val="0"/>
                <w:sz w:val="24"/>
                <w:szCs w:val="24"/>
                <w:highlight w:val="none"/>
                <w:u w:val="none"/>
                <w:lang w:val="en-US" w:eastAsia="zh-CN" w:bidi="ar"/>
              </w:rPr>
              <w:t>经过多级沉淀处理后，基本上清除理了废水的中悬浮物，</w:t>
            </w:r>
            <w:r>
              <w:rPr>
                <w:rFonts w:hint="eastAsia" w:ascii="宋体" w:hAnsi="宋体" w:eastAsia="宋体" w:cs="宋体"/>
                <w:color w:val="auto"/>
                <w:kern w:val="0"/>
                <w:sz w:val="24"/>
                <w:szCs w:val="24"/>
                <w:highlight w:val="none"/>
                <w:u w:val="none"/>
                <w:lang w:val="en-US" w:eastAsia="zh-CN" w:bidi="ar"/>
              </w:rPr>
              <w:t>处理</w:t>
            </w:r>
            <w:r>
              <w:rPr>
                <w:rFonts w:hint="eastAsia" w:ascii="宋体" w:hAnsi="宋体" w:cs="宋体"/>
                <w:color w:val="auto"/>
                <w:kern w:val="0"/>
                <w:sz w:val="24"/>
                <w:szCs w:val="24"/>
                <w:highlight w:val="none"/>
                <w:u w:val="none"/>
                <w:lang w:val="en-US" w:eastAsia="zh-CN" w:bidi="ar"/>
              </w:rPr>
              <w:t>达到</w:t>
            </w:r>
            <w:r>
              <w:rPr>
                <w:rFonts w:hint="eastAsia" w:ascii="宋体" w:hAnsi="宋体" w:eastAsia="宋体" w:cs="宋体"/>
                <w:color w:val="000000"/>
                <w:kern w:val="0"/>
                <w:sz w:val="24"/>
                <w:szCs w:val="24"/>
                <w:u w:val="none"/>
                <w:lang w:val="en-US" w:eastAsia="zh-CN" w:bidi="ar"/>
              </w:rPr>
              <w:t>《污水排入城镇下水道水质标准》（</w:t>
            </w:r>
            <w:r>
              <w:rPr>
                <w:rFonts w:hint="default" w:ascii="宋体" w:hAnsi="宋体" w:eastAsia="宋体" w:cs="宋体"/>
                <w:color w:val="000000"/>
                <w:kern w:val="0"/>
                <w:sz w:val="24"/>
                <w:szCs w:val="24"/>
                <w:u w:val="none"/>
                <w:lang w:val="en-US" w:eastAsia="zh-CN" w:bidi="ar"/>
              </w:rPr>
              <w:t>GB 31962-2015</w:t>
            </w:r>
            <w:r>
              <w:rPr>
                <w:rFonts w:hint="eastAsia" w:ascii="宋体" w:hAnsi="宋体" w:eastAsia="宋体" w:cs="宋体"/>
                <w:color w:val="000000"/>
                <w:kern w:val="0"/>
                <w:sz w:val="24"/>
                <w:szCs w:val="24"/>
                <w:u w:val="none"/>
                <w:lang w:val="en-US" w:eastAsia="zh-CN" w:bidi="ar"/>
              </w:rPr>
              <w:t>）表</w:t>
            </w:r>
            <w:r>
              <w:rPr>
                <w:rFonts w:hint="default" w:ascii="宋体" w:hAnsi="宋体" w:eastAsia="宋体" w:cs="宋体"/>
                <w:color w:val="000000"/>
                <w:kern w:val="0"/>
                <w:sz w:val="24"/>
                <w:szCs w:val="24"/>
                <w:u w:val="none"/>
                <w:lang w:val="en-US" w:eastAsia="zh-CN" w:bidi="ar"/>
              </w:rPr>
              <w:t>1</w:t>
            </w:r>
            <w:r>
              <w:rPr>
                <w:rFonts w:hint="eastAsia" w:ascii="宋体" w:hAnsi="宋体" w:eastAsia="宋体" w:cs="宋体"/>
                <w:color w:val="000000"/>
                <w:kern w:val="0"/>
                <w:sz w:val="24"/>
                <w:szCs w:val="24"/>
                <w:u w:val="none"/>
                <w:lang w:val="en-US" w:eastAsia="zh-CN" w:bidi="ar"/>
              </w:rPr>
              <w:t>中</w:t>
            </w:r>
            <w:r>
              <w:rPr>
                <w:rFonts w:hint="default" w:ascii="宋体" w:hAnsi="宋体" w:eastAsia="宋体" w:cs="宋体"/>
                <w:color w:val="000000"/>
                <w:kern w:val="0"/>
                <w:sz w:val="24"/>
                <w:szCs w:val="24"/>
                <w:u w:val="none"/>
                <w:lang w:val="en-US" w:eastAsia="zh-CN" w:bidi="ar"/>
              </w:rPr>
              <w:t>B</w:t>
            </w:r>
            <w:r>
              <w:rPr>
                <w:rFonts w:hint="eastAsia" w:ascii="宋体" w:hAnsi="宋体" w:eastAsia="宋体" w:cs="宋体"/>
                <w:color w:val="000000"/>
                <w:kern w:val="0"/>
                <w:sz w:val="24"/>
                <w:szCs w:val="24"/>
                <w:u w:val="none"/>
                <w:lang w:val="en-US" w:eastAsia="zh-CN" w:bidi="ar"/>
              </w:rPr>
              <w:t>级标准后</w:t>
            </w:r>
            <w:r>
              <w:rPr>
                <w:rFonts w:hint="eastAsia" w:ascii="宋体" w:hAnsi="宋体" w:cs="宋体"/>
                <w:color w:val="auto"/>
                <w:kern w:val="0"/>
                <w:sz w:val="24"/>
                <w:szCs w:val="24"/>
                <w:highlight w:val="none"/>
                <w:u w:val="none"/>
                <w:lang w:val="en-US" w:eastAsia="zh-CN" w:bidi="ar"/>
              </w:rPr>
              <w:t>，</w:t>
            </w:r>
            <w:r>
              <w:rPr>
                <w:rFonts w:hint="eastAsia" w:ascii="Times New Roman" w:hAnsi="Times New Roman" w:cs="Times New Roman" w:eastAsiaTheme="minorEastAsia"/>
                <w:color w:val="auto"/>
                <w:kern w:val="2"/>
                <w:sz w:val="24"/>
                <w:szCs w:val="24"/>
                <w:highlight w:val="none"/>
                <w:u w:val="none"/>
                <w:lang w:val="en-US" w:eastAsia="zh-CN" w:bidi="ar-SA"/>
              </w:rPr>
              <w:t>外排至市政污水管网，最后进入华容县桥东污水处理厂处置。</w:t>
            </w:r>
          </w:p>
          <w:p>
            <w:pPr>
              <w:keepNext w:val="0"/>
              <w:keepLines w:val="0"/>
              <w:widowControl/>
              <w:suppressLineNumbers w:val="0"/>
              <w:spacing w:line="360" w:lineRule="auto"/>
              <w:ind w:firstLine="480" w:firstLineChars="200"/>
              <w:jc w:val="both"/>
              <w:rPr>
                <w:color w:val="auto"/>
                <w:highlight w:val="none"/>
                <w:u w:val="single"/>
              </w:rPr>
            </w:pPr>
            <w:r>
              <w:rPr>
                <w:rFonts w:hint="eastAsia" w:ascii="宋体" w:hAnsi="宋体" w:eastAsia="宋体" w:cs="宋体"/>
                <w:color w:val="auto"/>
                <w:kern w:val="0"/>
                <w:sz w:val="24"/>
                <w:szCs w:val="24"/>
                <w:highlight w:val="none"/>
                <w:u w:val="none"/>
                <w:lang w:val="en-US" w:eastAsia="zh-CN" w:bidi="ar"/>
              </w:rPr>
              <w:t>综上所述，项目废水经过上述措施处理后，对周围水体环境影响很小。</w:t>
            </w:r>
            <w:r>
              <w:rPr>
                <w:rFonts w:hint="eastAsia" w:ascii="宋体" w:hAnsi="宋体" w:eastAsia="宋体" w:cs="宋体"/>
                <w:color w:val="auto"/>
                <w:kern w:val="0"/>
                <w:sz w:val="24"/>
                <w:szCs w:val="24"/>
                <w:highlight w:val="none"/>
                <w:u w:val="single"/>
                <w:lang w:val="en-US" w:eastAsia="zh-CN" w:bidi="ar"/>
              </w:rPr>
              <w:t xml:space="preserve"> </w:t>
            </w:r>
          </w:p>
          <w:p>
            <w:pPr>
              <w:pStyle w:val="41"/>
              <w:keepNext w:val="0"/>
              <w:keepLines w:val="0"/>
              <w:pageBreakBefore w:val="0"/>
              <w:widowControl w:val="0"/>
              <w:kinsoku/>
              <w:wordWrap/>
              <w:overflowPunct/>
              <w:topLinePunct w:val="0"/>
              <w:autoSpaceDE/>
              <w:autoSpaceDN/>
              <w:bidi w:val="0"/>
              <w:adjustRightInd w:val="0"/>
              <w:snapToGrid w:val="0"/>
              <w:spacing w:line="360" w:lineRule="auto"/>
              <w:ind w:left="0" w:leftChars="0" w:firstLine="0" w:firstLineChars="0"/>
              <w:textAlignment w:val="auto"/>
              <w:rPr>
                <w:rFonts w:hint="default" w:ascii="Times New Roman" w:hAnsi="Times New Roman" w:eastAsia="宋体" w:cs="Times New Roman"/>
                <w:b/>
                <w:bCs/>
                <w:color w:val="auto"/>
                <w:sz w:val="24"/>
                <w:szCs w:val="24"/>
                <w:highlight w:val="none"/>
                <w:lang w:eastAsia="zh-CN"/>
              </w:rPr>
            </w:pPr>
            <w:r>
              <w:rPr>
                <w:rFonts w:hint="default" w:ascii="Times New Roman" w:hAnsi="Times New Roman" w:cs="Times New Roman"/>
                <w:b/>
                <w:bCs/>
                <w:color w:val="auto"/>
                <w:sz w:val="24"/>
                <w:szCs w:val="24"/>
                <w:highlight w:val="none"/>
                <w:lang w:val="en-US" w:eastAsia="zh-CN"/>
              </w:rPr>
              <w:t>3、</w:t>
            </w:r>
            <w:r>
              <w:rPr>
                <w:rFonts w:hint="default" w:ascii="Times New Roman" w:hAnsi="Times New Roman" w:eastAsia="宋体" w:cs="Times New Roman"/>
                <w:b/>
                <w:bCs/>
                <w:color w:val="auto"/>
                <w:sz w:val="24"/>
                <w:szCs w:val="24"/>
                <w:highlight w:val="none"/>
                <w:lang w:eastAsia="zh-CN"/>
              </w:rPr>
              <w:t>噪声</w:t>
            </w:r>
          </w:p>
          <w:p>
            <w:pPr>
              <w:keepNext w:val="0"/>
              <w:keepLines w:val="0"/>
              <w:pageBreakBefore w:val="0"/>
              <w:widowControl w:val="0"/>
              <w:kinsoku/>
              <w:wordWrap/>
              <w:overflowPunct/>
              <w:topLinePunct w:val="0"/>
              <w:autoSpaceDE/>
              <w:autoSpaceDN/>
              <w:bidi w:val="0"/>
              <w:adjustRightInd/>
              <w:snapToGrid w:val="0"/>
              <w:spacing w:line="360" w:lineRule="auto"/>
              <w:ind w:firstLine="496" w:firstLineChars="200"/>
              <w:textAlignment w:val="auto"/>
              <w:rPr>
                <w:rFonts w:hint="default" w:ascii="Times New Roman" w:hAnsi="Times New Roman" w:eastAsia="宋体" w:cs="Times New Roman"/>
                <w:color w:val="auto"/>
                <w:spacing w:val="4"/>
                <w:sz w:val="24"/>
                <w:szCs w:val="24"/>
                <w:highlight w:val="none"/>
              </w:rPr>
            </w:pPr>
            <w:r>
              <w:rPr>
                <w:rFonts w:hint="eastAsia" w:cs="Times New Roman"/>
                <w:color w:val="auto"/>
                <w:spacing w:val="4"/>
                <w:sz w:val="24"/>
                <w:szCs w:val="24"/>
                <w:highlight w:val="none"/>
                <w:lang w:eastAsia="zh-CN"/>
              </w:rPr>
              <w:t>（</w:t>
            </w:r>
            <w:r>
              <w:rPr>
                <w:rFonts w:hint="eastAsia" w:cs="Times New Roman"/>
                <w:color w:val="auto"/>
                <w:spacing w:val="4"/>
                <w:sz w:val="24"/>
                <w:szCs w:val="24"/>
                <w:highlight w:val="none"/>
                <w:lang w:val="en-US" w:eastAsia="zh-CN"/>
              </w:rPr>
              <w:t>1</w:t>
            </w:r>
            <w:r>
              <w:rPr>
                <w:rFonts w:hint="eastAsia" w:cs="Times New Roman"/>
                <w:color w:val="auto"/>
                <w:spacing w:val="4"/>
                <w:sz w:val="24"/>
                <w:szCs w:val="24"/>
                <w:highlight w:val="none"/>
                <w:lang w:eastAsia="zh-CN"/>
              </w:rPr>
              <w:t>）</w:t>
            </w:r>
            <w:r>
              <w:rPr>
                <w:rFonts w:hint="default" w:ascii="Times New Roman" w:hAnsi="Times New Roman" w:eastAsia="宋体" w:cs="Times New Roman"/>
                <w:color w:val="auto"/>
                <w:spacing w:val="4"/>
                <w:sz w:val="24"/>
                <w:szCs w:val="24"/>
                <w:highlight w:val="none"/>
              </w:rPr>
              <w:t>噪声源</w:t>
            </w:r>
          </w:p>
          <w:p>
            <w:pPr>
              <w:keepNext w:val="0"/>
              <w:keepLines w:val="0"/>
              <w:pageBreakBefore w:val="0"/>
              <w:widowControl w:val="0"/>
              <w:kinsoku/>
              <w:wordWrap/>
              <w:overflowPunct/>
              <w:topLinePunct w:val="0"/>
              <w:autoSpaceDE/>
              <w:autoSpaceDN/>
              <w:bidi w:val="0"/>
              <w:adjustRightInd/>
              <w:snapToGrid w:val="0"/>
              <w:spacing w:line="360" w:lineRule="auto"/>
              <w:ind w:firstLine="484" w:firstLineChars="200"/>
              <w:textAlignment w:val="auto"/>
              <w:rPr>
                <w:rFonts w:hint="default" w:ascii="Times New Roman" w:hAnsi="Times New Roman" w:cs="Times New Roman"/>
                <w:color w:val="auto"/>
                <w:sz w:val="24"/>
                <w:szCs w:val="24"/>
                <w:highlight w:val="none"/>
                <w:u w:val="none"/>
              </w:rPr>
            </w:pPr>
            <w:r>
              <w:rPr>
                <w:rFonts w:hint="default" w:ascii="Times New Roman" w:hAnsi="Times New Roman" w:cs="Times New Roman"/>
                <w:color w:val="auto"/>
                <w:spacing w:val="1"/>
                <w:sz w:val="24"/>
                <w:szCs w:val="24"/>
                <w:highlight w:val="none"/>
                <w:u w:val="none"/>
              </w:rPr>
              <w:t>本项目噪声源主要为</w:t>
            </w:r>
            <w:r>
              <w:rPr>
                <w:rFonts w:hint="eastAsia" w:cs="Times New Roman"/>
                <w:color w:val="auto"/>
                <w:spacing w:val="1"/>
                <w:sz w:val="24"/>
                <w:szCs w:val="24"/>
                <w:highlight w:val="none"/>
                <w:u w:val="none"/>
                <w:lang w:eastAsia="zh-CN"/>
              </w:rPr>
              <w:t>破碎机</w:t>
            </w:r>
            <w:r>
              <w:rPr>
                <w:rFonts w:hint="default" w:ascii="Times New Roman" w:hAnsi="Times New Roman" w:cs="Times New Roman"/>
                <w:color w:val="auto"/>
                <w:sz w:val="24"/>
                <w:szCs w:val="24"/>
                <w:highlight w:val="none"/>
                <w:u w:val="none"/>
              </w:rPr>
              <w:t>的噪声</w:t>
            </w:r>
            <w:r>
              <w:rPr>
                <w:rFonts w:hint="eastAsia" w:cs="Times New Roman"/>
                <w:color w:val="auto"/>
                <w:sz w:val="24"/>
                <w:szCs w:val="24"/>
                <w:highlight w:val="none"/>
                <w:u w:val="none"/>
                <w:lang w:eastAsia="zh-CN"/>
              </w:rPr>
              <w:t>，本项目破碎设备选用低噪声破碎机，并设置隔套及橡胶衬板，出料口设置消声通道。根据企业提供的破碎设备参数一览表，破碎设备工作时噪声为</w:t>
            </w:r>
            <w:r>
              <w:rPr>
                <w:rFonts w:hint="eastAsia" w:cs="Times New Roman"/>
                <w:color w:val="auto"/>
                <w:sz w:val="24"/>
                <w:szCs w:val="24"/>
                <w:highlight w:val="none"/>
                <w:u w:val="none"/>
                <w:lang w:val="en-US" w:eastAsia="zh-CN"/>
              </w:rPr>
              <w:t>80</w:t>
            </w:r>
            <w:r>
              <w:rPr>
                <w:rFonts w:hint="default" w:cs="Times New Roman"/>
                <w:color w:val="auto"/>
                <w:sz w:val="24"/>
                <w:szCs w:val="24"/>
                <w:highlight w:val="none"/>
                <w:u w:val="none"/>
                <w:lang w:val="en-US" w:eastAsia="zh-CN"/>
              </w:rPr>
              <w:t>~</w:t>
            </w:r>
            <w:r>
              <w:rPr>
                <w:rFonts w:hint="eastAsia" w:cs="Times New Roman"/>
                <w:color w:val="auto"/>
                <w:sz w:val="24"/>
                <w:szCs w:val="24"/>
                <w:highlight w:val="none"/>
                <w:u w:val="none"/>
                <w:lang w:val="en-US" w:eastAsia="zh-CN"/>
              </w:rPr>
              <w:t>90db。</w:t>
            </w:r>
            <w:r>
              <w:rPr>
                <w:rFonts w:hint="eastAsia" w:cs="Times New Roman"/>
                <w:color w:val="auto"/>
                <w:sz w:val="24"/>
                <w:szCs w:val="24"/>
                <w:highlight w:val="none"/>
                <w:u w:val="none"/>
                <w:lang w:eastAsia="zh-CN"/>
              </w:rPr>
              <w:t>因此</w:t>
            </w:r>
            <w:r>
              <w:rPr>
                <w:rFonts w:hint="default" w:ascii="Times New Roman" w:hAnsi="Times New Roman" w:cs="Times New Roman"/>
                <w:color w:val="auto"/>
                <w:sz w:val="24"/>
                <w:szCs w:val="24"/>
                <w:highlight w:val="none"/>
                <w:u w:val="none"/>
              </w:rPr>
              <w:t>其噪声产生情况及源强见下表。</w:t>
            </w:r>
          </w:p>
          <w:p>
            <w:pPr>
              <w:keepNext w:val="0"/>
              <w:keepLines w:val="0"/>
              <w:pageBreakBefore w:val="0"/>
              <w:widowControl w:val="0"/>
              <w:kinsoku/>
              <w:wordWrap/>
              <w:overflowPunct/>
              <w:topLinePunct w:val="0"/>
              <w:autoSpaceDE/>
              <w:autoSpaceDN/>
              <w:bidi w:val="0"/>
              <w:adjustRightInd/>
              <w:snapToGrid w:val="0"/>
              <w:spacing w:line="360" w:lineRule="auto"/>
              <w:ind w:firstLine="422" w:firstLineChars="200"/>
              <w:jc w:val="center"/>
              <w:textAlignment w:val="auto"/>
              <w:rPr>
                <w:rFonts w:hint="default" w:ascii="Times New Roman" w:hAnsi="Times New Roman" w:eastAsia="宋体" w:cs="Times New Roman"/>
                <w:b/>
                <w:bCs/>
                <w:color w:val="auto"/>
                <w:sz w:val="21"/>
                <w:szCs w:val="21"/>
                <w:highlight w:val="none"/>
                <w:u w:val="none"/>
                <w:lang w:val="en-US" w:eastAsia="zh-CN"/>
              </w:rPr>
            </w:pPr>
            <w:r>
              <w:rPr>
                <w:rFonts w:hint="default" w:ascii="Times New Roman" w:hAnsi="Times New Roman" w:cs="Times New Roman"/>
                <w:b/>
                <w:bCs/>
                <w:color w:val="auto"/>
                <w:sz w:val="21"/>
                <w:szCs w:val="21"/>
                <w:highlight w:val="none"/>
                <w:u w:val="none"/>
                <w:lang w:eastAsia="zh-CN"/>
              </w:rPr>
              <w:t>表</w:t>
            </w:r>
            <w:r>
              <w:rPr>
                <w:rFonts w:hint="default" w:ascii="Times New Roman" w:hAnsi="Times New Roman" w:cs="Times New Roman"/>
                <w:b/>
                <w:bCs/>
                <w:color w:val="auto"/>
                <w:sz w:val="21"/>
                <w:szCs w:val="21"/>
                <w:highlight w:val="none"/>
                <w:u w:val="none"/>
                <w:lang w:val="en-US" w:eastAsia="zh-CN"/>
              </w:rPr>
              <w:t>4-</w:t>
            </w:r>
            <w:r>
              <w:rPr>
                <w:rFonts w:hint="eastAsia" w:cs="Times New Roman"/>
                <w:b/>
                <w:bCs/>
                <w:color w:val="auto"/>
                <w:sz w:val="21"/>
                <w:szCs w:val="21"/>
                <w:highlight w:val="none"/>
                <w:u w:val="none"/>
                <w:lang w:val="en-US" w:eastAsia="zh-CN"/>
              </w:rPr>
              <w:t xml:space="preserve">5 </w:t>
            </w:r>
            <w:r>
              <w:rPr>
                <w:rFonts w:hint="default" w:ascii="Times New Roman" w:hAnsi="Times New Roman" w:cs="Times New Roman"/>
                <w:b/>
                <w:bCs/>
                <w:color w:val="auto"/>
                <w:sz w:val="21"/>
                <w:szCs w:val="21"/>
                <w:highlight w:val="none"/>
                <w:u w:val="none"/>
                <w:lang w:val="en-US" w:eastAsia="zh-CN"/>
              </w:rPr>
              <w:t xml:space="preserve"> 本项目噪声源强一览表</w:t>
            </w:r>
          </w:p>
          <w:tbl>
            <w:tblPr>
              <w:tblStyle w:val="25"/>
              <w:tblW w:w="4895"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54"/>
              <w:gridCol w:w="2200"/>
              <w:gridCol w:w="1925"/>
              <w:gridCol w:w="1361"/>
              <w:gridCol w:w="15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cantSplit/>
                <w:trHeight w:val="462" w:hRule="atLeast"/>
                <w:jc w:val="center"/>
              </w:trPr>
              <w:tc>
                <w:tcPr>
                  <w:tcW w:w="649" w:type="pct"/>
                  <w:noWrap w:val="0"/>
                  <w:vAlign w:val="center"/>
                </w:tcPr>
                <w:p>
                  <w:pPr>
                    <w:pStyle w:val="36"/>
                    <w:bidi w:val="0"/>
                    <w:spacing w:line="360" w:lineRule="auto"/>
                    <w:jc w:val="center"/>
                    <w:rPr>
                      <w:color w:val="auto"/>
                      <w:sz w:val="21"/>
                      <w:szCs w:val="21"/>
                      <w:highlight w:val="none"/>
                      <w:u w:val="none"/>
                    </w:rPr>
                  </w:pPr>
                  <w:r>
                    <w:rPr>
                      <w:color w:val="auto"/>
                      <w:sz w:val="21"/>
                      <w:szCs w:val="21"/>
                      <w:highlight w:val="none"/>
                      <w:u w:val="none"/>
                    </w:rPr>
                    <w:t>序号</w:t>
                  </w:r>
                </w:p>
              </w:tc>
              <w:tc>
                <w:tcPr>
                  <w:tcW w:w="1354" w:type="pct"/>
                  <w:noWrap w:val="0"/>
                  <w:vAlign w:val="center"/>
                </w:tcPr>
                <w:p>
                  <w:pPr>
                    <w:pStyle w:val="36"/>
                    <w:bidi w:val="0"/>
                    <w:spacing w:line="360" w:lineRule="auto"/>
                    <w:jc w:val="center"/>
                    <w:rPr>
                      <w:color w:val="auto"/>
                      <w:sz w:val="21"/>
                      <w:szCs w:val="21"/>
                      <w:highlight w:val="none"/>
                      <w:u w:val="none"/>
                    </w:rPr>
                  </w:pPr>
                  <w:r>
                    <w:rPr>
                      <w:color w:val="auto"/>
                      <w:sz w:val="21"/>
                      <w:szCs w:val="21"/>
                      <w:highlight w:val="none"/>
                      <w:u w:val="none"/>
                    </w:rPr>
                    <w:t>设备名称</w:t>
                  </w:r>
                </w:p>
              </w:tc>
              <w:tc>
                <w:tcPr>
                  <w:tcW w:w="1185" w:type="pct"/>
                  <w:noWrap w:val="0"/>
                  <w:vAlign w:val="center"/>
                </w:tcPr>
                <w:p>
                  <w:pPr>
                    <w:pStyle w:val="36"/>
                    <w:bidi w:val="0"/>
                    <w:spacing w:line="360" w:lineRule="auto"/>
                    <w:jc w:val="center"/>
                    <w:rPr>
                      <w:rFonts w:hint="eastAsia"/>
                      <w:color w:val="auto"/>
                      <w:sz w:val="21"/>
                      <w:szCs w:val="21"/>
                      <w:highlight w:val="none"/>
                      <w:u w:val="none"/>
                    </w:rPr>
                  </w:pPr>
                  <w:r>
                    <w:rPr>
                      <w:rFonts w:hint="eastAsia"/>
                      <w:color w:val="auto"/>
                      <w:sz w:val="21"/>
                      <w:szCs w:val="21"/>
                      <w:highlight w:val="none"/>
                      <w:u w:val="none"/>
                    </w:rPr>
                    <w:t>设备数量</w:t>
                  </w:r>
                </w:p>
              </w:tc>
              <w:tc>
                <w:tcPr>
                  <w:tcW w:w="838" w:type="pct"/>
                  <w:noWrap w:val="0"/>
                  <w:vAlign w:val="center"/>
                </w:tcPr>
                <w:p>
                  <w:pPr>
                    <w:pStyle w:val="36"/>
                    <w:bidi w:val="0"/>
                    <w:spacing w:line="360" w:lineRule="auto"/>
                    <w:jc w:val="center"/>
                    <w:rPr>
                      <w:rFonts w:hint="eastAsia" w:eastAsia="宋体"/>
                      <w:color w:val="auto"/>
                      <w:sz w:val="21"/>
                      <w:szCs w:val="21"/>
                      <w:highlight w:val="none"/>
                      <w:u w:val="none"/>
                      <w:lang w:eastAsia="zh-CN"/>
                    </w:rPr>
                  </w:pPr>
                  <w:r>
                    <w:rPr>
                      <w:rFonts w:hint="eastAsia"/>
                      <w:color w:val="auto"/>
                      <w:sz w:val="21"/>
                      <w:szCs w:val="21"/>
                      <w:highlight w:val="none"/>
                      <w:u w:val="none"/>
                      <w:lang w:eastAsia="zh-CN"/>
                    </w:rPr>
                    <w:t>声级</w:t>
                  </w:r>
                </w:p>
              </w:tc>
              <w:tc>
                <w:tcPr>
                  <w:tcW w:w="972" w:type="pct"/>
                  <w:noWrap w:val="0"/>
                  <w:vAlign w:val="center"/>
                </w:tcPr>
                <w:p>
                  <w:pPr>
                    <w:pStyle w:val="36"/>
                    <w:bidi w:val="0"/>
                    <w:spacing w:line="360" w:lineRule="auto"/>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持续时间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9" w:hRule="atLeast"/>
                <w:jc w:val="center"/>
              </w:trPr>
              <w:tc>
                <w:tcPr>
                  <w:tcW w:w="649" w:type="pct"/>
                  <w:noWrap w:val="0"/>
                  <w:vAlign w:val="center"/>
                </w:tcPr>
                <w:p>
                  <w:pPr>
                    <w:pStyle w:val="36"/>
                    <w:bidi w:val="0"/>
                    <w:spacing w:line="360" w:lineRule="auto"/>
                    <w:jc w:val="center"/>
                    <w:rPr>
                      <w:color w:val="auto"/>
                      <w:sz w:val="21"/>
                      <w:szCs w:val="21"/>
                      <w:highlight w:val="none"/>
                      <w:u w:val="none"/>
                    </w:rPr>
                  </w:pPr>
                  <w:r>
                    <w:rPr>
                      <w:color w:val="auto"/>
                      <w:sz w:val="21"/>
                      <w:szCs w:val="21"/>
                      <w:highlight w:val="none"/>
                      <w:u w:val="none"/>
                    </w:rPr>
                    <w:t>1</w:t>
                  </w:r>
                </w:p>
              </w:tc>
              <w:tc>
                <w:tcPr>
                  <w:tcW w:w="1354" w:type="pct"/>
                  <w:noWrap w:val="0"/>
                  <w:vAlign w:val="center"/>
                </w:tcPr>
                <w:p>
                  <w:pPr>
                    <w:pStyle w:val="36"/>
                    <w:bidi w:val="0"/>
                    <w:spacing w:line="360" w:lineRule="auto"/>
                    <w:jc w:val="center"/>
                    <w:rPr>
                      <w:rFonts w:hint="eastAsia"/>
                      <w:color w:val="auto"/>
                      <w:sz w:val="21"/>
                      <w:szCs w:val="21"/>
                      <w:highlight w:val="none"/>
                      <w:u w:val="none"/>
                      <w:lang w:eastAsia="zh-CN"/>
                    </w:rPr>
                  </w:pPr>
                  <w:r>
                    <w:rPr>
                      <w:rFonts w:hint="eastAsia"/>
                      <w:color w:val="auto"/>
                      <w:sz w:val="21"/>
                      <w:szCs w:val="21"/>
                      <w:highlight w:val="none"/>
                      <w:u w:val="none"/>
                      <w:lang w:eastAsia="zh-CN"/>
                    </w:rPr>
                    <w:t>破碎机</w:t>
                  </w:r>
                </w:p>
              </w:tc>
              <w:tc>
                <w:tcPr>
                  <w:tcW w:w="1185" w:type="pct"/>
                  <w:noWrap w:val="0"/>
                  <w:vAlign w:val="center"/>
                </w:tcPr>
                <w:p>
                  <w:pPr>
                    <w:pStyle w:val="36"/>
                    <w:bidi w:val="0"/>
                    <w:spacing w:line="360" w:lineRule="auto"/>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4</w:t>
                  </w:r>
                </w:p>
              </w:tc>
              <w:tc>
                <w:tcPr>
                  <w:tcW w:w="838" w:type="pct"/>
                  <w:noWrap w:val="0"/>
                  <w:vAlign w:val="center"/>
                </w:tcPr>
                <w:p>
                  <w:pPr>
                    <w:keepNext w:val="0"/>
                    <w:keepLines w:val="0"/>
                    <w:widowControl/>
                    <w:suppressLineNumbers w:val="0"/>
                    <w:jc w:val="center"/>
                    <w:rPr>
                      <w:rFonts w:hint="default"/>
                      <w:color w:val="auto"/>
                      <w:sz w:val="21"/>
                      <w:szCs w:val="21"/>
                      <w:highlight w:val="none"/>
                      <w:u w:val="none"/>
                      <w:lang w:val="en-US" w:eastAsia="zh-CN"/>
                    </w:rPr>
                  </w:pPr>
                  <w:r>
                    <w:rPr>
                      <w:rFonts w:hint="eastAsia" w:cs="Times New Roman"/>
                      <w:color w:val="auto"/>
                      <w:kern w:val="0"/>
                      <w:sz w:val="21"/>
                      <w:szCs w:val="21"/>
                      <w:highlight w:val="none"/>
                      <w:u w:val="none"/>
                      <w:lang w:val="en-US" w:eastAsia="zh-CN" w:bidi="ar"/>
                    </w:rPr>
                    <w:t>8</w:t>
                  </w:r>
                  <w:r>
                    <w:rPr>
                      <w:rFonts w:hint="eastAsia" w:ascii="Times New Roman" w:hAnsi="Times New Roman" w:eastAsia="宋体" w:cs="Times New Roman"/>
                      <w:color w:val="auto"/>
                      <w:kern w:val="0"/>
                      <w:sz w:val="21"/>
                      <w:szCs w:val="21"/>
                      <w:highlight w:val="none"/>
                      <w:u w:val="none"/>
                      <w:lang w:val="en-US" w:eastAsia="zh-CN" w:bidi="ar"/>
                    </w:rPr>
                    <w:t>0</w:t>
                  </w:r>
                  <w:r>
                    <w:rPr>
                      <w:rFonts w:hint="default" w:ascii="Times New Roman" w:hAnsi="Times New Roman" w:eastAsia="宋体" w:cs="Times New Roman"/>
                      <w:color w:val="auto"/>
                      <w:kern w:val="0"/>
                      <w:sz w:val="21"/>
                      <w:szCs w:val="21"/>
                      <w:highlight w:val="none"/>
                      <w:u w:val="none"/>
                      <w:lang w:val="en-US" w:eastAsia="zh-CN" w:bidi="ar"/>
                    </w:rPr>
                    <w:t>~</w:t>
                  </w:r>
                  <w:r>
                    <w:rPr>
                      <w:rFonts w:hint="eastAsia" w:cs="Times New Roman"/>
                      <w:color w:val="auto"/>
                      <w:kern w:val="0"/>
                      <w:sz w:val="21"/>
                      <w:szCs w:val="21"/>
                      <w:highlight w:val="none"/>
                      <w:u w:val="none"/>
                      <w:lang w:val="en-US" w:eastAsia="zh-CN" w:bidi="ar"/>
                    </w:rPr>
                    <w:t>90</w:t>
                  </w:r>
                </w:p>
              </w:tc>
              <w:tc>
                <w:tcPr>
                  <w:tcW w:w="972" w:type="pct"/>
                  <w:vMerge w:val="restart"/>
                  <w:noWrap w:val="0"/>
                  <w:vAlign w:val="center"/>
                </w:tcPr>
                <w:p>
                  <w:pPr>
                    <w:keepNext w:val="0"/>
                    <w:keepLines w:val="0"/>
                    <w:widowControl/>
                    <w:suppressLineNumbers w:val="0"/>
                    <w:jc w:val="center"/>
                    <w:rPr>
                      <w:rFonts w:hint="default" w:ascii="Times New Roman" w:hAnsi="Times New Roman" w:eastAsia="宋体" w:cs="Times New Roman"/>
                      <w:color w:val="auto"/>
                      <w:kern w:val="0"/>
                      <w:sz w:val="21"/>
                      <w:szCs w:val="21"/>
                      <w:highlight w:val="none"/>
                      <w:u w:val="none"/>
                      <w:lang w:val="en-US" w:eastAsia="zh-CN" w:bidi="ar"/>
                    </w:rPr>
                  </w:pPr>
                  <w:r>
                    <w:rPr>
                      <w:rFonts w:hint="eastAsia" w:ascii="Times New Roman" w:hAnsi="Times New Roman" w:eastAsia="宋体" w:cs="Times New Roman"/>
                      <w:color w:val="auto"/>
                      <w:kern w:val="0"/>
                      <w:sz w:val="21"/>
                      <w:szCs w:val="21"/>
                      <w:highlight w:val="none"/>
                      <w:u w:val="none"/>
                      <w:lang w:val="en-US" w:eastAsia="zh-CN" w:bidi="ar"/>
                    </w:rPr>
                    <w:t>持续</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9" w:hRule="atLeast"/>
                <w:jc w:val="center"/>
              </w:trPr>
              <w:tc>
                <w:tcPr>
                  <w:tcW w:w="649" w:type="pct"/>
                  <w:noWrap w:val="0"/>
                  <w:vAlign w:val="center"/>
                </w:tcPr>
                <w:p>
                  <w:pPr>
                    <w:pStyle w:val="36"/>
                    <w:bidi w:val="0"/>
                    <w:spacing w:line="360" w:lineRule="auto"/>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2</w:t>
                  </w:r>
                </w:p>
              </w:tc>
              <w:tc>
                <w:tcPr>
                  <w:tcW w:w="1354" w:type="pct"/>
                  <w:noWrap w:val="0"/>
                  <w:vAlign w:val="center"/>
                </w:tcPr>
                <w:p>
                  <w:pPr>
                    <w:keepNext w:val="0"/>
                    <w:keepLines w:val="0"/>
                    <w:widowControl/>
                    <w:suppressLineNumbers w:val="0"/>
                    <w:jc w:val="center"/>
                    <w:rPr>
                      <w:rFonts w:hint="eastAsia"/>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运输叉车</w:t>
                  </w:r>
                </w:p>
              </w:tc>
              <w:tc>
                <w:tcPr>
                  <w:tcW w:w="1185" w:type="pct"/>
                  <w:noWrap w:val="0"/>
                  <w:vAlign w:val="center"/>
                </w:tcPr>
                <w:p>
                  <w:pPr>
                    <w:pStyle w:val="36"/>
                    <w:bidi w:val="0"/>
                    <w:spacing w:line="360" w:lineRule="auto"/>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1台</w:t>
                  </w:r>
                </w:p>
              </w:tc>
              <w:tc>
                <w:tcPr>
                  <w:tcW w:w="838" w:type="pct"/>
                  <w:noWrap w:val="0"/>
                  <w:vAlign w:val="center"/>
                </w:tcPr>
                <w:p>
                  <w:pPr>
                    <w:bidi w:val="0"/>
                    <w:spacing w:line="360" w:lineRule="auto"/>
                    <w:jc w:val="center"/>
                    <w:rPr>
                      <w:rFonts w:hint="eastAsia"/>
                      <w:color w:val="auto"/>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bidi="ar"/>
                    </w:rPr>
                    <w:t>7</w:t>
                  </w:r>
                  <w:r>
                    <w:rPr>
                      <w:rFonts w:hint="eastAsia" w:ascii="Times New Roman" w:hAnsi="Times New Roman" w:eastAsia="宋体" w:cs="Times New Roman"/>
                      <w:color w:val="auto"/>
                      <w:kern w:val="0"/>
                      <w:sz w:val="21"/>
                      <w:szCs w:val="21"/>
                      <w:highlight w:val="none"/>
                      <w:u w:val="none"/>
                      <w:lang w:val="en-US" w:eastAsia="zh-CN" w:bidi="ar"/>
                    </w:rPr>
                    <w:t>0</w:t>
                  </w:r>
                  <w:r>
                    <w:rPr>
                      <w:rFonts w:hint="default" w:ascii="Times New Roman" w:hAnsi="Times New Roman" w:eastAsia="宋体" w:cs="Times New Roman"/>
                      <w:color w:val="auto"/>
                      <w:kern w:val="0"/>
                      <w:sz w:val="21"/>
                      <w:szCs w:val="21"/>
                      <w:highlight w:val="none"/>
                      <w:u w:val="none"/>
                      <w:lang w:val="en-US" w:eastAsia="zh-CN" w:bidi="ar"/>
                    </w:rPr>
                    <w:t>~85</w:t>
                  </w:r>
                </w:p>
              </w:tc>
              <w:tc>
                <w:tcPr>
                  <w:tcW w:w="972" w:type="pct"/>
                  <w:vMerge w:val="continue"/>
                  <w:noWrap w:val="0"/>
                  <w:vAlign w:val="center"/>
                </w:tcPr>
                <w:p>
                  <w:pPr>
                    <w:bidi w:val="0"/>
                    <w:spacing w:line="360" w:lineRule="auto"/>
                    <w:jc w:val="center"/>
                    <w:rPr>
                      <w:rFonts w:hint="default" w:ascii="Times New Roman" w:hAnsi="Times New Roman" w:eastAsia="宋体" w:cs="Times New Roman"/>
                      <w:color w:val="auto"/>
                      <w:kern w:val="0"/>
                      <w:sz w:val="21"/>
                      <w:szCs w:val="21"/>
                      <w:highlight w:val="none"/>
                      <w:u w:val="none"/>
                      <w:lang w:val="en-US" w:eastAsia="zh-CN" w:bidi="ar"/>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59" w:hRule="atLeast"/>
                <w:jc w:val="center"/>
              </w:trPr>
              <w:tc>
                <w:tcPr>
                  <w:tcW w:w="649" w:type="pct"/>
                  <w:noWrap w:val="0"/>
                  <w:vAlign w:val="center"/>
                </w:tcPr>
                <w:p>
                  <w:pPr>
                    <w:pStyle w:val="36"/>
                    <w:bidi w:val="0"/>
                    <w:spacing w:line="360" w:lineRule="auto"/>
                    <w:jc w:val="center"/>
                    <w:rPr>
                      <w:rFonts w:hint="eastAsia" w:eastAsia="宋体"/>
                      <w:color w:val="auto"/>
                      <w:sz w:val="21"/>
                      <w:szCs w:val="21"/>
                      <w:highlight w:val="none"/>
                      <w:u w:val="none"/>
                      <w:lang w:val="en-US" w:eastAsia="zh-CN"/>
                    </w:rPr>
                  </w:pPr>
                  <w:r>
                    <w:rPr>
                      <w:rFonts w:hint="eastAsia"/>
                      <w:color w:val="auto"/>
                      <w:sz w:val="21"/>
                      <w:szCs w:val="21"/>
                      <w:highlight w:val="none"/>
                      <w:u w:val="none"/>
                      <w:lang w:val="en-US" w:eastAsia="zh-CN"/>
                    </w:rPr>
                    <w:t>3</w:t>
                  </w:r>
                </w:p>
              </w:tc>
              <w:tc>
                <w:tcPr>
                  <w:tcW w:w="1354" w:type="pct"/>
                  <w:noWrap w:val="0"/>
                  <w:vAlign w:val="center"/>
                </w:tcPr>
                <w:p>
                  <w:pPr>
                    <w:keepNext w:val="0"/>
                    <w:keepLines w:val="0"/>
                    <w:widowControl/>
                    <w:suppressLineNumbers w:val="0"/>
                    <w:jc w:val="center"/>
                    <w:rPr>
                      <w:rFonts w:hint="default"/>
                      <w:color w:val="auto"/>
                      <w:sz w:val="21"/>
                      <w:szCs w:val="21"/>
                      <w:highlight w:val="none"/>
                      <w:u w:val="none"/>
                      <w:lang w:val="en-US" w:eastAsia="zh-CN"/>
                    </w:rPr>
                  </w:pPr>
                  <w:r>
                    <w:rPr>
                      <w:rFonts w:hint="eastAsia" w:ascii="宋体" w:hAnsi="宋体" w:eastAsia="宋体" w:cs="宋体"/>
                      <w:color w:val="auto"/>
                      <w:kern w:val="0"/>
                      <w:sz w:val="21"/>
                      <w:szCs w:val="21"/>
                      <w:highlight w:val="none"/>
                      <w:u w:val="none"/>
                      <w:lang w:val="en-US" w:eastAsia="zh-CN" w:bidi="ar"/>
                    </w:rPr>
                    <w:t>污水处理系统</w:t>
                  </w:r>
                </w:p>
              </w:tc>
              <w:tc>
                <w:tcPr>
                  <w:tcW w:w="1185" w:type="pct"/>
                  <w:noWrap w:val="0"/>
                  <w:vAlign w:val="center"/>
                </w:tcPr>
                <w:p>
                  <w:pPr>
                    <w:pStyle w:val="36"/>
                    <w:bidi w:val="0"/>
                    <w:spacing w:line="360" w:lineRule="auto"/>
                    <w:jc w:val="center"/>
                    <w:rPr>
                      <w:rFonts w:hint="default"/>
                      <w:color w:val="auto"/>
                      <w:sz w:val="21"/>
                      <w:szCs w:val="21"/>
                      <w:highlight w:val="none"/>
                      <w:u w:val="none"/>
                      <w:lang w:val="en-US" w:eastAsia="zh-CN"/>
                    </w:rPr>
                  </w:pPr>
                  <w:r>
                    <w:rPr>
                      <w:rFonts w:hint="eastAsia"/>
                      <w:color w:val="auto"/>
                      <w:sz w:val="21"/>
                      <w:szCs w:val="21"/>
                      <w:highlight w:val="none"/>
                      <w:u w:val="none"/>
                      <w:lang w:val="en-US" w:eastAsia="zh-CN"/>
                    </w:rPr>
                    <w:t>1套</w:t>
                  </w:r>
                </w:p>
              </w:tc>
              <w:tc>
                <w:tcPr>
                  <w:tcW w:w="838" w:type="pct"/>
                  <w:noWrap w:val="0"/>
                  <w:vAlign w:val="center"/>
                </w:tcPr>
                <w:p>
                  <w:pPr>
                    <w:bidi w:val="0"/>
                    <w:spacing w:line="360" w:lineRule="auto"/>
                    <w:jc w:val="center"/>
                    <w:rPr>
                      <w:rFonts w:hint="eastAsia"/>
                      <w:color w:val="auto"/>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bidi="ar"/>
                    </w:rPr>
                    <w:t>7</w:t>
                  </w:r>
                  <w:r>
                    <w:rPr>
                      <w:rFonts w:hint="eastAsia" w:ascii="Times New Roman" w:hAnsi="Times New Roman" w:eastAsia="宋体" w:cs="Times New Roman"/>
                      <w:color w:val="auto"/>
                      <w:kern w:val="0"/>
                      <w:sz w:val="21"/>
                      <w:szCs w:val="21"/>
                      <w:highlight w:val="none"/>
                      <w:u w:val="none"/>
                      <w:lang w:val="en-US" w:eastAsia="zh-CN" w:bidi="ar"/>
                    </w:rPr>
                    <w:t>0</w:t>
                  </w:r>
                  <w:r>
                    <w:rPr>
                      <w:rFonts w:hint="default" w:ascii="Times New Roman" w:hAnsi="Times New Roman" w:eastAsia="宋体" w:cs="Times New Roman"/>
                      <w:color w:val="auto"/>
                      <w:kern w:val="0"/>
                      <w:sz w:val="21"/>
                      <w:szCs w:val="21"/>
                      <w:highlight w:val="none"/>
                      <w:u w:val="none"/>
                      <w:lang w:val="en-US" w:eastAsia="zh-CN" w:bidi="ar"/>
                    </w:rPr>
                    <w:t>~85</w:t>
                  </w:r>
                </w:p>
              </w:tc>
              <w:tc>
                <w:tcPr>
                  <w:tcW w:w="972" w:type="pct"/>
                  <w:vMerge w:val="continue"/>
                  <w:noWrap w:val="0"/>
                  <w:vAlign w:val="center"/>
                </w:tcPr>
                <w:p>
                  <w:pPr>
                    <w:bidi w:val="0"/>
                    <w:spacing w:line="360" w:lineRule="auto"/>
                    <w:jc w:val="center"/>
                    <w:rPr>
                      <w:rFonts w:hint="default" w:ascii="Times New Roman" w:hAnsi="Times New Roman" w:eastAsia="宋体" w:cs="Times New Roman"/>
                      <w:color w:val="auto"/>
                      <w:kern w:val="0"/>
                      <w:sz w:val="21"/>
                      <w:szCs w:val="21"/>
                      <w:highlight w:val="none"/>
                      <w:u w:val="none"/>
                      <w:lang w:val="en-US" w:eastAsia="zh-CN" w:bidi="ar"/>
                    </w:rPr>
                  </w:pP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2</w:t>
            </w:r>
            <w:r>
              <w:rPr>
                <w:rFonts w:hint="eastAsia"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项目降噪措施</w:t>
            </w:r>
          </w:p>
          <w:p>
            <w:pPr>
              <w:pStyle w:val="39"/>
              <w:spacing w:before="4" w:line="360" w:lineRule="auto"/>
              <w:ind w:left="108" w:right="86" w:firstLine="48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①合理布局：设备尽量远离厂房边界，并利用厂房墙体进行隔声。</w:t>
            </w:r>
          </w:p>
          <w:p>
            <w:pPr>
              <w:pStyle w:val="39"/>
              <w:spacing w:before="4" w:line="360" w:lineRule="auto"/>
              <w:ind w:left="108" w:right="86" w:firstLine="48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②选用低噪设备：充分选用先进的低噪设备，从声源上降低设备本身噪声；</w:t>
            </w:r>
          </w:p>
          <w:p>
            <w:pPr>
              <w:pStyle w:val="39"/>
              <w:spacing w:before="4" w:line="360" w:lineRule="auto"/>
              <w:ind w:left="108" w:right="86" w:firstLine="480"/>
              <w:jc w:val="both"/>
              <w:rPr>
                <w:rFonts w:hint="default"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③运营期加强设备维护，确保设备处于良好的运转状态，杜绝因设备不正常运转时产生的高噪声现象。</w:t>
            </w:r>
          </w:p>
          <w:p>
            <w:pPr>
              <w:pStyle w:val="39"/>
              <w:spacing w:before="4" w:line="360" w:lineRule="auto"/>
              <w:ind w:left="108" w:right="86" w:firstLine="480"/>
              <w:jc w:val="both"/>
              <w:rPr>
                <w:rFonts w:hint="eastAsia" w:ascii="Times New Roman" w:hAnsi="Times New Roman" w:eastAsia="宋体" w:cs="Times New Roman"/>
                <w:color w:val="auto"/>
                <w:kern w:val="2"/>
                <w:sz w:val="24"/>
                <w:szCs w:val="24"/>
                <w:highlight w:val="none"/>
                <w:u w:val="none"/>
                <w:lang w:val="en-US" w:eastAsia="zh-CN" w:bidi="ar-SA"/>
              </w:rPr>
            </w:pPr>
            <w:r>
              <w:rPr>
                <w:rFonts w:hint="default" w:ascii="Times New Roman" w:hAnsi="Times New Roman" w:eastAsia="宋体" w:cs="Times New Roman"/>
                <w:color w:val="auto"/>
                <w:kern w:val="2"/>
                <w:sz w:val="24"/>
                <w:szCs w:val="24"/>
                <w:highlight w:val="none"/>
                <w:u w:val="none"/>
                <w:lang w:val="en-US" w:eastAsia="zh-CN" w:bidi="ar-SA"/>
              </w:rPr>
              <w:t>④</w:t>
            </w:r>
            <w:r>
              <w:rPr>
                <w:rFonts w:hint="eastAsia" w:ascii="Times New Roman" w:hAnsi="Times New Roman" w:eastAsia="宋体" w:cs="Times New Roman"/>
                <w:color w:val="auto"/>
                <w:kern w:val="2"/>
                <w:sz w:val="24"/>
                <w:szCs w:val="24"/>
                <w:highlight w:val="none"/>
                <w:u w:val="none"/>
                <w:lang w:val="en-US" w:eastAsia="zh-CN" w:bidi="ar-SA"/>
              </w:rPr>
              <w:t>破碎车间设置在封闭厂房的封闭隔音房内，隔音房使用隔音材料建设；破碎设备与其他位置的刚性连接更换为软性连接。</w:t>
            </w:r>
          </w:p>
          <w:p>
            <w:pPr>
              <w:pStyle w:val="39"/>
              <w:spacing w:before="4" w:line="360" w:lineRule="auto"/>
              <w:ind w:left="108" w:right="86" w:firstLine="480"/>
              <w:jc w:val="both"/>
              <w:rPr>
                <w:rFonts w:hint="default" w:ascii="Times New Roman" w:hAnsi="Times New Roman" w:eastAsia="宋体" w:cs="Times New Roman"/>
                <w:color w:val="auto"/>
                <w:kern w:val="2"/>
                <w:sz w:val="24"/>
                <w:szCs w:val="24"/>
                <w:highlight w:val="none"/>
                <w:u w:val="none"/>
                <w:lang w:val="en-US" w:eastAsia="zh-CN" w:bidi="ar-SA"/>
              </w:rPr>
            </w:pPr>
            <w:r>
              <w:rPr>
                <w:rFonts w:hint="eastAsia" w:ascii="Times New Roman" w:hAnsi="Times New Roman" w:eastAsia="宋体" w:cs="Times New Roman"/>
                <w:color w:val="auto"/>
                <w:kern w:val="2"/>
                <w:sz w:val="24"/>
                <w:szCs w:val="24"/>
                <w:highlight w:val="none"/>
                <w:u w:val="none"/>
                <w:lang w:val="en-US" w:eastAsia="zh-CN" w:bidi="ar-SA"/>
              </w:rPr>
              <w:fldChar w:fldCharType="begin"/>
            </w:r>
            <w:r>
              <w:rPr>
                <w:rFonts w:hint="eastAsia" w:ascii="Times New Roman" w:hAnsi="Times New Roman" w:eastAsia="宋体" w:cs="Times New Roman"/>
                <w:color w:val="auto"/>
                <w:kern w:val="2"/>
                <w:sz w:val="24"/>
                <w:szCs w:val="24"/>
                <w:highlight w:val="none"/>
                <w:u w:val="none"/>
                <w:lang w:val="en-US" w:eastAsia="zh-CN" w:bidi="ar-SA"/>
              </w:rPr>
              <w:instrText xml:space="preserve"> = 5 \* GB3 \* MERGEFORMAT </w:instrText>
            </w:r>
            <w:r>
              <w:rPr>
                <w:rFonts w:hint="eastAsia" w:ascii="Times New Roman" w:hAnsi="Times New Roman" w:eastAsia="宋体" w:cs="Times New Roman"/>
                <w:color w:val="auto"/>
                <w:kern w:val="2"/>
                <w:sz w:val="24"/>
                <w:szCs w:val="24"/>
                <w:highlight w:val="none"/>
                <w:u w:val="none"/>
                <w:lang w:val="en-US" w:eastAsia="zh-CN" w:bidi="ar-SA"/>
              </w:rPr>
              <w:fldChar w:fldCharType="separate"/>
            </w:r>
            <w:r>
              <w:rPr>
                <w:rFonts w:hint="eastAsia" w:ascii="Times New Roman" w:hAnsi="Times New Roman" w:eastAsia="宋体" w:cs="Times New Roman"/>
                <w:color w:val="auto"/>
                <w:kern w:val="2"/>
                <w:sz w:val="24"/>
                <w:szCs w:val="24"/>
                <w:highlight w:val="none"/>
                <w:u w:val="none"/>
                <w:lang w:val="en-US" w:eastAsia="zh-CN" w:bidi="ar-SA"/>
              </w:rPr>
              <w:t>⑤</w:t>
            </w:r>
            <w:r>
              <w:rPr>
                <w:rFonts w:hint="eastAsia" w:ascii="Times New Roman" w:hAnsi="Times New Roman" w:eastAsia="宋体" w:cs="Times New Roman"/>
                <w:color w:val="auto"/>
                <w:kern w:val="2"/>
                <w:sz w:val="24"/>
                <w:szCs w:val="24"/>
                <w:highlight w:val="none"/>
                <w:u w:val="none"/>
                <w:lang w:val="en-US" w:eastAsia="zh-CN" w:bidi="ar-SA"/>
              </w:rPr>
              <w:fldChar w:fldCharType="end"/>
            </w:r>
            <w:r>
              <w:rPr>
                <w:rFonts w:hint="eastAsia" w:ascii="Times New Roman" w:hAnsi="Times New Roman" w:eastAsia="宋体" w:cs="Times New Roman"/>
                <w:color w:val="auto"/>
                <w:kern w:val="2"/>
                <w:sz w:val="24"/>
                <w:szCs w:val="24"/>
                <w:highlight w:val="none"/>
                <w:u w:val="none"/>
                <w:lang w:val="en-US" w:eastAsia="zh-CN" w:bidi="ar-SA"/>
              </w:rPr>
              <w:t>进料口及出料口设置为消声通道。</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3</w:t>
            </w:r>
            <w:r>
              <w:rPr>
                <w:rFonts w:hint="eastAsia" w:cs="Times New Roman"/>
                <w:color w:val="auto"/>
                <w:sz w:val="24"/>
                <w:szCs w:val="24"/>
                <w:highlight w:val="none"/>
                <w:lang w:eastAsia="zh-CN"/>
              </w:rPr>
              <w:t>）</w:t>
            </w:r>
            <w:r>
              <w:rPr>
                <w:rFonts w:hint="eastAsia" w:cs="Times New Roman"/>
                <w:color w:val="auto"/>
                <w:sz w:val="24"/>
                <w:szCs w:val="24"/>
                <w:highlight w:val="none"/>
                <w:lang w:val="en-US" w:eastAsia="zh-CN"/>
              </w:rPr>
              <w:t>噪声预测</w:t>
            </w:r>
          </w:p>
          <w:p>
            <w:pPr>
              <w:keepNext w:val="0"/>
              <w:keepLines w:val="0"/>
              <w:widowControl/>
              <w:suppressLineNumbers w:val="0"/>
              <w:spacing w:line="360" w:lineRule="auto"/>
              <w:ind w:firstLine="480" w:firstLineChars="200"/>
              <w:jc w:val="both"/>
            </w:pPr>
            <w:r>
              <w:rPr>
                <w:rFonts w:hint="eastAsia" w:ascii="Times New Roman" w:hAnsi="Times New Roman" w:eastAsia="宋体" w:cs="Times New Roman"/>
                <w:color w:val="auto"/>
                <w:kern w:val="2"/>
                <w:sz w:val="24"/>
                <w:szCs w:val="24"/>
                <w:highlight w:val="none"/>
                <w:u w:val="none"/>
                <w:lang w:val="en-US" w:eastAsia="zh-CN" w:bidi="ar-SA"/>
              </w:rPr>
              <w:t>根据工程分析提供的噪声源参数和有关设备的安装位置，采用点声源等距离衰减预测模型，参照气象条件修正值进行计算，并考虑多声源及声环境本底叠加。在室内的噪声源应考虑室内声压级分布和厂房隔声。根据《环境影响评价技术导则 声环境》（</w:t>
            </w:r>
            <w:r>
              <w:rPr>
                <w:rFonts w:hint="default" w:ascii="Times New Roman" w:hAnsi="Times New Roman" w:eastAsia="宋体" w:cs="Times New Roman"/>
                <w:color w:val="auto"/>
                <w:kern w:val="2"/>
                <w:sz w:val="24"/>
                <w:szCs w:val="24"/>
                <w:highlight w:val="none"/>
                <w:u w:val="none"/>
                <w:lang w:val="en-US" w:eastAsia="zh-CN" w:bidi="ar-SA"/>
              </w:rPr>
              <w:t>HJ2.4-2009</w:t>
            </w:r>
            <w:r>
              <w:rPr>
                <w:rFonts w:hint="eastAsia" w:ascii="Times New Roman" w:hAnsi="Times New Roman" w:eastAsia="宋体" w:cs="Times New Roman"/>
                <w:color w:val="auto"/>
                <w:kern w:val="2"/>
                <w:sz w:val="24"/>
                <w:szCs w:val="24"/>
                <w:highlight w:val="none"/>
                <w:u w:val="none"/>
                <w:lang w:val="en-US" w:eastAsia="zh-CN" w:bidi="ar-SA"/>
              </w:rPr>
              <w:t xml:space="preserve">）的技术要求，新建项目以工程噪声贡献值作为预测值，改扩建项目以工程噪声贡献值与背景值叠加后的后的声级为预测值，本项目为新建项目，即贡献值为预测值；其中项目生产区距离各厂界的距离分别为：北侧 </w:t>
            </w:r>
            <w:r>
              <w:rPr>
                <w:rFonts w:hint="default" w:ascii="Times New Roman" w:hAnsi="Times New Roman" w:eastAsia="宋体" w:cs="Times New Roman"/>
                <w:color w:val="auto"/>
                <w:kern w:val="2"/>
                <w:sz w:val="24"/>
                <w:szCs w:val="24"/>
                <w:highlight w:val="none"/>
                <w:u w:val="none"/>
                <w:lang w:val="en-US" w:eastAsia="zh-CN" w:bidi="ar-SA"/>
              </w:rPr>
              <w:t>1m</w:t>
            </w:r>
            <w:r>
              <w:rPr>
                <w:rFonts w:hint="eastAsia" w:ascii="Times New Roman" w:hAnsi="Times New Roman" w:eastAsia="宋体" w:cs="Times New Roman"/>
                <w:color w:val="auto"/>
                <w:kern w:val="2"/>
                <w:sz w:val="24"/>
                <w:szCs w:val="24"/>
                <w:highlight w:val="none"/>
                <w:u w:val="none"/>
                <w:lang w:val="en-US" w:eastAsia="zh-CN" w:bidi="ar-SA"/>
              </w:rPr>
              <w:t xml:space="preserve">，南侧 </w:t>
            </w:r>
            <w:r>
              <w:rPr>
                <w:rFonts w:hint="default" w:ascii="Times New Roman" w:hAnsi="Times New Roman" w:eastAsia="宋体" w:cs="Times New Roman"/>
                <w:color w:val="auto"/>
                <w:kern w:val="2"/>
                <w:sz w:val="24"/>
                <w:szCs w:val="24"/>
                <w:highlight w:val="none"/>
                <w:u w:val="none"/>
                <w:lang w:val="en-US" w:eastAsia="zh-CN" w:bidi="ar-SA"/>
              </w:rPr>
              <w:t>1m</w:t>
            </w:r>
            <w:r>
              <w:rPr>
                <w:rFonts w:hint="eastAsia" w:ascii="Times New Roman" w:hAnsi="Times New Roman" w:eastAsia="宋体" w:cs="Times New Roman"/>
                <w:color w:val="auto"/>
                <w:kern w:val="2"/>
                <w:sz w:val="24"/>
                <w:szCs w:val="24"/>
                <w:highlight w:val="none"/>
                <w:u w:val="none"/>
                <w:lang w:val="en-US" w:eastAsia="zh-CN" w:bidi="ar-SA"/>
              </w:rPr>
              <w:t xml:space="preserve">、东侧 </w:t>
            </w:r>
            <w:r>
              <w:rPr>
                <w:rFonts w:hint="default" w:ascii="Times New Roman" w:hAnsi="Times New Roman" w:eastAsia="宋体" w:cs="Times New Roman"/>
                <w:color w:val="auto"/>
                <w:kern w:val="2"/>
                <w:sz w:val="24"/>
                <w:szCs w:val="24"/>
                <w:highlight w:val="none"/>
                <w:u w:val="none"/>
                <w:lang w:val="en-US" w:eastAsia="zh-CN" w:bidi="ar-SA"/>
              </w:rPr>
              <w:t>1m</w:t>
            </w:r>
            <w:r>
              <w:rPr>
                <w:rFonts w:hint="eastAsia" w:ascii="Times New Roman" w:hAnsi="Times New Roman" w:eastAsia="宋体" w:cs="Times New Roman"/>
                <w:color w:val="auto"/>
                <w:kern w:val="2"/>
                <w:sz w:val="24"/>
                <w:szCs w:val="24"/>
                <w:highlight w:val="none"/>
                <w:u w:val="none"/>
                <w:lang w:val="en-US" w:eastAsia="zh-CN" w:bidi="ar-SA"/>
              </w:rPr>
              <w:t xml:space="preserve">、西侧 </w:t>
            </w:r>
            <w:r>
              <w:rPr>
                <w:rFonts w:hint="default" w:ascii="Times New Roman" w:hAnsi="Times New Roman" w:eastAsia="宋体" w:cs="Times New Roman"/>
                <w:color w:val="auto"/>
                <w:kern w:val="2"/>
                <w:sz w:val="24"/>
                <w:szCs w:val="24"/>
                <w:highlight w:val="none"/>
                <w:u w:val="none"/>
                <w:lang w:val="en-US" w:eastAsia="zh-CN" w:bidi="ar-SA"/>
              </w:rPr>
              <w:t>1m</w:t>
            </w:r>
            <w:r>
              <w:rPr>
                <w:rFonts w:hint="eastAsia" w:ascii="Times New Roman" w:hAnsi="Times New Roman" w:eastAsia="宋体" w:cs="Times New Roman"/>
                <w:color w:val="auto"/>
                <w:kern w:val="2"/>
                <w:sz w:val="24"/>
                <w:szCs w:val="24"/>
                <w:highlight w:val="none"/>
                <w:u w:val="none"/>
                <w:lang w:val="en-US" w:eastAsia="zh-CN" w:bidi="ar-SA"/>
              </w:rPr>
              <w:t>，利用上述的预测评价数学模型，将噪声源强、源强距离厂界距离等有关参数带入公式计算预测项目噪声源同时产生噪声的最不利情况下的厂界噪声，结果见下表。</w:t>
            </w:r>
            <w:r>
              <w:rPr>
                <w:rFonts w:hint="eastAsia" w:ascii="宋体" w:hAnsi="宋体" w:eastAsia="宋体" w:cs="宋体"/>
                <w:color w:val="000000"/>
                <w:kern w:val="0"/>
                <w:sz w:val="24"/>
                <w:szCs w:val="24"/>
                <w:lang w:val="en-US" w:eastAsia="zh-CN" w:bidi="ar"/>
              </w:rPr>
              <w:t xml:space="preserve"> </w:t>
            </w:r>
          </w:p>
          <w:p>
            <w:pPr>
              <w:keepNext w:val="0"/>
              <w:keepLines w:val="0"/>
              <w:widowControl/>
              <w:suppressLineNumbers w:val="0"/>
              <w:jc w:val="center"/>
              <w:rPr>
                <w:color w:val="auto"/>
                <w:highlight w:val="none"/>
              </w:rPr>
            </w:pPr>
            <w:r>
              <w:rPr>
                <w:rFonts w:hint="eastAsia" w:ascii="宋体" w:hAnsi="宋体" w:eastAsia="宋体" w:cs="宋体"/>
                <w:b/>
                <w:bCs/>
                <w:color w:val="auto"/>
                <w:kern w:val="0"/>
                <w:sz w:val="21"/>
                <w:szCs w:val="21"/>
                <w:highlight w:val="none"/>
                <w:lang w:val="en-US" w:eastAsia="zh-CN" w:bidi="ar"/>
              </w:rPr>
              <w:t xml:space="preserve">表 </w:t>
            </w:r>
            <w:r>
              <w:rPr>
                <w:rFonts w:hint="default" w:ascii="Times New Roman" w:hAnsi="Times New Roman" w:eastAsia="宋体" w:cs="Times New Roman"/>
                <w:b/>
                <w:bCs/>
                <w:color w:val="auto"/>
                <w:kern w:val="0"/>
                <w:sz w:val="21"/>
                <w:szCs w:val="21"/>
                <w:highlight w:val="none"/>
                <w:lang w:val="en-US" w:eastAsia="zh-CN" w:bidi="ar"/>
              </w:rPr>
              <w:t>4-</w:t>
            </w:r>
            <w:r>
              <w:rPr>
                <w:rFonts w:hint="eastAsia" w:ascii="Times New Roman" w:hAnsi="Times New Roman" w:eastAsia="宋体" w:cs="Times New Roman"/>
                <w:b/>
                <w:bCs/>
                <w:color w:val="auto"/>
                <w:kern w:val="0"/>
                <w:sz w:val="21"/>
                <w:szCs w:val="21"/>
                <w:highlight w:val="none"/>
                <w:lang w:val="en-US" w:eastAsia="zh-CN" w:bidi="ar"/>
              </w:rPr>
              <w:t>6</w:t>
            </w:r>
            <w:r>
              <w:rPr>
                <w:rFonts w:hint="default" w:ascii="Times New Roman" w:hAnsi="Times New Roman" w:eastAsia="宋体" w:cs="Times New Roman"/>
                <w:b/>
                <w:bCs/>
                <w:color w:val="auto"/>
                <w:kern w:val="0"/>
                <w:sz w:val="21"/>
                <w:szCs w:val="21"/>
                <w:highlight w:val="none"/>
                <w:lang w:val="en-US" w:eastAsia="zh-CN" w:bidi="ar"/>
              </w:rPr>
              <w:t xml:space="preserve"> </w:t>
            </w:r>
            <w:r>
              <w:rPr>
                <w:rFonts w:hint="eastAsia" w:ascii="宋体" w:hAnsi="宋体" w:eastAsia="宋体" w:cs="宋体"/>
                <w:b/>
                <w:bCs/>
                <w:color w:val="auto"/>
                <w:kern w:val="0"/>
                <w:sz w:val="21"/>
                <w:szCs w:val="21"/>
                <w:highlight w:val="none"/>
                <w:lang w:val="en-US" w:eastAsia="zh-CN" w:bidi="ar"/>
              </w:rPr>
              <w:t>项目建成后厂界噪声预测结果一览表</w:t>
            </w:r>
            <w:r>
              <w:rPr>
                <w:rFonts w:hint="default" w:ascii="Times New Roman" w:hAnsi="Times New Roman" w:eastAsia="宋体" w:cs="Times New Roman"/>
                <w:b/>
                <w:bCs/>
                <w:color w:val="auto"/>
                <w:kern w:val="0"/>
                <w:sz w:val="21"/>
                <w:szCs w:val="21"/>
                <w:highlight w:val="none"/>
                <w:lang w:val="en-US" w:eastAsia="zh-CN" w:bidi="ar"/>
              </w:rPr>
              <w:t xml:space="preserve"> </w:t>
            </w:r>
            <w:r>
              <w:rPr>
                <w:rFonts w:hint="eastAsia" w:ascii="宋体" w:hAnsi="宋体" w:eastAsia="宋体" w:cs="宋体"/>
                <w:b/>
                <w:bCs/>
                <w:color w:val="auto"/>
                <w:kern w:val="0"/>
                <w:sz w:val="21"/>
                <w:szCs w:val="21"/>
                <w:highlight w:val="none"/>
                <w:lang w:val="en-US" w:eastAsia="zh-CN" w:bidi="ar"/>
              </w:rPr>
              <w:t>单位：</w:t>
            </w:r>
            <w:r>
              <w:rPr>
                <w:rFonts w:hint="default" w:ascii="Times New Roman" w:hAnsi="Times New Roman" w:eastAsia="宋体" w:cs="Times New Roman"/>
                <w:b/>
                <w:bCs/>
                <w:color w:val="auto"/>
                <w:kern w:val="0"/>
                <w:sz w:val="21"/>
                <w:szCs w:val="21"/>
                <w:highlight w:val="none"/>
                <w:lang w:val="en-US" w:eastAsia="zh-CN" w:bidi="ar"/>
              </w:rPr>
              <w:t>dB(A)</w:t>
            </w:r>
          </w:p>
          <w:tbl>
            <w:tblPr>
              <w:tblStyle w:val="25"/>
              <w:tblW w:w="8301"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15" w:type="dxa"/>
                <w:left w:w="15" w:type="dxa"/>
                <w:bottom w:w="15" w:type="dxa"/>
                <w:right w:w="15" w:type="dxa"/>
              </w:tblCellMar>
            </w:tblPr>
            <w:tblGrid>
              <w:gridCol w:w="1744"/>
              <w:gridCol w:w="2147"/>
              <w:gridCol w:w="1692"/>
              <w:gridCol w:w="1525"/>
              <w:gridCol w:w="1193"/>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15" w:type="dxa"/>
                  <w:left w:w="15" w:type="dxa"/>
                  <w:bottom w:w="15" w:type="dxa"/>
                  <w:right w:w="15" w:type="dxa"/>
                </w:tblCellMar>
              </w:tblPrEx>
              <w:trPr>
                <w:trHeight w:val="390" w:hRule="atLeast"/>
                <w:jc w:val="center"/>
              </w:trPr>
              <w:tc>
                <w:tcPr>
                  <w:tcW w:w="1050"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color w:val="auto"/>
                      <w:sz w:val="21"/>
                      <w:szCs w:val="21"/>
                      <w:highlight w:val="none"/>
                    </w:rPr>
                  </w:pPr>
                  <w:r>
                    <w:rPr>
                      <w:rFonts w:hint="default"/>
                      <w:color w:val="auto"/>
                      <w:sz w:val="21"/>
                      <w:szCs w:val="21"/>
                      <w:highlight w:val="none"/>
                      <w:lang w:val="en-US" w:eastAsia="zh-CN"/>
                    </w:rPr>
                    <w:t>边界</w:t>
                  </w:r>
                </w:p>
              </w:tc>
              <w:tc>
                <w:tcPr>
                  <w:tcW w:w="1293"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highlight w:val="none"/>
                      <w:lang w:val="en-US" w:eastAsia="zh-CN"/>
                    </w:rPr>
                  </w:pPr>
                  <w:r>
                    <w:rPr>
                      <w:rFonts w:hint="default"/>
                      <w:color w:val="auto"/>
                      <w:sz w:val="21"/>
                      <w:szCs w:val="21"/>
                      <w:highlight w:val="none"/>
                      <w:lang w:val="en-US" w:eastAsia="zh-CN"/>
                    </w:rPr>
                    <w:t>与噪声源最近</w:t>
                  </w:r>
                </w:p>
                <w:p>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距离</w:t>
                  </w:r>
                </w:p>
              </w:tc>
              <w:tc>
                <w:tcPr>
                  <w:tcW w:w="1019" w:type="pct"/>
                  <w:vMerge w:val="restart"/>
                  <w:tcBorders>
                    <w:top w:val="single" w:color="000000" w:sz="4" w:space="0"/>
                    <w:left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贡献值</w:t>
                  </w:r>
                </w:p>
              </w:tc>
              <w:tc>
                <w:tcPr>
                  <w:tcW w:w="1636" w:type="pct"/>
                  <w:gridSpan w:val="2"/>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标准限值</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5" w:hRule="atLeast"/>
                <w:jc w:val="center"/>
              </w:trPr>
              <w:tc>
                <w:tcPr>
                  <w:tcW w:w="1050"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1293"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1019" w:type="pct"/>
                  <w:vMerge w:val="continue"/>
                  <w:tcBorders>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918"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昼间</w:t>
                  </w:r>
                </w:p>
              </w:tc>
              <w:tc>
                <w:tcPr>
                  <w:tcW w:w="717"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夜间</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90" w:hRule="atLeast"/>
                <w:jc w:val="center"/>
              </w:trPr>
              <w:tc>
                <w:tcPr>
                  <w:tcW w:w="10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东厂界</w:t>
                  </w:r>
                </w:p>
              </w:tc>
              <w:tc>
                <w:tcPr>
                  <w:tcW w:w="12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lm</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47.</w:t>
                  </w:r>
                  <w:r>
                    <w:rPr>
                      <w:rFonts w:hint="default"/>
                      <w:color w:val="auto"/>
                      <w:sz w:val="21"/>
                      <w:szCs w:val="21"/>
                      <w:highlight w:val="none"/>
                      <w:lang w:val="en-US" w:eastAsia="zh-CN"/>
                    </w:rPr>
                    <w:t>.</w:t>
                  </w:r>
                  <w:r>
                    <w:rPr>
                      <w:rFonts w:hint="eastAsia"/>
                      <w:color w:val="auto"/>
                      <w:sz w:val="21"/>
                      <w:szCs w:val="21"/>
                      <w:highlight w:val="none"/>
                      <w:lang w:val="en-US" w:eastAsia="zh-CN"/>
                    </w:rPr>
                    <w:t>8</w:t>
                  </w:r>
                </w:p>
              </w:tc>
              <w:tc>
                <w:tcPr>
                  <w:tcW w:w="918"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lang w:val="en-US"/>
                    </w:rPr>
                  </w:pPr>
                  <w:r>
                    <w:rPr>
                      <w:rFonts w:hint="default"/>
                      <w:color w:val="auto"/>
                      <w:sz w:val="21"/>
                      <w:szCs w:val="21"/>
                      <w:highlight w:val="none"/>
                      <w:lang w:val="en-US" w:eastAsia="zh-CN"/>
                    </w:rPr>
                    <w:t>6</w:t>
                  </w:r>
                  <w:r>
                    <w:rPr>
                      <w:rFonts w:hint="eastAsia"/>
                      <w:color w:val="auto"/>
                      <w:sz w:val="21"/>
                      <w:szCs w:val="21"/>
                      <w:highlight w:val="none"/>
                      <w:lang w:val="en-US" w:eastAsia="zh-CN"/>
                    </w:rPr>
                    <w:t>0</w:t>
                  </w:r>
                </w:p>
              </w:tc>
              <w:tc>
                <w:tcPr>
                  <w:tcW w:w="717" w:type="pct"/>
                  <w:vMerge w:val="restar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lang w:val="en-US"/>
                    </w:rPr>
                  </w:pPr>
                  <w:r>
                    <w:rPr>
                      <w:rFonts w:hint="default"/>
                      <w:color w:val="auto"/>
                      <w:sz w:val="21"/>
                      <w:szCs w:val="21"/>
                      <w:highlight w:val="none"/>
                      <w:lang w:val="en-US" w:eastAsia="zh-CN"/>
                    </w:rPr>
                    <w:t>5</w:t>
                  </w:r>
                  <w:r>
                    <w:rPr>
                      <w:rFonts w:hint="eastAsia"/>
                      <w:color w:val="auto"/>
                      <w:sz w:val="21"/>
                      <w:szCs w:val="21"/>
                      <w:highlight w:val="none"/>
                      <w:lang w:val="en-US" w:eastAsia="zh-CN"/>
                    </w:rPr>
                    <w:t>0</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5" w:hRule="atLeast"/>
                <w:jc w:val="center"/>
              </w:trPr>
              <w:tc>
                <w:tcPr>
                  <w:tcW w:w="10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南厂界</w:t>
                  </w:r>
                </w:p>
              </w:tc>
              <w:tc>
                <w:tcPr>
                  <w:tcW w:w="12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lm</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4</w:t>
                  </w:r>
                  <w:r>
                    <w:rPr>
                      <w:rFonts w:hint="default"/>
                      <w:color w:val="auto"/>
                      <w:sz w:val="21"/>
                      <w:szCs w:val="21"/>
                      <w:highlight w:val="none"/>
                      <w:lang w:val="en-US" w:eastAsia="zh-CN"/>
                    </w:rPr>
                    <w:t>6.</w:t>
                  </w:r>
                  <w:r>
                    <w:rPr>
                      <w:rFonts w:hint="eastAsia"/>
                      <w:color w:val="auto"/>
                      <w:sz w:val="21"/>
                      <w:szCs w:val="21"/>
                      <w:highlight w:val="none"/>
                      <w:lang w:val="en-US" w:eastAsia="zh-CN"/>
                    </w:rPr>
                    <w:t>5</w:t>
                  </w:r>
                </w:p>
              </w:tc>
              <w:tc>
                <w:tcPr>
                  <w:tcW w:w="91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71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5" w:hRule="atLeast"/>
                <w:jc w:val="center"/>
              </w:trPr>
              <w:tc>
                <w:tcPr>
                  <w:tcW w:w="10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西厂界</w:t>
                  </w:r>
                </w:p>
              </w:tc>
              <w:tc>
                <w:tcPr>
                  <w:tcW w:w="12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1m</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4</w:t>
                  </w:r>
                  <w:r>
                    <w:rPr>
                      <w:rFonts w:hint="default"/>
                      <w:color w:val="auto"/>
                      <w:sz w:val="21"/>
                      <w:szCs w:val="21"/>
                      <w:highlight w:val="none"/>
                      <w:lang w:val="en-US" w:eastAsia="zh-CN"/>
                    </w:rPr>
                    <w:t>7.</w:t>
                  </w:r>
                  <w:r>
                    <w:rPr>
                      <w:rFonts w:hint="eastAsia"/>
                      <w:color w:val="auto"/>
                      <w:sz w:val="21"/>
                      <w:szCs w:val="21"/>
                      <w:highlight w:val="none"/>
                      <w:lang w:val="en-US" w:eastAsia="zh-CN"/>
                    </w:rPr>
                    <w:t>8</w:t>
                  </w:r>
                </w:p>
              </w:tc>
              <w:tc>
                <w:tcPr>
                  <w:tcW w:w="91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71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15" w:type="dxa"/>
                  <w:left w:w="15" w:type="dxa"/>
                  <w:bottom w:w="15" w:type="dxa"/>
                  <w:right w:w="15" w:type="dxa"/>
                </w:tblCellMar>
              </w:tblPrEx>
              <w:trPr>
                <w:trHeight w:val="375" w:hRule="atLeast"/>
                <w:jc w:val="center"/>
              </w:trPr>
              <w:tc>
                <w:tcPr>
                  <w:tcW w:w="1050"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北厂界</w:t>
                  </w:r>
                </w:p>
              </w:tc>
              <w:tc>
                <w:tcPr>
                  <w:tcW w:w="1293"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default"/>
                      <w:color w:val="auto"/>
                      <w:sz w:val="21"/>
                      <w:szCs w:val="21"/>
                      <w:highlight w:val="none"/>
                      <w:lang w:val="en-US" w:eastAsia="zh-CN"/>
                    </w:rPr>
                    <w:t>lm</w:t>
                  </w:r>
                </w:p>
              </w:tc>
              <w:tc>
                <w:tcPr>
                  <w:tcW w:w="1019" w:type="pct"/>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r>
                    <w:rPr>
                      <w:rFonts w:hint="eastAsia"/>
                      <w:color w:val="auto"/>
                      <w:sz w:val="21"/>
                      <w:szCs w:val="21"/>
                      <w:highlight w:val="none"/>
                      <w:lang w:val="en-US" w:eastAsia="zh-CN"/>
                    </w:rPr>
                    <w:t>46</w:t>
                  </w:r>
                  <w:r>
                    <w:rPr>
                      <w:rFonts w:hint="default"/>
                      <w:color w:val="auto"/>
                      <w:sz w:val="21"/>
                      <w:szCs w:val="21"/>
                      <w:highlight w:val="none"/>
                      <w:lang w:val="en-US" w:eastAsia="zh-CN"/>
                    </w:rPr>
                    <w:t>.</w:t>
                  </w:r>
                  <w:r>
                    <w:rPr>
                      <w:rFonts w:hint="eastAsia"/>
                      <w:color w:val="auto"/>
                      <w:sz w:val="21"/>
                      <w:szCs w:val="21"/>
                      <w:highlight w:val="none"/>
                      <w:lang w:val="en-US" w:eastAsia="zh-CN"/>
                    </w:rPr>
                    <w:t>5</w:t>
                  </w:r>
                </w:p>
              </w:tc>
              <w:tc>
                <w:tcPr>
                  <w:tcW w:w="918"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c>
                <w:tcPr>
                  <w:tcW w:w="717" w:type="pct"/>
                  <w:vMerge w:val="continue"/>
                  <w:tcBorders>
                    <w:top w:val="single" w:color="000000" w:sz="4" w:space="0"/>
                    <w:left w:val="single" w:color="000000" w:sz="4" w:space="0"/>
                    <w:bottom w:val="single" w:color="000000" w:sz="4" w:space="0"/>
                    <w:right w:val="single" w:color="000000" w:sz="4" w:space="0"/>
                  </w:tcBorders>
                  <w:shd w:val="clear" w:color="auto" w:fill="auto"/>
                  <w:noWrap/>
                  <w:vAlign w:val="center"/>
                </w:tcPr>
                <w:p>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color w:val="auto"/>
                      <w:sz w:val="21"/>
                      <w:szCs w:val="21"/>
                      <w:highlight w:val="none"/>
                    </w:rPr>
                  </w:pPr>
                </w:p>
              </w:tc>
            </w:tr>
          </w:tbl>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rPr>
            </w:pPr>
            <w:r>
              <w:rPr>
                <w:rFonts w:hint="default" w:ascii="Times New Roman" w:hAnsi="Times New Roman" w:eastAsia="宋体" w:cs="Times New Roman"/>
                <w:color w:val="auto"/>
                <w:sz w:val="24"/>
                <w:szCs w:val="24"/>
                <w:highlight w:val="none"/>
                <w:u w:val="none"/>
              </w:rPr>
              <w:t>由预测结果可知，项目</w:t>
            </w:r>
            <w:r>
              <w:rPr>
                <w:rFonts w:hint="eastAsia" w:ascii="Times New Roman" w:hAnsi="Times New Roman" w:eastAsia="宋体" w:cs="Times New Roman"/>
                <w:color w:val="auto"/>
                <w:sz w:val="24"/>
                <w:szCs w:val="24"/>
                <w:highlight w:val="none"/>
                <w:u w:val="none"/>
                <w:lang w:eastAsia="zh-CN"/>
              </w:rPr>
              <w:t>厂界四至</w:t>
            </w:r>
            <w:r>
              <w:rPr>
                <w:rFonts w:hint="default" w:ascii="Times New Roman" w:hAnsi="Times New Roman" w:eastAsia="宋体" w:cs="Times New Roman"/>
                <w:color w:val="auto"/>
                <w:sz w:val="24"/>
                <w:szCs w:val="24"/>
                <w:highlight w:val="none"/>
                <w:u w:val="none"/>
              </w:rPr>
              <w:t>噪声贡献值</w:t>
            </w:r>
            <w:r>
              <w:rPr>
                <w:rFonts w:hint="eastAsia" w:ascii="Times New Roman" w:hAnsi="Times New Roman" w:eastAsia="宋体" w:cs="Times New Roman"/>
                <w:color w:val="auto"/>
                <w:sz w:val="24"/>
                <w:szCs w:val="24"/>
                <w:highlight w:val="none"/>
                <w:u w:val="none"/>
                <w:lang w:eastAsia="zh-CN"/>
              </w:rPr>
              <w:t>均</w:t>
            </w:r>
            <w:r>
              <w:rPr>
                <w:rFonts w:hint="default" w:ascii="Times New Roman" w:hAnsi="Times New Roman" w:eastAsia="宋体" w:cs="Times New Roman"/>
                <w:color w:val="auto"/>
                <w:sz w:val="24"/>
                <w:szCs w:val="24"/>
                <w:highlight w:val="none"/>
                <w:u w:val="none"/>
              </w:rPr>
              <w:t>满足《声环境质量标准》（GB3096-2008）中</w:t>
            </w:r>
            <w:r>
              <w:rPr>
                <w:rFonts w:hint="eastAsia" w:ascii="Times New Roman" w:hAnsi="Times New Roman" w:eastAsia="宋体" w:cs="Times New Roman"/>
                <w:color w:val="auto"/>
                <w:sz w:val="24"/>
                <w:szCs w:val="24"/>
                <w:highlight w:val="none"/>
                <w:u w:val="none"/>
                <w:lang w:val="en-US" w:eastAsia="zh-CN"/>
              </w:rPr>
              <w:t>2</w:t>
            </w:r>
            <w:r>
              <w:rPr>
                <w:rFonts w:hint="default" w:ascii="Times New Roman" w:hAnsi="Times New Roman" w:eastAsia="宋体" w:cs="Times New Roman"/>
                <w:color w:val="auto"/>
                <w:sz w:val="24"/>
                <w:szCs w:val="24"/>
                <w:highlight w:val="none"/>
                <w:u w:val="none"/>
              </w:rPr>
              <w:t>类标准</w:t>
            </w:r>
            <w:r>
              <w:rPr>
                <w:rFonts w:hint="eastAsia" w:ascii="Times New Roman" w:hAnsi="Times New Roman" w:eastAsia="宋体" w:cs="Times New Roman"/>
                <w:color w:val="auto"/>
                <w:sz w:val="24"/>
                <w:szCs w:val="24"/>
                <w:highlight w:val="none"/>
                <w:u w:val="none"/>
                <w:lang w:eastAsia="zh-CN"/>
              </w:rPr>
              <w:t>，</w:t>
            </w:r>
            <w:r>
              <w:rPr>
                <w:rFonts w:hint="default" w:ascii="Times New Roman" w:hAnsi="Times New Roman" w:eastAsia="宋体" w:cs="Times New Roman"/>
                <w:color w:val="auto"/>
                <w:sz w:val="24"/>
                <w:szCs w:val="24"/>
                <w:highlight w:val="none"/>
                <w:u w:val="none"/>
              </w:rPr>
              <w:t>因此项目设备噪声对周边环境影响不大。</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auto"/>
              <w:rPr>
                <w:rFonts w:hint="eastAsia"/>
                <w:color w:val="auto"/>
                <w:sz w:val="24"/>
                <w:szCs w:val="24"/>
                <w:highlight w:val="none"/>
                <w:u w:val="none"/>
                <w:lang w:eastAsia="zh-CN"/>
              </w:rPr>
            </w:pPr>
            <w:r>
              <w:rPr>
                <w:color w:val="auto"/>
                <w:sz w:val="24"/>
                <w:szCs w:val="24"/>
                <w:highlight w:val="none"/>
                <w:u w:val="none"/>
              </w:rPr>
              <w:fldChar w:fldCharType="begin"/>
            </w:r>
            <w:r>
              <w:rPr>
                <w:color w:val="auto"/>
                <w:sz w:val="24"/>
                <w:szCs w:val="24"/>
                <w:highlight w:val="none"/>
                <w:u w:val="none"/>
              </w:rPr>
              <w:instrText xml:space="preserve"> = 5 \* GB3 \* MERGEFORMAT </w:instrText>
            </w:r>
            <w:r>
              <w:rPr>
                <w:color w:val="auto"/>
                <w:sz w:val="24"/>
                <w:szCs w:val="24"/>
                <w:highlight w:val="none"/>
                <w:u w:val="none"/>
              </w:rPr>
              <w:fldChar w:fldCharType="separate"/>
            </w:r>
            <w:r>
              <w:rPr>
                <w:color w:val="auto"/>
                <w:sz w:val="24"/>
                <w:szCs w:val="24"/>
                <w:highlight w:val="none"/>
                <w:u w:val="none"/>
              </w:rPr>
              <w:t>⑤</w:t>
            </w:r>
            <w:r>
              <w:rPr>
                <w:color w:val="auto"/>
                <w:sz w:val="24"/>
                <w:szCs w:val="24"/>
                <w:highlight w:val="none"/>
                <w:u w:val="none"/>
              </w:rPr>
              <w:fldChar w:fldCharType="end"/>
            </w:r>
            <w:r>
              <w:rPr>
                <w:rFonts w:hint="eastAsia"/>
                <w:color w:val="auto"/>
                <w:sz w:val="24"/>
                <w:szCs w:val="24"/>
                <w:highlight w:val="none"/>
                <w:u w:val="none"/>
                <w:lang w:eastAsia="zh-CN"/>
              </w:rPr>
              <w:t>监测计划</w:t>
            </w:r>
          </w:p>
          <w:p>
            <w:pPr>
              <w:snapToGrid w:val="0"/>
              <w:spacing w:line="360" w:lineRule="auto"/>
              <w:ind w:firstLine="480" w:firstLineChars="200"/>
              <w:rPr>
                <w:rFonts w:hint="default"/>
                <w:color w:val="auto"/>
                <w:sz w:val="24"/>
                <w:szCs w:val="24"/>
                <w:highlight w:val="none"/>
                <w:u w:val="none"/>
                <w:lang w:eastAsia="zh-CN"/>
              </w:rPr>
            </w:pPr>
            <w:r>
              <w:rPr>
                <w:rFonts w:hint="default"/>
                <w:color w:val="auto"/>
                <w:sz w:val="24"/>
                <w:szCs w:val="24"/>
                <w:highlight w:val="none"/>
                <w:u w:val="none"/>
                <w:lang w:eastAsia="zh-CN"/>
              </w:rPr>
              <w:t>本项目夜间不生产，根据《排污单位自行监测技术指南 总则》（HJ 819-2017），本项目有噪声监测计划如下表。</w:t>
            </w:r>
          </w:p>
          <w:p>
            <w:pPr>
              <w:bidi w:val="0"/>
              <w:spacing w:line="360" w:lineRule="auto"/>
              <w:jc w:val="center"/>
              <w:rPr>
                <w:rFonts w:hint="default" w:ascii="Times New Roman" w:hAnsi="Times New Roman" w:eastAsia="宋体" w:cs="Times New Roman"/>
                <w:b/>
                <w:bCs/>
                <w:color w:val="auto"/>
                <w:sz w:val="21"/>
                <w:szCs w:val="21"/>
                <w:highlight w:val="none"/>
                <w:u w:val="none"/>
                <w:lang w:val="en-US" w:eastAsia="zh-CN"/>
              </w:rPr>
            </w:pPr>
            <w:r>
              <w:rPr>
                <w:rFonts w:hint="eastAsia" w:ascii="Times New Roman" w:hAnsi="Times New Roman" w:eastAsia="宋体" w:cs="Times New Roman"/>
                <w:b/>
                <w:bCs/>
                <w:color w:val="auto"/>
                <w:sz w:val="21"/>
                <w:szCs w:val="21"/>
                <w:highlight w:val="none"/>
                <w:u w:val="none"/>
                <w:lang w:val="en-US" w:eastAsia="zh-CN"/>
              </w:rPr>
              <w:t>表4-</w:t>
            </w:r>
            <w:r>
              <w:rPr>
                <w:rFonts w:hint="eastAsia" w:cs="Times New Roman"/>
                <w:b/>
                <w:bCs/>
                <w:color w:val="auto"/>
                <w:sz w:val="21"/>
                <w:szCs w:val="21"/>
                <w:highlight w:val="none"/>
                <w:u w:val="none"/>
                <w:lang w:val="en-US" w:eastAsia="zh-CN"/>
              </w:rPr>
              <w:t>7</w:t>
            </w:r>
            <w:r>
              <w:rPr>
                <w:rFonts w:hint="eastAsia" w:ascii="Times New Roman" w:hAnsi="Times New Roman" w:eastAsia="宋体" w:cs="Times New Roman"/>
                <w:b/>
                <w:bCs/>
                <w:color w:val="auto"/>
                <w:sz w:val="21"/>
                <w:szCs w:val="21"/>
                <w:highlight w:val="none"/>
                <w:u w:val="none"/>
                <w:lang w:val="en-US" w:eastAsia="zh-CN"/>
              </w:rPr>
              <w:t xml:space="preserve">  项目噪声监测计划表</w:t>
            </w:r>
          </w:p>
          <w:tbl>
            <w:tblPr>
              <w:tblStyle w:val="25"/>
              <w:tblW w:w="4998"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775"/>
              <w:gridCol w:w="1654"/>
              <w:gridCol w:w="1201"/>
              <w:gridCol w:w="3661"/>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b/>
                      <w:bCs/>
                      <w:color w:val="auto"/>
                      <w:sz w:val="21"/>
                      <w:szCs w:val="21"/>
                      <w:highlight w:val="none"/>
                      <w:u w:val="none"/>
                      <w:lang w:val="en-US" w:eastAsia="zh-CN"/>
                    </w:rPr>
                  </w:pPr>
                  <w:r>
                    <w:rPr>
                      <w:rFonts w:hint="eastAsia" w:ascii="宋体" w:hAnsi="宋体" w:eastAsia="宋体" w:cs="宋体"/>
                      <w:b/>
                      <w:bCs/>
                      <w:color w:val="auto"/>
                      <w:sz w:val="21"/>
                      <w:szCs w:val="21"/>
                      <w:highlight w:val="none"/>
                      <w:u w:val="none"/>
                      <w:lang w:val="en-US" w:eastAsia="zh-CN"/>
                    </w:rPr>
                    <w:t>监测点位</w:t>
                  </w:r>
                </w:p>
              </w:tc>
              <w:tc>
                <w:tcPr>
                  <w:tcW w:w="997" w:type="pct"/>
                  <w:vAlign w:val="center"/>
                </w:tcPr>
                <w:p>
                  <w:pPr>
                    <w:pStyle w:val="36"/>
                    <w:bidi w:val="0"/>
                    <w:spacing w:line="360" w:lineRule="auto"/>
                    <w:jc w:val="center"/>
                    <w:rPr>
                      <w:rFonts w:hint="eastAsia" w:ascii="宋体" w:hAnsi="宋体" w:eastAsia="宋体" w:cs="宋体"/>
                      <w:b/>
                      <w:bCs/>
                      <w:color w:val="auto"/>
                      <w:sz w:val="21"/>
                      <w:szCs w:val="21"/>
                      <w:highlight w:val="none"/>
                      <w:u w:val="none"/>
                      <w:lang w:val="en-US" w:eastAsia="zh-CN"/>
                    </w:rPr>
                  </w:pPr>
                  <w:r>
                    <w:rPr>
                      <w:rFonts w:hint="eastAsia" w:ascii="宋体" w:hAnsi="宋体" w:eastAsia="宋体" w:cs="宋体"/>
                      <w:b/>
                      <w:bCs/>
                      <w:color w:val="auto"/>
                      <w:sz w:val="21"/>
                      <w:szCs w:val="21"/>
                      <w:highlight w:val="none"/>
                      <w:u w:val="none"/>
                      <w:lang w:val="en-US" w:eastAsia="zh-CN"/>
                    </w:rPr>
                    <w:t>监测内容</w:t>
                  </w:r>
                </w:p>
              </w:tc>
              <w:tc>
                <w:tcPr>
                  <w:tcW w:w="724" w:type="pct"/>
                  <w:vAlign w:val="center"/>
                </w:tcPr>
                <w:p>
                  <w:pPr>
                    <w:pStyle w:val="36"/>
                    <w:bidi w:val="0"/>
                    <w:spacing w:line="360" w:lineRule="auto"/>
                    <w:jc w:val="center"/>
                    <w:rPr>
                      <w:rFonts w:hint="eastAsia" w:ascii="宋体" w:hAnsi="宋体" w:eastAsia="宋体" w:cs="宋体"/>
                      <w:b/>
                      <w:bCs/>
                      <w:color w:val="auto"/>
                      <w:sz w:val="21"/>
                      <w:szCs w:val="21"/>
                      <w:highlight w:val="none"/>
                      <w:u w:val="none"/>
                      <w:lang w:val="en-US" w:eastAsia="zh-CN"/>
                    </w:rPr>
                  </w:pPr>
                  <w:r>
                    <w:rPr>
                      <w:rFonts w:hint="eastAsia" w:ascii="宋体" w:hAnsi="宋体" w:eastAsia="宋体" w:cs="宋体"/>
                      <w:b/>
                      <w:bCs/>
                      <w:color w:val="auto"/>
                      <w:sz w:val="21"/>
                      <w:szCs w:val="21"/>
                      <w:highlight w:val="none"/>
                      <w:u w:val="none"/>
                      <w:lang w:val="en-US" w:eastAsia="zh-CN"/>
                    </w:rPr>
                    <w:t>监测频次</w:t>
                  </w:r>
                </w:p>
              </w:tc>
              <w:tc>
                <w:tcPr>
                  <w:tcW w:w="2207" w:type="pct"/>
                  <w:vAlign w:val="center"/>
                </w:tcPr>
                <w:p>
                  <w:pPr>
                    <w:pStyle w:val="36"/>
                    <w:bidi w:val="0"/>
                    <w:spacing w:line="360" w:lineRule="auto"/>
                    <w:jc w:val="center"/>
                    <w:rPr>
                      <w:rFonts w:hint="eastAsia" w:ascii="宋体" w:hAnsi="宋体" w:eastAsia="宋体" w:cs="宋体"/>
                      <w:b/>
                      <w:bCs/>
                      <w:color w:val="auto"/>
                      <w:sz w:val="21"/>
                      <w:szCs w:val="21"/>
                      <w:highlight w:val="none"/>
                      <w:u w:val="none"/>
                      <w:lang w:val="en-US" w:eastAsia="zh-CN"/>
                    </w:rPr>
                  </w:pPr>
                  <w:r>
                    <w:rPr>
                      <w:rFonts w:hint="eastAsia" w:ascii="宋体" w:hAnsi="宋体" w:eastAsia="宋体" w:cs="宋体"/>
                      <w:b/>
                      <w:bCs/>
                      <w:color w:val="auto"/>
                      <w:sz w:val="21"/>
                      <w:szCs w:val="21"/>
                      <w:highlight w:val="none"/>
                      <w:u w:val="none"/>
                      <w:lang w:val="en-US" w:eastAsia="zh-CN"/>
                    </w:rPr>
                    <w:t>执行标准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厂界东1m处</w:t>
                  </w:r>
                </w:p>
              </w:tc>
              <w:tc>
                <w:tcPr>
                  <w:tcW w:w="997" w:type="pct"/>
                  <w:vMerge w:val="restar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昼间等效 A 声级</w:t>
                  </w:r>
                </w:p>
              </w:tc>
              <w:tc>
                <w:tcPr>
                  <w:tcW w:w="724" w:type="pct"/>
                  <w:vMerge w:val="restar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1次/季</w:t>
                  </w:r>
                </w:p>
              </w:tc>
              <w:tc>
                <w:tcPr>
                  <w:tcW w:w="2207" w:type="pct"/>
                  <w:vMerge w:val="restar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《工业企业厂界环境噪声排放标准》</w:t>
                  </w:r>
                </w:p>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（GB12348-2008）2 类标准</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厂界南1m处</w:t>
                  </w:r>
                </w:p>
              </w:tc>
              <w:tc>
                <w:tcPr>
                  <w:tcW w:w="99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724"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220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厂界西1m处</w:t>
                  </w:r>
                </w:p>
              </w:tc>
              <w:tc>
                <w:tcPr>
                  <w:tcW w:w="99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724"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220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eastAsia="宋体" w:cs="宋体"/>
                      <w:color w:val="auto"/>
                      <w:sz w:val="21"/>
                      <w:szCs w:val="21"/>
                      <w:highlight w:val="none"/>
                      <w:u w:val="none"/>
                      <w:lang w:val="en-US" w:eastAsia="zh-CN"/>
                    </w:rPr>
                    <w:t>厂界北1m处</w:t>
                  </w:r>
                </w:p>
              </w:tc>
              <w:tc>
                <w:tcPr>
                  <w:tcW w:w="99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724"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220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27" w:hRule="atLeast"/>
              </w:trPr>
              <w:tc>
                <w:tcPr>
                  <w:tcW w:w="1070" w:type="pct"/>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r>
                    <w:rPr>
                      <w:rFonts w:hint="eastAsia" w:ascii="宋体" w:hAnsi="宋体" w:cs="宋体"/>
                      <w:color w:val="auto"/>
                      <w:kern w:val="0"/>
                      <w:sz w:val="20"/>
                      <w:szCs w:val="20"/>
                      <w:highlight w:val="none"/>
                      <w:u w:val="none"/>
                      <w:lang w:val="en-US" w:eastAsia="zh-CN" w:bidi="ar"/>
                    </w:rPr>
                    <w:t>50</w:t>
                  </w:r>
                  <w:r>
                    <w:rPr>
                      <w:rFonts w:hint="eastAsia" w:ascii="宋体" w:hAnsi="宋体" w:cs="宋体"/>
                      <w:color w:val="auto"/>
                      <w:kern w:val="0"/>
                      <w:sz w:val="20"/>
                      <w:szCs w:val="20"/>
                      <w:highlight w:val="none"/>
                      <w:u w:val="none"/>
                      <w:lang w:bidi="ar"/>
                    </w:rPr>
                    <w:t>米</w:t>
                  </w:r>
                  <w:r>
                    <w:rPr>
                      <w:rFonts w:hint="eastAsia" w:ascii="宋体" w:hAnsi="宋体" w:cs="宋体"/>
                      <w:color w:val="auto"/>
                      <w:kern w:val="0"/>
                      <w:sz w:val="20"/>
                      <w:szCs w:val="20"/>
                      <w:highlight w:val="none"/>
                      <w:u w:val="none"/>
                      <w:lang w:val="en-US" w:eastAsia="zh-CN" w:bidi="ar"/>
                    </w:rPr>
                    <w:t>范围内</w:t>
                  </w:r>
                  <w:r>
                    <w:rPr>
                      <w:rFonts w:hint="eastAsia" w:ascii="宋体" w:hAnsi="宋体" w:cs="宋体"/>
                      <w:color w:val="auto"/>
                      <w:kern w:val="0"/>
                      <w:sz w:val="20"/>
                      <w:szCs w:val="20"/>
                      <w:highlight w:val="none"/>
                      <w:u w:val="none"/>
                      <w:lang w:bidi="ar"/>
                    </w:rPr>
                    <w:t>居民点</w:t>
                  </w:r>
                </w:p>
              </w:tc>
              <w:tc>
                <w:tcPr>
                  <w:tcW w:w="99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724"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c>
                <w:tcPr>
                  <w:tcW w:w="2207" w:type="pct"/>
                  <w:vMerge w:val="continue"/>
                  <w:vAlign w:val="center"/>
                </w:tcPr>
                <w:p>
                  <w:pPr>
                    <w:pStyle w:val="36"/>
                    <w:bidi w:val="0"/>
                    <w:spacing w:line="360" w:lineRule="auto"/>
                    <w:jc w:val="center"/>
                    <w:rPr>
                      <w:rFonts w:hint="eastAsia" w:ascii="宋体" w:hAnsi="宋体" w:eastAsia="宋体" w:cs="宋体"/>
                      <w:color w:val="auto"/>
                      <w:sz w:val="21"/>
                      <w:szCs w:val="21"/>
                      <w:highlight w:val="none"/>
                      <w:u w:val="none"/>
                      <w:lang w:val="en-US" w:eastAsia="zh-CN"/>
                    </w:rPr>
                  </w:pPr>
                </w:p>
              </w:tc>
            </w:tr>
          </w:tbl>
          <w:p>
            <w:pPr>
              <w:keepNext w:val="0"/>
              <w:keepLines w:val="0"/>
              <w:widowControl/>
              <w:suppressLineNumbers w:val="0"/>
              <w:spacing w:line="360" w:lineRule="auto"/>
              <w:jc w:val="both"/>
              <w:rPr>
                <w:color w:val="auto"/>
                <w:highlight w:val="none"/>
                <w:u w:val="none"/>
              </w:rPr>
            </w:pPr>
            <w:r>
              <w:rPr>
                <w:rFonts w:hint="default" w:ascii="Times New Roman" w:hAnsi="Times New Roman" w:eastAsia="宋体" w:cs="Times New Roman"/>
                <w:b/>
                <w:bCs/>
                <w:color w:val="auto"/>
                <w:kern w:val="0"/>
                <w:sz w:val="24"/>
                <w:szCs w:val="24"/>
                <w:highlight w:val="none"/>
                <w:u w:val="none"/>
                <w:lang w:val="en-US" w:eastAsia="zh-CN" w:bidi="ar"/>
              </w:rPr>
              <w:t>4</w:t>
            </w:r>
            <w:r>
              <w:rPr>
                <w:rFonts w:hint="eastAsia" w:ascii="宋体" w:hAnsi="宋体" w:eastAsia="宋体" w:cs="宋体"/>
                <w:b/>
                <w:bCs/>
                <w:color w:val="auto"/>
                <w:kern w:val="0"/>
                <w:sz w:val="24"/>
                <w:szCs w:val="24"/>
                <w:highlight w:val="none"/>
                <w:u w:val="none"/>
                <w:lang w:val="en-US" w:eastAsia="zh-CN" w:bidi="ar"/>
              </w:rPr>
              <w:t xml:space="preserve">、固废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本项目营运期过程中，会产生一定量的一般工业固体废物（沉淀池污泥、废标签、栅渣、分拣杂物）、危险废物（隔油池废油、废机油）。 </w:t>
            </w:r>
          </w:p>
          <w:p>
            <w:pPr>
              <w:keepNext w:val="0"/>
              <w:keepLines w:val="0"/>
              <w:widowControl/>
              <w:suppressLineNumbers w:val="0"/>
              <w:spacing w:line="360" w:lineRule="auto"/>
              <w:ind w:firstLine="480" w:firstLineChars="200"/>
              <w:jc w:val="both"/>
              <w:rPr>
                <w:color w:val="auto"/>
                <w:highlight w:val="none"/>
              </w:rPr>
            </w:pPr>
            <w:r>
              <w:rPr>
                <w:rFonts w:hint="eastAsia"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 xml:space="preserve">生活垃圾 </w:t>
            </w:r>
          </w:p>
          <w:p>
            <w:pPr>
              <w:keepNext w:val="0"/>
              <w:keepLines w:val="0"/>
              <w:widowControl/>
              <w:suppressLineNumbers w:val="0"/>
              <w:spacing w:line="360" w:lineRule="auto"/>
              <w:ind w:firstLine="480" w:firstLineChars="200"/>
              <w:jc w:val="both"/>
              <w:rPr>
                <w:rFonts w:hint="default" w:ascii="Times New Roman" w:hAnsi="Times New Roman" w:cs="Times New Roman"/>
                <w:color w:val="auto"/>
                <w:highlight w:val="none"/>
              </w:rPr>
            </w:pPr>
            <w:r>
              <w:rPr>
                <w:rFonts w:hint="default" w:ascii="Times New Roman" w:hAnsi="Times New Roman" w:eastAsia="宋体" w:cs="Times New Roman"/>
                <w:color w:val="auto"/>
                <w:kern w:val="0"/>
                <w:sz w:val="24"/>
                <w:szCs w:val="24"/>
                <w:highlight w:val="none"/>
                <w:lang w:val="en-US" w:eastAsia="zh-CN" w:bidi="ar"/>
              </w:rPr>
              <w:t xml:space="preserve">根据建设方提供的资料，本项目生活垃圾产生按 0.5kg/（人·d）计，厂区共有员工 </w:t>
            </w:r>
            <w:r>
              <w:rPr>
                <w:rFonts w:hint="default" w:ascii="Times New Roman" w:hAnsi="Times New Roman" w:cs="Times New Roman"/>
                <w:color w:val="auto"/>
                <w:kern w:val="0"/>
                <w:sz w:val="24"/>
                <w:szCs w:val="24"/>
                <w:highlight w:val="none"/>
                <w:lang w:val="en-US" w:eastAsia="zh-CN" w:bidi="ar"/>
              </w:rPr>
              <w:t>20</w:t>
            </w:r>
            <w:r>
              <w:rPr>
                <w:rFonts w:hint="default" w:ascii="Times New Roman" w:hAnsi="Times New Roman" w:eastAsia="宋体" w:cs="Times New Roman"/>
                <w:color w:val="auto"/>
                <w:kern w:val="0"/>
                <w:sz w:val="24"/>
                <w:szCs w:val="24"/>
                <w:highlight w:val="none"/>
                <w:lang w:val="en-US" w:eastAsia="zh-CN" w:bidi="ar"/>
              </w:rPr>
              <w:t xml:space="preserve"> 人，则生活垃圾产生量为 </w:t>
            </w:r>
            <w:r>
              <w:rPr>
                <w:rFonts w:hint="default" w:ascii="Times New Roman" w:hAnsi="Times New Roman" w:cs="Times New Roman"/>
                <w:color w:val="auto"/>
                <w:kern w:val="0"/>
                <w:sz w:val="24"/>
                <w:szCs w:val="24"/>
                <w:highlight w:val="none"/>
                <w:lang w:val="en-US" w:eastAsia="zh-CN" w:bidi="ar"/>
              </w:rPr>
              <w:t>10</w:t>
            </w:r>
            <w:r>
              <w:rPr>
                <w:rFonts w:hint="default" w:ascii="Times New Roman" w:hAnsi="Times New Roman" w:eastAsia="宋体" w:cs="Times New Roman"/>
                <w:color w:val="auto"/>
                <w:kern w:val="0"/>
                <w:sz w:val="24"/>
                <w:szCs w:val="24"/>
                <w:highlight w:val="none"/>
                <w:lang w:val="en-US" w:eastAsia="zh-CN" w:bidi="ar"/>
              </w:rPr>
              <w:t>kg/d（</w:t>
            </w:r>
            <w:r>
              <w:rPr>
                <w:rFonts w:hint="default" w:ascii="Times New Roman" w:hAnsi="Times New Roman" w:cs="Times New Roman"/>
                <w:color w:val="auto"/>
                <w:kern w:val="0"/>
                <w:sz w:val="24"/>
                <w:szCs w:val="24"/>
                <w:highlight w:val="none"/>
                <w:lang w:val="en-US" w:eastAsia="zh-CN" w:bidi="ar"/>
              </w:rPr>
              <w:t>3</w:t>
            </w:r>
            <w:r>
              <w:rPr>
                <w:rFonts w:hint="default" w:ascii="Times New Roman" w:hAnsi="Times New Roman" w:eastAsia="宋体" w:cs="Times New Roman"/>
                <w:color w:val="auto"/>
                <w:kern w:val="0"/>
                <w:sz w:val="24"/>
                <w:szCs w:val="24"/>
                <w:highlight w:val="none"/>
                <w:lang w:val="en-US" w:eastAsia="zh-CN" w:bidi="ar"/>
              </w:rPr>
              <w:t xml:space="preserve">t/a），经收集后交由环卫部门处理。 </w:t>
            </w:r>
          </w:p>
          <w:p>
            <w:pPr>
              <w:keepNext w:val="0"/>
              <w:keepLines w:val="0"/>
              <w:widowControl/>
              <w:suppressLineNumbers w:val="0"/>
              <w:spacing w:line="360" w:lineRule="auto"/>
              <w:ind w:firstLine="480" w:firstLineChars="200"/>
              <w:jc w:val="both"/>
              <w:rPr>
                <w:color w:val="auto"/>
                <w:highlight w:val="none"/>
              </w:rPr>
            </w:pPr>
            <w:r>
              <w:rPr>
                <w:rFonts w:hint="eastAsia" w:ascii="Times New Roman" w:hAnsi="Times New Roman" w:eastAsia="宋体" w:cs="Times New Roman"/>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 xml:space="preserve">生产固废 </w:t>
            </w:r>
          </w:p>
          <w:p>
            <w:pPr>
              <w:keepNext w:val="0"/>
              <w:keepLines w:val="0"/>
              <w:widowControl/>
              <w:suppressLineNumbers w:val="0"/>
              <w:spacing w:line="360" w:lineRule="auto"/>
              <w:ind w:firstLine="480" w:firstLineChars="200"/>
              <w:jc w:val="both"/>
              <w:rPr>
                <w:color w:val="auto"/>
                <w:highlight w:val="none"/>
              </w:rPr>
            </w:pPr>
            <w:r>
              <w:rPr>
                <w:rFonts w:hint="default" w:ascii="Times New Roman" w:hAnsi="Times New Roman" w:eastAsia="宋体" w:cs="Times New Roman"/>
                <w:color w:val="auto"/>
                <w:kern w:val="0"/>
                <w:sz w:val="24"/>
                <w:szCs w:val="24"/>
                <w:highlight w:val="none"/>
                <w:lang w:val="en-US" w:eastAsia="zh-CN" w:bidi="ar"/>
              </w:rPr>
              <w:t>1</w:t>
            </w:r>
            <w:r>
              <w:rPr>
                <w:rFonts w:hint="eastAsia" w:ascii="宋体" w:hAnsi="宋体" w:eastAsia="宋体" w:cs="宋体"/>
                <w:color w:val="auto"/>
                <w:kern w:val="0"/>
                <w:sz w:val="24"/>
                <w:szCs w:val="24"/>
                <w:highlight w:val="none"/>
                <w:lang w:val="en-US" w:eastAsia="zh-CN" w:bidi="ar"/>
              </w:rPr>
              <w:t xml:space="preserve">）分拣杂物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废塑料在分拣和分类过程中产生一定量的杂物，如废金属、废橡胶等，根据业主提供材料，分拣杂物约占原料的 </w:t>
            </w:r>
            <w:r>
              <w:rPr>
                <w:rFonts w:hint="default" w:ascii="Times New Roman" w:hAnsi="Times New Roman" w:eastAsia="宋体" w:cs="Times New Roman"/>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 xml:space="preserve">，即 </w:t>
            </w:r>
            <w:r>
              <w:rPr>
                <w:rFonts w:hint="eastAsia" w:ascii="Times New Roman" w:hAnsi="Times New Roman" w:eastAsia="宋体" w:cs="Times New Roman"/>
                <w:color w:val="auto"/>
                <w:kern w:val="0"/>
                <w:sz w:val="24"/>
                <w:szCs w:val="24"/>
                <w:highlight w:val="none"/>
                <w:lang w:val="en-US" w:eastAsia="zh-CN" w:bidi="ar"/>
              </w:rPr>
              <w:t>6</w:t>
            </w:r>
            <w:r>
              <w:rPr>
                <w:rFonts w:hint="default" w:ascii="Times New Roman" w:hAnsi="Times New Roman" w:eastAsia="宋体" w:cs="Times New Roman"/>
                <w:color w:val="auto"/>
                <w:kern w:val="0"/>
                <w:sz w:val="24"/>
                <w:szCs w:val="24"/>
                <w:highlight w:val="none"/>
                <w:lang w:val="en-US" w:eastAsia="zh-CN" w:bidi="ar"/>
              </w:rPr>
              <w:t>0t/a</w:t>
            </w:r>
            <w:r>
              <w:rPr>
                <w:rFonts w:hint="eastAsia" w:ascii="宋体" w:hAnsi="宋体" w:eastAsia="宋体" w:cs="宋体"/>
                <w:color w:val="auto"/>
                <w:kern w:val="0"/>
                <w:sz w:val="24"/>
                <w:szCs w:val="24"/>
                <w:highlight w:val="none"/>
                <w:lang w:val="en-US" w:eastAsia="zh-CN" w:bidi="ar"/>
              </w:rPr>
              <w:t xml:space="preserve">，分类集中收集后统一由废品回收公司处理。 </w:t>
            </w:r>
          </w:p>
          <w:p>
            <w:pPr>
              <w:keepNext w:val="0"/>
              <w:keepLines w:val="0"/>
              <w:widowControl/>
              <w:suppressLineNumbers w:val="0"/>
              <w:spacing w:line="360" w:lineRule="auto"/>
              <w:ind w:firstLine="480" w:firstLineChars="200"/>
              <w:jc w:val="both"/>
              <w:rPr>
                <w:color w:val="auto"/>
                <w:highlight w:val="none"/>
              </w:rPr>
            </w:pPr>
            <w:r>
              <w:rPr>
                <w:rFonts w:hint="default" w:ascii="Times New Roman" w:hAnsi="Times New Roman" w:eastAsia="宋体" w:cs="Times New Roman"/>
                <w:color w:val="auto"/>
                <w:kern w:val="0"/>
                <w:sz w:val="24"/>
                <w:szCs w:val="24"/>
                <w:highlight w:val="none"/>
                <w:lang w:val="en-US" w:eastAsia="zh-CN" w:bidi="ar"/>
              </w:rPr>
              <w:t>2</w:t>
            </w:r>
            <w:r>
              <w:rPr>
                <w:rFonts w:hint="eastAsia" w:ascii="宋体" w:hAnsi="宋体" w:eastAsia="宋体" w:cs="宋体"/>
                <w:color w:val="auto"/>
                <w:kern w:val="0"/>
                <w:sz w:val="24"/>
                <w:szCs w:val="24"/>
                <w:highlight w:val="none"/>
                <w:lang w:val="en-US" w:eastAsia="zh-CN" w:bidi="ar"/>
              </w:rPr>
              <w:t xml:space="preserve">）栅渣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项目的栅渣主要产生于污水处理过程中格栅及细筛网，主要成分有废纸屑、 </w:t>
            </w:r>
          </w:p>
          <w:p>
            <w:pPr>
              <w:keepNext w:val="0"/>
              <w:keepLines w:val="0"/>
              <w:widowControl/>
              <w:suppressLineNumbers w:val="0"/>
              <w:spacing w:line="360" w:lineRule="auto"/>
              <w:jc w:val="both"/>
              <w:rPr>
                <w:color w:val="auto"/>
                <w:highlight w:val="none"/>
              </w:rPr>
            </w:pPr>
            <w:r>
              <w:rPr>
                <w:rFonts w:hint="eastAsia" w:ascii="宋体" w:hAnsi="宋体" w:eastAsia="宋体" w:cs="宋体"/>
                <w:color w:val="auto"/>
                <w:kern w:val="0"/>
                <w:sz w:val="24"/>
                <w:szCs w:val="24"/>
                <w:highlight w:val="none"/>
                <w:lang w:val="en-US" w:eastAsia="zh-CN" w:bidi="ar"/>
              </w:rPr>
              <w:t>灰尘、泥沙、石子及其他杂物，根据建设单位提供资料，项目栅渣产生量约为</w:t>
            </w:r>
            <w:r>
              <w:rPr>
                <w:rFonts w:hint="eastAsia" w:ascii="宋体" w:hAnsi="宋体" w:cs="宋体"/>
                <w:color w:val="auto"/>
                <w:kern w:val="0"/>
                <w:sz w:val="24"/>
                <w:szCs w:val="24"/>
                <w:highlight w:val="none"/>
                <w:lang w:val="en-US" w:eastAsia="zh-CN" w:bidi="ar"/>
              </w:rPr>
              <w:t>2.5</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 xml:space="preserve">，集中收集后由环卫部门定期清运处置。 </w:t>
            </w:r>
          </w:p>
          <w:p>
            <w:pPr>
              <w:keepNext w:val="0"/>
              <w:keepLines w:val="0"/>
              <w:widowControl/>
              <w:suppressLineNumbers w:val="0"/>
              <w:spacing w:line="360" w:lineRule="auto"/>
              <w:ind w:firstLine="480" w:firstLineChars="200"/>
              <w:jc w:val="both"/>
              <w:rPr>
                <w:color w:val="auto"/>
                <w:highlight w:val="none"/>
              </w:rPr>
            </w:pPr>
            <w:r>
              <w:rPr>
                <w:rFonts w:hint="default" w:ascii="Times New Roman" w:hAnsi="Times New Roman" w:eastAsia="宋体" w:cs="Times New Roman"/>
                <w:color w:val="auto"/>
                <w:kern w:val="0"/>
                <w:sz w:val="24"/>
                <w:szCs w:val="24"/>
                <w:highlight w:val="none"/>
                <w:lang w:val="en-US" w:eastAsia="zh-CN" w:bidi="ar"/>
              </w:rPr>
              <w:t>3</w:t>
            </w:r>
            <w:r>
              <w:rPr>
                <w:rFonts w:hint="eastAsia" w:ascii="宋体" w:hAnsi="宋体" w:eastAsia="宋体" w:cs="宋体"/>
                <w:color w:val="auto"/>
                <w:kern w:val="0"/>
                <w:sz w:val="24"/>
                <w:szCs w:val="24"/>
                <w:highlight w:val="none"/>
                <w:lang w:val="en-US" w:eastAsia="zh-CN" w:bidi="ar"/>
              </w:rPr>
              <w:t xml:space="preserve">）废标签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项目在甩干脱水过程会产生破碎的废标签，主要成分为塑料，根据建设单位资料，项目废标签产生量为 </w:t>
            </w:r>
            <w:r>
              <w:rPr>
                <w:rFonts w:hint="eastAsia" w:ascii="宋体" w:hAnsi="宋体" w:cs="宋体"/>
                <w:color w:val="auto"/>
                <w:kern w:val="0"/>
                <w:sz w:val="24"/>
                <w:szCs w:val="24"/>
                <w:highlight w:val="none"/>
                <w:lang w:val="en-US" w:eastAsia="zh-CN" w:bidi="ar"/>
              </w:rPr>
              <w:t>1</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 xml:space="preserve">，集中收集后统一由废品回收公司处理。 </w:t>
            </w:r>
          </w:p>
          <w:p>
            <w:pPr>
              <w:keepNext w:val="0"/>
              <w:keepLines w:val="0"/>
              <w:widowControl/>
              <w:suppressLineNumbers w:val="0"/>
              <w:spacing w:line="360" w:lineRule="auto"/>
              <w:ind w:firstLine="480" w:firstLineChars="200"/>
              <w:jc w:val="both"/>
              <w:rPr>
                <w:rFonts w:hint="eastAsia" w:ascii="宋体" w:hAnsi="宋体" w:eastAsia="宋体" w:cs="宋体"/>
                <w:color w:val="auto"/>
                <w:kern w:val="0"/>
                <w:sz w:val="24"/>
                <w:szCs w:val="24"/>
                <w:highlight w:val="none"/>
                <w:lang w:val="en-US" w:eastAsia="zh-CN" w:bidi="ar"/>
              </w:rPr>
            </w:pPr>
            <w:r>
              <w:rPr>
                <w:rFonts w:hint="default" w:ascii="宋体" w:hAnsi="宋体" w:eastAsia="宋体" w:cs="宋体"/>
                <w:color w:val="auto"/>
                <w:kern w:val="0"/>
                <w:sz w:val="24"/>
                <w:szCs w:val="24"/>
                <w:highlight w:val="none"/>
                <w:lang w:val="en-US" w:eastAsia="zh-CN" w:bidi="ar"/>
              </w:rPr>
              <w:t>4</w:t>
            </w:r>
            <w:r>
              <w:rPr>
                <w:rFonts w:hint="eastAsia" w:ascii="宋体" w:hAnsi="宋体" w:eastAsia="宋体" w:cs="宋体"/>
                <w:color w:val="auto"/>
                <w:kern w:val="0"/>
                <w:sz w:val="24"/>
                <w:szCs w:val="24"/>
                <w:highlight w:val="none"/>
                <w:lang w:val="en-US" w:eastAsia="zh-CN" w:bidi="ar"/>
              </w:rPr>
              <w:t xml:space="preserve">）沉淀池污泥 </w:t>
            </w:r>
          </w:p>
          <w:p>
            <w:pPr>
              <w:keepNext w:val="0"/>
              <w:keepLines w:val="0"/>
              <w:widowControl/>
              <w:suppressLineNumbers w:val="0"/>
              <w:spacing w:line="360" w:lineRule="auto"/>
              <w:ind w:firstLine="480" w:firstLineChars="200"/>
              <w:jc w:val="both"/>
              <w:rPr>
                <w:rFonts w:hint="eastAsia" w:ascii="宋体" w:hAnsi="宋体" w:eastAsia="宋体" w:cs="宋体"/>
                <w:color w:val="auto"/>
                <w:kern w:val="0"/>
                <w:sz w:val="24"/>
                <w:szCs w:val="24"/>
                <w:highlight w:val="none"/>
                <w:lang w:val="en-US" w:eastAsia="zh-CN" w:bidi="ar"/>
              </w:rPr>
            </w:pPr>
            <w:r>
              <w:rPr>
                <w:rFonts w:hint="eastAsia" w:ascii="宋体" w:hAnsi="宋体" w:eastAsia="宋体" w:cs="宋体"/>
                <w:color w:val="auto"/>
                <w:kern w:val="0"/>
                <w:sz w:val="24"/>
                <w:szCs w:val="24"/>
                <w:highlight w:val="none"/>
                <w:lang w:val="en-US" w:eastAsia="zh-CN" w:bidi="ar"/>
              </w:rPr>
              <w:t>项目污泥产生量为 1</w:t>
            </w:r>
            <w:r>
              <w:rPr>
                <w:rFonts w:hint="default" w:ascii="宋体" w:hAnsi="宋体" w:eastAsia="宋体" w:cs="宋体"/>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，污泥经叠螺式污泥脱水机浓缩脱水后含水量约 7</w:t>
            </w:r>
            <w:r>
              <w:rPr>
                <w:rFonts w:hint="default" w:ascii="宋体" w:hAnsi="宋体" w:eastAsia="宋体" w:cs="宋体"/>
                <w:color w:val="auto"/>
                <w:kern w:val="0"/>
                <w:sz w:val="24"/>
                <w:szCs w:val="24"/>
                <w:highlight w:val="none"/>
                <w:lang w:val="en-US" w:eastAsia="zh-CN" w:bidi="ar"/>
              </w:rPr>
              <w:t>0%</w:t>
            </w:r>
            <w:r>
              <w:rPr>
                <w:rFonts w:hint="eastAsia" w:ascii="宋体" w:hAnsi="宋体" w:eastAsia="宋体" w:cs="宋体"/>
                <w:color w:val="auto"/>
                <w:kern w:val="0"/>
                <w:sz w:val="24"/>
                <w:szCs w:val="24"/>
                <w:highlight w:val="none"/>
                <w:lang w:val="en-US" w:eastAsia="zh-CN" w:bidi="ar"/>
              </w:rPr>
              <w:t xml:space="preserve">，集中收集后，运至华容县鼎山无害化垃圾处理场安全填埋。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本环评要求项目产生的污泥应做到做到日产日清，如需要设置污泥存储间或者临时堆放场，应做好防风、防雨、防渗的处理。 </w:t>
            </w:r>
          </w:p>
          <w:p>
            <w:pPr>
              <w:keepNext w:val="0"/>
              <w:keepLines w:val="0"/>
              <w:widowControl/>
              <w:suppressLineNumbers w:val="0"/>
              <w:spacing w:line="360" w:lineRule="auto"/>
              <w:ind w:firstLine="480" w:firstLineChars="200"/>
              <w:jc w:val="both"/>
              <w:rPr>
                <w:color w:val="auto"/>
                <w:highlight w:val="none"/>
              </w:rPr>
            </w:pPr>
            <w:r>
              <w:rPr>
                <w:rFonts w:hint="default" w:ascii="Times New Roman" w:hAnsi="Times New Roman" w:eastAsia="宋体" w:cs="Times New Roman"/>
                <w:color w:val="auto"/>
                <w:kern w:val="0"/>
                <w:sz w:val="24"/>
                <w:szCs w:val="24"/>
                <w:highlight w:val="none"/>
                <w:lang w:val="en-US" w:eastAsia="zh-CN" w:bidi="ar"/>
              </w:rPr>
              <w:t>5</w:t>
            </w:r>
            <w:r>
              <w:rPr>
                <w:rFonts w:hint="eastAsia" w:ascii="宋体" w:hAnsi="宋体" w:eastAsia="宋体" w:cs="宋体"/>
                <w:color w:val="auto"/>
                <w:kern w:val="0"/>
                <w:sz w:val="24"/>
                <w:szCs w:val="24"/>
                <w:highlight w:val="none"/>
                <w:lang w:val="en-US" w:eastAsia="zh-CN" w:bidi="ar"/>
              </w:rPr>
              <w:t xml:space="preserve">）隔油池产生的废油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由于本项目原料来源主要是生活源，不可避免，废塑料上可能夹杂着油类物 ，清洗后油类物质进入生产废水中。本项目生产废水进入隔油池处理后，隔油池会收集到废油。根据《国家危险废物名录（</w:t>
            </w:r>
            <w:r>
              <w:rPr>
                <w:rFonts w:hint="default" w:ascii="Times New Roman" w:hAnsi="Times New Roman" w:eastAsia="宋体" w:cs="Times New Roman"/>
                <w:color w:val="auto"/>
                <w:kern w:val="0"/>
                <w:sz w:val="24"/>
                <w:szCs w:val="24"/>
                <w:highlight w:val="none"/>
                <w:lang w:val="en-US" w:eastAsia="zh-CN" w:bidi="ar"/>
              </w:rPr>
              <w:t xml:space="preserve">2021 </w:t>
            </w:r>
            <w:r>
              <w:rPr>
                <w:rFonts w:hint="eastAsia" w:ascii="宋体" w:hAnsi="宋体" w:eastAsia="宋体" w:cs="宋体"/>
                <w:color w:val="auto"/>
                <w:kern w:val="0"/>
                <w:sz w:val="24"/>
                <w:szCs w:val="24"/>
                <w:highlight w:val="none"/>
                <w:lang w:val="en-US" w:eastAsia="zh-CN" w:bidi="ar"/>
              </w:rPr>
              <w:t xml:space="preserve">年版）》，隔油池产生的废油属于 </w:t>
            </w:r>
            <w:r>
              <w:rPr>
                <w:rFonts w:hint="default" w:ascii="Times New Roman" w:hAnsi="Times New Roman" w:eastAsia="宋体" w:cs="Times New Roman"/>
                <w:color w:val="auto"/>
                <w:kern w:val="0"/>
                <w:sz w:val="24"/>
                <w:szCs w:val="24"/>
                <w:highlight w:val="none"/>
                <w:lang w:val="en-US" w:eastAsia="zh-CN" w:bidi="ar"/>
              </w:rPr>
              <w:t xml:space="preserve">HW08 </w:t>
            </w:r>
            <w:r>
              <w:rPr>
                <w:rFonts w:hint="eastAsia" w:ascii="宋体" w:hAnsi="宋体" w:eastAsia="宋体" w:cs="宋体"/>
                <w:color w:val="auto"/>
                <w:kern w:val="0"/>
                <w:sz w:val="24"/>
                <w:szCs w:val="24"/>
                <w:highlight w:val="none"/>
                <w:lang w:val="en-US" w:eastAsia="zh-CN" w:bidi="ar"/>
              </w:rPr>
              <w:t>废矿物油与含矿物油废物（</w:t>
            </w:r>
            <w:r>
              <w:rPr>
                <w:rFonts w:hint="default" w:ascii="Times New Roman" w:hAnsi="Times New Roman" w:eastAsia="宋体" w:cs="Times New Roman"/>
                <w:color w:val="auto"/>
                <w:kern w:val="0"/>
                <w:sz w:val="24"/>
                <w:szCs w:val="24"/>
                <w:highlight w:val="none"/>
                <w:lang w:val="en-US" w:eastAsia="zh-CN" w:bidi="ar"/>
              </w:rPr>
              <w:t xml:space="preserve">900-210-08 </w:t>
            </w:r>
            <w:r>
              <w:rPr>
                <w:rFonts w:hint="eastAsia" w:ascii="宋体" w:hAnsi="宋体" w:eastAsia="宋体" w:cs="宋体"/>
                <w:color w:val="auto"/>
                <w:kern w:val="0"/>
                <w:sz w:val="24"/>
                <w:szCs w:val="24"/>
                <w:highlight w:val="none"/>
                <w:lang w:val="en-US" w:eastAsia="zh-CN" w:bidi="ar"/>
              </w:rPr>
              <w:t>含油废水处理中隔油、气浮、 沉淀等处理过程中产生的浮油、浮渣和污泥</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不包括废水生化处理污泥</w:t>
            </w:r>
            <w:r>
              <w:rPr>
                <w:rFonts w:hint="default" w:ascii="Times New Roman" w:hAnsi="Times New Roman" w:eastAsia="宋体" w:cs="Times New Roman"/>
                <w:color w:val="auto"/>
                <w:kern w:val="0"/>
                <w:sz w:val="24"/>
                <w:szCs w:val="24"/>
                <w:highlight w:val="none"/>
                <w:lang w:val="en-US" w:eastAsia="zh-CN" w:bidi="ar"/>
              </w:rPr>
              <w:t>)</w:t>
            </w:r>
            <w:r>
              <w:rPr>
                <w:rFonts w:hint="eastAsia" w:ascii="宋体" w:hAnsi="宋体" w:eastAsia="宋体" w:cs="宋体"/>
                <w:color w:val="auto"/>
                <w:kern w:val="0"/>
                <w:sz w:val="24"/>
                <w:szCs w:val="24"/>
                <w:highlight w:val="none"/>
                <w:lang w:val="en-US" w:eastAsia="zh-CN" w:bidi="ar"/>
              </w:rPr>
              <w:t xml:space="preserve">）。 </w:t>
            </w:r>
          </w:p>
          <w:p>
            <w:pPr>
              <w:keepNext w:val="0"/>
              <w:keepLines w:val="0"/>
              <w:widowControl/>
              <w:suppressLineNumbers w:val="0"/>
              <w:spacing w:line="360" w:lineRule="auto"/>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经估算，本项目隔油池年产废油 </w:t>
            </w:r>
            <w:r>
              <w:rPr>
                <w:rFonts w:hint="default" w:ascii="Times New Roman" w:hAnsi="Times New Roman" w:eastAsia="宋体" w:cs="Times New Roman"/>
                <w:color w:val="auto"/>
                <w:kern w:val="0"/>
                <w:sz w:val="24"/>
                <w:szCs w:val="24"/>
                <w:highlight w:val="none"/>
                <w:lang w:val="en-US" w:eastAsia="zh-CN" w:bidi="ar"/>
              </w:rPr>
              <w:t>0.</w:t>
            </w:r>
            <w:r>
              <w:rPr>
                <w:rFonts w:hint="eastAsia" w:ascii="Times New Roman" w:hAnsi="Times New Roman" w:eastAsia="宋体" w:cs="Times New Roman"/>
                <w:color w:val="auto"/>
                <w:kern w:val="0"/>
                <w:sz w:val="24"/>
                <w:szCs w:val="24"/>
                <w:highlight w:val="none"/>
                <w:lang w:val="en-US" w:eastAsia="zh-CN" w:bidi="ar"/>
              </w:rPr>
              <w:t>02</w:t>
            </w:r>
            <w:r>
              <w:rPr>
                <w:rFonts w:hint="default" w:ascii="Times New Roman" w:hAnsi="Times New Roman" w:eastAsia="宋体" w:cs="Times New Roman"/>
                <w:color w:val="auto"/>
                <w:kern w:val="0"/>
                <w:sz w:val="24"/>
                <w:szCs w:val="24"/>
                <w:highlight w:val="none"/>
                <w:lang w:val="en-US" w:eastAsia="zh-CN" w:bidi="ar"/>
              </w:rPr>
              <w:t>t/a</w:t>
            </w:r>
            <w:r>
              <w:rPr>
                <w:rFonts w:hint="eastAsia" w:ascii="宋体" w:hAnsi="宋体" w:eastAsia="宋体" w:cs="宋体"/>
                <w:color w:val="auto"/>
                <w:kern w:val="0"/>
                <w:sz w:val="24"/>
                <w:szCs w:val="24"/>
                <w:highlight w:val="none"/>
                <w:lang w:val="en-US" w:eastAsia="zh-CN" w:bidi="ar"/>
              </w:rPr>
              <w:t xml:space="preserve">，桶装后暂存于危险废物暂存间，定期 </w:t>
            </w:r>
          </w:p>
          <w:p>
            <w:pPr>
              <w:keepNext w:val="0"/>
              <w:keepLines w:val="0"/>
              <w:widowControl/>
              <w:suppressLineNumbers w:val="0"/>
              <w:spacing w:line="360" w:lineRule="auto"/>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委托有相应危废资质的公司安全处置。 </w:t>
            </w:r>
          </w:p>
          <w:p>
            <w:pPr>
              <w:keepNext w:val="0"/>
              <w:keepLines w:val="0"/>
              <w:widowControl/>
              <w:suppressLineNumbers w:val="0"/>
              <w:spacing w:line="360" w:lineRule="auto"/>
              <w:ind w:firstLine="480" w:firstLineChars="200"/>
              <w:jc w:val="both"/>
              <w:rPr>
                <w:color w:val="auto"/>
                <w:highlight w:val="none"/>
              </w:rPr>
            </w:pPr>
            <w:r>
              <w:rPr>
                <w:rFonts w:hint="default" w:ascii="Times New Roman" w:hAnsi="Times New Roman" w:eastAsia="宋体" w:cs="Times New Roman"/>
                <w:color w:val="auto"/>
                <w:kern w:val="0"/>
                <w:sz w:val="24"/>
                <w:szCs w:val="24"/>
                <w:highlight w:val="none"/>
                <w:lang w:val="en-US" w:eastAsia="zh-CN" w:bidi="ar"/>
              </w:rPr>
              <w:t>6</w:t>
            </w:r>
            <w:r>
              <w:rPr>
                <w:rFonts w:hint="eastAsia" w:ascii="宋体" w:hAnsi="宋体" w:eastAsia="宋体" w:cs="宋体"/>
                <w:color w:val="auto"/>
                <w:kern w:val="0"/>
                <w:sz w:val="24"/>
                <w:szCs w:val="24"/>
                <w:highlight w:val="none"/>
                <w:lang w:val="en-US" w:eastAsia="zh-CN" w:bidi="ar"/>
              </w:rPr>
              <w:t xml:space="preserve">）废矿物油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本项目生产设备需要定期更换和添加润滑油，根据《国家危险废物名录（</w:t>
            </w:r>
            <w:r>
              <w:rPr>
                <w:rFonts w:hint="default" w:ascii="Times New Roman" w:hAnsi="Times New Roman" w:eastAsia="宋体" w:cs="Times New Roman"/>
                <w:color w:val="auto"/>
                <w:kern w:val="0"/>
                <w:sz w:val="24"/>
                <w:szCs w:val="24"/>
                <w:highlight w:val="none"/>
                <w:lang w:val="en-US" w:eastAsia="zh-CN" w:bidi="ar"/>
              </w:rPr>
              <w:t xml:space="preserve">2021 </w:t>
            </w:r>
            <w:r>
              <w:rPr>
                <w:rFonts w:hint="eastAsia" w:ascii="宋体" w:hAnsi="宋体" w:eastAsia="宋体" w:cs="宋体"/>
                <w:color w:val="auto"/>
                <w:kern w:val="0"/>
                <w:sz w:val="24"/>
                <w:szCs w:val="24"/>
                <w:highlight w:val="none"/>
                <w:lang w:val="en-US" w:eastAsia="zh-CN" w:bidi="ar"/>
              </w:rPr>
              <w:t xml:space="preserve">年版）》，废矿物油属于 </w:t>
            </w:r>
            <w:r>
              <w:rPr>
                <w:rFonts w:hint="default" w:ascii="Times New Roman" w:hAnsi="Times New Roman" w:eastAsia="宋体" w:cs="Times New Roman"/>
                <w:color w:val="auto"/>
                <w:kern w:val="0"/>
                <w:sz w:val="24"/>
                <w:szCs w:val="24"/>
                <w:highlight w:val="none"/>
                <w:lang w:val="en-US" w:eastAsia="zh-CN" w:bidi="ar"/>
              </w:rPr>
              <w:t xml:space="preserve">HW08 </w:t>
            </w:r>
            <w:r>
              <w:rPr>
                <w:rFonts w:hint="eastAsia" w:ascii="宋体" w:hAnsi="宋体" w:eastAsia="宋体" w:cs="宋体"/>
                <w:color w:val="auto"/>
                <w:kern w:val="0"/>
                <w:sz w:val="24"/>
                <w:szCs w:val="24"/>
                <w:highlight w:val="none"/>
                <w:lang w:val="en-US" w:eastAsia="zh-CN" w:bidi="ar"/>
              </w:rPr>
              <w:t>废矿物油与含矿物油废物（</w:t>
            </w:r>
            <w:r>
              <w:rPr>
                <w:rFonts w:hint="default" w:ascii="Times New Roman" w:hAnsi="Times New Roman" w:eastAsia="宋体" w:cs="Times New Roman"/>
                <w:color w:val="auto"/>
                <w:kern w:val="0"/>
                <w:sz w:val="24"/>
                <w:szCs w:val="24"/>
                <w:highlight w:val="none"/>
                <w:lang w:val="en-US" w:eastAsia="zh-CN" w:bidi="ar"/>
              </w:rPr>
              <w:t xml:space="preserve">900-217-08 </w:t>
            </w:r>
            <w:r>
              <w:rPr>
                <w:rFonts w:hint="eastAsia" w:ascii="宋体" w:hAnsi="宋体" w:eastAsia="宋体" w:cs="宋体"/>
                <w:color w:val="auto"/>
                <w:kern w:val="0"/>
                <w:sz w:val="24"/>
                <w:szCs w:val="24"/>
                <w:highlight w:val="none"/>
                <w:lang w:val="en-US" w:eastAsia="zh-CN" w:bidi="ar"/>
              </w:rPr>
              <w:t xml:space="preserve">使用工业齿轮油进行机械设备润滑过程中产生的废润滑油）。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经估算，预计年产废矿物油 </w:t>
            </w:r>
            <w:r>
              <w:rPr>
                <w:rFonts w:hint="default" w:ascii="Times New Roman" w:hAnsi="Times New Roman" w:eastAsia="宋体" w:cs="Times New Roman"/>
                <w:color w:val="auto"/>
                <w:kern w:val="0"/>
                <w:sz w:val="24"/>
                <w:szCs w:val="24"/>
                <w:highlight w:val="none"/>
                <w:lang w:val="en-US" w:eastAsia="zh-CN" w:bidi="ar"/>
              </w:rPr>
              <w:t>0.</w:t>
            </w:r>
            <w:r>
              <w:rPr>
                <w:rFonts w:hint="eastAsia" w:ascii="Times New Roman" w:hAnsi="Times New Roman" w:eastAsia="宋体" w:cs="Times New Roman"/>
                <w:color w:val="auto"/>
                <w:kern w:val="0"/>
                <w:sz w:val="24"/>
                <w:szCs w:val="24"/>
                <w:highlight w:val="none"/>
                <w:lang w:val="en-US" w:eastAsia="zh-CN" w:bidi="ar"/>
              </w:rPr>
              <w:t>05</w:t>
            </w:r>
            <w:r>
              <w:rPr>
                <w:rFonts w:hint="eastAsia" w:ascii="宋体" w:hAnsi="宋体" w:eastAsia="宋体" w:cs="宋体"/>
                <w:color w:val="auto"/>
                <w:kern w:val="0"/>
                <w:sz w:val="24"/>
                <w:szCs w:val="24"/>
                <w:highlight w:val="none"/>
                <w:lang w:val="en-US" w:eastAsia="zh-CN" w:bidi="ar"/>
              </w:rPr>
              <w:t xml:space="preserve">吨，使用防渗桶装后，分区暂存于危险废物暂存间，桶装后暂存于危险废物暂存间，定期委托有相应危废资质的公司安全处置。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 xml:space="preserve">（3）固体废物产生情况汇总 </w:t>
            </w:r>
          </w:p>
          <w:p>
            <w:pPr>
              <w:keepNext w:val="0"/>
              <w:keepLines w:val="0"/>
              <w:widowControl/>
              <w:suppressLineNumbers w:val="0"/>
              <w:spacing w:line="360" w:lineRule="auto"/>
              <w:ind w:firstLine="480" w:firstLineChars="200"/>
              <w:jc w:val="both"/>
              <w:rPr>
                <w:color w:val="auto"/>
                <w:highlight w:val="none"/>
              </w:rPr>
            </w:pPr>
            <w:r>
              <w:rPr>
                <w:rFonts w:hint="eastAsia" w:ascii="宋体" w:hAnsi="宋体" w:eastAsia="宋体" w:cs="宋体"/>
                <w:color w:val="auto"/>
                <w:kern w:val="0"/>
                <w:sz w:val="24"/>
                <w:szCs w:val="24"/>
                <w:highlight w:val="none"/>
                <w:lang w:val="en-US" w:eastAsia="zh-CN" w:bidi="ar"/>
              </w:rPr>
              <w:t>根据《国家危险废物名录》（</w:t>
            </w:r>
            <w:r>
              <w:rPr>
                <w:rFonts w:hint="default" w:ascii="Times New Roman" w:hAnsi="Times New Roman" w:eastAsia="宋体" w:cs="Times New Roman"/>
                <w:color w:val="auto"/>
                <w:kern w:val="0"/>
                <w:sz w:val="24"/>
                <w:szCs w:val="24"/>
                <w:highlight w:val="none"/>
                <w:lang w:val="en-US" w:eastAsia="zh-CN" w:bidi="ar"/>
              </w:rPr>
              <w:t xml:space="preserve">2021 </w:t>
            </w:r>
            <w:r>
              <w:rPr>
                <w:rFonts w:hint="eastAsia" w:ascii="宋体" w:hAnsi="宋体" w:eastAsia="宋体" w:cs="宋体"/>
                <w:color w:val="auto"/>
                <w:kern w:val="0"/>
                <w:sz w:val="24"/>
                <w:szCs w:val="24"/>
                <w:highlight w:val="none"/>
                <w:lang w:val="en-US" w:eastAsia="zh-CN" w:bidi="ar"/>
              </w:rPr>
              <w:t>年）以及危险废物鉴别标准，建设项目固体废物分析结果汇总如下表所示。</w:t>
            </w:r>
          </w:p>
          <w:p>
            <w:pPr>
              <w:bidi w:val="0"/>
              <w:spacing w:line="360" w:lineRule="auto"/>
              <w:jc w:val="center"/>
              <w:rPr>
                <w:rFonts w:hint="default"/>
                <w:b/>
                <w:bCs/>
                <w:color w:val="auto"/>
                <w:sz w:val="21"/>
                <w:szCs w:val="21"/>
                <w:highlight w:val="none"/>
                <w:u w:val="none"/>
                <w:lang w:val="en-US" w:eastAsia="zh-CN"/>
              </w:rPr>
            </w:pPr>
            <w:r>
              <w:rPr>
                <w:rFonts w:hint="default"/>
                <w:b/>
                <w:bCs/>
                <w:color w:val="auto"/>
                <w:sz w:val="21"/>
                <w:szCs w:val="21"/>
                <w:highlight w:val="none"/>
                <w:u w:val="none"/>
                <w:lang w:val="en-US" w:eastAsia="zh-CN"/>
              </w:rPr>
              <w:t>表4-</w:t>
            </w:r>
            <w:r>
              <w:rPr>
                <w:rFonts w:hint="eastAsia"/>
                <w:b/>
                <w:bCs/>
                <w:color w:val="auto"/>
                <w:sz w:val="21"/>
                <w:szCs w:val="21"/>
                <w:highlight w:val="none"/>
                <w:u w:val="none"/>
                <w:lang w:val="en-US" w:eastAsia="zh-CN"/>
              </w:rPr>
              <w:t>8</w:t>
            </w:r>
            <w:r>
              <w:rPr>
                <w:rFonts w:hint="default"/>
                <w:b/>
                <w:bCs/>
                <w:color w:val="auto"/>
                <w:sz w:val="21"/>
                <w:szCs w:val="21"/>
                <w:highlight w:val="none"/>
                <w:u w:val="none"/>
                <w:lang w:val="en-US" w:eastAsia="zh-CN"/>
              </w:rPr>
              <w:t xml:space="preserve">  本项目固体废物污染源源强核算结果及处置情况一览表</w:t>
            </w:r>
          </w:p>
          <w:tbl>
            <w:tblPr>
              <w:tblStyle w:val="25"/>
              <w:tblW w:w="4994" w:type="pct"/>
              <w:jc w:val="center"/>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Layout w:type="autofit"/>
              <w:tblCellMar>
                <w:top w:w="0" w:type="dxa"/>
                <w:left w:w="0" w:type="dxa"/>
                <w:bottom w:w="0" w:type="dxa"/>
                <w:right w:w="0" w:type="dxa"/>
              </w:tblCellMar>
            </w:tblPr>
            <w:tblGrid>
              <w:gridCol w:w="2117"/>
              <w:gridCol w:w="1841"/>
              <w:gridCol w:w="1404"/>
              <w:gridCol w:w="2927"/>
            </w:tblGrid>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12" w:hRule="atLeast"/>
                <w:jc w:val="center"/>
              </w:trPr>
              <w:tc>
                <w:tcPr>
                  <w:tcW w:w="1277" w:type="pct"/>
                  <w:vMerge w:val="restart"/>
                  <w:vAlign w:val="center"/>
                </w:tcPr>
                <w:p>
                  <w:pPr>
                    <w:pStyle w:val="36"/>
                    <w:bidi w:val="0"/>
                    <w:spacing w:line="360" w:lineRule="auto"/>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固体废物名称</w:t>
                  </w:r>
                </w:p>
              </w:tc>
              <w:tc>
                <w:tcPr>
                  <w:tcW w:w="1110" w:type="pct"/>
                  <w:vMerge w:val="restart"/>
                  <w:vAlign w:val="center"/>
                </w:tcPr>
                <w:p>
                  <w:pPr>
                    <w:pStyle w:val="36"/>
                    <w:bidi w:val="0"/>
                    <w:spacing w:line="360" w:lineRule="auto"/>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固废属性</w:t>
                  </w:r>
                </w:p>
              </w:tc>
              <w:tc>
                <w:tcPr>
                  <w:tcW w:w="847" w:type="pct"/>
                  <w:vMerge w:val="restart"/>
                  <w:vAlign w:val="center"/>
                </w:tcPr>
                <w:p>
                  <w:pPr>
                    <w:pStyle w:val="36"/>
                    <w:bidi w:val="0"/>
                    <w:spacing w:line="360" w:lineRule="auto"/>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产生量(t/a)</w:t>
                  </w:r>
                </w:p>
              </w:tc>
              <w:tc>
                <w:tcPr>
                  <w:tcW w:w="1765" w:type="pct"/>
                  <w:vMerge w:val="restart"/>
                  <w:vAlign w:val="center"/>
                </w:tcPr>
                <w:p>
                  <w:pPr>
                    <w:pStyle w:val="36"/>
                    <w:bidi w:val="0"/>
                    <w:spacing w:line="360" w:lineRule="auto"/>
                    <w:jc w:val="center"/>
                    <w:rPr>
                      <w:rFonts w:hint="default" w:ascii="Times New Roman" w:hAnsi="Times New Roman" w:cs="Times New Roman"/>
                      <w:b/>
                      <w:bCs/>
                      <w:color w:val="auto"/>
                      <w:sz w:val="21"/>
                      <w:szCs w:val="21"/>
                      <w:highlight w:val="none"/>
                      <w:u w:val="none"/>
                      <w:lang w:eastAsia="zh-CN"/>
                    </w:rPr>
                  </w:pPr>
                  <w:r>
                    <w:rPr>
                      <w:rFonts w:hint="default" w:ascii="Times New Roman" w:hAnsi="Times New Roman" w:cs="Times New Roman"/>
                      <w:b/>
                      <w:bCs/>
                      <w:color w:val="auto"/>
                      <w:sz w:val="21"/>
                      <w:szCs w:val="21"/>
                      <w:highlight w:val="none"/>
                      <w:u w:val="none"/>
                      <w:lang w:eastAsia="zh-CN"/>
                    </w:rPr>
                    <w:t>处置措施</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312" w:hRule="atLeast"/>
                <w:jc w:val="center"/>
              </w:trPr>
              <w:tc>
                <w:tcPr>
                  <w:tcW w:w="1277" w:type="pct"/>
                  <w:vMerge w:val="continue"/>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p>
              </w:tc>
              <w:tc>
                <w:tcPr>
                  <w:tcW w:w="1110" w:type="pct"/>
                  <w:vMerge w:val="continue"/>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p>
              </w:tc>
              <w:tc>
                <w:tcPr>
                  <w:tcW w:w="847" w:type="pct"/>
                  <w:vMerge w:val="continue"/>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p>
              </w:tc>
              <w:tc>
                <w:tcPr>
                  <w:tcW w:w="1765" w:type="pct"/>
                  <w:vMerge w:val="continue"/>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生活垃圾</w:t>
                  </w:r>
                </w:p>
              </w:tc>
              <w:tc>
                <w:tcPr>
                  <w:tcW w:w="1110" w:type="pct"/>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生活垃圾</w:t>
                  </w:r>
                </w:p>
              </w:tc>
              <w:tc>
                <w:tcPr>
                  <w:tcW w:w="847" w:type="pct"/>
                  <w:vAlign w:val="center"/>
                </w:tcPr>
                <w:p>
                  <w:pPr>
                    <w:pStyle w:val="36"/>
                    <w:bidi w:val="0"/>
                    <w:spacing w:line="36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3</w:t>
                  </w:r>
                </w:p>
              </w:tc>
              <w:tc>
                <w:tcPr>
                  <w:tcW w:w="1765" w:type="pct"/>
                  <w:vAlign w:val="center"/>
                </w:tcPr>
                <w:p>
                  <w:pPr>
                    <w:pStyle w:val="36"/>
                    <w:bidi w:val="0"/>
                    <w:spacing w:line="360" w:lineRule="auto"/>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交由环卫部门清运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default" w:ascii="Times New Roman" w:hAnsi="Times New Roman"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分拣杂物</w:t>
                  </w:r>
                </w:p>
              </w:tc>
              <w:tc>
                <w:tcPr>
                  <w:tcW w:w="1110" w:type="pct"/>
                  <w:vAlign w:val="center"/>
                </w:tcPr>
                <w:p>
                  <w:pPr>
                    <w:pStyle w:val="36"/>
                    <w:bidi w:val="0"/>
                    <w:spacing w:line="360" w:lineRule="auto"/>
                    <w:jc w:val="center"/>
                    <w:rPr>
                      <w:rFonts w:hint="default" w:ascii="Times New Roman" w:hAnsi="Times New Roman" w:cs="Times New Roman"/>
                      <w:color w:val="auto"/>
                      <w:sz w:val="21"/>
                      <w:szCs w:val="21"/>
                      <w:highlight w:val="none"/>
                      <w:u w:val="none"/>
                      <w:lang w:eastAsia="zh-CN"/>
                    </w:rPr>
                  </w:pPr>
                  <w:r>
                    <w:rPr>
                      <w:rFonts w:hint="eastAsia" w:cs="Times New Roman"/>
                      <w:color w:val="auto"/>
                      <w:sz w:val="21"/>
                      <w:szCs w:val="21"/>
                      <w:highlight w:val="none"/>
                      <w:u w:val="none"/>
                      <w:lang w:eastAsia="zh-CN"/>
                    </w:rPr>
                    <w:t>一般固废</w:t>
                  </w:r>
                </w:p>
              </w:tc>
              <w:tc>
                <w:tcPr>
                  <w:tcW w:w="847" w:type="pct"/>
                  <w:tcBorders>
                    <w:bottom w:val="single" w:color="auto" w:sz="4" w:space="0"/>
                  </w:tcBorders>
                  <w:vAlign w:val="center"/>
                </w:tcPr>
                <w:p>
                  <w:pPr>
                    <w:pStyle w:val="36"/>
                    <w:bidi w:val="0"/>
                    <w:spacing w:line="36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60</w:t>
                  </w:r>
                </w:p>
              </w:tc>
              <w:tc>
                <w:tcPr>
                  <w:tcW w:w="1765" w:type="pct"/>
                  <w:tcBorders>
                    <w:bottom w:val="single" w:color="auto" w:sz="4" w:space="0"/>
                  </w:tcBorders>
                  <w:vAlign w:val="center"/>
                </w:tcPr>
                <w:p>
                  <w:pPr>
                    <w:pStyle w:val="36"/>
                    <w:bidi w:val="0"/>
                    <w:spacing w:line="360" w:lineRule="auto"/>
                    <w:jc w:val="center"/>
                    <w:rPr>
                      <w:rFonts w:hint="default" w:ascii="Times New Roman" w:hAnsi="Times New Roman" w:cs="Times New Roman"/>
                      <w:color w:val="auto"/>
                      <w:sz w:val="21"/>
                      <w:szCs w:val="21"/>
                      <w:highlight w:val="none"/>
                      <w:u w:val="none"/>
                      <w:lang w:eastAsia="zh-CN"/>
                    </w:rPr>
                  </w:pPr>
                  <w:r>
                    <w:rPr>
                      <w:rFonts w:hint="eastAsia" w:cs="Times New Roman"/>
                      <w:color w:val="auto"/>
                      <w:sz w:val="21"/>
                      <w:szCs w:val="21"/>
                      <w:highlight w:val="none"/>
                      <w:u w:val="none"/>
                      <w:lang w:eastAsia="zh-CN"/>
                    </w:rPr>
                    <w:t>外售物资回收部门综合利用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eastAsia"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栅渣</w:t>
                  </w:r>
                </w:p>
              </w:tc>
              <w:tc>
                <w:tcPr>
                  <w:tcW w:w="1110" w:type="pct"/>
                  <w:vAlign w:val="center"/>
                </w:tcPr>
                <w:p>
                  <w:pPr>
                    <w:pStyle w:val="36"/>
                    <w:bidi w:val="0"/>
                    <w:spacing w:line="360" w:lineRule="auto"/>
                    <w:jc w:val="center"/>
                    <w:rPr>
                      <w:rFonts w:hint="eastAsia" w:cs="Times New Roman"/>
                      <w:color w:val="auto"/>
                      <w:sz w:val="21"/>
                      <w:szCs w:val="21"/>
                      <w:highlight w:val="none"/>
                      <w:u w:val="none"/>
                      <w:lang w:eastAsia="zh-CN"/>
                    </w:rPr>
                  </w:pPr>
                  <w:r>
                    <w:rPr>
                      <w:rFonts w:hint="eastAsia" w:cs="Times New Roman"/>
                      <w:color w:val="auto"/>
                      <w:sz w:val="21"/>
                      <w:szCs w:val="21"/>
                      <w:highlight w:val="none"/>
                      <w:u w:val="none"/>
                      <w:lang w:eastAsia="zh-CN"/>
                    </w:rPr>
                    <w:t>一般固废</w:t>
                  </w:r>
                </w:p>
              </w:tc>
              <w:tc>
                <w:tcPr>
                  <w:tcW w:w="847" w:type="pct"/>
                  <w:tcBorders>
                    <w:bottom w:val="single" w:color="auto" w:sz="4" w:space="0"/>
                  </w:tcBorders>
                  <w:vAlign w:val="center"/>
                </w:tcPr>
                <w:p>
                  <w:pPr>
                    <w:pStyle w:val="36"/>
                    <w:bidi w:val="0"/>
                    <w:spacing w:line="360" w:lineRule="auto"/>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5</w:t>
                  </w:r>
                </w:p>
              </w:tc>
              <w:tc>
                <w:tcPr>
                  <w:tcW w:w="1765" w:type="pct"/>
                  <w:tcBorders>
                    <w:bottom w:val="single" w:color="auto" w:sz="4" w:space="0"/>
                  </w:tcBorders>
                  <w:vAlign w:val="center"/>
                </w:tcPr>
                <w:p>
                  <w:pPr>
                    <w:pStyle w:val="36"/>
                    <w:bidi w:val="0"/>
                    <w:spacing w:line="360" w:lineRule="auto"/>
                    <w:jc w:val="center"/>
                    <w:rPr>
                      <w:rFonts w:hint="eastAsia"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rPr>
                    <w:t>交由环卫部门清运</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val="en-US" w:eastAsia="zh-CN" w:bidi="ar"/>
                    </w:rPr>
                    <w:t>废标签</w:t>
                  </w:r>
                </w:p>
              </w:tc>
              <w:tc>
                <w:tcPr>
                  <w:tcW w:w="1110" w:type="pct"/>
                  <w:vAlign w:val="center"/>
                </w:tcPr>
                <w:p>
                  <w:pPr>
                    <w:bidi w:val="0"/>
                    <w:spacing w:line="360" w:lineRule="auto"/>
                    <w:jc w:val="center"/>
                    <w:rPr>
                      <w:rFonts w:hint="eastAsia" w:cs="Times New Roman"/>
                      <w:color w:val="auto"/>
                      <w:sz w:val="21"/>
                      <w:szCs w:val="21"/>
                      <w:highlight w:val="none"/>
                      <w:u w:val="none"/>
                      <w:lang w:eastAsia="zh-CN"/>
                    </w:rPr>
                  </w:pPr>
                  <w:r>
                    <w:rPr>
                      <w:rFonts w:hint="eastAsia" w:cs="Times New Roman"/>
                      <w:color w:val="auto"/>
                      <w:sz w:val="21"/>
                      <w:szCs w:val="21"/>
                      <w:highlight w:val="none"/>
                      <w:u w:val="none"/>
                      <w:lang w:eastAsia="zh-CN"/>
                    </w:rPr>
                    <w:t>一般固废</w:t>
                  </w:r>
                </w:p>
              </w:tc>
              <w:tc>
                <w:tcPr>
                  <w:tcW w:w="847" w:type="pct"/>
                  <w:tcBorders>
                    <w:bottom w:val="single" w:color="auto" w:sz="4" w:space="0"/>
                  </w:tcBorders>
                  <w:vAlign w:val="center"/>
                </w:tcPr>
                <w:p>
                  <w:pPr>
                    <w:pStyle w:val="36"/>
                    <w:bidi w:val="0"/>
                    <w:spacing w:line="360" w:lineRule="auto"/>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2</w:t>
                  </w:r>
                </w:p>
              </w:tc>
              <w:tc>
                <w:tcPr>
                  <w:tcW w:w="1765" w:type="pct"/>
                  <w:tcBorders>
                    <w:bottom w:val="single" w:color="auto" w:sz="4" w:space="0"/>
                  </w:tcBorders>
                  <w:vAlign w:val="center"/>
                </w:tcPr>
                <w:p>
                  <w:pPr>
                    <w:pStyle w:val="36"/>
                    <w:bidi w:val="0"/>
                    <w:spacing w:line="360" w:lineRule="auto"/>
                    <w:jc w:val="center"/>
                    <w:rPr>
                      <w:rFonts w:hint="eastAsia" w:cs="Times New Roman"/>
                      <w:color w:val="auto"/>
                      <w:sz w:val="21"/>
                      <w:szCs w:val="21"/>
                      <w:highlight w:val="none"/>
                      <w:u w:val="none"/>
                      <w:lang w:eastAsia="zh-CN"/>
                    </w:rPr>
                  </w:pPr>
                  <w:r>
                    <w:rPr>
                      <w:rFonts w:hint="eastAsia" w:cs="Times New Roman"/>
                      <w:color w:val="auto"/>
                      <w:sz w:val="21"/>
                      <w:szCs w:val="21"/>
                      <w:highlight w:val="none"/>
                      <w:u w:val="none"/>
                      <w:lang w:eastAsia="zh-CN"/>
                    </w:rPr>
                    <w:t>外售物资回收部门综合利用</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val="en-US" w:eastAsia="zh-CN" w:bidi="ar"/>
                    </w:rPr>
                    <w:t>沉淀池污泥</w:t>
                  </w:r>
                </w:p>
              </w:tc>
              <w:tc>
                <w:tcPr>
                  <w:tcW w:w="1110" w:type="pct"/>
                  <w:vAlign w:val="center"/>
                </w:tcPr>
                <w:p>
                  <w:pPr>
                    <w:bidi w:val="0"/>
                    <w:spacing w:line="360" w:lineRule="auto"/>
                    <w:jc w:val="center"/>
                    <w:rPr>
                      <w:rFonts w:hint="eastAsia" w:cs="Times New Roman"/>
                      <w:color w:val="auto"/>
                      <w:sz w:val="21"/>
                      <w:szCs w:val="21"/>
                      <w:highlight w:val="none"/>
                      <w:u w:val="none"/>
                      <w:lang w:eastAsia="zh-CN"/>
                    </w:rPr>
                  </w:pPr>
                  <w:r>
                    <w:rPr>
                      <w:rFonts w:hint="eastAsia" w:cs="Times New Roman"/>
                      <w:color w:val="auto"/>
                      <w:sz w:val="21"/>
                      <w:szCs w:val="21"/>
                      <w:highlight w:val="none"/>
                      <w:u w:val="none"/>
                      <w:lang w:eastAsia="zh-CN"/>
                    </w:rPr>
                    <w:t>一般固废</w:t>
                  </w:r>
                </w:p>
              </w:tc>
              <w:tc>
                <w:tcPr>
                  <w:tcW w:w="847" w:type="pct"/>
                  <w:tcBorders>
                    <w:bottom w:val="single" w:color="auto" w:sz="4" w:space="0"/>
                  </w:tcBorders>
                  <w:vAlign w:val="center"/>
                </w:tcPr>
                <w:p>
                  <w:pPr>
                    <w:pStyle w:val="36"/>
                    <w:bidi w:val="0"/>
                    <w:spacing w:line="360" w:lineRule="auto"/>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w:t>
                  </w:r>
                </w:p>
              </w:tc>
              <w:tc>
                <w:tcPr>
                  <w:tcW w:w="1765" w:type="pct"/>
                  <w:tcBorders>
                    <w:bottom w:val="single" w:color="auto" w:sz="4" w:space="0"/>
                  </w:tcBorders>
                  <w:vAlign w:val="center"/>
                </w:tcPr>
                <w:p>
                  <w:pPr>
                    <w:pStyle w:val="36"/>
                    <w:bidi w:val="0"/>
                    <w:spacing w:line="360" w:lineRule="auto"/>
                    <w:jc w:val="center"/>
                    <w:rPr>
                      <w:rFonts w:hint="eastAsia"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运至华容县鼎山无害化垃圾处理场安全填埋</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eastAsia" w:ascii="宋体" w:hAnsi="宋体" w:eastAsia="宋体" w:cs="宋体"/>
                      <w:color w:val="auto"/>
                      <w:kern w:val="0"/>
                      <w:sz w:val="21"/>
                      <w:szCs w:val="21"/>
                      <w:highlight w:val="none"/>
                      <w:u w:val="none"/>
                      <w:lang w:val="en-US" w:eastAsia="zh-CN" w:bidi="ar"/>
                    </w:rPr>
                  </w:pPr>
                  <w:r>
                    <w:rPr>
                      <w:rFonts w:hint="eastAsia" w:ascii="宋体" w:hAnsi="宋体" w:eastAsia="宋体" w:cs="宋体"/>
                      <w:color w:val="auto"/>
                      <w:kern w:val="0"/>
                      <w:sz w:val="21"/>
                      <w:szCs w:val="21"/>
                      <w:highlight w:val="none"/>
                      <w:u w:val="none"/>
                      <w:lang w:val="en-US" w:eastAsia="zh-CN" w:bidi="ar"/>
                    </w:rPr>
                    <w:t>隔油池产生的废油</w:t>
                  </w:r>
                </w:p>
              </w:tc>
              <w:tc>
                <w:tcPr>
                  <w:tcW w:w="1110" w:type="pct"/>
                  <w:vAlign w:val="center"/>
                </w:tcPr>
                <w:p>
                  <w:pPr>
                    <w:keepNext w:val="0"/>
                    <w:keepLines w:val="0"/>
                    <w:widowControl/>
                    <w:suppressLineNumbers w:val="0"/>
                    <w:jc w:val="center"/>
                    <w:rPr>
                      <w:color w:val="auto"/>
                      <w:highlight w:val="none"/>
                      <w:u w:val="none"/>
                    </w:rPr>
                  </w:pPr>
                  <w:r>
                    <w:rPr>
                      <w:rFonts w:hint="eastAsia" w:cs="Times New Roman"/>
                      <w:color w:val="auto"/>
                      <w:sz w:val="21"/>
                      <w:szCs w:val="21"/>
                      <w:highlight w:val="none"/>
                      <w:u w:val="none"/>
                      <w:lang w:eastAsia="zh-CN"/>
                    </w:rPr>
                    <w:t>危险废物</w:t>
                  </w:r>
                  <w:r>
                    <w:rPr>
                      <w:rFonts w:hint="default" w:ascii="Times New Roman" w:hAnsi="Times New Roman" w:eastAsia="宋体" w:cs="Times New Roman"/>
                      <w:color w:val="auto"/>
                      <w:kern w:val="0"/>
                      <w:sz w:val="21"/>
                      <w:szCs w:val="21"/>
                      <w:highlight w:val="none"/>
                      <w:u w:val="none"/>
                      <w:lang w:val="en-US" w:eastAsia="zh-CN" w:bidi="ar"/>
                    </w:rPr>
                    <w:t>HW08</w:t>
                  </w:r>
                </w:p>
                <w:p>
                  <w:pPr>
                    <w:keepNext w:val="0"/>
                    <w:keepLines w:val="0"/>
                    <w:widowControl/>
                    <w:suppressLineNumbers w:val="0"/>
                    <w:jc w:val="center"/>
                    <w:rPr>
                      <w:rFonts w:hint="eastAsia"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900-210-08</w:t>
                  </w:r>
                  <w:r>
                    <w:rPr>
                      <w:rFonts w:hint="eastAsia" w:ascii="宋体" w:hAnsi="宋体" w:eastAsia="宋体" w:cs="宋体"/>
                      <w:color w:val="auto"/>
                      <w:kern w:val="0"/>
                      <w:sz w:val="21"/>
                      <w:szCs w:val="21"/>
                      <w:highlight w:val="none"/>
                      <w:u w:val="none"/>
                      <w:lang w:val="en-US" w:eastAsia="zh-CN" w:bidi="ar"/>
                    </w:rPr>
                    <w:t>）</w:t>
                  </w:r>
                </w:p>
              </w:tc>
              <w:tc>
                <w:tcPr>
                  <w:tcW w:w="847" w:type="pct"/>
                  <w:tcBorders>
                    <w:bottom w:val="single" w:color="auto" w:sz="4" w:space="0"/>
                  </w:tcBorders>
                  <w:vAlign w:val="center"/>
                </w:tcPr>
                <w:p>
                  <w:pPr>
                    <w:pStyle w:val="36"/>
                    <w:bidi w:val="0"/>
                    <w:spacing w:line="360" w:lineRule="auto"/>
                    <w:jc w:val="center"/>
                    <w:rPr>
                      <w:rFonts w:hint="default"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0.02</w:t>
                  </w:r>
                </w:p>
              </w:tc>
              <w:tc>
                <w:tcPr>
                  <w:tcW w:w="1765" w:type="pct"/>
                  <w:vMerge w:val="restart"/>
                  <w:vAlign w:val="center"/>
                </w:tcPr>
                <w:p>
                  <w:pPr>
                    <w:pStyle w:val="36"/>
                    <w:bidi w:val="0"/>
                    <w:spacing w:line="360" w:lineRule="auto"/>
                    <w:jc w:val="center"/>
                    <w:rPr>
                      <w:rFonts w:hint="eastAsia" w:ascii="Times New Roman" w:hAnsi="Times New Roman" w:eastAsia="宋体" w:cs="Times New Roman"/>
                      <w:color w:val="auto"/>
                      <w:sz w:val="21"/>
                      <w:szCs w:val="21"/>
                      <w:highlight w:val="none"/>
                      <w:u w:val="none"/>
                      <w:lang w:eastAsia="zh-CN"/>
                    </w:rPr>
                  </w:pPr>
                  <w:r>
                    <w:rPr>
                      <w:rFonts w:hint="eastAsia" w:cs="Times New Roman"/>
                      <w:color w:val="auto"/>
                      <w:sz w:val="21"/>
                      <w:szCs w:val="21"/>
                      <w:highlight w:val="none"/>
                      <w:u w:val="none"/>
                      <w:lang w:eastAsia="zh-CN"/>
                    </w:rPr>
                    <w:t>危废间分类暂存后，再定期委托有资质单位处置。</w:t>
                  </w:r>
                </w:p>
              </w:tc>
            </w:tr>
            <w:tr>
              <w:tblPrEx>
                <w:tblBorders>
                  <w:top w:val="single" w:color="auto" w:sz="2" w:space="0"/>
                  <w:left w:val="single" w:color="auto" w:sz="2" w:space="0"/>
                  <w:bottom w:val="single" w:color="auto" w:sz="2" w:space="0"/>
                  <w:right w:val="single" w:color="auto" w:sz="2" w:space="0"/>
                  <w:insideH w:val="single" w:color="auto" w:sz="2" w:space="0"/>
                  <w:insideV w:val="single" w:color="auto" w:sz="2" w:space="0"/>
                </w:tblBorders>
                <w:tblCellMar>
                  <w:top w:w="0" w:type="dxa"/>
                  <w:left w:w="0" w:type="dxa"/>
                  <w:bottom w:w="0" w:type="dxa"/>
                  <w:right w:w="0" w:type="dxa"/>
                </w:tblCellMar>
              </w:tblPrEx>
              <w:trPr>
                <w:trHeight w:val="572" w:hRule="atLeast"/>
                <w:jc w:val="center"/>
              </w:trPr>
              <w:tc>
                <w:tcPr>
                  <w:tcW w:w="1277" w:type="pct"/>
                  <w:vAlign w:val="center"/>
                </w:tcPr>
                <w:p>
                  <w:pPr>
                    <w:pStyle w:val="36"/>
                    <w:bidi w:val="0"/>
                    <w:spacing w:line="360" w:lineRule="auto"/>
                    <w:jc w:val="center"/>
                    <w:rPr>
                      <w:rFonts w:hint="default" w:ascii="Times New Roman" w:hAnsi="Times New Roman"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废矿物油</w:t>
                  </w:r>
                </w:p>
              </w:tc>
              <w:tc>
                <w:tcPr>
                  <w:tcW w:w="1110" w:type="pct"/>
                  <w:vAlign w:val="center"/>
                </w:tcPr>
                <w:p>
                  <w:pPr>
                    <w:keepNext w:val="0"/>
                    <w:keepLines w:val="0"/>
                    <w:widowControl/>
                    <w:suppressLineNumbers w:val="0"/>
                    <w:jc w:val="center"/>
                    <w:rPr>
                      <w:color w:val="auto"/>
                      <w:highlight w:val="none"/>
                      <w:u w:val="none"/>
                    </w:rPr>
                  </w:pPr>
                  <w:r>
                    <w:rPr>
                      <w:rFonts w:hint="eastAsia" w:cs="Times New Roman"/>
                      <w:color w:val="auto"/>
                      <w:sz w:val="21"/>
                      <w:szCs w:val="21"/>
                      <w:highlight w:val="none"/>
                      <w:u w:val="none"/>
                      <w:lang w:eastAsia="zh-CN"/>
                    </w:rPr>
                    <w:t>危险废物</w:t>
                  </w:r>
                  <w:r>
                    <w:rPr>
                      <w:rFonts w:hint="default" w:ascii="Times New Roman" w:hAnsi="Times New Roman" w:eastAsia="宋体" w:cs="Times New Roman"/>
                      <w:color w:val="auto"/>
                      <w:kern w:val="0"/>
                      <w:sz w:val="21"/>
                      <w:szCs w:val="21"/>
                      <w:highlight w:val="none"/>
                      <w:u w:val="none"/>
                      <w:lang w:val="en-US" w:eastAsia="zh-CN" w:bidi="ar"/>
                    </w:rPr>
                    <w:t>HW08</w:t>
                  </w:r>
                </w:p>
                <w:p>
                  <w:pPr>
                    <w:keepNext w:val="0"/>
                    <w:keepLines w:val="0"/>
                    <w:widowControl/>
                    <w:suppressLineNumbers w:val="0"/>
                    <w:jc w:val="center"/>
                    <w:rPr>
                      <w:rFonts w:hint="default" w:ascii="Times New Roman" w:hAnsi="Times New Roman" w:cs="Times New Roman"/>
                      <w:color w:val="auto"/>
                      <w:sz w:val="21"/>
                      <w:szCs w:val="21"/>
                      <w:highlight w:val="none"/>
                      <w:u w:val="none"/>
                      <w:lang w:eastAsia="zh-CN"/>
                    </w:rPr>
                  </w:pPr>
                  <w:r>
                    <w:rPr>
                      <w:rFonts w:hint="eastAsia" w:ascii="宋体" w:hAnsi="宋体" w:eastAsia="宋体" w:cs="宋体"/>
                      <w:color w:val="auto"/>
                      <w:kern w:val="0"/>
                      <w:sz w:val="21"/>
                      <w:szCs w:val="21"/>
                      <w:highlight w:val="none"/>
                      <w:u w:val="none"/>
                      <w:lang w:val="en-US" w:eastAsia="zh-CN" w:bidi="ar"/>
                    </w:rPr>
                    <w:t>（</w:t>
                  </w:r>
                  <w:r>
                    <w:rPr>
                      <w:rFonts w:hint="default" w:ascii="Times New Roman" w:hAnsi="Times New Roman" w:eastAsia="宋体" w:cs="Times New Roman"/>
                      <w:color w:val="auto"/>
                      <w:kern w:val="0"/>
                      <w:sz w:val="21"/>
                      <w:szCs w:val="21"/>
                      <w:highlight w:val="none"/>
                      <w:u w:val="none"/>
                      <w:lang w:val="en-US" w:eastAsia="zh-CN" w:bidi="ar"/>
                    </w:rPr>
                    <w:t>900-217-08</w:t>
                  </w:r>
                  <w:r>
                    <w:rPr>
                      <w:rFonts w:hint="eastAsia" w:ascii="宋体" w:hAnsi="宋体" w:eastAsia="宋体" w:cs="宋体"/>
                      <w:color w:val="auto"/>
                      <w:kern w:val="0"/>
                      <w:sz w:val="21"/>
                      <w:szCs w:val="21"/>
                      <w:highlight w:val="none"/>
                      <w:u w:val="none"/>
                      <w:lang w:val="en-US" w:eastAsia="zh-CN" w:bidi="ar"/>
                    </w:rPr>
                    <w:t>）</w:t>
                  </w:r>
                </w:p>
              </w:tc>
              <w:tc>
                <w:tcPr>
                  <w:tcW w:w="847" w:type="pct"/>
                  <w:tcBorders>
                    <w:top w:val="single" w:color="auto" w:sz="4" w:space="0"/>
                    <w:bottom w:val="single" w:color="auto" w:sz="4" w:space="0"/>
                  </w:tcBorders>
                  <w:vAlign w:val="center"/>
                </w:tcPr>
                <w:p>
                  <w:pPr>
                    <w:pStyle w:val="36"/>
                    <w:bidi w:val="0"/>
                    <w:spacing w:line="36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0.05</w:t>
                  </w:r>
                </w:p>
              </w:tc>
              <w:tc>
                <w:tcPr>
                  <w:tcW w:w="1765" w:type="pct"/>
                  <w:vMerge w:val="continue"/>
                  <w:vAlign w:val="center"/>
                </w:tcPr>
                <w:p>
                  <w:pPr>
                    <w:pStyle w:val="36"/>
                    <w:bidi w:val="0"/>
                    <w:spacing w:line="360" w:lineRule="auto"/>
                    <w:jc w:val="center"/>
                    <w:rPr>
                      <w:rFonts w:hint="eastAsia" w:ascii="Times New Roman" w:hAnsi="Times New Roman" w:eastAsia="宋体" w:cs="Times New Roman"/>
                      <w:color w:val="auto"/>
                      <w:sz w:val="21"/>
                      <w:szCs w:val="21"/>
                      <w:highlight w:val="none"/>
                      <w:u w:val="none"/>
                      <w:lang w:eastAsia="zh-CN"/>
                    </w:rPr>
                  </w:pPr>
                </w:p>
              </w:tc>
            </w:tr>
          </w:tbl>
          <w:p>
            <w:pPr>
              <w:keepNext w:val="0"/>
              <w:keepLines w:val="0"/>
              <w:widowControl/>
              <w:suppressLineNumbers w:val="0"/>
              <w:spacing w:line="360" w:lineRule="auto"/>
              <w:ind w:firstLine="480" w:firstLineChars="200"/>
              <w:jc w:val="both"/>
              <w:rPr>
                <w:color w:val="auto"/>
                <w:highlight w:val="none"/>
                <w:u w:val="none"/>
              </w:rPr>
            </w:pPr>
            <w:r>
              <w:rPr>
                <w:rFonts w:hint="eastAsia" w:ascii="Times New Roman" w:hAnsi="Times New Roman" w:eastAsia="宋体" w:cs="Times New Roman"/>
                <w:color w:val="auto"/>
                <w:kern w:val="0"/>
                <w:sz w:val="24"/>
                <w:szCs w:val="24"/>
                <w:highlight w:val="none"/>
                <w:u w:val="none"/>
                <w:lang w:val="en-US" w:eastAsia="zh-CN" w:bidi="ar"/>
              </w:rPr>
              <w:t>（4）</w:t>
            </w:r>
            <w:r>
              <w:rPr>
                <w:rFonts w:hint="eastAsia" w:ascii="宋体" w:hAnsi="宋体" w:eastAsia="宋体" w:cs="宋体"/>
                <w:color w:val="auto"/>
                <w:kern w:val="0"/>
                <w:sz w:val="24"/>
                <w:szCs w:val="24"/>
                <w:highlight w:val="none"/>
                <w:u w:val="none"/>
                <w:lang w:val="en-US" w:eastAsia="zh-CN" w:bidi="ar"/>
              </w:rPr>
              <w:t xml:space="preserve">固废暂存场所（设施）环境影响分析 </w:t>
            </w:r>
          </w:p>
          <w:p>
            <w:pPr>
              <w:keepNext w:val="0"/>
              <w:keepLines w:val="0"/>
              <w:widowControl/>
              <w:suppressLineNumbers w:val="0"/>
              <w:spacing w:line="360" w:lineRule="auto"/>
              <w:ind w:firstLine="480" w:firstLineChars="200"/>
              <w:jc w:val="both"/>
              <w:rPr>
                <w:color w:val="auto"/>
                <w:highlight w:val="none"/>
                <w:u w:val="none"/>
              </w:rPr>
            </w:pPr>
            <w:r>
              <w:rPr>
                <w:rFonts w:hint="default" w:ascii="Times New Roman" w:hAnsi="Times New Roman" w:eastAsia="宋体" w:cs="Times New Roman"/>
                <w:color w:val="auto"/>
                <w:kern w:val="0"/>
                <w:sz w:val="24"/>
                <w:szCs w:val="24"/>
                <w:highlight w:val="none"/>
                <w:u w:val="none"/>
                <w:lang w:val="en-US" w:eastAsia="zh-CN" w:bidi="ar"/>
              </w:rPr>
              <w:t>1</w:t>
            </w:r>
            <w:r>
              <w:rPr>
                <w:rFonts w:hint="eastAsia" w:ascii="宋体" w:hAnsi="宋体" w:eastAsia="宋体" w:cs="宋体"/>
                <w:color w:val="auto"/>
                <w:kern w:val="0"/>
                <w:sz w:val="24"/>
                <w:szCs w:val="24"/>
                <w:highlight w:val="none"/>
                <w:u w:val="none"/>
                <w:lang w:val="en-US" w:eastAsia="zh-CN" w:bidi="ar"/>
              </w:rPr>
              <w:t xml:space="preserve">）一般工业固体废物的贮存影响分析 </w:t>
            </w:r>
          </w:p>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建设单位设置了的一般工业固废暂存间，项目产生的一般工业固废经收集后按照《一般工业固体废物贮存和填埋污染控制标准》（</w:t>
            </w:r>
            <w:r>
              <w:rPr>
                <w:rFonts w:hint="default" w:ascii="Times New Roman" w:hAnsi="Times New Roman" w:eastAsia="宋体" w:cs="Times New Roman"/>
                <w:color w:val="auto"/>
                <w:kern w:val="0"/>
                <w:sz w:val="24"/>
                <w:szCs w:val="24"/>
                <w:highlight w:val="none"/>
                <w:u w:val="none"/>
                <w:lang w:val="en-US" w:eastAsia="zh-CN" w:bidi="ar"/>
              </w:rPr>
              <w:t>GB 18599-2020</w:t>
            </w:r>
            <w:r>
              <w:rPr>
                <w:rFonts w:hint="eastAsia" w:ascii="宋体" w:hAnsi="宋体" w:eastAsia="宋体" w:cs="宋体"/>
                <w:color w:val="auto"/>
                <w:kern w:val="0"/>
                <w:sz w:val="24"/>
                <w:szCs w:val="24"/>
                <w:highlight w:val="none"/>
                <w:u w:val="none"/>
                <w:lang w:val="en-US" w:eastAsia="zh-CN" w:bidi="ar"/>
              </w:rPr>
              <w:t>）的规定要求进行临时贮存后，回用及资源回收单位回收利用。项目一般工业固废贮存场所应按照《环境保护图形标志</w:t>
            </w:r>
            <w:r>
              <w:rPr>
                <w:rFonts w:hint="default" w:ascii="Times New Roman" w:hAnsi="Times New Roman" w:eastAsia="宋体" w:cs="Times New Roman"/>
                <w:color w:val="auto"/>
                <w:kern w:val="0"/>
                <w:sz w:val="24"/>
                <w:szCs w:val="24"/>
                <w:highlight w:val="none"/>
                <w:u w:val="none"/>
                <w:lang w:val="en-US" w:eastAsia="zh-CN" w:bidi="ar"/>
              </w:rPr>
              <w:t>——</w:t>
            </w:r>
            <w:r>
              <w:rPr>
                <w:rFonts w:hint="eastAsia" w:ascii="宋体" w:hAnsi="宋体" w:eastAsia="宋体" w:cs="宋体"/>
                <w:color w:val="auto"/>
                <w:kern w:val="0"/>
                <w:sz w:val="24"/>
                <w:szCs w:val="24"/>
                <w:highlight w:val="none"/>
                <w:u w:val="none"/>
                <w:lang w:val="en-US" w:eastAsia="zh-CN" w:bidi="ar"/>
              </w:rPr>
              <w:t>固体废物贮存（处置）场》（</w:t>
            </w:r>
            <w:r>
              <w:rPr>
                <w:rFonts w:hint="default" w:ascii="Times New Roman" w:hAnsi="Times New Roman" w:eastAsia="宋体" w:cs="Times New Roman"/>
                <w:color w:val="auto"/>
                <w:kern w:val="0"/>
                <w:sz w:val="24"/>
                <w:szCs w:val="24"/>
                <w:highlight w:val="none"/>
                <w:u w:val="none"/>
                <w:lang w:val="en-US" w:eastAsia="zh-CN" w:bidi="ar"/>
              </w:rPr>
              <w:t>GB15562.2</w:t>
            </w:r>
            <w:r>
              <w:rPr>
                <w:rFonts w:hint="eastAsia" w:ascii="宋体" w:hAnsi="宋体" w:eastAsia="宋体" w:cs="宋体"/>
                <w:color w:val="auto"/>
                <w:kern w:val="0"/>
                <w:sz w:val="24"/>
                <w:szCs w:val="24"/>
                <w:highlight w:val="none"/>
                <w:u w:val="none"/>
                <w:lang w:val="en-US" w:eastAsia="zh-CN" w:bidi="ar"/>
              </w:rPr>
              <w:t xml:space="preserve">） </w:t>
            </w:r>
          </w:p>
          <w:p>
            <w:pPr>
              <w:keepNext w:val="0"/>
              <w:keepLines w:val="0"/>
              <w:widowControl/>
              <w:suppressLineNumbers w:val="0"/>
              <w:spacing w:line="360" w:lineRule="auto"/>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 xml:space="preserve">要求设置环保图形标志。 </w:t>
            </w:r>
          </w:p>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 xml:space="preserve">针对项目各类固废的特点和性质，项目固废采取了如下的综合处置措施： 项目栅渣和生活垃圾经分类妥善收集后，统一交由环卫部门清运处置。 </w:t>
            </w:r>
          </w:p>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 xml:space="preserve">分拣杂物、废标签经分类收集后统一由废品回收公司处理，可实现“变废为宝”，不对外排放，对环境影响不大。 </w:t>
            </w:r>
          </w:p>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 xml:space="preserve">污水处理设施污泥经压滤机浓缩脱水后，集中收集，运至华容县鼎山无害化垃圾处理场安全填埋，对周边环境影响较小。 </w:t>
            </w:r>
          </w:p>
          <w:p>
            <w:pPr>
              <w:keepNext w:val="0"/>
              <w:keepLines w:val="0"/>
              <w:widowControl/>
              <w:suppressLineNumbers w:val="0"/>
              <w:spacing w:line="360" w:lineRule="auto"/>
              <w:ind w:firstLine="480" w:firstLineChars="200"/>
              <w:jc w:val="both"/>
              <w:rPr>
                <w:color w:val="auto"/>
                <w:highlight w:val="none"/>
                <w:u w:val="none"/>
              </w:rPr>
            </w:pPr>
            <w:r>
              <w:rPr>
                <w:rFonts w:hint="default" w:ascii="Times New Roman" w:hAnsi="Times New Roman" w:eastAsia="宋体" w:cs="Times New Roman"/>
                <w:color w:val="auto"/>
                <w:kern w:val="0"/>
                <w:sz w:val="24"/>
                <w:szCs w:val="24"/>
                <w:highlight w:val="none"/>
                <w:u w:val="none"/>
                <w:lang w:val="en-US" w:eastAsia="zh-CN" w:bidi="ar"/>
              </w:rPr>
              <w:t>2</w:t>
            </w:r>
            <w:r>
              <w:rPr>
                <w:rFonts w:hint="eastAsia" w:ascii="宋体" w:hAnsi="宋体" w:eastAsia="宋体" w:cs="宋体"/>
                <w:color w:val="auto"/>
                <w:kern w:val="0"/>
                <w:sz w:val="24"/>
                <w:szCs w:val="24"/>
                <w:highlight w:val="none"/>
                <w:u w:val="none"/>
                <w:lang w:val="en-US" w:eastAsia="zh-CN" w:bidi="ar"/>
              </w:rPr>
              <w:t xml:space="preserve">）危险废物贮存场所（设施）环境影响分析 </w:t>
            </w:r>
          </w:p>
          <w:p>
            <w:pPr>
              <w:keepNext w:val="0"/>
              <w:keepLines w:val="0"/>
              <w:widowControl/>
              <w:suppressLineNumbers w:val="0"/>
              <w:spacing w:line="360" w:lineRule="auto"/>
              <w:ind w:firstLine="480" w:firstLineChars="200"/>
              <w:jc w:val="both"/>
              <w:rPr>
                <w:color w:val="auto"/>
                <w:highlight w:val="none"/>
                <w:u w:val="none"/>
              </w:rPr>
            </w:pPr>
            <w:r>
              <w:rPr>
                <w:rFonts w:hint="eastAsia" w:ascii="宋体" w:hAnsi="宋体" w:eastAsia="宋体" w:cs="宋体"/>
                <w:color w:val="auto"/>
                <w:kern w:val="0"/>
                <w:sz w:val="24"/>
                <w:szCs w:val="24"/>
                <w:highlight w:val="none"/>
                <w:u w:val="none"/>
                <w:lang w:val="en-US" w:eastAsia="zh-CN" w:bidi="ar"/>
              </w:rPr>
              <w:t>本项目隔油池产生的废油、废矿物油属于危险废物，建设方应按照《危险废物贮存污染控制标准（</w:t>
            </w:r>
            <w:r>
              <w:rPr>
                <w:rFonts w:hint="default" w:ascii="Times New Roman" w:hAnsi="Times New Roman" w:eastAsia="宋体" w:cs="Times New Roman"/>
                <w:color w:val="auto"/>
                <w:kern w:val="0"/>
                <w:sz w:val="24"/>
                <w:szCs w:val="24"/>
                <w:highlight w:val="none"/>
                <w:u w:val="none"/>
                <w:lang w:val="en-US" w:eastAsia="zh-CN" w:bidi="ar"/>
              </w:rPr>
              <w:t>GB18597-2001</w:t>
            </w:r>
            <w:r>
              <w:rPr>
                <w:rFonts w:hint="eastAsia" w:ascii="宋体" w:hAnsi="宋体" w:eastAsia="宋体" w:cs="宋体"/>
                <w:color w:val="auto"/>
                <w:kern w:val="0"/>
                <w:sz w:val="24"/>
                <w:szCs w:val="24"/>
                <w:highlight w:val="none"/>
                <w:u w:val="none"/>
                <w:lang w:val="en-US" w:eastAsia="zh-CN" w:bidi="ar"/>
              </w:rPr>
              <w:t xml:space="preserve">）》及 </w:t>
            </w:r>
            <w:r>
              <w:rPr>
                <w:rFonts w:hint="default" w:ascii="Times New Roman" w:hAnsi="Times New Roman" w:eastAsia="宋体" w:cs="Times New Roman"/>
                <w:color w:val="auto"/>
                <w:kern w:val="0"/>
                <w:sz w:val="24"/>
                <w:szCs w:val="24"/>
                <w:highlight w:val="none"/>
                <w:u w:val="none"/>
                <w:lang w:val="en-US" w:eastAsia="zh-CN" w:bidi="ar"/>
              </w:rPr>
              <w:t xml:space="preserve">2013 </w:t>
            </w:r>
            <w:r>
              <w:rPr>
                <w:rFonts w:hint="eastAsia" w:ascii="宋体" w:hAnsi="宋体" w:eastAsia="宋体" w:cs="宋体"/>
                <w:color w:val="auto"/>
                <w:kern w:val="0"/>
                <w:sz w:val="24"/>
                <w:szCs w:val="24"/>
                <w:highlight w:val="none"/>
                <w:u w:val="none"/>
                <w:lang w:val="en-US" w:eastAsia="zh-CN" w:bidi="ar"/>
              </w:rPr>
              <w:t>年标准修改单的要求进行临时贮存后，委托有危废处理资质单位处置。</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w:t>
            </w:r>
            <w:r>
              <w:rPr>
                <w:rFonts w:hint="eastAsia" w:ascii="Times New Roman" w:hAnsi="Times New Roman" w:cs="Times New Roman"/>
                <w:color w:val="auto"/>
                <w:sz w:val="24"/>
                <w:highlight w:val="none"/>
                <w:u w:val="none"/>
                <w:lang w:val="en-US" w:eastAsia="zh-CN"/>
              </w:rPr>
              <w:t>5</w:t>
            </w:r>
            <w:r>
              <w:rPr>
                <w:rFonts w:hint="default" w:ascii="Times New Roman" w:hAnsi="Times New Roman" w:cs="Times New Roman"/>
                <w:color w:val="auto"/>
                <w:sz w:val="24"/>
                <w:highlight w:val="none"/>
                <w:u w:val="none"/>
                <w:lang w:val="en-US" w:eastAsia="zh-CN"/>
              </w:rPr>
              <w:t>）危险废物收集要求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根据本项目特点，危险废物如不及时加以处理（处置），将会对自然环境和人体健康产生严重危害，因此，要根据《危险废物收集贮存运输技术规范》（HJ 2025－2012）的相关要求，严格组织收集、贮存和运输。本评价对危险废物的收集、贮存和转移作出以下要求：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危险废物的收集要求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①性质类似的废物可收集到同一容器中、性质不相容的危险废物不应混合包装；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②危险废物包装应能有效隔断危险废物迁移扩散途径，并达到防渗、防漏要求；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③在危险废物的收集和转运过程中，应采取相应的安全防护和污染防治措施，包括防爆、防火、防泄漏、防风、防雨或其它防止污染环境的措施；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④危险废物内部转运应综合考虑厂区的实际情况确定转运路线，尽量避开办公区和生活区；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⑤危险废物内部转运结束后，应对转运路线进行检查和清理，确保无危险废物遗失在转运路线上，并对转运工具进行清洗；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⑥收集过危险废物的容器、设备、设施、场所及其他物品转作他用时，应消除污染，确保其使用安全。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w:t>
            </w:r>
            <w:r>
              <w:rPr>
                <w:rFonts w:hint="eastAsia" w:ascii="Times New Roman" w:hAnsi="Times New Roman" w:cs="Times New Roman"/>
                <w:color w:val="auto"/>
                <w:sz w:val="24"/>
                <w:highlight w:val="none"/>
                <w:u w:val="none"/>
                <w:lang w:val="en-US" w:eastAsia="zh-CN"/>
              </w:rPr>
              <w:t>6</w:t>
            </w:r>
            <w:r>
              <w:rPr>
                <w:rFonts w:hint="default" w:ascii="Times New Roman" w:hAnsi="Times New Roman" w:cs="Times New Roman"/>
                <w:color w:val="auto"/>
                <w:sz w:val="24"/>
                <w:highlight w:val="none"/>
                <w:u w:val="none"/>
                <w:lang w:val="en-US" w:eastAsia="zh-CN"/>
              </w:rPr>
              <w:t xml:space="preserve">）危险废物的贮存要求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项目设置1个危险废物暂存间，</w:t>
            </w:r>
            <w:r>
              <w:rPr>
                <w:rFonts w:hint="eastAsia" w:cs="Times New Roman"/>
                <w:color w:val="auto"/>
                <w:sz w:val="24"/>
                <w:highlight w:val="none"/>
                <w:u w:val="none"/>
                <w:lang w:val="en-US" w:eastAsia="zh-CN"/>
              </w:rPr>
              <w:t>位于堆存区的北侧，建筑面积约5m</w:t>
            </w:r>
            <w:r>
              <w:rPr>
                <w:rFonts w:hint="eastAsia" w:cs="Times New Roman"/>
                <w:color w:val="auto"/>
                <w:sz w:val="24"/>
                <w:highlight w:val="none"/>
                <w:u w:val="none"/>
                <w:vertAlign w:val="superscript"/>
                <w:lang w:val="en-US" w:eastAsia="zh-CN"/>
              </w:rPr>
              <w:t>2</w:t>
            </w:r>
            <w:r>
              <w:rPr>
                <w:rFonts w:hint="eastAsia" w:cs="Times New Roman"/>
                <w:color w:val="auto"/>
                <w:sz w:val="24"/>
                <w:highlight w:val="none"/>
                <w:u w:val="none"/>
                <w:lang w:val="en-US" w:eastAsia="zh-CN"/>
              </w:rPr>
              <w:t>，</w:t>
            </w:r>
            <w:r>
              <w:rPr>
                <w:rFonts w:hint="default" w:ascii="Times New Roman" w:hAnsi="Times New Roman" w:cs="Times New Roman"/>
                <w:color w:val="auto"/>
                <w:sz w:val="24"/>
                <w:highlight w:val="none"/>
                <w:u w:val="none"/>
                <w:lang w:val="en-US" w:eastAsia="zh-CN"/>
              </w:rPr>
              <w:t>危险废物的贮存条件应满足《危险废物贮存污染控制标准》（GB 18597－2001）及其 2013 年修改单的规定。危险废物交接应认真执行《危险废物转移联单管理办法》和《危险废物转移联单制度》，明确危险废物的数量、性质及组分等。项目设置的危险废物</w:t>
            </w:r>
            <w:r>
              <w:rPr>
                <w:rFonts w:hint="eastAsia" w:cs="Times New Roman"/>
                <w:color w:val="auto"/>
                <w:sz w:val="24"/>
                <w:highlight w:val="none"/>
                <w:u w:val="none"/>
                <w:lang w:val="en-US" w:eastAsia="zh-CN"/>
              </w:rPr>
              <w:t>暂存</w:t>
            </w:r>
            <w:r>
              <w:rPr>
                <w:rFonts w:hint="default" w:ascii="Times New Roman" w:hAnsi="Times New Roman" w:cs="Times New Roman"/>
                <w:color w:val="auto"/>
                <w:sz w:val="24"/>
                <w:highlight w:val="none"/>
                <w:u w:val="none"/>
                <w:lang w:val="en-US" w:eastAsia="zh-CN"/>
              </w:rPr>
              <w:t xml:space="preserve">间需满足以下要求：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①在暂存场所上空设有防雨淋设施，地面采取防渗措施，危险废物收集后分别临时贮存于废物储罐内。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②根据生产需要合理设置贮存量，尽量</w:t>
            </w:r>
            <w:r>
              <w:rPr>
                <w:rFonts w:hint="eastAsia" w:cs="Times New Roman"/>
                <w:color w:val="auto"/>
                <w:sz w:val="24"/>
                <w:highlight w:val="none"/>
                <w:u w:val="none"/>
                <w:lang w:val="en-US" w:eastAsia="zh-CN"/>
              </w:rPr>
              <w:t>减少厂区内</w:t>
            </w:r>
            <w:r>
              <w:rPr>
                <w:rFonts w:hint="default" w:ascii="Times New Roman" w:hAnsi="Times New Roman" w:cs="Times New Roman"/>
                <w:color w:val="auto"/>
                <w:sz w:val="24"/>
                <w:highlight w:val="none"/>
                <w:u w:val="none"/>
                <w:lang w:val="en-US" w:eastAsia="zh-CN"/>
              </w:rPr>
              <w:t xml:space="preserve">的物料贮存量，产生的危险废物实行分类收集后置于贮存设施内，贮存时限一般不得超过一年，并设专人管理；严禁将危险废物混入生活垃圾。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③堆放危险废物的地方要有明显的标志，门外双锁双人管理制度并挂有危险品标识牌，堆放点要防雨、防渗、防漏，应按要求进行包装贮存，盛装危险废物的容器和包装物以及产生、收集、贮存、运输、处置危险废物的场所，必须依法设置相应标识、警示标志和标签，标签上应注明贮存的废物类别、危害性以及开始贮存时间等内容。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④室内上墙固废管理制度和固废产生工艺流程图及固废台账，台账应如实记载产生危险废物的种类、数量、利用、贮存、处置、流向等信息，以此作为向当地环保部门申报危险废物管理计划的编制依据。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⑤对危险废物的运输要求安全可靠，要严格按照危险废物运输的管理规定进行危险废物的运输，减少运输过程中的二次污染和可能造成的环境风险，运输车辆需有特殊标志。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⑥企业必须严格执行危险废物转移计划报批和依法运行危险废物转移联单，并通过信息系统登记转移计划和电子转移联单。企业还需健全产生单位内部管理制度，包括落实危险废物产生信息公开制度，建立员工培训和固体废物管理员制度，完善危险废物相关档案管理制度；建立和完善突发危险废物环境应急预案，并报当地环保部门备案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val="en-US" w:eastAsia="zh-CN"/>
              </w:rPr>
            </w:pPr>
            <w:r>
              <w:rPr>
                <w:rFonts w:hint="default" w:ascii="Times New Roman" w:hAnsi="Times New Roman" w:cs="Times New Roman"/>
                <w:color w:val="auto"/>
                <w:sz w:val="24"/>
                <w:highlight w:val="none"/>
                <w:u w:val="none"/>
                <w:lang w:val="en-US" w:eastAsia="zh-CN"/>
              </w:rPr>
              <w:t>（</w:t>
            </w:r>
            <w:r>
              <w:rPr>
                <w:rFonts w:hint="eastAsia" w:ascii="Times New Roman" w:hAnsi="Times New Roman" w:cs="Times New Roman"/>
                <w:color w:val="auto"/>
                <w:sz w:val="24"/>
                <w:highlight w:val="none"/>
                <w:u w:val="none"/>
                <w:lang w:val="en-US" w:eastAsia="zh-CN"/>
              </w:rPr>
              <w:t>7</w:t>
            </w:r>
            <w:r>
              <w:rPr>
                <w:rFonts w:hint="default" w:ascii="Times New Roman" w:hAnsi="Times New Roman" w:cs="Times New Roman"/>
                <w:color w:val="auto"/>
                <w:sz w:val="24"/>
                <w:highlight w:val="none"/>
                <w:u w:val="none"/>
                <w:lang w:val="en-US" w:eastAsia="zh-CN"/>
              </w:rPr>
              <w:t>）危险废物环境管理要求</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对于危险废物规范化管理，企业严格按照《关于&lt;印发危险废物规范化管理指标体系&gt;的通知》（环办[2015]99 号）的要求执行。具体要求如下：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①按照危险废物特性分类进行收集，并设置危险废物识别标志。包括收集、贮存、运输、利用、处置危险废物的设施、场所，必须设置危险废物识别标志。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②建立危险废物管理计划。危险废物管理计划包括减少危险废物产生量和危害性的措施，以及危险废物贮存、利用、处措施。报所在地县级以上地方人民政府环境保护行政主管部门备案。危险废物管理计划内容有重大改变的，应当及时申报。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③如实地向所在地县级以上地方人民政府环境保护行政主管部门申报危险废物的种类、产生量、流向、贮存、处置等有关资料，申报事项有重大改变的，应当及时申报。</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④在转移危险废物前，向环保部门报批危险废物转移计划，并得到批准，转移时，按照《危险废物转移联单管理办法》有关规定，如实填写转移单中接收单位栏目，并加盖公章，转移联单保存齐全，并与危险废物经营情况记录簿同期保存。 </w:t>
            </w:r>
          </w:p>
          <w:p>
            <w:pPr>
              <w:keepNext w:val="0"/>
              <w:keepLines w:val="0"/>
              <w:pageBreakBefore w:val="0"/>
              <w:widowControl w:val="0"/>
              <w:kinsoku/>
              <w:wordWrap/>
              <w:overflowPunct/>
              <w:topLinePunct w:val="0"/>
              <w:autoSpaceDE/>
              <w:autoSpaceDN/>
              <w:bidi w:val="0"/>
              <w:adjustRightInd/>
              <w:snapToGrid w:val="0"/>
              <w:spacing w:line="360" w:lineRule="auto"/>
              <w:ind w:firstLine="480" w:firstLineChars="200"/>
              <w:textAlignment w:val="baseline"/>
              <w:rPr>
                <w:rFonts w:hint="default" w:ascii="Times New Roman" w:hAnsi="Times New Roman" w:cs="Times New Roman"/>
                <w:color w:val="auto"/>
                <w:sz w:val="24"/>
                <w:highlight w:val="none"/>
                <w:u w:val="none"/>
                <w:lang w:eastAsia="zh-CN"/>
              </w:rPr>
            </w:pPr>
            <w:r>
              <w:rPr>
                <w:rFonts w:hint="default" w:ascii="Times New Roman" w:hAnsi="Times New Roman" w:cs="Times New Roman"/>
                <w:color w:val="auto"/>
                <w:sz w:val="24"/>
                <w:highlight w:val="none"/>
                <w:u w:val="none"/>
                <w:lang w:val="en-US" w:eastAsia="zh-CN"/>
              </w:rPr>
              <w:t xml:space="preserve">⑤转移的危险废物，全部提供或委托给持危险废物经营许可证的单位从事收集、贮存、利用、处置的活动。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zh-CN" w:eastAsia="zh-CN"/>
              </w:rPr>
            </w:pPr>
            <w:r>
              <w:rPr>
                <w:rFonts w:hint="default" w:ascii="Times New Roman" w:hAnsi="Times New Roman" w:cs="Times New Roman"/>
                <w:color w:val="auto"/>
                <w:sz w:val="24"/>
                <w:highlight w:val="none"/>
                <w:u w:val="none"/>
                <w:lang w:val="en-US" w:eastAsia="zh-CN"/>
              </w:rPr>
              <w:t>⑥制定了意外事故的防范措施和应急预案，向所在地县级以上地方人民政府环境保护</w:t>
            </w:r>
            <w:r>
              <w:rPr>
                <w:rFonts w:hint="default" w:ascii="Times New Roman" w:hAnsi="Times New Roman" w:eastAsia="宋体" w:cs="Times New Roman"/>
                <w:color w:val="auto"/>
                <w:sz w:val="24"/>
                <w:szCs w:val="24"/>
                <w:highlight w:val="none"/>
                <w:u w:val="none"/>
                <w:lang w:val="en-US" w:eastAsia="zh-CN"/>
              </w:rPr>
              <w:t xml:space="preserve">行政主管部门备案，并且按照预案要求每年组织应急演练。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zh-CN" w:eastAsia="zh-CN"/>
              </w:rPr>
            </w:pPr>
            <w:r>
              <w:rPr>
                <w:rFonts w:hint="default" w:ascii="Times New Roman" w:hAnsi="Times New Roman" w:eastAsia="宋体" w:cs="Times New Roman"/>
                <w:color w:val="auto"/>
                <w:sz w:val="24"/>
                <w:szCs w:val="24"/>
                <w:highlight w:val="none"/>
                <w:u w:val="none"/>
                <w:lang w:val="en-US" w:eastAsia="zh-CN"/>
              </w:rPr>
              <w:t xml:space="preserve">⑦危险废物产生单位应当对本单位工作人员进行培训。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zh-CN" w:eastAsia="zh-CN"/>
              </w:rPr>
            </w:pPr>
            <w:r>
              <w:rPr>
                <w:rFonts w:hint="default" w:ascii="Times New Roman" w:hAnsi="Times New Roman" w:eastAsia="宋体" w:cs="Times New Roman"/>
                <w:color w:val="auto"/>
                <w:sz w:val="24"/>
                <w:szCs w:val="24"/>
                <w:highlight w:val="none"/>
                <w:u w:val="none"/>
                <w:lang w:val="en-US" w:eastAsia="zh-CN"/>
              </w:rPr>
              <w:t>⑧危险废物贮存期限不得超过一年，延长贮存期限的，报经相应环保部门批准；危险废物应分类收集、贮存危险废物，不得混合贮存性质不相容且未经安全性处置的危险废物，装载危险废的容器完好无损；不得将危险废物混入非危险废物中贮存</w:t>
            </w:r>
            <w:r>
              <w:rPr>
                <w:rFonts w:hint="eastAsia" w:cs="Times New Roman"/>
                <w:color w:val="auto"/>
                <w:sz w:val="24"/>
                <w:szCs w:val="24"/>
                <w:highlight w:val="none"/>
                <w:u w:val="none"/>
                <w:lang w:val="en-US" w:eastAsia="zh-CN"/>
              </w:rPr>
              <w:t>。</w:t>
            </w:r>
            <w:r>
              <w:rPr>
                <w:rFonts w:hint="default" w:ascii="Times New Roman" w:hAnsi="Times New Roman" w:eastAsia="宋体" w:cs="Times New Roman"/>
                <w:color w:val="auto"/>
                <w:sz w:val="24"/>
                <w:szCs w:val="24"/>
                <w:highlight w:val="none"/>
                <w:u w:val="none"/>
                <w:lang w:val="en-US" w:eastAsia="zh-CN"/>
              </w:rPr>
              <w:t xml:space="preserve">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none"/>
                <w:lang w:val="zh-CN" w:eastAsia="zh-CN"/>
              </w:rPr>
            </w:pPr>
            <w:r>
              <w:rPr>
                <w:rFonts w:hint="default" w:ascii="Times New Roman" w:hAnsi="Times New Roman" w:eastAsia="宋体" w:cs="Times New Roman"/>
                <w:color w:val="auto"/>
                <w:sz w:val="24"/>
                <w:szCs w:val="24"/>
                <w:highlight w:val="none"/>
                <w:u w:val="none"/>
                <w:lang w:val="en-US" w:eastAsia="zh-CN"/>
              </w:rPr>
              <w:t xml:space="preserve">⑨建立危险废物贮存台账，并如实记载收集、贮存危险废物的类别、去向和有无事故等事项。 </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u w:val="single"/>
                <w:lang w:val="zh-CN" w:eastAsia="zh-CN"/>
              </w:rPr>
            </w:pPr>
            <w:r>
              <w:rPr>
                <w:rFonts w:hint="default" w:ascii="Times New Roman" w:hAnsi="Times New Roman" w:eastAsia="宋体" w:cs="Times New Roman"/>
                <w:color w:val="auto"/>
                <w:sz w:val="24"/>
                <w:szCs w:val="24"/>
                <w:highlight w:val="none"/>
                <w:u w:val="single"/>
                <w:lang w:val="en-US" w:eastAsia="zh-CN"/>
              </w:rPr>
              <w:t>⑩依法进行环境影响评价，完成</w:t>
            </w:r>
            <w:r>
              <w:rPr>
                <w:rFonts w:hint="eastAsia" w:ascii="Times New Roman" w:hAnsi="Times New Roman" w:eastAsia="宋体" w:cs="Times New Roman"/>
                <w:color w:val="auto"/>
                <w:sz w:val="24"/>
                <w:szCs w:val="24"/>
                <w:highlight w:val="none"/>
                <w:u w:val="single"/>
                <w:lang w:val="en-US" w:eastAsia="zh-CN"/>
              </w:rPr>
              <w:t>“</w:t>
            </w:r>
            <w:r>
              <w:rPr>
                <w:rFonts w:hint="default" w:ascii="Times New Roman" w:hAnsi="Times New Roman" w:eastAsia="宋体" w:cs="Times New Roman"/>
                <w:color w:val="auto"/>
                <w:sz w:val="24"/>
                <w:szCs w:val="24"/>
                <w:highlight w:val="none"/>
                <w:u w:val="single"/>
                <w:lang w:val="en-US" w:eastAsia="zh-CN"/>
              </w:rPr>
              <w:t>三同时</w:t>
            </w:r>
            <w:r>
              <w:rPr>
                <w:rFonts w:hint="eastAsia" w:ascii="Times New Roman" w:hAnsi="Times New Roman" w:eastAsia="宋体" w:cs="Times New Roman"/>
                <w:color w:val="auto"/>
                <w:sz w:val="24"/>
                <w:szCs w:val="24"/>
                <w:highlight w:val="none"/>
                <w:u w:val="single"/>
                <w:lang w:val="en-US" w:eastAsia="zh-CN"/>
              </w:rPr>
              <w:t>”</w:t>
            </w:r>
            <w:r>
              <w:rPr>
                <w:rFonts w:hint="default" w:ascii="Times New Roman" w:hAnsi="Times New Roman" w:eastAsia="宋体" w:cs="Times New Roman"/>
                <w:color w:val="auto"/>
                <w:sz w:val="24"/>
                <w:szCs w:val="24"/>
                <w:highlight w:val="none"/>
                <w:u w:val="single"/>
                <w:lang w:val="en-US" w:eastAsia="zh-CN"/>
              </w:rPr>
              <w:t>验收。</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8</w:t>
            </w:r>
            <w:r>
              <w:rPr>
                <w:rFonts w:hint="default" w:ascii="Times New Roman" w:hAnsi="Times New Roman" w:eastAsia="宋体" w:cs="Times New Roman"/>
                <w:color w:val="auto"/>
                <w:sz w:val="24"/>
                <w:szCs w:val="24"/>
                <w:highlight w:val="none"/>
                <w:lang w:val="en-US" w:eastAsia="zh-CN"/>
              </w:rPr>
              <w:t>）固体废物环境影响小结</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Ansi="宋体"/>
                <w:sz w:val="24"/>
                <w:szCs w:val="24"/>
                <w:u w:val="none"/>
              </w:rPr>
              <w:t>本项目固体废物可得到妥善的处理</w:t>
            </w:r>
            <w:r>
              <w:rPr>
                <w:rFonts w:hint="eastAsia" w:hAnsi="宋体"/>
                <w:sz w:val="24"/>
                <w:szCs w:val="24"/>
                <w:u w:val="none"/>
                <w:lang w:eastAsia="zh-CN"/>
              </w:rPr>
              <w:t>，</w:t>
            </w:r>
            <w:r>
              <w:rPr>
                <w:rFonts w:hAnsi="宋体"/>
                <w:sz w:val="24"/>
                <w:szCs w:val="24"/>
                <w:u w:val="none"/>
              </w:rPr>
              <w:t>对周围环境造成的影响很小，因此本项目固废治理措施可行。</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综上所述，本项目固体废物均能做到安全妥善处置，本项目建设运营产生的固体废物不会对周边环境产生明显影响。</w:t>
            </w:r>
          </w:p>
          <w:p>
            <w:pPr>
              <w:pStyle w:val="31"/>
              <w:bidi w:val="0"/>
              <w:ind w:left="0" w:leftChars="0" w:firstLine="0" w:firstLineChars="0"/>
              <w:rPr>
                <w:rFonts w:hint="default" w:ascii="Times New Roman" w:hAnsi="Times New Roman" w:cs="Times New Roman"/>
                <w:b/>
                <w:bCs/>
                <w:color w:val="auto"/>
                <w:sz w:val="24"/>
                <w:szCs w:val="24"/>
                <w:highlight w:val="none"/>
                <w:lang w:val="en-US" w:eastAsia="zh-CN"/>
              </w:rPr>
            </w:pPr>
            <w:r>
              <w:rPr>
                <w:rFonts w:hint="default" w:ascii="Times New Roman" w:hAnsi="Times New Roman" w:cs="Times New Roman"/>
                <w:b/>
                <w:bCs/>
                <w:color w:val="auto"/>
                <w:sz w:val="24"/>
                <w:szCs w:val="24"/>
                <w:highlight w:val="none"/>
                <w:lang w:val="en-US" w:eastAsia="zh-CN"/>
              </w:rPr>
              <w:t>5、地下水及土壤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zh-CN"/>
              </w:rPr>
            </w:pPr>
            <w:r>
              <w:rPr>
                <w:rFonts w:hint="eastAsia" w:cs="Times New Roman"/>
                <w:color w:val="auto"/>
                <w:sz w:val="24"/>
                <w:szCs w:val="24"/>
                <w:highlight w:val="none"/>
                <w:lang w:val="zh-CN"/>
              </w:rPr>
              <w:t>本项目使用的原辅材料不含有毒有害的大气污染物，也不涉及建设用地土壤风险筛选值的其他污染物，即项目不涉及土壤影响特征因子，也不涉及易在土</w:t>
            </w:r>
            <w:r>
              <w:rPr>
                <w:rFonts w:hint="eastAsia" w:ascii="Times New Roman" w:hAnsi="Times New Roman" w:eastAsia="宋体" w:cs="Times New Roman"/>
                <w:color w:val="auto"/>
                <w:sz w:val="24"/>
                <w:szCs w:val="24"/>
                <w:highlight w:val="none"/>
                <w:lang w:val="zh-CN"/>
              </w:rPr>
              <w:t>壤中累积的重金属污染物。正常工况下，本项目不存在地下水及土壤污染影响途径。但非正常工况下，如危废暂存间泄漏下渗等情况，可能会影响地下水和土壤。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项目各功能区均采取“源头控制”、“分区控制”的防渗措施，可以有效保证污染物不会进入土壤环境，防止污染土壤。</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lang w:val="en-US" w:eastAsia="zh-CN"/>
              </w:rPr>
              <w:t>项目产生的固体废物均在室内堆放，满足“防风、防雨、防晒”的要求，经收集后均进行妥善处理，不直接接触土壤环境。项目一般工业固体废物暂时贮存场满足《</w:t>
            </w:r>
            <w:r>
              <w:rPr>
                <w:rFonts w:hint="eastAsia" w:ascii="Times New Roman" w:hAnsi="Times New Roman" w:eastAsia="宋体" w:cs="Times New Roman"/>
                <w:color w:val="auto"/>
                <w:sz w:val="24"/>
                <w:szCs w:val="24"/>
                <w:highlight w:val="none"/>
                <w:lang w:val="en-US" w:eastAsia="zh-CN"/>
              </w:rPr>
              <w:t>一般工业固体废物贮存和填埋污染控制标准</w:t>
            </w:r>
            <w:r>
              <w:rPr>
                <w:rFonts w:hint="default" w:ascii="Times New Roman" w:hAnsi="Times New Roman" w:eastAsia="宋体" w:cs="Times New Roman"/>
                <w:color w:val="auto"/>
                <w:sz w:val="24"/>
                <w:szCs w:val="24"/>
                <w:highlight w:val="none"/>
                <w:lang w:val="en-US" w:eastAsia="zh-CN"/>
              </w:rPr>
              <w:t>》（GB 18599－20</w:t>
            </w:r>
            <w:r>
              <w:rPr>
                <w:rFonts w:hint="eastAsia" w:ascii="Times New Roman" w:hAnsi="Times New Roman" w:eastAsia="宋体" w:cs="Times New Roman"/>
                <w:color w:val="auto"/>
                <w:sz w:val="24"/>
                <w:szCs w:val="24"/>
                <w:highlight w:val="none"/>
                <w:lang w:val="en-US" w:eastAsia="zh-CN"/>
              </w:rPr>
              <w:t>20</w:t>
            </w:r>
            <w:r>
              <w:rPr>
                <w:rFonts w:hint="default" w:ascii="Times New Roman" w:hAnsi="Times New Roman" w:eastAsia="宋体" w:cs="Times New Roman"/>
                <w:color w:val="auto"/>
                <w:sz w:val="24"/>
                <w:szCs w:val="24"/>
                <w:highlight w:val="none"/>
                <w:lang w:val="en-US" w:eastAsia="zh-CN"/>
              </w:rPr>
              <w:t>），</w:t>
            </w:r>
            <w:r>
              <w:rPr>
                <w:rFonts w:hint="eastAsia" w:ascii="Times New Roman" w:hAnsi="Times New Roman" w:eastAsia="宋体" w:cs="Times New Roman"/>
                <w:color w:val="auto"/>
                <w:sz w:val="24"/>
                <w:szCs w:val="24"/>
                <w:highlight w:val="none"/>
                <w:lang w:val="en-US" w:eastAsia="zh-CN"/>
              </w:rPr>
              <w:t>危险废物</w:t>
            </w:r>
            <w:r>
              <w:rPr>
                <w:rFonts w:hint="default" w:ascii="Times New Roman" w:hAnsi="Times New Roman" w:eastAsia="宋体" w:cs="Times New Roman"/>
                <w:color w:val="auto"/>
                <w:sz w:val="24"/>
                <w:szCs w:val="24"/>
                <w:highlight w:val="none"/>
                <w:lang w:val="en-US" w:eastAsia="zh-CN"/>
              </w:rPr>
              <w:t>分类收集于危废暂存间，项目危险废物暂存场满足《危险废物贮存污染控制标准》（GB 18597－2001）及其 2013 年修改单要求，并做好硬化及防渗漏设施，运营期整体可以做到固体废物与地面基本杜绝，项目建设运营不会对土壤环境造成影响。</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zh-CN"/>
              </w:rPr>
            </w:pPr>
            <w:r>
              <w:rPr>
                <w:rFonts w:hint="eastAsia" w:ascii="Times New Roman" w:hAnsi="Times New Roman" w:eastAsia="宋体" w:cs="Times New Roman"/>
                <w:color w:val="auto"/>
                <w:sz w:val="24"/>
                <w:szCs w:val="24"/>
                <w:highlight w:val="none"/>
                <w:lang w:val="zh-CN"/>
              </w:rPr>
              <w:t>本项目分区防渗措施见下表。</w:t>
            </w:r>
          </w:p>
          <w:p>
            <w:pPr>
              <w:pStyle w:val="49"/>
              <w:jc w:val="center"/>
              <w:rPr>
                <w:rFonts w:hint="default" w:ascii="Times New Roman" w:hAnsi="Times New Roman" w:cs="Times New Roman"/>
                <w:b/>
                <w:bCs/>
                <w:color w:val="auto"/>
                <w:sz w:val="21"/>
                <w:szCs w:val="21"/>
                <w:highlight w:val="none"/>
                <w:lang w:val="en-US" w:eastAsia="zh-CN"/>
              </w:rPr>
            </w:pPr>
            <w:r>
              <w:rPr>
                <w:rFonts w:hint="default" w:ascii="Times New Roman" w:hAnsi="Times New Roman" w:cs="Times New Roman"/>
                <w:b/>
                <w:bCs/>
                <w:color w:val="auto"/>
                <w:sz w:val="21"/>
                <w:szCs w:val="21"/>
                <w:highlight w:val="none"/>
                <w:lang w:val="en-US" w:eastAsia="zh-CN"/>
              </w:rPr>
              <w:t>表4-</w:t>
            </w:r>
            <w:r>
              <w:rPr>
                <w:rFonts w:hint="eastAsia" w:cs="Times New Roman"/>
                <w:b/>
                <w:bCs/>
                <w:color w:val="auto"/>
                <w:sz w:val="21"/>
                <w:szCs w:val="21"/>
                <w:highlight w:val="none"/>
                <w:lang w:val="en-US" w:eastAsia="zh-CN"/>
              </w:rPr>
              <w:t>9</w:t>
            </w:r>
            <w:r>
              <w:rPr>
                <w:rFonts w:hint="default" w:ascii="Times New Roman" w:hAnsi="Times New Roman" w:cs="Times New Roman"/>
                <w:b/>
                <w:bCs/>
                <w:color w:val="auto"/>
                <w:sz w:val="21"/>
                <w:szCs w:val="21"/>
                <w:highlight w:val="none"/>
                <w:lang w:val="en-US" w:eastAsia="zh-CN"/>
              </w:rPr>
              <w:t xml:space="preserve"> 项目分区防渗措施一览表</w:t>
            </w:r>
          </w:p>
          <w:tbl>
            <w:tblPr>
              <w:tblStyle w:val="25"/>
              <w:tblW w:w="4998" w:type="pct"/>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854"/>
              <w:gridCol w:w="1500"/>
              <w:gridCol w:w="1872"/>
              <w:gridCol w:w="2821"/>
              <w:gridCol w:w="124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Ex>
              <w:trPr>
                <w:trHeight w:val="23" w:hRule="atLeast"/>
              </w:trPr>
              <w:tc>
                <w:tcPr>
                  <w:tcW w:w="515" w:type="pct"/>
                  <w:tcBorders>
                    <w:tl2br w:val="nil"/>
                    <w:tr2bl w:val="nil"/>
                  </w:tcBorders>
                  <w:vAlign w:val="center"/>
                </w:tcPr>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序号</w:t>
                  </w:r>
                </w:p>
              </w:tc>
              <w:tc>
                <w:tcPr>
                  <w:tcW w:w="904" w:type="pct"/>
                  <w:tcBorders>
                    <w:tl2br w:val="nil"/>
                    <w:tr2bl w:val="nil"/>
                  </w:tcBorders>
                  <w:vAlign w:val="center"/>
                </w:tcPr>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分区类别</w:t>
                  </w:r>
                </w:p>
              </w:tc>
              <w:tc>
                <w:tcPr>
                  <w:tcW w:w="1128" w:type="pct"/>
                  <w:tcBorders>
                    <w:tl2br w:val="nil"/>
                    <w:tr2bl w:val="nil"/>
                  </w:tcBorders>
                  <w:vAlign w:val="center"/>
                </w:tcPr>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防渗对象</w:t>
                  </w:r>
                </w:p>
              </w:tc>
              <w:tc>
                <w:tcPr>
                  <w:tcW w:w="1700" w:type="pct"/>
                  <w:tcBorders>
                    <w:tl2br w:val="nil"/>
                    <w:tr2bl w:val="nil"/>
                  </w:tcBorders>
                  <w:vAlign w:val="center"/>
                </w:tcPr>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防渗技术要求</w:t>
                  </w:r>
                </w:p>
              </w:tc>
              <w:tc>
                <w:tcPr>
                  <w:tcW w:w="750" w:type="pct"/>
                  <w:tcBorders>
                    <w:tl2br w:val="nil"/>
                    <w:tr2bl w:val="nil"/>
                  </w:tcBorders>
                  <w:vAlign w:val="center"/>
                </w:tcPr>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是否满</w:t>
                  </w:r>
                </w:p>
                <w:p>
                  <w:pPr>
                    <w:pStyle w:val="36"/>
                    <w:bidi w:val="0"/>
                    <w:jc w:val="center"/>
                    <w:rPr>
                      <w:rFonts w:hint="default" w:ascii="Times New Roman" w:hAnsi="Times New Roman" w:cs="Times New Roman"/>
                      <w:b/>
                      <w:bCs/>
                      <w:color w:val="auto"/>
                      <w:highlight w:val="none"/>
                    </w:rPr>
                  </w:pPr>
                  <w:r>
                    <w:rPr>
                      <w:rFonts w:hint="default" w:ascii="Times New Roman" w:hAnsi="Times New Roman" w:cs="Times New Roman"/>
                      <w:b/>
                      <w:bCs/>
                      <w:color w:val="auto"/>
                      <w:highlight w:val="none"/>
                    </w:rPr>
                    <w:t>足要求</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1</w:t>
                  </w:r>
                </w:p>
              </w:tc>
              <w:tc>
                <w:tcPr>
                  <w:tcW w:w="904"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重点防渗区</w:t>
                  </w:r>
                </w:p>
              </w:tc>
              <w:tc>
                <w:tcPr>
                  <w:tcW w:w="1128" w:type="pct"/>
                  <w:tcBorders>
                    <w:tl2br w:val="nil"/>
                    <w:tr2bl w:val="nil"/>
                  </w:tcBorders>
                  <w:vAlign w:val="center"/>
                </w:tcPr>
                <w:p>
                  <w:pPr>
                    <w:pStyle w:val="36"/>
                    <w:bidi w:val="0"/>
                    <w:jc w:val="center"/>
                    <w:rPr>
                      <w:rFonts w:hint="eastAsia" w:ascii="Times New Roman" w:hAnsi="Times New Roman" w:eastAsia="宋体" w:cs="Times New Roman"/>
                      <w:color w:val="auto"/>
                      <w:highlight w:val="none"/>
                      <w:lang w:eastAsia="zh-CN"/>
                    </w:rPr>
                  </w:pPr>
                  <w:r>
                    <w:rPr>
                      <w:rFonts w:hint="default" w:ascii="Times New Roman" w:hAnsi="Times New Roman" w:cs="Times New Roman"/>
                      <w:color w:val="auto"/>
                      <w:highlight w:val="none"/>
                    </w:rPr>
                    <w:t>危废暂存间</w:t>
                  </w:r>
                </w:p>
              </w:tc>
              <w:tc>
                <w:tcPr>
                  <w:tcW w:w="1700"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K≤1×10</w:t>
                  </w:r>
                  <w:r>
                    <w:rPr>
                      <w:rFonts w:hint="default" w:ascii="Times New Roman" w:hAnsi="Times New Roman" w:cs="Times New Roman"/>
                      <w:color w:val="auto"/>
                      <w:highlight w:val="none"/>
                      <w:vertAlign w:val="superscript"/>
                    </w:rPr>
                    <w:t>-10</w:t>
                  </w:r>
                  <w:r>
                    <w:rPr>
                      <w:rFonts w:hint="default" w:ascii="Times New Roman" w:hAnsi="Times New Roman" w:cs="Times New Roman"/>
                      <w:color w:val="auto"/>
                      <w:highlight w:val="none"/>
                    </w:rPr>
                    <w:t>cm/s</w:t>
                  </w:r>
                </w:p>
              </w:tc>
              <w:tc>
                <w:tcPr>
                  <w:tcW w:w="750"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满足</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23" w:hRule="atLeast"/>
              </w:trPr>
              <w:tc>
                <w:tcPr>
                  <w:tcW w:w="515" w:type="pct"/>
                  <w:tcBorders>
                    <w:tl2br w:val="nil"/>
                    <w:tr2bl w:val="nil"/>
                  </w:tcBorders>
                  <w:vAlign w:val="center"/>
                </w:tcPr>
                <w:p>
                  <w:pPr>
                    <w:pStyle w:val="36"/>
                    <w:bidi w:val="0"/>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val="en-US" w:eastAsia="zh-CN"/>
                    </w:rPr>
                    <w:t>2</w:t>
                  </w:r>
                </w:p>
              </w:tc>
              <w:tc>
                <w:tcPr>
                  <w:tcW w:w="904"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eastAsia" w:cs="Times New Roman"/>
                      <w:color w:val="auto"/>
                      <w:highlight w:val="none"/>
                      <w:lang w:eastAsia="zh-CN"/>
                    </w:rPr>
                    <w:t>一般</w:t>
                  </w:r>
                  <w:r>
                    <w:rPr>
                      <w:rFonts w:hint="default" w:ascii="Times New Roman" w:hAnsi="Times New Roman" w:cs="Times New Roman"/>
                      <w:color w:val="auto"/>
                      <w:highlight w:val="none"/>
                    </w:rPr>
                    <w:t>防渗区</w:t>
                  </w:r>
                </w:p>
              </w:tc>
              <w:tc>
                <w:tcPr>
                  <w:tcW w:w="1128" w:type="pct"/>
                  <w:tcBorders>
                    <w:tl2br w:val="nil"/>
                    <w:tr2bl w:val="nil"/>
                  </w:tcBorders>
                  <w:vAlign w:val="center"/>
                </w:tcPr>
                <w:p>
                  <w:pPr>
                    <w:pStyle w:val="36"/>
                    <w:bidi w:val="0"/>
                    <w:jc w:val="center"/>
                    <w:rPr>
                      <w:rFonts w:hint="eastAsia" w:ascii="Times New Roman" w:hAnsi="Times New Roman" w:eastAsia="宋体" w:cs="Times New Roman"/>
                      <w:color w:val="auto"/>
                      <w:highlight w:val="none"/>
                      <w:lang w:eastAsia="zh-CN"/>
                    </w:rPr>
                  </w:pPr>
                  <w:r>
                    <w:rPr>
                      <w:rFonts w:hint="eastAsia" w:cs="Times New Roman"/>
                      <w:color w:val="auto"/>
                      <w:highlight w:val="none"/>
                      <w:lang w:eastAsia="zh-CN"/>
                    </w:rPr>
                    <w:t>生产车间</w:t>
                  </w:r>
                </w:p>
              </w:tc>
              <w:tc>
                <w:tcPr>
                  <w:tcW w:w="1700"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等效黏土防渗层</w:t>
                  </w:r>
                </w:p>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Mb≥1.5m，K≤1× 10</w:t>
                  </w:r>
                  <w:r>
                    <w:rPr>
                      <w:rFonts w:hint="default" w:ascii="Times New Roman" w:hAnsi="Times New Roman" w:cs="Times New Roman"/>
                      <w:color w:val="auto"/>
                      <w:highlight w:val="none"/>
                      <w:vertAlign w:val="superscript"/>
                    </w:rPr>
                    <w:t>-7</w:t>
                  </w:r>
                  <w:r>
                    <w:rPr>
                      <w:rFonts w:hint="default" w:ascii="Times New Roman" w:hAnsi="Times New Roman" w:cs="Times New Roman"/>
                      <w:color w:val="auto"/>
                      <w:highlight w:val="none"/>
                    </w:rPr>
                    <w:t>cm/s</w:t>
                  </w:r>
                </w:p>
              </w:tc>
              <w:tc>
                <w:tcPr>
                  <w:tcW w:w="750" w:type="pct"/>
                  <w:tcBorders>
                    <w:tl2br w:val="nil"/>
                    <w:tr2bl w:val="nil"/>
                  </w:tcBorders>
                  <w:vAlign w:val="center"/>
                </w:tcPr>
                <w:p>
                  <w:pPr>
                    <w:pStyle w:val="36"/>
                    <w:bidi w:val="0"/>
                    <w:jc w:val="center"/>
                    <w:rPr>
                      <w:rFonts w:hint="default" w:ascii="Times New Roman" w:hAnsi="Times New Roman" w:cs="Times New Roman"/>
                      <w:color w:val="auto"/>
                      <w:highlight w:val="none"/>
                    </w:rPr>
                  </w:pPr>
                  <w:r>
                    <w:rPr>
                      <w:rFonts w:hint="default" w:ascii="Times New Roman" w:hAnsi="Times New Roman" w:cs="Times New Roman"/>
                      <w:color w:val="auto"/>
                      <w:highlight w:val="none"/>
                    </w:rPr>
                    <w:t>满足</w:t>
                  </w:r>
                </w:p>
              </w:tc>
            </w:tr>
          </w:tbl>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en-US" w:eastAsia="zh-CN"/>
              </w:rPr>
            </w:pPr>
            <w:r>
              <w:rPr>
                <w:rFonts w:hint="eastAsia" w:ascii="Times New Roman" w:hAnsi="Times New Roman" w:eastAsia="宋体" w:cs="Times New Roman"/>
                <w:color w:val="auto"/>
                <w:sz w:val="24"/>
                <w:szCs w:val="24"/>
                <w:highlight w:val="none"/>
                <w:lang w:val="en-US" w:eastAsia="zh-CN"/>
              </w:rPr>
              <w:t>在采取上述分区防渗措施后，本项目的建设及运营不会对区域地下水及土壤造成影响。</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val="0"/>
                <w:color w:val="auto"/>
                <w:sz w:val="24"/>
                <w:szCs w:val="24"/>
                <w:highlight w:val="none"/>
                <w:lang w:val="en-US" w:eastAsia="zh-CN"/>
              </w:rPr>
            </w:pPr>
            <w:r>
              <w:rPr>
                <w:rFonts w:hint="default" w:ascii="Times New Roman" w:hAnsi="Times New Roman" w:cs="Times New Roman"/>
                <w:b/>
                <w:bCs w:val="0"/>
                <w:color w:val="auto"/>
                <w:sz w:val="24"/>
                <w:szCs w:val="24"/>
                <w:highlight w:val="none"/>
                <w:lang w:val="en-US" w:eastAsia="zh-CN"/>
              </w:rPr>
              <w:t>6</w:t>
            </w:r>
            <w:r>
              <w:rPr>
                <w:rFonts w:hint="default" w:ascii="Times New Roman" w:hAnsi="Times New Roman" w:eastAsia="宋体" w:cs="Times New Roman"/>
                <w:b/>
                <w:bCs w:val="0"/>
                <w:color w:val="auto"/>
                <w:sz w:val="24"/>
                <w:szCs w:val="24"/>
                <w:highlight w:val="none"/>
                <w:lang w:val="en-US" w:eastAsia="zh-CN"/>
              </w:rPr>
              <w:t>、生态环境影响分析</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eastAsia" w:cs="Times New Roman"/>
                <w:color w:val="auto"/>
                <w:sz w:val="24"/>
                <w:szCs w:val="24"/>
                <w:highlight w:val="none"/>
                <w:lang w:val="zh-CN"/>
              </w:rPr>
              <w:t>本</w:t>
            </w:r>
            <w:r>
              <w:rPr>
                <w:rFonts w:hint="default" w:ascii="Times New Roman" w:hAnsi="Times New Roman" w:eastAsia="宋体" w:cs="Times New Roman"/>
                <w:color w:val="auto"/>
                <w:sz w:val="24"/>
                <w:szCs w:val="24"/>
                <w:highlight w:val="none"/>
                <w:lang w:val="zh-CN"/>
              </w:rPr>
              <w:t>项目</w:t>
            </w:r>
            <w:r>
              <w:rPr>
                <w:rFonts w:hint="eastAsia" w:cs="Times New Roman"/>
                <w:color w:val="auto"/>
                <w:sz w:val="24"/>
                <w:szCs w:val="24"/>
                <w:highlight w:val="none"/>
                <w:lang w:val="zh-CN"/>
              </w:rPr>
              <w:t>租赁已建成厂房进行建设，占用土地类型为工业用地，不新增占地。在采取报告表提出的污染防治措施后，项目“三废”均能做到达标排放和妥善处置，项目的建设运营不会对周边生态环境产生明显影响。</w:t>
            </w: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
                <w:bCs/>
                <w:color w:val="auto"/>
                <w:sz w:val="24"/>
                <w:szCs w:val="24"/>
                <w:highlight w:val="none"/>
                <w:lang w:val="zh-CN" w:eastAsia="zh-CN"/>
              </w:rPr>
            </w:pPr>
            <w:r>
              <w:rPr>
                <w:rFonts w:hint="default" w:ascii="Times New Roman" w:hAnsi="Times New Roman" w:eastAsia="宋体" w:cs="Times New Roman"/>
                <w:b/>
                <w:bCs/>
                <w:color w:val="auto"/>
                <w:sz w:val="24"/>
                <w:szCs w:val="24"/>
                <w:highlight w:val="none"/>
                <w:lang w:val="en-US" w:eastAsia="zh-CN"/>
              </w:rPr>
              <w:t>7</w:t>
            </w:r>
            <w:r>
              <w:rPr>
                <w:rFonts w:hint="default" w:ascii="Times New Roman" w:hAnsi="Times New Roman" w:eastAsia="宋体" w:cs="Times New Roman"/>
                <w:b/>
                <w:bCs/>
                <w:color w:val="auto"/>
                <w:sz w:val="24"/>
                <w:szCs w:val="24"/>
                <w:highlight w:val="none"/>
                <w:lang w:val="zh-CN"/>
              </w:rPr>
              <w:t>、</w:t>
            </w:r>
            <w:r>
              <w:rPr>
                <w:rFonts w:hint="default" w:ascii="Times New Roman" w:hAnsi="Times New Roman" w:eastAsia="宋体" w:cs="Times New Roman"/>
                <w:b/>
                <w:bCs/>
                <w:color w:val="auto"/>
                <w:sz w:val="24"/>
                <w:szCs w:val="24"/>
                <w:highlight w:val="none"/>
                <w:lang w:val="zh-CN" w:eastAsia="zh-CN"/>
              </w:rPr>
              <w:t>环境风险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fldChar w:fldCharType="begin"/>
            </w:r>
            <w:r>
              <w:rPr>
                <w:rFonts w:hint="default" w:ascii="Times New Roman" w:hAnsi="Times New Roman" w:eastAsia="宋体" w:cs="Times New Roman"/>
                <w:color w:val="auto"/>
                <w:sz w:val="24"/>
                <w:szCs w:val="24"/>
                <w:highlight w:val="none"/>
                <w:lang w:val="zh-CN" w:eastAsia="zh-CN"/>
              </w:rPr>
              <w:instrText xml:space="preserve"> = 1 \* GB3 \* MERGEFORMAT </w:instrText>
            </w:r>
            <w:r>
              <w:rPr>
                <w:rFonts w:hint="default" w:ascii="Times New Roman" w:hAnsi="Times New Roman" w:eastAsia="宋体" w:cs="Times New Roman"/>
                <w:color w:val="auto"/>
                <w:sz w:val="24"/>
                <w:szCs w:val="24"/>
                <w:highlight w:val="none"/>
                <w:lang w:val="zh-CN" w:eastAsia="zh-CN"/>
              </w:rPr>
              <w:fldChar w:fldCharType="separate"/>
            </w:r>
            <w:r>
              <w:rPr>
                <w:rFonts w:hint="default" w:ascii="Times New Roman" w:hAnsi="Times New Roman" w:cs="Times New Roman"/>
                <w:color w:val="auto"/>
                <w:sz w:val="24"/>
                <w:szCs w:val="24"/>
                <w:highlight w:val="none"/>
              </w:rPr>
              <w:t>①</w:t>
            </w:r>
            <w:r>
              <w:rPr>
                <w:rFonts w:hint="default" w:ascii="Times New Roman" w:hAnsi="Times New Roman" w:eastAsia="宋体" w:cs="Times New Roman"/>
                <w:color w:val="auto"/>
                <w:sz w:val="24"/>
                <w:szCs w:val="24"/>
                <w:highlight w:val="none"/>
                <w:lang w:val="zh-CN" w:eastAsia="zh-CN"/>
              </w:rPr>
              <w:fldChar w:fldCharType="end"/>
            </w:r>
            <w:r>
              <w:rPr>
                <w:rFonts w:hint="default" w:ascii="Times New Roman" w:hAnsi="Times New Roman" w:cs="Times New Roman"/>
                <w:color w:val="auto"/>
                <w:sz w:val="24"/>
                <w:szCs w:val="24"/>
                <w:highlight w:val="none"/>
                <w:lang w:val="zh-CN" w:eastAsia="zh-CN"/>
              </w:rPr>
              <w:t>环境风险物质</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根据工程分析，结合《建设项目环境风险评价技术导则》（HJ169-2018） 附录B、《危险化学品目录》，项目厂区内涉及危险物质</w:t>
            </w:r>
            <w:r>
              <w:rPr>
                <w:rFonts w:hint="eastAsia" w:cs="Times New Roman"/>
                <w:color w:val="auto"/>
                <w:sz w:val="24"/>
                <w:szCs w:val="24"/>
                <w:highlight w:val="none"/>
                <w:lang w:val="zh-CN" w:eastAsia="zh-CN"/>
              </w:rPr>
              <w:t>主要为项目产生的危险废物。</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eastAsia"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fldChar w:fldCharType="begin"/>
            </w:r>
            <w:r>
              <w:rPr>
                <w:rFonts w:hint="default" w:ascii="Times New Roman" w:hAnsi="Times New Roman" w:eastAsia="宋体" w:cs="Times New Roman"/>
                <w:color w:val="auto"/>
                <w:sz w:val="24"/>
                <w:szCs w:val="24"/>
                <w:highlight w:val="none"/>
                <w:lang w:val="zh-CN" w:eastAsia="zh-CN"/>
              </w:rPr>
              <w:instrText xml:space="preserve"> = 2 \* GB3 \* MERGEFORMAT </w:instrText>
            </w:r>
            <w:r>
              <w:rPr>
                <w:rFonts w:hint="default" w:ascii="Times New Roman" w:hAnsi="Times New Roman" w:eastAsia="宋体" w:cs="Times New Roman"/>
                <w:color w:val="auto"/>
                <w:sz w:val="24"/>
                <w:szCs w:val="24"/>
                <w:highlight w:val="none"/>
                <w:lang w:val="zh-CN" w:eastAsia="zh-CN"/>
              </w:rPr>
              <w:fldChar w:fldCharType="separate"/>
            </w:r>
            <w:r>
              <w:rPr>
                <w:rFonts w:hint="default" w:ascii="Times New Roman" w:hAnsi="Times New Roman" w:eastAsia="宋体" w:cs="Times New Roman"/>
                <w:color w:val="auto"/>
                <w:sz w:val="24"/>
                <w:szCs w:val="24"/>
                <w:highlight w:val="none"/>
                <w:lang w:val="zh-CN" w:eastAsia="zh-CN"/>
              </w:rPr>
              <w:t>②</w:t>
            </w:r>
            <w:r>
              <w:rPr>
                <w:rFonts w:hint="default" w:ascii="Times New Roman" w:hAnsi="Times New Roman" w:eastAsia="宋体" w:cs="Times New Roman"/>
                <w:color w:val="auto"/>
                <w:sz w:val="24"/>
                <w:szCs w:val="24"/>
                <w:highlight w:val="none"/>
                <w:lang w:val="zh-CN" w:eastAsia="zh-CN"/>
              </w:rPr>
              <w:fldChar w:fldCharType="end"/>
            </w:r>
            <w:r>
              <w:rPr>
                <w:rFonts w:hint="eastAsia" w:ascii="Times New Roman" w:hAnsi="Times New Roman" w:eastAsia="宋体" w:cs="Times New Roman"/>
                <w:color w:val="auto"/>
                <w:sz w:val="24"/>
                <w:szCs w:val="24"/>
                <w:highlight w:val="none"/>
                <w:lang w:val="zh-CN" w:eastAsia="zh-CN"/>
              </w:rPr>
              <w:t>风险潜势初判</w:t>
            </w:r>
          </w:p>
          <w:p>
            <w:pPr>
              <w:pStyle w:val="31"/>
              <w:bidi w:val="0"/>
              <w:spacing w:line="360" w:lineRule="auto"/>
              <w:rPr>
                <w:color w:val="auto"/>
                <w:sz w:val="24"/>
                <w:szCs w:val="24"/>
                <w:highlight w:val="none"/>
              </w:rPr>
            </w:pPr>
            <w:r>
              <w:rPr>
                <w:rFonts w:hint="eastAsia"/>
                <w:color w:val="auto"/>
                <w:sz w:val="24"/>
                <w:szCs w:val="24"/>
                <w:highlight w:val="none"/>
              </w:rPr>
              <w:t>根据《建设项目环境风险评价技术导则》（HJ</w:t>
            </w:r>
            <w:r>
              <w:rPr>
                <w:color w:val="auto"/>
                <w:sz w:val="24"/>
                <w:szCs w:val="24"/>
                <w:highlight w:val="none"/>
              </w:rPr>
              <w:t xml:space="preserve"> </w:t>
            </w:r>
            <w:r>
              <w:rPr>
                <w:rFonts w:hint="eastAsia"/>
                <w:color w:val="auto"/>
                <w:sz w:val="24"/>
                <w:szCs w:val="24"/>
                <w:highlight w:val="none"/>
              </w:rPr>
              <w:t>169-2018），建设项目环境风险潜势划分为Ⅰ、Ⅱ、Ⅲ、Ⅳ/Ⅳ+级。根据建设项目涉及的物质和工艺系统的危险性（P）及其所在地的环境敏感程度（E），结合事故情形下环境影响途径，对建设项目潜在环境危害程度进行概化分析，并确定环境风险潜势。其中危险物质及工艺系统危险性（P）等级由危险物质数量与临界量的比值（Q）和所属行业及生产工艺特点（M）。</w:t>
            </w:r>
          </w:p>
          <w:p>
            <w:pPr>
              <w:pStyle w:val="31"/>
              <w:bidi w:val="0"/>
              <w:spacing w:line="360" w:lineRule="auto"/>
              <w:rPr>
                <w:color w:val="auto"/>
                <w:sz w:val="24"/>
                <w:szCs w:val="24"/>
                <w:highlight w:val="none"/>
              </w:rPr>
            </w:pPr>
            <w:r>
              <w:rPr>
                <w:color w:val="auto"/>
                <w:sz w:val="24"/>
                <w:szCs w:val="24"/>
                <w:highlight w:val="none"/>
              </w:rPr>
              <w:t>当存在多种危险物质时，按下式计算危险物质数量与临界值比值（Q）：</w:t>
            </w:r>
          </w:p>
          <w:p>
            <w:pPr>
              <w:spacing w:line="360" w:lineRule="auto"/>
              <w:ind w:firstLine="480" w:firstLineChars="200"/>
              <w:jc w:val="center"/>
              <w:rPr>
                <w:color w:val="auto"/>
                <w:sz w:val="24"/>
                <w:szCs w:val="24"/>
                <w:highlight w:val="none"/>
              </w:rPr>
            </w:pPr>
            <m:oMathPara>
              <m:oMath>
                <m:r>
                  <m:rPr>
                    <m:sty m:val="p"/>
                  </m:rPr>
                  <w:rPr>
                    <w:rFonts w:ascii="Cambria Math" w:hAnsi="Cambria Math" w:eastAsia="宋体"/>
                    <w:color w:val="auto"/>
                    <w:sz w:val="24"/>
                    <w:szCs w:val="24"/>
                    <w:highlight w:val="none"/>
                  </w:rPr>
                  <m:t>Q=</m:t>
                </m:r>
                <m:f>
                  <m:fPr>
                    <m:ctrlPr>
                      <w:rPr>
                        <w:rFonts w:ascii="Cambria Math" w:hAnsi="Cambria Math" w:eastAsia="宋体"/>
                        <w:color w:val="auto"/>
                        <w:sz w:val="24"/>
                        <w:szCs w:val="24"/>
                        <w:highlight w:val="none"/>
                      </w:rPr>
                    </m:ctrlPr>
                  </m:fPr>
                  <m:num>
                    <m:sSub>
                      <m:sSubPr>
                        <m:ctrlPr>
                          <w:rPr>
                            <w:rFonts w:ascii="Cambria Math" w:hAnsi="Cambria Math" w:eastAsia="宋体"/>
                            <w:i/>
                            <w:iCs/>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i/>
                            <w:iCs/>
                            <w:color w:val="auto"/>
                            <w:sz w:val="24"/>
                            <w:szCs w:val="24"/>
                            <w:highlight w:val="none"/>
                          </w:rPr>
                        </m:ctrlPr>
                      </m:e>
                      <m:sub>
                        <m:r>
                          <m:rPr/>
                          <w:rPr>
                            <w:rFonts w:ascii="Cambria Math" w:hAnsi="Cambria Math" w:eastAsia="宋体"/>
                            <w:color w:val="auto"/>
                            <w:sz w:val="24"/>
                            <w:szCs w:val="24"/>
                            <w:highlight w:val="none"/>
                          </w:rPr>
                          <m:t>1</m:t>
                        </m:r>
                        <m:ctrlPr>
                          <w:rPr>
                            <w:rFonts w:ascii="Cambria Math" w:hAnsi="Cambria Math" w:eastAsia="宋体"/>
                            <w:i/>
                            <w:iCs/>
                            <w:color w:val="auto"/>
                            <w:sz w:val="24"/>
                            <w:szCs w:val="24"/>
                            <w:highlight w:val="none"/>
                          </w:rPr>
                        </m:ctrlPr>
                      </m:sub>
                    </m:sSub>
                    <m:ctrlPr>
                      <w:rPr>
                        <w:rFonts w:ascii="Cambria Math" w:hAnsi="Cambria Math" w:eastAsia="宋体"/>
                        <w:i/>
                        <w:iCs/>
                        <w:color w:val="auto"/>
                        <w:sz w:val="24"/>
                        <w:szCs w:val="24"/>
                        <w:highlight w:val="none"/>
                      </w:rPr>
                    </m:ctrlPr>
                  </m:num>
                  <m:den>
                    <m:sSub>
                      <m:sSubPr>
                        <m:ctrlPr>
                          <w:rPr>
                            <w:rFonts w:ascii="Cambria Math" w:hAnsi="Cambria Math" w:eastAsia="宋体"/>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color w:val="auto"/>
                            <w:sz w:val="24"/>
                            <w:szCs w:val="24"/>
                            <w:highlight w:val="none"/>
                          </w:rPr>
                        </m:ctrlPr>
                      </m:e>
                      <m:sub>
                        <m:r>
                          <m:rPr>
                            <m:sty m:val="p"/>
                          </m:rPr>
                          <w:rPr>
                            <w:rFonts w:ascii="Cambria Math" w:hAnsi="Cambria Math" w:eastAsia="宋体"/>
                            <w:color w:val="auto"/>
                            <w:sz w:val="24"/>
                            <w:szCs w:val="24"/>
                            <w:highlight w:val="none"/>
                          </w:rPr>
                          <m:t>1</m:t>
                        </m:r>
                        <m:ctrlPr>
                          <w:rPr>
                            <w:rFonts w:ascii="Cambria Math" w:hAnsi="Cambria Math" w:eastAsia="宋体"/>
                            <w:color w:val="auto"/>
                            <w:sz w:val="24"/>
                            <w:szCs w:val="24"/>
                            <w:highlight w:val="none"/>
                          </w:rPr>
                        </m:ctrlPr>
                      </m:sub>
                    </m:sSub>
                    <m:ctrlPr>
                      <w:rPr>
                        <w:rFonts w:ascii="Cambria Math" w:hAnsi="Cambria Math" w:eastAsia="宋体"/>
                        <w:color w:val="auto"/>
                        <w:sz w:val="24"/>
                        <w:szCs w:val="24"/>
                        <w:highlight w:val="none"/>
                      </w:rPr>
                    </m:ctrlPr>
                  </m:den>
                </m:f>
                <m:r>
                  <m:rPr/>
                  <w:rPr>
                    <w:rFonts w:ascii="Cambria Math" w:hAnsi="Cambria Math" w:eastAsia="宋体"/>
                    <w:color w:val="auto"/>
                    <w:sz w:val="24"/>
                    <w:szCs w:val="24"/>
                    <w:highlight w:val="none"/>
                  </w:rPr>
                  <m:t>+</m:t>
                </m:r>
                <m:f>
                  <m:fPr>
                    <m:ctrlPr>
                      <w:rPr>
                        <w:rFonts w:ascii="Cambria Math" w:hAnsi="Cambria Math" w:eastAsia="宋体"/>
                        <w:color w:val="auto"/>
                        <w:sz w:val="24"/>
                        <w:szCs w:val="24"/>
                        <w:highlight w:val="none"/>
                      </w:rPr>
                    </m:ctrlPr>
                  </m:fPr>
                  <m:num>
                    <m:sSub>
                      <m:sSubPr>
                        <m:ctrlPr>
                          <w:rPr>
                            <w:rFonts w:ascii="Cambria Math" w:hAnsi="Cambria Math" w:eastAsia="宋体"/>
                            <w:i/>
                            <w:iCs/>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i/>
                            <w:iCs/>
                            <w:color w:val="auto"/>
                            <w:sz w:val="24"/>
                            <w:szCs w:val="24"/>
                            <w:highlight w:val="none"/>
                          </w:rPr>
                        </m:ctrlPr>
                      </m:e>
                      <m:sub>
                        <m:r>
                          <m:rPr/>
                          <w:rPr>
                            <w:rFonts w:ascii="Cambria Math" w:hAnsi="Cambria Math" w:eastAsia="宋体"/>
                            <w:color w:val="auto"/>
                            <w:sz w:val="24"/>
                            <w:szCs w:val="24"/>
                            <w:highlight w:val="none"/>
                          </w:rPr>
                          <m:t>2</m:t>
                        </m:r>
                        <m:ctrlPr>
                          <w:rPr>
                            <w:rFonts w:ascii="Cambria Math" w:hAnsi="Cambria Math" w:eastAsia="宋体"/>
                            <w:i/>
                            <w:iCs/>
                            <w:color w:val="auto"/>
                            <w:sz w:val="24"/>
                            <w:szCs w:val="24"/>
                            <w:highlight w:val="none"/>
                          </w:rPr>
                        </m:ctrlPr>
                      </m:sub>
                    </m:sSub>
                    <m:ctrlPr>
                      <w:rPr>
                        <w:rFonts w:ascii="Cambria Math" w:hAnsi="Cambria Math" w:eastAsia="宋体"/>
                        <w:i/>
                        <w:iCs/>
                        <w:color w:val="auto"/>
                        <w:sz w:val="24"/>
                        <w:szCs w:val="24"/>
                        <w:highlight w:val="none"/>
                      </w:rPr>
                    </m:ctrlPr>
                  </m:num>
                  <m:den>
                    <m:sSub>
                      <m:sSubPr>
                        <m:ctrlPr>
                          <w:rPr>
                            <w:rFonts w:ascii="Cambria Math" w:hAnsi="Cambria Math" w:eastAsia="宋体"/>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color w:val="auto"/>
                            <w:sz w:val="24"/>
                            <w:szCs w:val="24"/>
                            <w:highlight w:val="none"/>
                          </w:rPr>
                        </m:ctrlPr>
                      </m:e>
                      <m:sub>
                        <m:r>
                          <m:rPr>
                            <m:sty m:val="p"/>
                          </m:rPr>
                          <w:rPr>
                            <w:rFonts w:ascii="Cambria Math" w:hAnsi="Cambria Math" w:eastAsia="宋体"/>
                            <w:color w:val="auto"/>
                            <w:sz w:val="24"/>
                            <w:szCs w:val="24"/>
                            <w:highlight w:val="none"/>
                          </w:rPr>
                          <m:t>2</m:t>
                        </m:r>
                        <m:ctrlPr>
                          <w:rPr>
                            <w:rFonts w:ascii="Cambria Math" w:hAnsi="Cambria Math" w:eastAsia="宋体"/>
                            <w:color w:val="auto"/>
                            <w:sz w:val="24"/>
                            <w:szCs w:val="24"/>
                            <w:highlight w:val="none"/>
                          </w:rPr>
                        </m:ctrlPr>
                      </m:sub>
                    </m:sSub>
                    <m:ctrlPr>
                      <w:rPr>
                        <w:rFonts w:ascii="Cambria Math" w:hAnsi="Cambria Math" w:eastAsia="宋体"/>
                        <w:color w:val="auto"/>
                        <w:sz w:val="24"/>
                        <w:szCs w:val="24"/>
                        <w:highlight w:val="none"/>
                      </w:rPr>
                    </m:ctrlPr>
                  </m:den>
                </m:f>
                <m:r>
                  <m:rPr/>
                  <w:rPr>
                    <w:rFonts w:ascii="Cambria Math" w:hAnsi="Cambria Math" w:eastAsia="宋体"/>
                    <w:color w:val="auto"/>
                    <w:sz w:val="24"/>
                    <w:szCs w:val="24"/>
                    <w:highlight w:val="none"/>
                  </w:rPr>
                  <m:t>+·</m:t>
                </m:r>
                <m:r>
                  <m:rPr>
                    <m:sty m:val="p"/>
                  </m:rPr>
                  <w:rPr>
                    <w:rFonts w:ascii="Cambria Math" w:hAnsi="Cambria Math" w:eastAsia="宋体"/>
                    <w:color w:val="auto"/>
                    <w:sz w:val="24"/>
                    <w:szCs w:val="24"/>
                    <w:highlight w:val="none"/>
                  </w:rPr>
                  <m:t>··</m:t>
                </m:r>
                <m:r>
                  <m:rPr/>
                  <w:rPr>
                    <w:rFonts w:ascii="Cambria Math" w:hAnsi="Cambria Math" w:eastAsia="宋体"/>
                    <w:color w:val="auto"/>
                    <w:sz w:val="24"/>
                    <w:szCs w:val="24"/>
                    <w:highlight w:val="none"/>
                  </w:rPr>
                  <m:t>+</m:t>
                </m:r>
                <m:f>
                  <m:fPr>
                    <m:ctrlPr>
                      <w:rPr>
                        <w:rFonts w:ascii="Cambria Math" w:hAnsi="Cambria Math" w:eastAsia="宋体"/>
                        <w:color w:val="auto"/>
                        <w:sz w:val="24"/>
                        <w:szCs w:val="24"/>
                        <w:highlight w:val="none"/>
                      </w:rPr>
                    </m:ctrlPr>
                  </m:fPr>
                  <m:num>
                    <m:sSub>
                      <m:sSubPr>
                        <m:ctrlPr>
                          <w:rPr>
                            <w:rFonts w:ascii="Cambria Math" w:hAnsi="Cambria Math" w:eastAsia="宋体"/>
                            <w:i/>
                            <w:iCs/>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i/>
                            <w:iCs/>
                            <w:color w:val="auto"/>
                            <w:sz w:val="24"/>
                            <w:szCs w:val="24"/>
                            <w:highlight w:val="none"/>
                          </w:rPr>
                        </m:ctrlPr>
                      </m:e>
                      <m:sub>
                        <m:r>
                          <m:rPr/>
                          <w:rPr>
                            <w:rFonts w:ascii="Cambria Math" w:hAnsi="Cambria Math" w:eastAsia="宋体"/>
                            <w:color w:val="auto"/>
                            <w:sz w:val="24"/>
                            <w:szCs w:val="24"/>
                            <w:highlight w:val="none"/>
                          </w:rPr>
                          <m:t>n</m:t>
                        </m:r>
                        <m:ctrlPr>
                          <w:rPr>
                            <w:rFonts w:ascii="Cambria Math" w:hAnsi="Cambria Math" w:eastAsia="宋体"/>
                            <w:i/>
                            <w:iCs/>
                            <w:color w:val="auto"/>
                            <w:sz w:val="24"/>
                            <w:szCs w:val="24"/>
                            <w:highlight w:val="none"/>
                          </w:rPr>
                        </m:ctrlPr>
                      </m:sub>
                    </m:sSub>
                    <m:ctrlPr>
                      <w:rPr>
                        <w:rFonts w:ascii="Cambria Math" w:hAnsi="Cambria Math" w:eastAsia="宋体"/>
                        <w:i/>
                        <w:iCs/>
                        <w:color w:val="auto"/>
                        <w:sz w:val="24"/>
                        <w:szCs w:val="24"/>
                        <w:highlight w:val="none"/>
                      </w:rPr>
                    </m:ctrlPr>
                  </m:num>
                  <m:den>
                    <m:sSub>
                      <m:sSubPr>
                        <m:ctrlPr>
                          <w:rPr>
                            <w:rFonts w:ascii="Cambria Math" w:hAnsi="Cambria Math" w:eastAsia="宋体"/>
                            <w:color w:val="auto"/>
                            <w:sz w:val="24"/>
                            <w:szCs w:val="24"/>
                            <w:highlight w:val="none"/>
                          </w:rPr>
                        </m:ctrlPr>
                      </m:sSubPr>
                      <m:e>
                        <m:r>
                          <m:rPr/>
                          <w:rPr>
                            <w:rFonts w:ascii="Cambria Math" w:hAnsi="Cambria Math" w:eastAsia="宋体"/>
                            <w:color w:val="auto"/>
                            <w:sz w:val="24"/>
                            <w:szCs w:val="24"/>
                            <w:highlight w:val="none"/>
                          </w:rPr>
                          <m:t>Q</m:t>
                        </m:r>
                        <m:ctrlPr>
                          <w:rPr>
                            <w:rFonts w:ascii="Cambria Math" w:hAnsi="Cambria Math" w:eastAsia="宋体"/>
                            <w:color w:val="auto"/>
                            <w:sz w:val="24"/>
                            <w:szCs w:val="24"/>
                            <w:highlight w:val="none"/>
                          </w:rPr>
                        </m:ctrlPr>
                      </m:e>
                      <m:sub>
                        <m:r>
                          <m:rPr>
                            <m:sty m:val="p"/>
                          </m:rPr>
                          <w:rPr>
                            <w:rFonts w:ascii="Cambria Math" w:hAnsi="Cambria Math" w:eastAsia="宋体"/>
                            <w:color w:val="auto"/>
                            <w:sz w:val="24"/>
                            <w:szCs w:val="24"/>
                            <w:highlight w:val="none"/>
                          </w:rPr>
                          <m:t>n</m:t>
                        </m:r>
                        <m:ctrlPr>
                          <w:rPr>
                            <w:rFonts w:ascii="Cambria Math" w:hAnsi="Cambria Math" w:eastAsia="宋体"/>
                            <w:color w:val="auto"/>
                            <w:sz w:val="24"/>
                            <w:szCs w:val="24"/>
                            <w:highlight w:val="none"/>
                          </w:rPr>
                        </m:ctrlPr>
                      </m:sub>
                    </m:sSub>
                    <m:ctrlPr>
                      <w:rPr>
                        <w:rFonts w:ascii="Cambria Math" w:hAnsi="Cambria Math" w:eastAsia="宋体"/>
                        <w:color w:val="auto"/>
                        <w:sz w:val="24"/>
                        <w:szCs w:val="24"/>
                        <w:highlight w:val="none"/>
                      </w:rPr>
                    </m:ctrlPr>
                  </m:den>
                </m:f>
              </m:oMath>
            </m:oMathPara>
          </w:p>
          <w:p>
            <w:pPr>
              <w:pStyle w:val="50"/>
              <w:spacing w:line="360" w:lineRule="auto"/>
              <w:ind w:left="420" w:leftChars="200" w:firstLine="0" w:firstLineChars="0"/>
              <w:rPr>
                <w:color w:val="auto"/>
                <w:sz w:val="24"/>
                <w:szCs w:val="24"/>
                <w:highlight w:val="none"/>
              </w:rPr>
            </w:pPr>
            <w:r>
              <w:rPr>
                <w:color w:val="auto"/>
                <w:sz w:val="24"/>
                <w:szCs w:val="24"/>
                <w:highlight w:val="none"/>
              </w:rPr>
              <w:t>式中：q</w:t>
            </w:r>
            <w:r>
              <w:rPr>
                <w:color w:val="auto"/>
                <w:sz w:val="24"/>
                <w:szCs w:val="24"/>
                <w:highlight w:val="none"/>
                <w:vertAlign w:val="subscript"/>
              </w:rPr>
              <w:t>1</w:t>
            </w:r>
            <w:r>
              <w:rPr>
                <w:color w:val="auto"/>
                <w:sz w:val="24"/>
                <w:szCs w:val="24"/>
                <w:highlight w:val="none"/>
              </w:rPr>
              <w:t>，q</w:t>
            </w:r>
            <w:r>
              <w:rPr>
                <w:color w:val="auto"/>
                <w:sz w:val="24"/>
                <w:szCs w:val="24"/>
                <w:highlight w:val="none"/>
                <w:vertAlign w:val="subscript"/>
              </w:rPr>
              <w:t>2</w:t>
            </w:r>
            <w:r>
              <w:rPr>
                <w:color w:val="auto"/>
                <w:sz w:val="24"/>
                <w:szCs w:val="24"/>
                <w:highlight w:val="none"/>
              </w:rPr>
              <w:t>，...，q</w:t>
            </w:r>
            <w:r>
              <w:rPr>
                <w:color w:val="auto"/>
                <w:sz w:val="24"/>
                <w:szCs w:val="24"/>
                <w:highlight w:val="none"/>
                <w:vertAlign w:val="subscript"/>
              </w:rPr>
              <w:t>n</w:t>
            </w:r>
            <w:r>
              <w:rPr>
                <w:color w:val="auto"/>
                <w:sz w:val="24"/>
                <w:szCs w:val="24"/>
                <w:highlight w:val="none"/>
              </w:rPr>
              <w:t>——每种危险物质的最大存在总量，t；</w:t>
            </w:r>
          </w:p>
          <w:p>
            <w:pPr>
              <w:pStyle w:val="50"/>
              <w:spacing w:line="360" w:lineRule="auto"/>
              <w:ind w:left="420" w:leftChars="200" w:firstLine="0" w:firstLineChars="0"/>
              <w:rPr>
                <w:color w:val="auto"/>
                <w:sz w:val="24"/>
                <w:szCs w:val="24"/>
                <w:highlight w:val="none"/>
              </w:rPr>
            </w:pPr>
            <w:r>
              <w:rPr>
                <w:color w:val="auto"/>
                <w:sz w:val="24"/>
                <w:szCs w:val="24"/>
                <w:highlight w:val="none"/>
              </w:rPr>
              <w:t>Q</w:t>
            </w:r>
            <w:r>
              <w:rPr>
                <w:color w:val="auto"/>
                <w:sz w:val="24"/>
                <w:szCs w:val="24"/>
                <w:highlight w:val="none"/>
                <w:vertAlign w:val="subscript"/>
              </w:rPr>
              <w:t>1</w:t>
            </w:r>
            <w:r>
              <w:rPr>
                <w:color w:val="auto"/>
                <w:sz w:val="24"/>
                <w:szCs w:val="24"/>
                <w:highlight w:val="none"/>
              </w:rPr>
              <w:t>，Q</w:t>
            </w:r>
            <w:r>
              <w:rPr>
                <w:color w:val="auto"/>
                <w:sz w:val="24"/>
                <w:szCs w:val="24"/>
                <w:highlight w:val="none"/>
                <w:vertAlign w:val="subscript"/>
              </w:rPr>
              <w:t>2</w:t>
            </w:r>
            <w:r>
              <w:rPr>
                <w:color w:val="auto"/>
                <w:sz w:val="24"/>
                <w:szCs w:val="24"/>
                <w:highlight w:val="none"/>
              </w:rPr>
              <w:t>，...，Q</w:t>
            </w:r>
            <w:r>
              <w:rPr>
                <w:color w:val="auto"/>
                <w:sz w:val="24"/>
                <w:szCs w:val="24"/>
                <w:highlight w:val="none"/>
                <w:vertAlign w:val="subscript"/>
              </w:rPr>
              <w:t>n</w:t>
            </w:r>
            <w:r>
              <w:rPr>
                <w:color w:val="auto"/>
                <w:sz w:val="24"/>
                <w:szCs w:val="24"/>
                <w:highlight w:val="none"/>
              </w:rPr>
              <w:t>——每种危险物质的临界量，t。</w:t>
            </w:r>
          </w:p>
          <w:p>
            <w:pPr>
              <w:pStyle w:val="50"/>
              <w:spacing w:line="360" w:lineRule="auto"/>
              <w:ind w:left="420" w:leftChars="200" w:firstLine="0" w:firstLineChars="0"/>
              <w:rPr>
                <w:color w:val="auto"/>
                <w:sz w:val="24"/>
                <w:szCs w:val="24"/>
                <w:highlight w:val="none"/>
              </w:rPr>
            </w:pPr>
            <w:r>
              <w:rPr>
                <w:color w:val="auto"/>
                <w:sz w:val="24"/>
                <w:szCs w:val="24"/>
                <w:highlight w:val="none"/>
              </w:rPr>
              <w:t>当Q＜1时，该项目环境风险潜势为I。</w:t>
            </w:r>
          </w:p>
          <w:p>
            <w:pPr>
              <w:pStyle w:val="50"/>
              <w:spacing w:line="360" w:lineRule="auto"/>
              <w:ind w:firstLine="480"/>
              <w:rPr>
                <w:color w:val="auto"/>
                <w:sz w:val="24"/>
                <w:szCs w:val="24"/>
                <w:highlight w:val="none"/>
              </w:rPr>
            </w:pPr>
            <w:r>
              <w:rPr>
                <w:color w:val="auto"/>
                <w:sz w:val="24"/>
                <w:szCs w:val="24"/>
                <w:highlight w:val="none"/>
              </w:rPr>
              <w:t>当Q≥1时，将Q值划分为：（1）1≤Q＜10；（2）10≤Q＜100；（3）Q≥100。</w:t>
            </w:r>
          </w:p>
          <w:p>
            <w:pPr>
              <w:pStyle w:val="31"/>
              <w:bidi w:val="0"/>
              <w:spacing w:line="360" w:lineRule="auto"/>
              <w:rPr>
                <w:color w:val="auto"/>
                <w:kern w:val="0"/>
                <w:sz w:val="24"/>
                <w:szCs w:val="24"/>
                <w:highlight w:val="none"/>
              </w:rPr>
            </w:pPr>
            <w:r>
              <w:rPr>
                <w:color w:val="auto"/>
                <w:sz w:val="24"/>
                <w:szCs w:val="24"/>
                <w:highlight w:val="none"/>
              </w:rPr>
              <w:t>本项目危险物质主要为</w:t>
            </w:r>
            <w:r>
              <w:rPr>
                <w:rFonts w:hint="eastAsia" w:cs="Times New Roman"/>
                <w:color w:val="auto"/>
                <w:sz w:val="24"/>
                <w:szCs w:val="24"/>
                <w:highlight w:val="none"/>
                <w:lang w:val="zh-CN" w:eastAsia="zh-CN"/>
              </w:rPr>
              <w:t>项目产生的危险废物</w:t>
            </w:r>
            <w:r>
              <w:rPr>
                <w:color w:val="auto"/>
                <w:sz w:val="24"/>
                <w:szCs w:val="24"/>
                <w:highlight w:val="none"/>
              </w:rPr>
              <w:t>，根据《建设项目环境风险评价技术导则》（HJ169-2018）附录B突发环境事件风险物质及临界值清单，</w:t>
            </w:r>
            <w:r>
              <w:rPr>
                <w:rFonts w:hint="eastAsia"/>
                <w:color w:val="auto"/>
                <w:sz w:val="24"/>
                <w:szCs w:val="24"/>
                <w:highlight w:val="none"/>
                <w:lang w:eastAsia="zh-CN"/>
              </w:rPr>
              <w:t>企业</w:t>
            </w:r>
            <w:r>
              <w:rPr>
                <w:color w:val="auto"/>
                <w:sz w:val="24"/>
                <w:szCs w:val="24"/>
                <w:highlight w:val="none"/>
              </w:rPr>
              <w:t>涉风险物质数量与临界量比值见下表。</w:t>
            </w:r>
          </w:p>
          <w:p>
            <w:pPr>
              <w:spacing w:line="360" w:lineRule="auto"/>
              <w:ind w:left="420" w:leftChars="200"/>
              <w:jc w:val="center"/>
              <w:rPr>
                <w:b/>
                <w:bCs/>
                <w:color w:val="auto"/>
                <w:sz w:val="21"/>
                <w:szCs w:val="21"/>
                <w:highlight w:val="none"/>
              </w:rPr>
            </w:pPr>
            <w:r>
              <w:rPr>
                <w:b/>
                <w:bCs/>
                <w:color w:val="auto"/>
                <w:sz w:val="21"/>
                <w:szCs w:val="21"/>
                <w:highlight w:val="none"/>
              </w:rPr>
              <w:t>表</w:t>
            </w:r>
            <w:r>
              <w:rPr>
                <w:rFonts w:hint="eastAsia"/>
                <w:b/>
                <w:bCs/>
                <w:color w:val="auto"/>
                <w:sz w:val="21"/>
                <w:szCs w:val="21"/>
                <w:highlight w:val="none"/>
                <w:lang w:val="en-US" w:eastAsia="zh-CN"/>
              </w:rPr>
              <w:t>4</w:t>
            </w:r>
            <w:r>
              <w:rPr>
                <w:b/>
                <w:bCs/>
                <w:color w:val="auto"/>
                <w:sz w:val="21"/>
                <w:szCs w:val="21"/>
                <w:highlight w:val="none"/>
              </w:rPr>
              <w:t>-</w:t>
            </w:r>
            <w:r>
              <w:rPr>
                <w:rFonts w:hint="eastAsia"/>
                <w:b/>
                <w:bCs/>
                <w:color w:val="auto"/>
                <w:sz w:val="21"/>
                <w:szCs w:val="21"/>
                <w:highlight w:val="none"/>
                <w:lang w:val="en-US" w:eastAsia="zh-CN"/>
              </w:rPr>
              <w:t>10</w:t>
            </w:r>
            <w:r>
              <w:rPr>
                <w:b/>
                <w:bCs/>
                <w:color w:val="auto"/>
                <w:sz w:val="21"/>
                <w:szCs w:val="21"/>
                <w:highlight w:val="none"/>
              </w:rPr>
              <w:t xml:space="preserve">  风险物质贮存情况及临界量比值计算（Q）</w:t>
            </w:r>
          </w:p>
          <w:tbl>
            <w:tblPr>
              <w:tblStyle w:val="25"/>
              <w:tblW w:w="0" w:type="auto"/>
              <w:tblInd w:w="-5"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805"/>
              <w:gridCol w:w="2084"/>
              <w:gridCol w:w="1950"/>
              <w:gridCol w:w="1500"/>
              <w:gridCol w:w="1928"/>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05" w:type="dxa"/>
                  <w:noWrap w:val="0"/>
                  <w:vAlign w:val="center"/>
                </w:tcPr>
                <w:p>
                  <w:pPr>
                    <w:spacing w:line="360" w:lineRule="auto"/>
                    <w:jc w:val="center"/>
                    <w:rPr>
                      <w:b/>
                      <w:bCs/>
                      <w:color w:val="auto"/>
                      <w:sz w:val="21"/>
                      <w:szCs w:val="21"/>
                      <w:highlight w:val="none"/>
                    </w:rPr>
                  </w:pPr>
                  <w:r>
                    <w:rPr>
                      <w:b/>
                      <w:bCs/>
                      <w:color w:val="auto"/>
                      <w:sz w:val="21"/>
                      <w:szCs w:val="21"/>
                      <w:highlight w:val="none"/>
                    </w:rPr>
                    <w:t>序号</w:t>
                  </w:r>
                </w:p>
              </w:tc>
              <w:tc>
                <w:tcPr>
                  <w:tcW w:w="2084" w:type="dxa"/>
                  <w:noWrap w:val="0"/>
                  <w:vAlign w:val="center"/>
                </w:tcPr>
                <w:p>
                  <w:pPr>
                    <w:spacing w:line="360" w:lineRule="auto"/>
                    <w:jc w:val="center"/>
                    <w:rPr>
                      <w:b/>
                      <w:bCs/>
                      <w:color w:val="auto"/>
                      <w:sz w:val="21"/>
                      <w:szCs w:val="21"/>
                      <w:highlight w:val="none"/>
                    </w:rPr>
                  </w:pPr>
                  <w:r>
                    <w:rPr>
                      <w:b/>
                      <w:bCs/>
                      <w:color w:val="auto"/>
                      <w:sz w:val="21"/>
                      <w:szCs w:val="21"/>
                      <w:highlight w:val="none"/>
                    </w:rPr>
                    <w:t>风险物质名称</w:t>
                  </w:r>
                </w:p>
              </w:tc>
              <w:tc>
                <w:tcPr>
                  <w:tcW w:w="1950" w:type="dxa"/>
                  <w:noWrap w:val="0"/>
                  <w:vAlign w:val="center"/>
                </w:tcPr>
                <w:p>
                  <w:pPr>
                    <w:spacing w:line="360" w:lineRule="auto"/>
                    <w:jc w:val="center"/>
                    <w:rPr>
                      <w:b/>
                      <w:bCs/>
                      <w:color w:val="auto"/>
                      <w:sz w:val="21"/>
                      <w:szCs w:val="21"/>
                      <w:highlight w:val="none"/>
                    </w:rPr>
                  </w:pPr>
                  <w:r>
                    <w:rPr>
                      <w:b/>
                      <w:bCs/>
                      <w:color w:val="auto"/>
                      <w:sz w:val="21"/>
                      <w:szCs w:val="21"/>
                      <w:highlight w:val="none"/>
                    </w:rPr>
                    <w:t>最大储存量q（t）</w:t>
                  </w:r>
                </w:p>
              </w:tc>
              <w:tc>
                <w:tcPr>
                  <w:tcW w:w="1500" w:type="dxa"/>
                  <w:noWrap w:val="0"/>
                  <w:vAlign w:val="center"/>
                </w:tcPr>
                <w:p>
                  <w:pPr>
                    <w:spacing w:line="360" w:lineRule="auto"/>
                    <w:jc w:val="center"/>
                    <w:rPr>
                      <w:b/>
                      <w:bCs/>
                      <w:color w:val="auto"/>
                      <w:sz w:val="21"/>
                      <w:szCs w:val="21"/>
                      <w:highlight w:val="none"/>
                    </w:rPr>
                  </w:pPr>
                  <w:r>
                    <w:rPr>
                      <w:b/>
                      <w:bCs/>
                      <w:color w:val="auto"/>
                      <w:sz w:val="21"/>
                      <w:szCs w:val="21"/>
                      <w:highlight w:val="none"/>
                    </w:rPr>
                    <w:t>临界量Q（t）</w:t>
                  </w:r>
                </w:p>
              </w:tc>
              <w:tc>
                <w:tcPr>
                  <w:tcW w:w="1928" w:type="dxa"/>
                  <w:noWrap w:val="0"/>
                  <w:vAlign w:val="center"/>
                </w:tcPr>
                <w:p>
                  <w:pPr>
                    <w:spacing w:line="360" w:lineRule="auto"/>
                    <w:jc w:val="center"/>
                    <w:rPr>
                      <w:b/>
                      <w:bCs/>
                      <w:color w:val="auto"/>
                      <w:sz w:val="21"/>
                      <w:szCs w:val="21"/>
                      <w:highlight w:val="none"/>
                    </w:rPr>
                  </w:pPr>
                  <w:r>
                    <w:rPr>
                      <w:b/>
                      <w:bCs/>
                      <w:color w:val="auto"/>
                      <w:sz w:val="21"/>
                      <w:szCs w:val="21"/>
                      <w:highlight w:val="none"/>
                    </w:rPr>
                    <w:t>q/Q</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05" w:type="dxa"/>
                  <w:noWrap w:val="0"/>
                  <w:vAlign w:val="center"/>
                </w:tcPr>
                <w:p>
                  <w:pPr>
                    <w:spacing w:line="360" w:lineRule="auto"/>
                    <w:jc w:val="center"/>
                    <w:rPr>
                      <w:rFonts w:hint="eastAsia" w:eastAsia="宋体"/>
                      <w:color w:val="auto"/>
                      <w:sz w:val="21"/>
                      <w:szCs w:val="21"/>
                      <w:highlight w:val="none"/>
                      <w:lang w:val="en-US" w:eastAsia="zh-CN"/>
                    </w:rPr>
                  </w:pPr>
                  <w:r>
                    <w:rPr>
                      <w:rFonts w:hint="eastAsia"/>
                      <w:color w:val="auto"/>
                      <w:sz w:val="21"/>
                      <w:szCs w:val="21"/>
                      <w:highlight w:val="none"/>
                      <w:lang w:val="en-US" w:eastAsia="zh-CN"/>
                    </w:rPr>
                    <w:t>1</w:t>
                  </w:r>
                </w:p>
              </w:tc>
              <w:tc>
                <w:tcPr>
                  <w:tcW w:w="2084" w:type="dxa"/>
                  <w:noWrap w:val="0"/>
                  <w:vAlign w:val="center"/>
                </w:tcPr>
                <w:p>
                  <w:pPr>
                    <w:pStyle w:val="36"/>
                    <w:bidi w:val="0"/>
                    <w:spacing w:line="360" w:lineRule="auto"/>
                    <w:ind w:left="0" w:leftChars="0" w:firstLine="0" w:firstLineChars="0"/>
                    <w:jc w:val="center"/>
                    <w:rPr>
                      <w:rFonts w:hint="eastAsia"/>
                      <w:color w:val="auto"/>
                      <w:sz w:val="21"/>
                      <w:szCs w:val="21"/>
                      <w:highlight w:val="none"/>
                      <w:lang w:eastAsia="zh-CN"/>
                    </w:rPr>
                  </w:pPr>
                  <w:r>
                    <w:rPr>
                      <w:rFonts w:hint="eastAsia" w:ascii="宋体" w:hAnsi="宋体" w:eastAsia="宋体" w:cs="宋体"/>
                      <w:color w:val="auto"/>
                      <w:kern w:val="0"/>
                      <w:sz w:val="21"/>
                      <w:szCs w:val="21"/>
                      <w:highlight w:val="none"/>
                      <w:lang w:val="en-US" w:eastAsia="zh-CN" w:bidi="ar"/>
                    </w:rPr>
                    <w:t>隔油池产生的废油</w:t>
                  </w:r>
                </w:p>
              </w:tc>
              <w:tc>
                <w:tcPr>
                  <w:tcW w:w="1950" w:type="dxa"/>
                  <w:noWrap w:val="0"/>
                  <w:vAlign w:val="center"/>
                </w:tcPr>
                <w:p>
                  <w:pPr>
                    <w:pStyle w:val="36"/>
                    <w:bidi w:val="0"/>
                    <w:spacing w:line="360" w:lineRule="auto"/>
                    <w:ind w:left="0" w:leftChars="0" w:firstLine="0" w:firstLineChars="0"/>
                    <w:jc w:val="center"/>
                    <w:rPr>
                      <w:rFonts w:hint="default" w:eastAsia="宋体"/>
                      <w:color w:val="auto"/>
                      <w:sz w:val="21"/>
                      <w:szCs w:val="21"/>
                      <w:highlight w:val="none"/>
                      <w:lang w:val="en-US" w:eastAsia="zh-CN"/>
                    </w:rPr>
                  </w:pPr>
                  <w:r>
                    <w:rPr>
                      <w:rFonts w:hint="eastAsia" w:cs="Times New Roman"/>
                      <w:color w:val="auto"/>
                      <w:sz w:val="21"/>
                      <w:szCs w:val="21"/>
                      <w:highlight w:val="none"/>
                      <w:u w:val="none"/>
                      <w:lang w:val="en-US" w:eastAsia="zh-CN"/>
                    </w:rPr>
                    <w:t>0.02</w:t>
                  </w:r>
                </w:p>
              </w:tc>
              <w:tc>
                <w:tcPr>
                  <w:tcW w:w="1500" w:type="dxa"/>
                  <w:noWrap w:val="0"/>
                  <w:vAlign w:val="center"/>
                </w:tcPr>
                <w:p>
                  <w:pPr>
                    <w:spacing w:line="36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1928" w:type="dxa"/>
                  <w:noWrap w:val="0"/>
                  <w:vAlign w:val="center"/>
                </w:tcPr>
                <w:p>
                  <w:pPr>
                    <w:pStyle w:val="36"/>
                    <w:bidi w:val="0"/>
                    <w:spacing w:line="360" w:lineRule="auto"/>
                    <w:rPr>
                      <w:rFonts w:hint="default"/>
                      <w:color w:val="auto"/>
                      <w:sz w:val="21"/>
                      <w:szCs w:val="21"/>
                      <w:highlight w:val="none"/>
                      <w:lang w:val="en-US" w:eastAsia="zh-CN"/>
                    </w:rPr>
                  </w:pPr>
                  <w:r>
                    <w:rPr>
                      <w:rFonts w:hint="eastAsia"/>
                      <w:color w:val="auto"/>
                      <w:sz w:val="21"/>
                      <w:szCs w:val="21"/>
                      <w:highlight w:val="none"/>
                      <w:lang w:val="en-US" w:eastAsia="zh-CN"/>
                    </w:rPr>
                    <w:t>0.0004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805" w:type="dxa"/>
                  <w:noWrap w:val="0"/>
                  <w:vAlign w:val="center"/>
                </w:tcPr>
                <w:p>
                  <w:pPr>
                    <w:spacing w:line="36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2</w:t>
                  </w:r>
                </w:p>
              </w:tc>
              <w:tc>
                <w:tcPr>
                  <w:tcW w:w="2084" w:type="dxa"/>
                  <w:noWrap w:val="0"/>
                  <w:vAlign w:val="center"/>
                </w:tcPr>
                <w:p>
                  <w:pPr>
                    <w:pStyle w:val="36"/>
                    <w:bidi w:val="0"/>
                    <w:spacing w:line="360" w:lineRule="auto"/>
                    <w:ind w:left="0" w:leftChars="0" w:firstLine="0" w:firstLineChars="0"/>
                    <w:jc w:val="center"/>
                    <w:rPr>
                      <w:rFonts w:hint="eastAsia" w:cs="Times New Roman"/>
                      <w:color w:val="auto"/>
                      <w:sz w:val="21"/>
                      <w:szCs w:val="21"/>
                      <w:highlight w:val="none"/>
                      <w:lang w:val="zh-CN" w:eastAsia="zh-CN"/>
                    </w:rPr>
                  </w:pPr>
                  <w:r>
                    <w:rPr>
                      <w:rFonts w:hint="eastAsia" w:ascii="宋体" w:hAnsi="宋体" w:eastAsia="宋体" w:cs="宋体"/>
                      <w:color w:val="auto"/>
                      <w:kern w:val="0"/>
                      <w:sz w:val="21"/>
                      <w:szCs w:val="21"/>
                      <w:highlight w:val="none"/>
                      <w:lang w:val="en-US" w:eastAsia="zh-CN" w:bidi="ar"/>
                    </w:rPr>
                    <w:t>废矿物油</w:t>
                  </w:r>
                </w:p>
              </w:tc>
              <w:tc>
                <w:tcPr>
                  <w:tcW w:w="1950" w:type="dxa"/>
                  <w:noWrap w:val="0"/>
                  <w:vAlign w:val="center"/>
                </w:tcPr>
                <w:p>
                  <w:pPr>
                    <w:pStyle w:val="36"/>
                    <w:bidi w:val="0"/>
                    <w:spacing w:line="360" w:lineRule="auto"/>
                    <w:ind w:left="0" w:leftChars="0" w:firstLine="0" w:firstLineChars="0"/>
                    <w:jc w:val="center"/>
                    <w:rPr>
                      <w:rFonts w:hint="eastAsia"/>
                      <w:color w:val="auto"/>
                      <w:sz w:val="21"/>
                      <w:szCs w:val="21"/>
                      <w:highlight w:val="none"/>
                      <w:lang w:val="en-US" w:eastAsia="zh-CN"/>
                    </w:rPr>
                  </w:pPr>
                  <w:r>
                    <w:rPr>
                      <w:rFonts w:hint="eastAsia" w:cs="Times New Roman"/>
                      <w:color w:val="auto"/>
                      <w:sz w:val="21"/>
                      <w:szCs w:val="21"/>
                      <w:highlight w:val="none"/>
                      <w:u w:val="none"/>
                      <w:lang w:val="en-US" w:eastAsia="zh-CN"/>
                    </w:rPr>
                    <w:t>0.05</w:t>
                  </w:r>
                </w:p>
              </w:tc>
              <w:tc>
                <w:tcPr>
                  <w:tcW w:w="1500" w:type="dxa"/>
                  <w:noWrap w:val="0"/>
                  <w:vAlign w:val="center"/>
                </w:tcPr>
                <w:p>
                  <w:pPr>
                    <w:spacing w:line="360" w:lineRule="auto"/>
                    <w:jc w:val="center"/>
                    <w:rPr>
                      <w:rFonts w:hint="default"/>
                      <w:color w:val="auto"/>
                      <w:sz w:val="21"/>
                      <w:szCs w:val="21"/>
                      <w:highlight w:val="none"/>
                      <w:lang w:val="en-US" w:eastAsia="zh-CN"/>
                    </w:rPr>
                  </w:pPr>
                  <w:r>
                    <w:rPr>
                      <w:rFonts w:hint="eastAsia"/>
                      <w:color w:val="auto"/>
                      <w:sz w:val="21"/>
                      <w:szCs w:val="21"/>
                      <w:highlight w:val="none"/>
                      <w:lang w:val="en-US" w:eastAsia="zh-CN"/>
                    </w:rPr>
                    <w:t>50</w:t>
                  </w:r>
                </w:p>
              </w:tc>
              <w:tc>
                <w:tcPr>
                  <w:tcW w:w="1928" w:type="dxa"/>
                  <w:noWrap w:val="0"/>
                  <w:vAlign w:val="center"/>
                </w:tcPr>
                <w:p>
                  <w:pPr>
                    <w:pStyle w:val="36"/>
                    <w:bidi w:val="0"/>
                    <w:spacing w:line="360" w:lineRule="auto"/>
                    <w:rPr>
                      <w:rFonts w:hint="default"/>
                      <w:color w:val="auto"/>
                      <w:sz w:val="21"/>
                      <w:szCs w:val="21"/>
                      <w:highlight w:val="none"/>
                      <w:lang w:val="en-US" w:eastAsia="zh-CN"/>
                    </w:rPr>
                  </w:pPr>
                  <w:r>
                    <w:rPr>
                      <w:rFonts w:hint="eastAsia"/>
                      <w:color w:val="auto"/>
                      <w:sz w:val="21"/>
                      <w:szCs w:val="21"/>
                      <w:highlight w:val="none"/>
                      <w:lang w:val="en-US" w:eastAsia="zh-CN"/>
                    </w:rPr>
                    <w:t>0.001</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40" w:hRule="atLeast"/>
              </w:trPr>
              <w:tc>
                <w:tcPr>
                  <w:tcW w:w="6339" w:type="dxa"/>
                  <w:gridSpan w:val="4"/>
                  <w:noWrap w:val="0"/>
                  <w:vAlign w:val="center"/>
                </w:tcPr>
                <w:p>
                  <w:pPr>
                    <w:spacing w:line="360" w:lineRule="auto"/>
                    <w:jc w:val="center"/>
                    <w:rPr>
                      <w:color w:val="auto"/>
                      <w:sz w:val="21"/>
                      <w:szCs w:val="21"/>
                      <w:highlight w:val="none"/>
                    </w:rPr>
                  </w:pPr>
                  <w:r>
                    <w:rPr>
                      <w:color w:val="auto"/>
                      <w:sz w:val="21"/>
                      <w:szCs w:val="21"/>
                      <w:highlight w:val="none"/>
                    </w:rPr>
                    <w:t>合计</w:t>
                  </w:r>
                </w:p>
              </w:tc>
              <w:tc>
                <w:tcPr>
                  <w:tcW w:w="1928" w:type="dxa"/>
                  <w:noWrap w:val="0"/>
                  <w:vAlign w:val="center"/>
                </w:tcPr>
                <w:p>
                  <w:pPr>
                    <w:spacing w:line="360" w:lineRule="auto"/>
                    <w:jc w:val="center"/>
                    <w:rPr>
                      <w:rFonts w:hint="default" w:eastAsia="宋体"/>
                      <w:color w:val="auto"/>
                      <w:sz w:val="21"/>
                      <w:szCs w:val="21"/>
                      <w:highlight w:val="none"/>
                      <w:lang w:val="en-US" w:eastAsia="zh-CN"/>
                    </w:rPr>
                  </w:pPr>
                  <w:r>
                    <w:rPr>
                      <w:rFonts w:hint="eastAsia"/>
                      <w:color w:val="auto"/>
                      <w:sz w:val="21"/>
                      <w:szCs w:val="21"/>
                      <w:highlight w:val="none"/>
                      <w:lang w:val="en-US" w:eastAsia="zh-CN"/>
                    </w:rPr>
                    <w:t>0.0014</w:t>
                  </w:r>
                </w:p>
              </w:tc>
            </w:tr>
          </w:tbl>
          <w:p>
            <w:pPr>
              <w:pStyle w:val="31"/>
              <w:bidi w:val="0"/>
              <w:spacing w:line="360" w:lineRule="auto"/>
              <w:rPr>
                <w:color w:val="auto"/>
                <w:sz w:val="24"/>
                <w:szCs w:val="24"/>
                <w:highlight w:val="none"/>
              </w:rPr>
            </w:pPr>
            <w:r>
              <w:rPr>
                <w:color w:val="auto"/>
                <w:sz w:val="24"/>
                <w:szCs w:val="24"/>
                <w:highlight w:val="none"/>
              </w:rPr>
              <w:t>则本项目危险物质数量与其临界量比值Q=</w:t>
            </w:r>
            <w:r>
              <w:rPr>
                <w:rFonts w:hint="eastAsia"/>
                <w:color w:val="auto"/>
                <w:sz w:val="24"/>
                <w:szCs w:val="24"/>
                <w:highlight w:val="none"/>
                <w:lang w:val="en-US" w:eastAsia="zh-CN"/>
              </w:rPr>
              <w:t>0.0014</w:t>
            </w:r>
            <w:r>
              <w:rPr>
                <w:color w:val="auto"/>
                <w:sz w:val="24"/>
                <w:szCs w:val="24"/>
                <w:highlight w:val="none"/>
              </w:rPr>
              <w:t>＜1，本项目的环境风险潜势为I</w:t>
            </w:r>
            <w:r>
              <w:rPr>
                <w:rFonts w:hint="eastAsia"/>
                <w:color w:val="auto"/>
                <w:sz w:val="24"/>
                <w:szCs w:val="24"/>
                <w:highlight w:val="none"/>
                <w:lang w:eastAsia="zh-CN"/>
              </w:rPr>
              <w:t>，故本次评价仅对项目环境风险进行简单分析</w:t>
            </w:r>
            <w:r>
              <w:rPr>
                <w:color w:val="auto"/>
                <w:sz w:val="24"/>
                <w:szCs w:val="24"/>
                <w:highlight w:val="none"/>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fldChar w:fldCharType="begin"/>
            </w:r>
            <w:r>
              <w:rPr>
                <w:rFonts w:hint="default" w:ascii="Times New Roman" w:hAnsi="Times New Roman" w:eastAsia="宋体" w:cs="Times New Roman"/>
                <w:color w:val="auto"/>
                <w:sz w:val="24"/>
                <w:szCs w:val="24"/>
                <w:highlight w:val="none"/>
                <w:lang w:val="zh-CN" w:eastAsia="zh-CN"/>
              </w:rPr>
              <w:instrText xml:space="preserve"> = 3 \* GB3 \* MERGEFORMAT </w:instrText>
            </w:r>
            <w:r>
              <w:rPr>
                <w:rFonts w:hint="default" w:ascii="Times New Roman" w:hAnsi="Times New Roman" w:eastAsia="宋体" w:cs="Times New Roman"/>
                <w:color w:val="auto"/>
                <w:sz w:val="24"/>
                <w:szCs w:val="24"/>
                <w:highlight w:val="none"/>
                <w:lang w:val="zh-CN" w:eastAsia="zh-CN"/>
              </w:rPr>
              <w:fldChar w:fldCharType="separate"/>
            </w:r>
            <w:r>
              <w:rPr>
                <w:rFonts w:hint="default" w:ascii="Times New Roman" w:hAnsi="Times New Roman" w:eastAsia="宋体" w:cs="Times New Roman"/>
                <w:color w:val="auto"/>
                <w:sz w:val="24"/>
                <w:szCs w:val="24"/>
                <w:highlight w:val="none"/>
                <w:lang w:val="zh-CN" w:eastAsia="zh-CN"/>
              </w:rPr>
              <w:t>③</w:t>
            </w:r>
            <w:r>
              <w:rPr>
                <w:rFonts w:hint="default" w:ascii="Times New Roman" w:hAnsi="Times New Roman" w:eastAsia="宋体" w:cs="Times New Roman"/>
                <w:color w:val="auto"/>
                <w:sz w:val="24"/>
                <w:szCs w:val="24"/>
                <w:highlight w:val="none"/>
                <w:lang w:val="zh-CN" w:eastAsia="zh-CN"/>
              </w:rPr>
              <w:fldChar w:fldCharType="end"/>
            </w:r>
            <w:r>
              <w:rPr>
                <w:rFonts w:hint="default" w:ascii="Times New Roman" w:hAnsi="Times New Roman" w:eastAsia="宋体" w:cs="Times New Roman"/>
                <w:color w:val="auto"/>
                <w:sz w:val="24"/>
                <w:szCs w:val="24"/>
                <w:highlight w:val="none"/>
                <w:lang w:val="zh-CN" w:eastAsia="zh-CN"/>
              </w:rPr>
              <w:t>环境风险物质分布情况及可能影响途径</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rFonts w:hint="default" w:ascii="Times New Roman" w:hAnsi="Times New Roman" w:eastAsia="宋体" w:cs="Times New Roman"/>
                <w:color w:val="auto"/>
                <w:sz w:val="24"/>
                <w:szCs w:val="24"/>
                <w:highlight w:val="none"/>
                <w:lang w:val="zh-CN" w:eastAsia="zh-CN"/>
              </w:rPr>
              <w:t>项目风险物质</w:t>
            </w:r>
            <w:r>
              <w:rPr>
                <w:rFonts w:hint="eastAsia" w:cs="Times New Roman"/>
                <w:color w:val="auto"/>
                <w:sz w:val="24"/>
                <w:szCs w:val="24"/>
                <w:highlight w:val="none"/>
                <w:lang w:val="zh-CN" w:eastAsia="zh-CN"/>
              </w:rPr>
              <w:t>主要</w:t>
            </w:r>
            <w:r>
              <w:rPr>
                <w:rFonts w:hint="default" w:ascii="Times New Roman" w:hAnsi="Times New Roman" w:eastAsia="宋体" w:cs="Times New Roman"/>
                <w:color w:val="auto"/>
                <w:sz w:val="24"/>
                <w:szCs w:val="24"/>
                <w:highlight w:val="none"/>
                <w:lang w:val="zh-CN" w:eastAsia="zh-CN"/>
              </w:rPr>
              <w:t>存在于</w:t>
            </w:r>
            <w:r>
              <w:rPr>
                <w:rFonts w:hint="eastAsia" w:cs="Times New Roman"/>
                <w:color w:val="auto"/>
                <w:sz w:val="24"/>
                <w:szCs w:val="24"/>
                <w:highlight w:val="none"/>
                <w:lang w:val="zh-CN" w:eastAsia="zh-CN"/>
              </w:rPr>
              <w:t>危废暂存间中，</w:t>
            </w:r>
            <w:r>
              <w:rPr>
                <w:rFonts w:hint="default" w:ascii="Times New Roman" w:hAnsi="Times New Roman" w:eastAsia="宋体" w:cs="Times New Roman"/>
                <w:color w:val="auto"/>
                <w:sz w:val="24"/>
                <w:szCs w:val="24"/>
                <w:highlight w:val="none"/>
                <w:lang w:val="zh-CN" w:eastAsia="zh-CN"/>
              </w:rPr>
              <w:t>可能影响的途径</w:t>
            </w:r>
            <w:r>
              <w:rPr>
                <w:rFonts w:hint="eastAsia" w:cs="Times New Roman"/>
                <w:color w:val="auto"/>
                <w:sz w:val="24"/>
                <w:szCs w:val="24"/>
                <w:highlight w:val="none"/>
                <w:lang w:val="zh-CN" w:eastAsia="zh-CN"/>
              </w:rPr>
              <w:t>主要为</w:t>
            </w:r>
            <w:r>
              <w:rPr>
                <w:rFonts w:hint="default" w:ascii="Times New Roman" w:hAnsi="Times New Roman" w:eastAsia="宋体" w:cs="Times New Roman"/>
                <w:color w:val="auto"/>
                <w:sz w:val="24"/>
                <w:szCs w:val="24"/>
                <w:highlight w:val="none"/>
                <w:lang w:val="zh-CN" w:eastAsia="zh-CN"/>
              </w:rPr>
              <w:t>危废泄露，污染环境空气</w:t>
            </w:r>
            <w:r>
              <w:rPr>
                <w:rFonts w:hint="eastAsia" w:cs="Times New Roman"/>
                <w:color w:val="auto"/>
                <w:sz w:val="24"/>
                <w:szCs w:val="24"/>
                <w:highlight w:val="none"/>
                <w:lang w:val="zh-CN" w:eastAsia="zh-CN"/>
              </w:rPr>
              <w:t>、地下水及土壤</w:t>
            </w:r>
            <w:r>
              <w:rPr>
                <w:rFonts w:hint="default" w:ascii="Times New Roman" w:hAnsi="Times New Roman" w:eastAsia="宋体" w:cs="Times New Roman"/>
                <w:color w:val="auto"/>
                <w:sz w:val="24"/>
                <w:szCs w:val="24"/>
                <w:highlight w:val="none"/>
                <w:lang w:val="zh-CN" w:eastAsia="zh-CN"/>
              </w:rPr>
              <w:t>。</w:t>
            </w:r>
          </w:p>
          <w:p>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auto"/>
                <w:sz w:val="24"/>
                <w:szCs w:val="24"/>
                <w:highlight w:val="none"/>
                <w:lang w:val="zh-CN" w:eastAsia="zh-CN"/>
              </w:rPr>
            </w:pPr>
            <w:r>
              <w:rPr>
                <w:color w:val="auto"/>
                <w:sz w:val="24"/>
                <w:szCs w:val="24"/>
                <w:highlight w:val="none"/>
              </w:rPr>
              <w:fldChar w:fldCharType="begin"/>
            </w:r>
            <w:r>
              <w:rPr>
                <w:color w:val="auto"/>
                <w:sz w:val="24"/>
                <w:szCs w:val="24"/>
                <w:highlight w:val="none"/>
              </w:rPr>
              <w:instrText xml:space="preserve"> = 4 \* GB3 \* MERGEFORMAT </w:instrText>
            </w:r>
            <w:r>
              <w:rPr>
                <w:color w:val="auto"/>
                <w:sz w:val="24"/>
                <w:szCs w:val="24"/>
                <w:highlight w:val="none"/>
              </w:rPr>
              <w:fldChar w:fldCharType="separate"/>
            </w:r>
            <w:r>
              <w:rPr>
                <w:color w:val="auto"/>
                <w:sz w:val="24"/>
                <w:szCs w:val="24"/>
                <w:highlight w:val="none"/>
              </w:rPr>
              <w:t>④</w:t>
            </w:r>
            <w:r>
              <w:rPr>
                <w:color w:val="auto"/>
                <w:sz w:val="24"/>
                <w:szCs w:val="24"/>
                <w:highlight w:val="none"/>
              </w:rPr>
              <w:fldChar w:fldCharType="end"/>
            </w:r>
            <w:r>
              <w:rPr>
                <w:rFonts w:hint="default" w:ascii="Times New Roman" w:hAnsi="Times New Roman" w:eastAsia="宋体" w:cs="Times New Roman"/>
                <w:color w:val="auto"/>
                <w:sz w:val="24"/>
                <w:szCs w:val="24"/>
                <w:highlight w:val="none"/>
                <w:lang w:val="zh-CN" w:eastAsia="zh-CN"/>
              </w:rPr>
              <w:t>环境风险防范措施</w:t>
            </w:r>
          </w:p>
          <w:p>
            <w:pPr>
              <w:pStyle w:val="31"/>
              <w:bidi w:val="0"/>
              <w:spacing w:line="360" w:lineRule="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w:t>
            </w:r>
            <w:r>
              <w:rPr>
                <w:rFonts w:hint="eastAsia" w:cs="Times New Roman"/>
                <w:color w:val="auto"/>
                <w:kern w:val="0"/>
                <w:sz w:val="24"/>
                <w:szCs w:val="24"/>
                <w:highlight w:val="none"/>
                <w:lang w:val="en-US" w:eastAsia="zh-CN" w:bidi="ar-SA"/>
              </w:rPr>
              <w:t>1</w:t>
            </w:r>
            <w:r>
              <w:rPr>
                <w:rFonts w:hint="default" w:ascii="Times New Roman" w:hAnsi="Times New Roman" w:eastAsia="宋体" w:cs="Times New Roman"/>
                <w:color w:val="auto"/>
                <w:kern w:val="0"/>
                <w:sz w:val="24"/>
                <w:szCs w:val="24"/>
                <w:highlight w:val="none"/>
                <w:lang w:val="en-US" w:eastAsia="zh-CN" w:bidi="ar-SA"/>
              </w:rPr>
              <w:t>）泄漏事故防范措施</w:t>
            </w:r>
          </w:p>
          <w:p>
            <w:pPr>
              <w:pStyle w:val="31"/>
              <w:bidi w:val="0"/>
              <w:spacing w:line="360" w:lineRule="auto"/>
              <w:rPr>
                <w:rFonts w:hint="default" w:ascii="Times New Roman" w:hAnsi="Times New Roman" w:eastAsia="宋体" w:cs="Times New Roman"/>
                <w:color w:val="auto"/>
                <w:kern w:val="0"/>
                <w:sz w:val="24"/>
                <w:szCs w:val="24"/>
                <w:highlight w:val="none"/>
                <w:lang w:val="en-US" w:eastAsia="zh-CN" w:bidi="ar-SA"/>
              </w:rPr>
            </w:pPr>
            <w:r>
              <w:rPr>
                <w:rFonts w:hint="default" w:ascii="Times New Roman" w:hAnsi="Times New Roman" w:eastAsia="宋体" w:cs="Times New Roman"/>
                <w:color w:val="auto"/>
                <w:kern w:val="0"/>
                <w:sz w:val="24"/>
                <w:szCs w:val="24"/>
                <w:highlight w:val="none"/>
                <w:lang w:val="en-US" w:eastAsia="zh-CN" w:bidi="ar-SA"/>
              </w:rPr>
              <w:t>应按照相关要求规范</w:t>
            </w:r>
            <w:r>
              <w:rPr>
                <w:rFonts w:hint="eastAsia" w:cs="Times New Roman"/>
                <w:color w:val="auto"/>
                <w:kern w:val="0"/>
                <w:sz w:val="24"/>
                <w:szCs w:val="24"/>
                <w:highlight w:val="none"/>
                <w:lang w:val="en-US" w:eastAsia="zh-CN" w:bidi="ar-SA"/>
              </w:rPr>
              <w:t>危险废物的收集、</w:t>
            </w:r>
            <w:r>
              <w:rPr>
                <w:rFonts w:hint="default" w:ascii="Times New Roman" w:hAnsi="Times New Roman" w:eastAsia="宋体" w:cs="Times New Roman"/>
                <w:color w:val="auto"/>
                <w:kern w:val="0"/>
                <w:sz w:val="24"/>
                <w:szCs w:val="24"/>
                <w:highlight w:val="none"/>
                <w:lang w:val="en-US" w:eastAsia="zh-CN" w:bidi="ar-SA"/>
              </w:rPr>
              <w:t>贮存及管理过程，加强对员工的教育培训。危废暂存区应做好防腐防渗措施</w:t>
            </w:r>
            <w:r>
              <w:rPr>
                <w:rFonts w:hint="eastAsia" w:cs="Times New Roman"/>
                <w:color w:val="auto"/>
                <w:kern w:val="0"/>
                <w:sz w:val="24"/>
                <w:szCs w:val="24"/>
                <w:highlight w:val="none"/>
                <w:lang w:val="en-US" w:eastAsia="zh-CN" w:bidi="ar-SA"/>
              </w:rPr>
              <w:t>，</w:t>
            </w:r>
            <w:r>
              <w:rPr>
                <w:rFonts w:hint="default" w:ascii="Times New Roman" w:hAnsi="Times New Roman" w:eastAsia="宋体" w:cs="Times New Roman"/>
                <w:color w:val="auto"/>
                <w:kern w:val="0"/>
                <w:sz w:val="24"/>
                <w:szCs w:val="24"/>
                <w:highlight w:val="none"/>
                <w:lang w:val="en-US" w:eastAsia="zh-CN" w:bidi="ar-SA"/>
              </w:rPr>
              <w:t>现场设置明显、醒目的安全标志、禁令、 警语和告示牌。</w:t>
            </w:r>
          </w:p>
          <w:p>
            <w:pPr>
              <w:pStyle w:val="31"/>
              <w:bidi w:val="0"/>
              <w:spacing w:line="360" w:lineRule="auto"/>
              <w:rPr>
                <w:rFonts w:hint="default" w:ascii="Times New Roman" w:hAnsi="Times New Roman" w:eastAsia="宋体" w:cs="Times New Roman"/>
                <w:color w:val="auto"/>
                <w:kern w:val="0"/>
                <w:sz w:val="24"/>
                <w:szCs w:val="24"/>
                <w:highlight w:val="none"/>
                <w:lang w:val="en-US" w:eastAsia="zh-CN" w:bidi="ar-SA"/>
              </w:rPr>
            </w:pPr>
            <w:r>
              <w:rPr>
                <w:rFonts w:hint="eastAsia" w:cs="Times New Roman"/>
                <w:color w:val="auto"/>
                <w:kern w:val="0"/>
                <w:sz w:val="24"/>
                <w:szCs w:val="24"/>
                <w:highlight w:val="none"/>
                <w:lang w:val="en-US" w:eastAsia="zh-CN" w:bidi="ar-SA"/>
              </w:rPr>
              <w:t>废润滑油</w:t>
            </w:r>
            <w:r>
              <w:rPr>
                <w:rFonts w:hint="default" w:ascii="Times New Roman" w:hAnsi="Times New Roman" w:eastAsia="宋体" w:cs="Times New Roman"/>
                <w:color w:val="auto"/>
                <w:kern w:val="0"/>
                <w:sz w:val="24"/>
                <w:szCs w:val="24"/>
                <w:highlight w:val="none"/>
                <w:lang w:val="en-US" w:eastAsia="zh-CN" w:bidi="ar-SA"/>
              </w:rPr>
              <w:t>发生小量泄漏时，应采取措施修补容器，或转移破损桶内的物料、用沙土吸附，吸附后物料作为危险废物处理。</w:t>
            </w:r>
          </w:p>
          <w:p>
            <w:pPr>
              <w:pStyle w:val="9"/>
              <w:spacing w:after="0" w:line="360" w:lineRule="auto"/>
              <w:ind w:firstLine="482" w:firstLineChars="200"/>
              <w:rPr>
                <w:rFonts w:eastAsiaTheme="minorEastAsia"/>
                <w:color w:val="auto"/>
                <w:sz w:val="24"/>
                <w:highlight w:val="none"/>
                <w:u w:val="single"/>
              </w:rPr>
            </w:pPr>
            <w:r>
              <w:rPr>
                <w:rFonts w:hint="default" w:ascii="Times New Roman" w:hAnsi="Times New Roman" w:eastAsia="宋体" w:cs="Times New Roman"/>
                <w:b/>
                <w:bCs/>
                <w:color w:val="auto"/>
                <w:kern w:val="0"/>
                <w:sz w:val="24"/>
                <w:szCs w:val="24"/>
                <w:highlight w:val="none"/>
                <w:u w:val="single"/>
                <w:lang w:val="en-US" w:eastAsia="zh-CN" w:bidi="ar"/>
              </w:rPr>
              <w:t>8</w:t>
            </w:r>
            <w:r>
              <w:rPr>
                <w:rFonts w:hint="eastAsia" w:ascii="宋体" w:hAnsi="宋体" w:eastAsia="宋体" w:cs="宋体"/>
                <w:b/>
                <w:bCs/>
                <w:color w:val="auto"/>
                <w:kern w:val="0"/>
                <w:sz w:val="24"/>
                <w:szCs w:val="24"/>
                <w:highlight w:val="none"/>
                <w:u w:val="none"/>
                <w:lang w:val="en-US" w:eastAsia="zh-CN" w:bidi="ar"/>
              </w:rPr>
              <w:t>、</w:t>
            </w:r>
            <w:r>
              <w:rPr>
                <w:rFonts w:eastAsiaTheme="minorEastAsia"/>
                <w:color w:val="auto"/>
                <w:sz w:val="24"/>
                <w:highlight w:val="none"/>
                <w:u w:val="none"/>
              </w:rPr>
              <w:t>本项目总投资</w:t>
            </w:r>
            <w:r>
              <w:rPr>
                <w:rFonts w:hint="eastAsia" w:eastAsiaTheme="minorEastAsia"/>
                <w:color w:val="auto"/>
                <w:sz w:val="24"/>
                <w:highlight w:val="none"/>
                <w:u w:val="none"/>
                <w:lang w:val="en-US" w:eastAsia="zh-CN"/>
              </w:rPr>
              <w:t>200</w:t>
            </w:r>
            <w:r>
              <w:rPr>
                <w:rFonts w:eastAsiaTheme="minorEastAsia"/>
                <w:color w:val="auto"/>
                <w:sz w:val="24"/>
                <w:highlight w:val="none"/>
                <w:u w:val="none"/>
              </w:rPr>
              <w:t>万元，其中环保投资</w:t>
            </w:r>
            <w:r>
              <w:rPr>
                <w:rFonts w:hint="eastAsia" w:eastAsiaTheme="minorEastAsia"/>
                <w:color w:val="auto"/>
                <w:sz w:val="24"/>
                <w:highlight w:val="none"/>
                <w:u w:val="none"/>
                <w:lang w:val="en-US" w:eastAsia="zh-CN"/>
              </w:rPr>
              <w:t>12</w:t>
            </w:r>
            <w:r>
              <w:rPr>
                <w:rFonts w:eastAsiaTheme="minorEastAsia"/>
                <w:color w:val="auto"/>
                <w:sz w:val="24"/>
                <w:highlight w:val="none"/>
                <w:u w:val="none"/>
              </w:rPr>
              <w:t>万元，占总投资的</w:t>
            </w:r>
            <w:r>
              <w:rPr>
                <w:rFonts w:hint="eastAsia" w:eastAsiaTheme="minorEastAsia"/>
                <w:color w:val="auto"/>
                <w:sz w:val="24"/>
                <w:highlight w:val="none"/>
                <w:u w:val="none"/>
                <w:lang w:val="en-US" w:eastAsia="zh-CN"/>
              </w:rPr>
              <w:t>6</w:t>
            </w:r>
            <w:r>
              <w:rPr>
                <w:rFonts w:eastAsiaTheme="minorEastAsia"/>
                <w:color w:val="auto"/>
                <w:sz w:val="24"/>
                <w:highlight w:val="none"/>
                <w:u w:val="none"/>
              </w:rPr>
              <w:t>%，环保投资具体项目见</w:t>
            </w:r>
            <w:r>
              <w:rPr>
                <w:rFonts w:hint="eastAsia" w:eastAsiaTheme="minorEastAsia"/>
                <w:color w:val="auto"/>
                <w:sz w:val="24"/>
                <w:highlight w:val="none"/>
                <w:u w:val="none"/>
              </w:rPr>
              <w:t>下</w:t>
            </w:r>
            <w:r>
              <w:rPr>
                <w:rFonts w:eastAsiaTheme="minorEastAsia"/>
                <w:color w:val="auto"/>
                <w:sz w:val="24"/>
                <w:highlight w:val="none"/>
                <w:u w:val="none"/>
              </w:rPr>
              <w:t>表。</w:t>
            </w:r>
          </w:p>
          <w:p>
            <w:pPr>
              <w:pStyle w:val="51"/>
              <w:rPr>
                <w:rFonts w:eastAsiaTheme="minorEastAsia"/>
                <w:b/>
                <w:color w:val="auto"/>
                <w:highlight w:val="none"/>
                <w:u w:val="single"/>
              </w:rPr>
            </w:pPr>
            <w:r>
              <w:rPr>
                <w:rFonts w:eastAsiaTheme="minorEastAsia"/>
                <w:b/>
                <w:color w:val="auto"/>
                <w:highlight w:val="none"/>
                <w:u w:val="single"/>
              </w:rPr>
              <w:t>表4-1</w:t>
            </w:r>
            <w:r>
              <w:rPr>
                <w:rFonts w:hint="eastAsia" w:eastAsiaTheme="minorEastAsia"/>
                <w:b/>
                <w:color w:val="auto"/>
                <w:highlight w:val="none"/>
                <w:u w:val="single"/>
                <w:lang w:val="en-US" w:eastAsia="zh-CN"/>
              </w:rPr>
              <w:t>0</w:t>
            </w:r>
            <w:r>
              <w:rPr>
                <w:rFonts w:eastAsiaTheme="minorEastAsia"/>
                <w:b/>
                <w:color w:val="auto"/>
                <w:highlight w:val="none"/>
                <w:u w:val="single"/>
              </w:rPr>
              <w:t xml:space="preserve"> 环保投资估算</w:t>
            </w:r>
          </w:p>
          <w:tbl>
            <w:tblPr>
              <w:tblStyle w:val="25"/>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125"/>
              <w:gridCol w:w="1297"/>
              <w:gridCol w:w="4145"/>
              <w:gridCol w:w="17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Align w:val="center"/>
                </w:tcPr>
                <w:p>
                  <w:pPr>
                    <w:pStyle w:val="51"/>
                    <w:rPr>
                      <w:rFonts w:eastAsiaTheme="minorEastAsia"/>
                      <w:b/>
                      <w:color w:val="auto"/>
                      <w:highlight w:val="none"/>
                      <w:u w:val="none"/>
                    </w:rPr>
                  </w:pPr>
                  <w:r>
                    <w:rPr>
                      <w:rFonts w:eastAsiaTheme="minorEastAsia"/>
                      <w:b/>
                      <w:color w:val="auto"/>
                      <w:highlight w:val="none"/>
                      <w:u w:val="none"/>
                    </w:rPr>
                    <w:t>建设阶段</w:t>
                  </w:r>
                </w:p>
              </w:tc>
              <w:tc>
                <w:tcPr>
                  <w:tcW w:w="782" w:type="pct"/>
                  <w:vAlign w:val="center"/>
                </w:tcPr>
                <w:p>
                  <w:pPr>
                    <w:pStyle w:val="51"/>
                    <w:rPr>
                      <w:rFonts w:eastAsiaTheme="minorEastAsia"/>
                      <w:b/>
                      <w:color w:val="auto"/>
                      <w:highlight w:val="none"/>
                      <w:u w:val="none"/>
                    </w:rPr>
                  </w:pPr>
                  <w:r>
                    <w:rPr>
                      <w:rFonts w:eastAsiaTheme="minorEastAsia"/>
                      <w:b/>
                      <w:color w:val="auto"/>
                      <w:highlight w:val="none"/>
                      <w:u w:val="none"/>
                    </w:rPr>
                    <w:t>治理类型</w:t>
                  </w:r>
                </w:p>
              </w:tc>
              <w:tc>
                <w:tcPr>
                  <w:tcW w:w="2498" w:type="pct"/>
                  <w:vAlign w:val="center"/>
                </w:tcPr>
                <w:p>
                  <w:pPr>
                    <w:pStyle w:val="51"/>
                    <w:rPr>
                      <w:rFonts w:eastAsiaTheme="minorEastAsia"/>
                      <w:b/>
                      <w:color w:val="auto"/>
                      <w:highlight w:val="none"/>
                      <w:u w:val="none"/>
                    </w:rPr>
                  </w:pPr>
                  <w:r>
                    <w:rPr>
                      <w:rFonts w:eastAsiaTheme="minorEastAsia"/>
                      <w:b/>
                      <w:color w:val="auto"/>
                      <w:highlight w:val="none"/>
                      <w:u w:val="none"/>
                    </w:rPr>
                    <w:t>治理措施</w:t>
                  </w:r>
                </w:p>
              </w:tc>
              <w:tc>
                <w:tcPr>
                  <w:tcW w:w="1039" w:type="pct"/>
                  <w:vAlign w:val="center"/>
                </w:tcPr>
                <w:p>
                  <w:pPr>
                    <w:pStyle w:val="51"/>
                    <w:rPr>
                      <w:rFonts w:eastAsiaTheme="minorEastAsia"/>
                      <w:b/>
                      <w:color w:val="auto"/>
                      <w:highlight w:val="none"/>
                      <w:u w:val="none"/>
                    </w:rPr>
                  </w:pPr>
                  <w:r>
                    <w:rPr>
                      <w:rFonts w:eastAsiaTheme="minorEastAsia"/>
                      <w:b/>
                      <w:color w:val="auto"/>
                      <w:highlight w:val="none"/>
                      <w:u w:val="none"/>
                    </w:rPr>
                    <w:t>投资额（万元）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Merge w:val="restart"/>
                  <w:vAlign w:val="center"/>
                </w:tcPr>
                <w:p>
                  <w:pPr>
                    <w:pStyle w:val="51"/>
                    <w:rPr>
                      <w:rFonts w:eastAsiaTheme="minorEastAsia"/>
                      <w:color w:val="auto"/>
                      <w:highlight w:val="none"/>
                      <w:u w:val="none"/>
                    </w:rPr>
                  </w:pPr>
                  <w:bookmarkStart w:id="46" w:name="_Hlk288234376"/>
                  <w:r>
                    <w:rPr>
                      <w:rFonts w:hint="eastAsia" w:eastAsiaTheme="minorEastAsia"/>
                      <w:color w:val="auto"/>
                      <w:highlight w:val="none"/>
                      <w:u w:val="none"/>
                      <w:lang w:val="en-US" w:eastAsia="zh-CN"/>
                    </w:rPr>
                    <w:t>营运</w:t>
                  </w:r>
                  <w:r>
                    <w:rPr>
                      <w:rFonts w:eastAsiaTheme="minorEastAsia"/>
                      <w:color w:val="auto"/>
                      <w:highlight w:val="none"/>
                      <w:u w:val="none"/>
                    </w:rPr>
                    <w:t>期</w:t>
                  </w:r>
                </w:p>
              </w:tc>
              <w:tc>
                <w:tcPr>
                  <w:tcW w:w="782" w:type="pct"/>
                  <w:vAlign w:val="center"/>
                </w:tcPr>
                <w:p>
                  <w:pPr>
                    <w:pStyle w:val="51"/>
                    <w:rPr>
                      <w:rFonts w:eastAsiaTheme="minorEastAsia"/>
                      <w:color w:val="auto"/>
                      <w:highlight w:val="none"/>
                      <w:u w:val="none"/>
                    </w:rPr>
                  </w:pPr>
                  <w:r>
                    <w:rPr>
                      <w:rFonts w:hint="eastAsia" w:eastAsiaTheme="minorEastAsia"/>
                      <w:color w:val="auto"/>
                      <w:highlight w:val="none"/>
                      <w:u w:val="none"/>
                      <w:lang w:val="en-US" w:eastAsia="zh-CN"/>
                    </w:rPr>
                    <w:t>生产</w:t>
                  </w:r>
                  <w:r>
                    <w:rPr>
                      <w:rFonts w:eastAsiaTheme="minorEastAsia"/>
                      <w:color w:val="auto"/>
                      <w:highlight w:val="none"/>
                      <w:u w:val="none"/>
                    </w:rPr>
                    <w:t>废水</w:t>
                  </w:r>
                </w:p>
              </w:tc>
              <w:tc>
                <w:tcPr>
                  <w:tcW w:w="2498" w:type="pct"/>
                  <w:vAlign w:val="center"/>
                </w:tcPr>
                <w:p>
                  <w:pPr>
                    <w:keepNext w:val="0"/>
                    <w:keepLines w:val="0"/>
                    <w:widowControl/>
                    <w:suppressLineNumbers w:val="0"/>
                    <w:jc w:val="left"/>
                    <w:rPr>
                      <w:rFonts w:eastAsiaTheme="minorEastAsia"/>
                      <w:bCs/>
                      <w:color w:val="auto"/>
                      <w:highlight w:val="none"/>
                      <w:u w:val="none"/>
                    </w:rPr>
                  </w:pPr>
                  <w:r>
                    <w:rPr>
                      <w:rFonts w:hint="eastAsia" w:ascii="宋体" w:hAnsi="宋体" w:eastAsia="宋体" w:cs="宋体"/>
                      <w:color w:val="auto"/>
                      <w:kern w:val="0"/>
                      <w:sz w:val="21"/>
                      <w:szCs w:val="21"/>
                      <w:highlight w:val="none"/>
                      <w:u w:val="none"/>
                      <w:lang w:val="en-US" w:eastAsia="zh-CN" w:bidi="ar"/>
                    </w:rPr>
                    <w:t>污水处理设施（格栅</w:t>
                  </w:r>
                  <w:r>
                    <w:rPr>
                      <w:rFonts w:hint="default" w:ascii="Times New Roman" w:hAnsi="Times New Roman" w:eastAsia="宋体" w:cs="Times New Roman"/>
                      <w:color w:val="auto"/>
                      <w:kern w:val="0"/>
                      <w:sz w:val="21"/>
                      <w:szCs w:val="21"/>
                      <w:highlight w:val="none"/>
                      <w:u w:val="none"/>
                      <w:lang w:val="en-US" w:eastAsia="zh-CN" w:bidi="ar"/>
                    </w:rPr>
                    <w:t>+</w:t>
                  </w:r>
                  <w:r>
                    <w:rPr>
                      <w:rFonts w:hint="eastAsia" w:ascii="宋体" w:hAnsi="宋体" w:eastAsia="宋体" w:cs="宋体"/>
                      <w:color w:val="auto"/>
                      <w:kern w:val="0"/>
                      <w:sz w:val="21"/>
                      <w:szCs w:val="21"/>
                      <w:highlight w:val="none"/>
                      <w:u w:val="none"/>
                      <w:lang w:val="en-US" w:eastAsia="zh-CN" w:bidi="ar"/>
                    </w:rPr>
                    <w:t>隔油池</w:t>
                  </w:r>
                  <w:r>
                    <w:rPr>
                      <w:rFonts w:hint="default" w:ascii="Times New Roman" w:hAnsi="Times New Roman" w:eastAsia="宋体" w:cs="Times New Roman"/>
                      <w:color w:val="auto"/>
                      <w:kern w:val="0"/>
                      <w:sz w:val="21"/>
                      <w:szCs w:val="21"/>
                      <w:highlight w:val="none"/>
                      <w:u w:val="none"/>
                      <w:lang w:val="en-US" w:eastAsia="zh-CN" w:bidi="ar"/>
                    </w:rPr>
                    <w:t>+</w:t>
                  </w:r>
                  <w:r>
                    <w:rPr>
                      <w:rFonts w:hint="eastAsia" w:ascii="宋体" w:hAnsi="宋体" w:eastAsia="宋体" w:cs="宋体"/>
                      <w:color w:val="auto"/>
                      <w:kern w:val="0"/>
                      <w:sz w:val="21"/>
                      <w:szCs w:val="21"/>
                      <w:highlight w:val="none"/>
                      <w:u w:val="none"/>
                      <w:lang w:val="en-US" w:eastAsia="zh-CN" w:bidi="ar"/>
                    </w:rPr>
                    <w:t xml:space="preserve">沉砂池 </w:t>
                  </w:r>
                  <w:r>
                    <w:rPr>
                      <w:rFonts w:hint="default" w:ascii="Times New Roman" w:hAnsi="Times New Roman" w:eastAsia="宋体" w:cs="Times New Roman"/>
                      <w:color w:val="auto"/>
                      <w:kern w:val="0"/>
                      <w:sz w:val="21"/>
                      <w:szCs w:val="21"/>
                      <w:highlight w:val="none"/>
                      <w:u w:val="none"/>
                      <w:lang w:val="en-US" w:eastAsia="zh-CN" w:bidi="ar"/>
                    </w:rPr>
                    <w:t>+</w:t>
                  </w:r>
                  <w:r>
                    <w:rPr>
                      <w:rFonts w:hint="eastAsia" w:ascii="宋体" w:hAnsi="宋体" w:eastAsia="宋体" w:cs="宋体"/>
                      <w:color w:val="auto"/>
                      <w:kern w:val="0"/>
                      <w:sz w:val="21"/>
                      <w:szCs w:val="21"/>
                      <w:highlight w:val="none"/>
                      <w:u w:val="none"/>
                      <w:lang w:val="en-US" w:eastAsia="zh-CN" w:bidi="ar"/>
                    </w:rPr>
                    <w:t>调节池</w:t>
                  </w:r>
                  <w:r>
                    <w:rPr>
                      <w:rFonts w:hint="default" w:ascii="Times New Roman" w:hAnsi="Times New Roman" w:eastAsia="宋体" w:cs="Times New Roman"/>
                      <w:color w:val="auto"/>
                      <w:kern w:val="0"/>
                      <w:sz w:val="21"/>
                      <w:szCs w:val="21"/>
                      <w:highlight w:val="none"/>
                      <w:u w:val="none"/>
                      <w:lang w:val="en-US" w:eastAsia="zh-CN" w:bidi="ar"/>
                    </w:rPr>
                    <w:t>+</w:t>
                  </w:r>
                  <w:r>
                    <w:rPr>
                      <w:rFonts w:hint="eastAsia" w:ascii="宋体" w:hAnsi="宋体" w:eastAsia="宋体" w:cs="宋体"/>
                      <w:color w:val="auto"/>
                      <w:kern w:val="0"/>
                      <w:sz w:val="21"/>
                      <w:szCs w:val="21"/>
                      <w:highlight w:val="none"/>
                      <w:u w:val="none"/>
                      <w:lang w:val="en-US" w:eastAsia="zh-CN" w:bidi="ar"/>
                    </w:rPr>
                    <w:t>清水池）</w:t>
                  </w:r>
                </w:p>
              </w:tc>
              <w:tc>
                <w:tcPr>
                  <w:tcW w:w="1039" w:type="pct"/>
                  <w:vAlign w:val="center"/>
                </w:tcPr>
                <w:p>
                  <w:pPr>
                    <w:pStyle w:val="51"/>
                    <w:rPr>
                      <w:rFonts w:hint="default" w:eastAsiaTheme="minorEastAsia"/>
                      <w:color w:val="auto"/>
                      <w:highlight w:val="none"/>
                      <w:u w:val="none"/>
                      <w:lang w:val="en-US" w:eastAsia="zh-CN"/>
                    </w:rPr>
                  </w:pPr>
                  <w:r>
                    <w:rPr>
                      <w:rFonts w:hint="eastAsia" w:eastAsiaTheme="minorEastAsia"/>
                      <w:color w:val="auto"/>
                      <w:highlight w:val="none"/>
                      <w:u w:val="none"/>
                      <w:lang w:val="en-US" w:eastAsia="zh-CN"/>
                    </w:rPr>
                    <w:t>7</w:t>
                  </w:r>
                </w:p>
              </w:tc>
            </w:tr>
            <w:bookmarkEnd w:id="46"/>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Merge w:val="continue"/>
                  <w:vAlign w:val="center"/>
                </w:tcPr>
                <w:p>
                  <w:pPr>
                    <w:pStyle w:val="51"/>
                    <w:jc w:val="center"/>
                    <w:rPr>
                      <w:rFonts w:eastAsiaTheme="minorEastAsia"/>
                      <w:color w:val="auto"/>
                      <w:highlight w:val="none"/>
                      <w:u w:val="none"/>
                    </w:rPr>
                  </w:pPr>
                </w:p>
              </w:tc>
              <w:tc>
                <w:tcPr>
                  <w:tcW w:w="782" w:type="pct"/>
                  <w:vMerge w:val="restart"/>
                  <w:shd w:val="clear" w:color="auto" w:fill="auto"/>
                  <w:vAlign w:val="center"/>
                </w:tcPr>
                <w:p>
                  <w:pPr>
                    <w:pStyle w:val="51"/>
                    <w:jc w:val="center"/>
                    <w:rPr>
                      <w:rFonts w:eastAsiaTheme="minorEastAsia"/>
                      <w:color w:val="auto"/>
                      <w:highlight w:val="none"/>
                      <w:u w:val="none"/>
                    </w:rPr>
                  </w:pPr>
                  <w:r>
                    <w:rPr>
                      <w:rFonts w:eastAsiaTheme="minorEastAsia"/>
                      <w:color w:val="auto"/>
                      <w:highlight w:val="none"/>
                      <w:u w:val="none"/>
                    </w:rPr>
                    <w:t>废气</w:t>
                  </w:r>
                </w:p>
              </w:tc>
              <w:tc>
                <w:tcPr>
                  <w:tcW w:w="2498" w:type="pct"/>
                  <w:tcBorders>
                    <w:bottom w:val="single" w:color="auto" w:sz="4" w:space="0"/>
                  </w:tcBorders>
                  <w:vAlign w:val="center"/>
                </w:tcPr>
                <w:p>
                  <w:pPr>
                    <w:keepNext w:val="0"/>
                    <w:keepLines w:val="0"/>
                    <w:widowControl/>
                    <w:suppressLineNumbers w:val="0"/>
                    <w:jc w:val="center"/>
                    <w:rPr>
                      <w:rFonts w:eastAsiaTheme="minorEastAsia"/>
                      <w:bCs/>
                      <w:color w:val="auto"/>
                      <w:highlight w:val="none"/>
                      <w:u w:val="none"/>
                    </w:rPr>
                  </w:pPr>
                  <w:r>
                    <w:rPr>
                      <w:rFonts w:hint="eastAsia" w:ascii="宋体" w:hAnsi="宋体" w:eastAsia="宋体" w:cs="宋体"/>
                      <w:color w:val="auto"/>
                      <w:kern w:val="0"/>
                      <w:sz w:val="21"/>
                      <w:szCs w:val="21"/>
                      <w:highlight w:val="none"/>
                      <w:u w:val="none"/>
                      <w:lang w:val="en-US" w:eastAsia="zh-CN" w:bidi="ar"/>
                    </w:rPr>
                    <w:t>原料装卸搬运、投料、脱标及破碎粉尘采用喷淋降尘、加强车间通风等</w:t>
                  </w:r>
                </w:p>
              </w:tc>
              <w:tc>
                <w:tcPr>
                  <w:tcW w:w="1039" w:type="pct"/>
                  <w:tcBorders>
                    <w:bottom w:val="single" w:color="auto" w:sz="4" w:space="0"/>
                  </w:tcBorders>
                  <w:vAlign w:val="center"/>
                </w:tcPr>
                <w:p>
                  <w:pPr>
                    <w:keepNext w:val="0"/>
                    <w:keepLines w:val="0"/>
                    <w:widowControl/>
                    <w:suppressLineNumbers w:val="0"/>
                    <w:jc w:val="center"/>
                    <w:rPr>
                      <w:rFonts w:hint="eastAsia" w:eastAsiaTheme="minorEastAsia"/>
                      <w:color w:val="auto"/>
                      <w:highlight w:val="none"/>
                      <w:u w:val="none"/>
                      <w:lang w:val="en-US" w:eastAsia="zh-CN"/>
                    </w:rPr>
                  </w:pPr>
                  <w:r>
                    <w:rPr>
                      <w:rFonts w:hint="eastAsia" w:eastAsiaTheme="minorEastAsia"/>
                      <w:color w:val="auto"/>
                      <w:highlight w:val="none"/>
                      <w:u w:val="none"/>
                      <w:lang w:val="en-US" w:eastAsia="zh-CN"/>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Merge w:val="continue"/>
                  <w:vAlign w:val="center"/>
                </w:tcPr>
                <w:p>
                  <w:pPr>
                    <w:pStyle w:val="51"/>
                    <w:rPr>
                      <w:rFonts w:eastAsiaTheme="minorEastAsia"/>
                      <w:color w:val="auto"/>
                      <w:highlight w:val="none"/>
                      <w:u w:val="none"/>
                    </w:rPr>
                  </w:pPr>
                </w:p>
              </w:tc>
              <w:tc>
                <w:tcPr>
                  <w:tcW w:w="782" w:type="pct"/>
                  <w:vMerge w:val="continue"/>
                  <w:shd w:val="clear" w:color="auto" w:fill="auto"/>
                  <w:vAlign w:val="center"/>
                </w:tcPr>
                <w:p>
                  <w:pPr>
                    <w:pStyle w:val="51"/>
                    <w:rPr>
                      <w:rFonts w:eastAsiaTheme="minorEastAsia"/>
                      <w:color w:val="auto"/>
                      <w:highlight w:val="none"/>
                      <w:u w:val="none"/>
                    </w:rPr>
                  </w:pPr>
                </w:p>
              </w:tc>
              <w:tc>
                <w:tcPr>
                  <w:tcW w:w="2498" w:type="pct"/>
                  <w:tcBorders>
                    <w:bottom w:val="single" w:color="auto" w:sz="4" w:space="0"/>
                  </w:tcBorders>
                  <w:vAlign w:val="center"/>
                </w:tcPr>
                <w:p>
                  <w:pPr>
                    <w:keepNext w:val="0"/>
                    <w:keepLines w:val="0"/>
                    <w:widowControl/>
                    <w:suppressLineNumbers w:val="0"/>
                    <w:jc w:val="left"/>
                    <w:rPr>
                      <w:rFonts w:eastAsiaTheme="minorEastAsia"/>
                      <w:bCs/>
                      <w:color w:val="auto"/>
                      <w:highlight w:val="none"/>
                      <w:u w:val="none"/>
                    </w:rPr>
                  </w:pPr>
                  <w:r>
                    <w:rPr>
                      <w:rFonts w:hint="eastAsia" w:ascii="宋体" w:hAnsi="宋体" w:eastAsia="宋体" w:cs="宋体"/>
                      <w:color w:val="auto"/>
                      <w:kern w:val="0"/>
                      <w:sz w:val="21"/>
                      <w:szCs w:val="21"/>
                      <w:highlight w:val="none"/>
                      <w:u w:val="none"/>
                      <w:lang w:val="en-US" w:eastAsia="zh-CN" w:bidi="ar"/>
                    </w:rPr>
                    <w:t>厂区臭气采取投放除臭剂</w:t>
                  </w:r>
                  <w:r>
                    <w:rPr>
                      <w:rFonts w:hint="default" w:ascii="Times New Roman" w:hAnsi="Times New Roman" w:eastAsia="宋体" w:cs="Times New Roman"/>
                      <w:color w:val="auto"/>
                      <w:kern w:val="0"/>
                      <w:sz w:val="21"/>
                      <w:szCs w:val="21"/>
                      <w:highlight w:val="none"/>
                      <w:u w:val="none"/>
                      <w:lang w:val="en-US" w:eastAsia="zh-CN" w:bidi="ar"/>
                    </w:rPr>
                    <w:t>+</w:t>
                  </w:r>
                  <w:r>
                    <w:rPr>
                      <w:rFonts w:hint="eastAsia" w:ascii="宋体" w:hAnsi="宋体" w:eastAsia="宋体" w:cs="宋体"/>
                      <w:color w:val="auto"/>
                      <w:kern w:val="0"/>
                      <w:sz w:val="21"/>
                      <w:szCs w:val="21"/>
                      <w:highlight w:val="none"/>
                      <w:u w:val="none"/>
                      <w:lang w:val="en-US" w:eastAsia="zh-CN" w:bidi="ar"/>
                    </w:rPr>
                    <w:t>定期清理污物等措施</w:t>
                  </w:r>
                </w:p>
              </w:tc>
              <w:tc>
                <w:tcPr>
                  <w:tcW w:w="1039" w:type="pct"/>
                  <w:tcBorders>
                    <w:bottom w:val="single" w:color="auto" w:sz="4" w:space="0"/>
                  </w:tcBorders>
                  <w:vAlign w:val="center"/>
                </w:tcPr>
                <w:p>
                  <w:pPr>
                    <w:pStyle w:val="51"/>
                    <w:rPr>
                      <w:rFonts w:hint="default" w:eastAsiaTheme="minorEastAsia"/>
                      <w:color w:val="auto"/>
                      <w:highlight w:val="none"/>
                      <w:u w:val="none"/>
                      <w:lang w:val="en-US" w:eastAsia="zh-CN"/>
                    </w:rPr>
                  </w:pPr>
                  <w:r>
                    <w:rPr>
                      <w:rFonts w:hint="eastAsia" w:eastAsiaTheme="minorEastAsia"/>
                      <w:color w:val="auto"/>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678" w:type="pct"/>
                  <w:vMerge w:val="continue"/>
                  <w:vAlign w:val="center"/>
                </w:tcPr>
                <w:p>
                  <w:pPr>
                    <w:pStyle w:val="51"/>
                    <w:rPr>
                      <w:rFonts w:eastAsiaTheme="minorEastAsia"/>
                      <w:color w:val="auto"/>
                      <w:highlight w:val="none"/>
                      <w:u w:val="none"/>
                    </w:rPr>
                  </w:pPr>
                </w:p>
              </w:tc>
              <w:tc>
                <w:tcPr>
                  <w:tcW w:w="782" w:type="pct"/>
                  <w:shd w:val="clear" w:color="auto" w:fill="auto"/>
                  <w:vAlign w:val="center"/>
                </w:tcPr>
                <w:p>
                  <w:pPr>
                    <w:pStyle w:val="51"/>
                    <w:rPr>
                      <w:rFonts w:eastAsiaTheme="minorEastAsia"/>
                      <w:color w:val="auto"/>
                      <w:highlight w:val="none"/>
                      <w:u w:val="none"/>
                    </w:rPr>
                  </w:pPr>
                  <w:r>
                    <w:rPr>
                      <w:rFonts w:eastAsiaTheme="minorEastAsia"/>
                      <w:color w:val="auto"/>
                      <w:highlight w:val="none"/>
                      <w:u w:val="none"/>
                    </w:rPr>
                    <w:t>噪声</w:t>
                  </w:r>
                </w:p>
              </w:tc>
              <w:tc>
                <w:tcPr>
                  <w:tcW w:w="2498" w:type="pct"/>
                  <w:vAlign w:val="center"/>
                </w:tcPr>
                <w:p>
                  <w:pPr>
                    <w:keepNext w:val="0"/>
                    <w:keepLines w:val="0"/>
                    <w:widowControl/>
                    <w:suppressLineNumbers w:val="0"/>
                    <w:jc w:val="left"/>
                    <w:rPr>
                      <w:rFonts w:eastAsiaTheme="minorEastAsia"/>
                      <w:bCs/>
                      <w:color w:val="auto"/>
                      <w:highlight w:val="none"/>
                      <w:u w:val="none"/>
                    </w:rPr>
                  </w:pPr>
                  <w:r>
                    <w:rPr>
                      <w:rFonts w:eastAsiaTheme="minorEastAsia"/>
                      <w:bCs/>
                      <w:color w:val="auto"/>
                      <w:highlight w:val="none"/>
                      <w:u w:val="none"/>
                    </w:rPr>
                    <w:t>基础减振、消声、隔声等</w:t>
                  </w:r>
                  <w:r>
                    <w:rPr>
                      <w:rFonts w:hint="eastAsia" w:ascii="宋体" w:hAnsi="宋体" w:eastAsia="宋体" w:cs="宋体"/>
                      <w:color w:val="auto"/>
                      <w:kern w:val="0"/>
                      <w:sz w:val="21"/>
                      <w:szCs w:val="21"/>
                      <w:highlight w:val="none"/>
                      <w:u w:val="none"/>
                      <w:lang w:val="en-US" w:eastAsia="zh-CN" w:bidi="ar"/>
                    </w:rPr>
                    <w:t>以及加强厂区绿化</w:t>
                  </w:r>
                </w:p>
              </w:tc>
              <w:tc>
                <w:tcPr>
                  <w:tcW w:w="1039" w:type="pct"/>
                  <w:tcBorders>
                    <w:bottom w:val="single" w:color="auto" w:sz="4" w:space="0"/>
                  </w:tcBorders>
                  <w:vAlign w:val="center"/>
                </w:tcPr>
                <w:p>
                  <w:pPr>
                    <w:pStyle w:val="51"/>
                    <w:rPr>
                      <w:rFonts w:hint="default" w:eastAsiaTheme="minorEastAsia"/>
                      <w:color w:val="auto"/>
                      <w:highlight w:val="none"/>
                      <w:u w:val="none"/>
                      <w:lang w:val="en-US" w:eastAsia="zh-CN"/>
                    </w:rPr>
                  </w:pPr>
                  <w:r>
                    <w:rPr>
                      <w:rFonts w:hint="eastAsia" w:eastAsiaTheme="minorEastAsia"/>
                      <w:color w:val="auto"/>
                      <w:highlight w:val="none"/>
                      <w:u w:val="none"/>
                      <w:lang w:val="en-US" w:eastAsia="zh-CN"/>
                    </w:rPr>
                    <w:t>0.5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Merge w:val="continue"/>
                  <w:vAlign w:val="center"/>
                </w:tcPr>
                <w:p>
                  <w:pPr>
                    <w:pStyle w:val="51"/>
                    <w:rPr>
                      <w:rFonts w:eastAsiaTheme="minorEastAsia"/>
                      <w:color w:val="auto"/>
                      <w:highlight w:val="none"/>
                      <w:u w:val="none"/>
                    </w:rPr>
                  </w:pPr>
                </w:p>
              </w:tc>
              <w:tc>
                <w:tcPr>
                  <w:tcW w:w="782" w:type="pct"/>
                  <w:vAlign w:val="center"/>
                </w:tcPr>
                <w:p>
                  <w:pPr>
                    <w:pStyle w:val="51"/>
                    <w:rPr>
                      <w:rFonts w:eastAsiaTheme="minorEastAsia"/>
                      <w:color w:val="auto"/>
                      <w:highlight w:val="none"/>
                      <w:u w:val="none"/>
                    </w:rPr>
                  </w:pPr>
                  <w:r>
                    <w:rPr>
                      <w:rFonts w:eastAsiaTheme="minorEastAsia"/>
                      <w:color w:val="auto"/>
                      <w:highlight w:val="none"/>
                      <w:u w:val="none"/>
                    </w:rPr>
                    <w:t>固体废物</w:t>
                  </w:r>
                </w:p>
              </w:tc>
              <w:tc>
                <w:tcPr>
                  <w:tcW w:w="2498" w:type="pct"/>
                  <w:vAlign w:val="center"/>
                </w:tcPr>
                <w:p>
                  <w:pPr>
                    <w:pStyle w:val="51"/>
                    <w:rPr>
                      <w:rFonts w:eastAsiaTheme="minorEastAsia"/>
                      <w:color w:val="auto"/>
                      <w:highlight w:val="none"/>
                      <w:u w:val="none"/>
                    </w:rPr>
                  </w:pPr>
                  <w:r>
                    <w:rPr>
                      <w:rFonts w:eastAsiaTheme="minorEastAsia"/>
                      <w:color w:val="auto"/>
                      <w:highlight w:val="none"/>
                      <w:u w:val="none"/>
                    </w:rPr>
                    <w:t>垃圾收集桶、一般固废暂存间</w:t>
                  </w:r>
                  <w:r>
                    <w:rPr>
                      <w:rFonts w:hint="eastAsia" w:eastAsiaTheme="minorEastAsia"/>
                      <w:color w:val="auto"/>
                      <w:highlight w:val="none"/>
                      <w:u w:val="none"/>
                    </w:rPr>
                    <w:t>、危废暂存间</w:t>
                  </w:r>
                </w:p>
              </w:tc>
              <w:tc>
                <w:tcPr>
                  <w:tcW w:w="1039" w:type="pct"/>
                  <w:vAlign w:val="center"/>
                </w:tcPr>
                <w:p>
                  <w:pPr>
                    <w:pStyle w:val="51"/>
                    <w:rPr>
                      <w:rFonts w:hint="default" w:eastAsiaTheme="minorEastAsia"/>
                      <w:color w:val="auto"/>
                      <w:highlight w:val="none"/>
                      <w:u w:val="none"/>
                      <w:lang w:val="en-US" w:eastAsia="zh-CN"/>
                    </w:rPr>
                  </w:pPr>
                  <w:r>
                    <w:rPr>
                      <w:rFonts w:hint="eastAsia" w:eastAsiaTheme="minorEastAsia"/>
                      <w:color w:val="auto"/>
                      <w:highlight w:val="none"/>
                      <w:u w:val="none"/>
                      <w:lang w:val="en-US" w:eastAsia="zh-CN"/>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78" w:type="pct"/>
                  <w:vAlign w:val="center"/>
                </w:tcPr>
                <w:p>
                  <w:pPr>
                    <w:pStyle w:val="51"/>
                    <w:rPr>
                      <w:rFonts w:eastAsiaTheme="minorEastAsia"/>
                      <w:color w:val="auto"/>
                      <w:highlight w:val="none"/>
                      <w:u w:val="none"/>
                    </w:rPr>
                  </w:pPr>
                  <w:r>
                    <w:rPr>
                      <w:rFonts w:eastAsiaTheme="minorEastAsia"/>
                      <w:color w:val="auto"/>
                      <w:highlight w:val="none"/>
                      <w:u w:val="none"/>
                    </w:rPr>
                    <w:t>合计</w:t>
                  </w:r>
                </w:p>
              </w:tc>
              <w:tc>
                <w:tcPr>
                  <w:tcW w:w="782" w:type="pct"/>
                  <w:vAlign w:val="center"/>
                </w:tcPr>
                <w:p>
                  <w:pPr>
                    <w:pStyle w:val="51"/>
                    <w:rPr>
                      <w:rFonts w:eastAsiaTheme="minorEastAsia"/>
                      <w:color w:val="auto"/>
                      <w:highlight w:val="none"/>
                      <w:u w:val="none"/>
                    </w:rPr>
                  </w:pPr>
                  <w:r>
                    <w:rPr>
                      <w:rFonts w:eastAsiaTheme="minorEastAsia"/>
                      <w:color w:val="auto"/>
                      <w:highlight w:val="none"/>
                      <w:u w:val="none"/>
                    </w:rPr>
                    <w:t>/</w:t>
                  </w:r>
                </w:p>
              </w:tc>
              <w:tc>
                <w:tcPr>
                  <w:tcW w:w="2498" w:type="pct"/>
                  <w:vAlign w:val="center"/>
                </w:tcPr>
                <w:p>
                  <w:pPr>
                    <w:pStyle w:val="51"/>
                    <w:rPr>
                      <w:rFonts w:eastAsiaTheme="minorEastAsia"/>
                      <w:color w:val="auto"/>
                      <w:kern w:val="0"/>
                      <w:highlight w:val="none"/>
                      <w:u w:val="none"/>
                    </w:rPr>
                  </w:pPr>
                  <w:r>
                    <w:rPr>
                      <w:rFonts w:eastAsiaTheme="minorEastAsia"/>
                      <w:color w:val="auto"/>
                      <w:kern w:val="0"/>
                      <w:highlight w:val="none"/>
                      <w:u w:val="none"/>
                    </w:rPr>
                    <w:t>/</w:t>
                  </w:r>
                </w:p>
              </w:tc>
              <w:tc>
                <w:tcPr>
                  <w:tcW w:w="1039" w:type="pct"/>
                  <w:vAlign w:val="center"/>
                </w:tcPr>
                <w:p>
                  <w:pPr>
                    <w:pStyle w:val="51"/>
                    <w:rPr>
                      <w:rFonts w:hint="default" w:eastAsiaTheme="minorEastAsia"/>
                      <w:color w:val="auto"/>
                      <w:kern w:val="0"/>
                      <w:highlight w:val="none"/>
                      <w:u w:val="none"/>
                      <w:lang w:val="en-US" w:eastAsia="zh-CN"/>
                    </w:rPr>
                  </w:pPr>
                  <w:r>
                    <w:rPr>
                      <w:rFonts w:hint="eastAsia" w:eastAsiaTheme="minorEastAsia"/>
                      <w:color w:val="auto"/>
                      <w:kern w:val="0"/>
                      <w:highlight w:val="none"/>
                      <w:u w:val="none"/>
                      <w:lang w:val="en-US" w:eastAsia="zh-CN"/>
                    </w:rPr>
                    <w:t>12</w:t>
                  </w:r>
                </w:p>
              </w:tc>
            </w:tr>
          </w:tbl>
          <w:p>
            <w:pPr>
              <w:pStyle w:val="31"/>
              <w:bidi w:val="0"/>
              <w:spacing w:line="360" w:lineRule="auto"/>
              <w:rPr>
                <w:rFonts w:hint="default" w:ascii="Times New Roman" w:hAnsi="Times New Roman" w:eastAsia="宋体" w:cs="Times New Roman"/>
                <w:color w:val="auto"/>
                <w:kern w:val="0"/>
                <w:sz w:val="24"/>
                <w:szCs w:val="24"/>
                <w:highlight w:val="none"/>
                <w:lang w:val="en-US" w:eastAsia="zh-CN" w:bidi="ar-SA"/>
              </w:rPr>
            </w:pPr>
          </w:p>
          <w:p>
            <w:pPr>
              <w:keepNext w:val="0"/>
              <w:keepLines w:val="0"/>
              <w:pageBreakBefore w:val="0"/>
              <w:widowControl w:val="0"/>
              <w:kinsoku/>
              <w:wordWrap/>
              <w:overflowPunct/>
              <w:topLinePunct w:val="0"/>
              <w:autoSpaceDE/>
              <w:autoSpaceDN/>
              <w:bidi w:val="0"/>
              <w:adjustRightInd w:val="0"/>
              <w:snapToGrid w:val="0"/>
              <w:spacing w:line="360" w:lineRule="auto"/>
              <w:textAlignment w:val="auto"/>
              <w:rPr>
                <w:rFonts w:hint="default" w:ascii="Times New Roman" w:hAnsi="Times New Roman" w:eastAsia="宋体" w:cs="Times New Roman"/>
                <w:bCs/>
                <w:color w:val="auto"/>
                <w:spacing w:val="-10"/>
                <w:sz w:val="24"/>
                <w:szCs w:val="24"/>
                <w:highlight w:val="none"/>
                <w:lang w:val="en-US" w:eastAsia="zh-CN"/>
              </w:rPr>
            </w:pPr>
          </w:p>
        </w:tc>
      </w:tr>
    </w:tbl>
    <w:p>
      <w:pPr>
        <w:pStyle w:val="9"/>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1"/>
        <w:numPr>
          <w:ilvl w:val="0"/>
          <w:numId w:val="5"/>
        </w:numPr>
        <w:jc w:val="center"/>
        <w:outlineLvl w:val="0"/>
        <w:rPr>
          <w:rFonts w:hint="eastAsia" w:ascii="黑体" w:hAnsi="黑体" w:eastAsia="黑体"/>
          <w:snapToGrid w:val="0"/>
          <w:color w:val="auto"/>
          <w:sz w:val="30"/>
          <w:szCs w:val="30"/>
          <w:highlight w:val="none"/>
        </w:rPr>
      </w:pPr>
      <w:bookmarkStart w:id="47" w:name="_Toc25842"/>
      <w:bookmarkStart w:id="48" w:name="_Hlk54167917"/>
      <w:bookmarkStart w:id="49" w:name="_Toc31535"/>
      <w:r>
        <w:rPr>
          <w:rFonts w:hint="eastAsia" w:ascii="黑体" w:hAnsi="黑体" w:eastAsia="黑体"/>
          <w:snapToGrid w:val="0"/>
          <w:color w:val="auto"/>
          <w:sz w:val="30"/>
          <w:szCs w:val="30"/>
          <w:highlight w:val="none"/>
        </w:rPr>
        <w:t>环境保护措施监督检查清单</w:t>
      </w:r>
      <w:bookmarkEnd w:id="47"/>
      <w:bookmarkEnd w:id="48"/>
      <w:bookmarkEnd w:id="49"/>
    </w:p>
    <w:tbl>
      <w:tblPr>
        <w:tblStyle w:val="25"/>
        <w:tblW w:w="5382" w:type="pct"/>
        <w:tblInd w:w="0"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1149"/>
        <w:gridCol w:w="1251"/>
        <w:gridCol w:w="1744"/>
        <w:gridCol w:w="1925"/>
        <w:gridCol w:w="2893"/>
      </w:tblGrid>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53" w:hRule="atLeast"/>
        </w:trPr>
        <w:tc>
          <w:tcPr>
            <w:tcW w:w="641" w:type="pct"/>
            <w:tcBorders>
              <w:bottom w:val="single" w:color="000000" w:sz="4" w:space="0"/>
              <w:right w:val="single" w:color="000000" w:sz="4" w:space="0"/>
            </w:tcBorders>
            <w:noWrap w:val="0"/>
            <w:vAlign w:val="center"/>
          </w:tcPr>
          <w:p>
            <w:pPr>
              <w:pStyle w:val="39"/>
              <w:spacing w:before="2"/>
              <w:ind w:firstLine="211" w:firstLineChars="10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lang w:val="en-US" w:bidi="ar-SA"/>
              </w:rPr>
              <mc:AlternateContent>
                <mc:Choice Requires="wps">
                  <w:drawing>
                    <wp:anchor distT="0" distB="0" distL="114300" distR="114300" simplePos="0" relativeHeight="251659264" behindDoc="0" locked="0" layoutInCell="1" allowOverlap="1">
                      <wp:simplePos x="0" y="0"/>
                      <wp:positionH relativeFrom="column">
                        <wp:posOffset>3175</wp:posOffset>
                      </wp:positionH>
                      <wp:positionV relativeFrom="paragraph">
                        <wp:posOffset>-1905</wp:posOffset>
                      </wp:positionV>
                      <wp:extent cx="718185" cy="523875"/>
                      <wp:effectExtent l="2540" t="3810" r="3175" b="5715"/>
                      <wp:wrapNone/>
                      <wp:docPr id="286" name="直接连接符 286"/>
                      <wp:cNvGraphicFramePr/>
                      <a:graphic xmlns:a="http://schemas.openxmlformats.org/drawingml/2006/main">
                        <a:graphicData uri="http://schemas.microsoft.com/office/word/2010/wordprocessingShape">
                          <wps:wsp>
                            <wps:cNvCnPr/>
                            <wps:spPr>
                              <a:xfrm>
                                <a:off x="1153160" y="1875155"/>
                                <a:ext cx="718185" cy="523875"/>
                              </a:xfrm>
                              <a:prstGeom prst="line">
                                <a:avLst/>
                              </a:prstGeom>
                              <a:noFill/>
                              <a:ln w="6350" cap="flat" cmpd="sng" algn="ctr">
                                <a:solidFill>
                                  <a:srgbClr val="000000"/>
                                </a:solidFill>
                                <a:prstDash val="solid"/>
                                <a:miter lim="800000"/>
                              </a:ln>
                              <a:effectLst/>
                            </wps:spPr>
                            <wps:bodyPr/>
                          </wps:wsp>
                        </a:graphicData>
                      </a:graphic>
                    </wp:anchor>
                  </w:drawing>
                </mc:Choice>
                <mc:Fallback>
                  <w:pict>
                    <v:line id="_x0000_s1026" o:spid="_x0000_s1026" o:spt="20" style="position:absolute;left:0pt;margin-left:0.25pt;margin-top:-0.15pt;height:41.25pt;width:56.55pt;z-index:251659264;mso-width-relative:page;mso-height-relative:page;" filled="f" stroked="t" coordsize="21600,21600" o:gfxdata="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Bxae6r0wAAAAUBAAAPAAAAAAAAAAEAIAAAACIAAABkcnMvZG93bnJldi54bWxQSwEC&#10;FAAUAAAACACHTuJAF6dpzPkBAADTAwAADgAAAAAAAAABACAAAAAiAQAAZHJzL2Uyb0RvYy54bWxQ&#10;SwUGAAAAAAYABgBZAQAAjQUAAAAA&#10;">
                      <v:fill on="f" focussize="0,0"/>
                      <v:stroke weight="0.5pt" color="#000000" miterlimit="8" joinstyle="miter"/>
                      <v:imagedata o:title=""/>
                      <o:lock v:ext="edit" aspectratio="f"/>
                    </v:line>
                  </w:pict>
                </mc:Fallback>
              </mc:AlternateContent>
            </w:r>
            <w:r>
              <w:rPr>
                <w:rFonts w:hint="default" w:ascii="Times New Roman" w:hAnsi="Times New Roman" w:cs="Times New Roman"/>
                <w:b/>
                <w:bCs/>
                <w:color w:val="auto"/>
                <w:sz w:val="21"/>
                <w:szCs w:val="21"/>
                <w:highlight w:val="none"/>
                <w:u w:val="none"/>
              </w:rPr>
              <w:t>内容</w:t>
            </w:r>
          </w:p>
          <w:p>
            <w:pPr>
              <w:pStyle w:val="39"/>
              <w:spacing w:line="270" w:lineRule="atLeast"/>
              <w:ind w:left="107" w:right="286"/>
              <w:jc w:val="both"/>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要素</w:t>
            </w:r>
          </w:p>
        </w:tc>
        <w:tc>
          <w:tcPr>
            <w:tcW w:w="698" w:type="pct"/>
            <w:tcBorders>
              <w:left w:val="single" w:color="000000" w:sz="4" w:space="0"/>
              <w:bottom w:val="single" w:color="000000" w:sz="4" w:space="0"/>
              <w:right w:val="single" w:color="000000" w:sz="4" w:space="0"/>
            </w:tcBorders>
            <w:noWrap w:val="0"/>
            <w:vAlign w:val="center"/>
          </w:tcPr>
          <w:p>
            <w:pPr>
              <w:pStyle w:val="39"/>
              <w:spacing w:line="268" w:lineRule="exact"/>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排放口(编号、名称)/污染源</w:t>
            </w:r>
          </w:p>
        </w:tc>
        <w:tc>
          <w:tcPr>
            <w:tcW w:w="972" w:type="pct"/>
            <w:tcBorders>
              <w:left w:val="single" w:color="000000" w:sz="4" w:space="0"/>
              <w:bottom w:val="single" w:color="000000" w:sz="4" w:space="0"/>
              <w:right w:val="single" w:color="000000" w:sz="4" w:space="0"/>
            </w:tcBorders>
            <w:noWrap w:val="0"/>
            <w:vAlign w:val="center"/>
          </w:tcPr>
          <w:p>
            <w:pPr>
              <w:pStyle w:val="39"/>
              <w:ind w:left="194" w:right="178"/>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污染物项目</w:t>
            </w:r>
          </w:p>
        </w:tc>
        <w:tc>
          <w:tcPr>
            <w:tcW w:w="1074" w:type="pct"/>
            <w:tcBorders>
              <w:left w:val="single" w:color="000000" w:sz="4" w:space="0"/>
              <w:bottom w:val="single" w:color="000000" w:sz="4" w:space="0"/>
              <w:right w:val="single" w:color="000000" w:sz="4" w:space="0"/>
            </w:tcBorders>
            <w:noWrap w:val="0"/>
            <w:vAlign w:val="center"/>
          </w:tcPr>
          <w:p>
            <w:pPr>
              <w:pStyle w:val="39"/>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环境保护措施</w:t>
            </w:r>
          </w:p>
        </w:tc>
        <w:tc>
          <w:tcPr>
            <w:tcW w:w="1613" w:type="pct"/>
            <w:tcBorders>
              <w:left w:val="single" w:color="000000" w:sz="4" w:space="0"/>
              <w:bottom w:val="single" w:color="000000" w:sz="4" w:space="0"/>
            </w:tcBorders>
            <w:noWrap w:val="0"/>
            <w:vAlign w:val="center"/>
          </w:tcPr>
          <w:p>
            <w:pPr>
              <w:pStyle w:val="39"/>
              <w:ind w:left="160" w:right="138"/>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执行标准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641" w:type="pct"/>
            <w:vMerge w:val="restart"/>
            <w:tcBorders>
              <w:top w:val="single" w:color="000000" w:sz="4" w:space="0"/>
              <w:bottom w:val="single" w:color="000000" w:sz="4" w:space="0"/>
              <w:right w:val="single" w:color="000000" w:sz="4" w:space="0"/>
            </w:tcBorders>
            <w:noWrap w:val="0"/>
            <w:vAlign w:val="center"/>
          </w:tcPr>
          <w:p>
            <w:pPr>
              <w:pStyle w:val="39"/>
              <w:spacing w:line="244" w:lineRule="auto"/>
              <w:ind w:left="203" w:right="19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大气环境</w:t>
            </w:r>
          </w:p>
        </w:tc>
        <w:tc>
          <w:tcPr>
            <w:tcW w:w="698"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原料装卸搬运、投料及破碎粉尘</w:t>
            </w:r>
          </w:p>
        </w:tc>
        <w:tc>
          <w:tcPr>
            <w:tcW w:w="972" w:type="pct"/>
            <w:tcBorders>
              <w:top w:val="single" w:color="000000" w:sz="4" w:space="0"/>
              <w:left w:val="single" w:color="000000" w:sz="4" w:space="0"/>
              <w:right w:val="single" w:color="000000" w:sz="4" w:space="0"/>
            </w:tcBorders>
            <w:noWrap w:val="0"/>
            <w:vAlign w:val="center"/>
          </w:tcPr>
          <w:p>
            <w:pPr>
              <w:pStyle w:val="39"/>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颗粒物</w:t>
            </w:r>
          </w:p>
        </w:tc>
        <w:tc>
          <w:tcPr>
            <w:tcW w:w="10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喷淋降尘、加强车</w:t>
            </w:r>
          </w:p>
          <w:p>
            <w:pPr>
              <w:keepNext w:val="0"/>
              <w:keepLines w:val="0"/>
              <w:widowControl/>
              <w:suppressLineNumbers w:val="0"/>
              <w:jc w:val="center"/>
              <w:rPr>
                <w:rFonts w:hint="default" w:ascii="Times New Roman" w:hAnsi="Times New Roman" w:cs="Times New Roman"/>
                <w:color w:val="auto"/>
                <w:sz w:val="21"/>
                <w:szCs w:val="21"/>
                <w:highlight w:val="none"/>
                <w:u w:val="none"/>
                <w:lang w:bidi="zh-CN"/>
              </w:rPr>
            </w:pPr>
            <w:r>
              <w:rPr>
                <w:rFonts w:hint="default" w:ascii="Times New Roman" w:hAnsi="Times New Roman" w:eastAsia="宋体" w:cs="Times New Roman"/>
                <w:color w:val="auto"/>
                <w:kern w:val="0"/>
                <w:sz w:val="21"/>
                <w:szCs w:val="21"/>
                <w:highlight w:val="none"/>
                <w:u w:val="none"/>
                <w:lang w:val="en-US" w:eastAsia="zh-CN" w:bidi="ar"/>
              </w:rPr>
              <w:t>间通风等</w:t>
            </w:r>
          </w:p>
        </w:tc>
        <w:tc>
          <w:tcPr>
            <w:tcW w:w="1613" w:type="pct"/>
            <w:tcBorders>
              <w:top w:val="single" w:color="000000" w:sz="4" w:space="0"/>
              <w:left w:val="single" w:color="000000" w:sz="4" w:space="0"/>
              <w:bottom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《大气污染物综合排放标准》</w:t>
            </w:r>
          </w:p>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（GB16297-1996）表 2 新污染</w:t>
            </w:r>
          </w:p>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源大气污染物无组织排放监控</w:t>
            </w:r>
          </w:p>
          <w:p>
            <w:pPr>
              <w:keepNext w:val="0"/>
              <w:keepLines w:val="0"/>
              <w:widowControl/>
              <w:suppressLineNumbers w:val="0"/>
              <w:jc w:val="center"/>
              <w:rPr>
                <w:rFonts w:hint="default" w:ascii="Times New Roman" w:hAnsi="Times New Roman" w:cs="Times New Roman"/>
                <w:color w:val="auto"/>
                <w:sz w:val="21"/>
                <w:szCs w:val="21"/>
                <w:highlight w:val="none"/>
                <w:u w:val="none"/>
                <w:lang w:bidi="zh-CN"/>
              </w:rPr>
            </w:pPr>
            <w:r>
              <w:rPr>
                <w:rFonts w:hint="default" w:ascii="Times New Roman" w:hAnsi="Times New Roman" w:eastAsia="宋体" w:cs="Times New Roman"/>
                <w:color w:val="auto"/>
                <w:kern w:val="0"/>
                <w:sz w:val="21"/>
                <w:szCs w:val="21"/>
                <w:highlight w:val="none"/>
                <w:u w:val="none"/>
                <w:lang w:val="en-US" w:eastAsia="zh-CN" w:bidi="ar"/>
              </w:rPr>
              <w:t>浓度限值标准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855"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rPr>
            </w:pPr>
          </w:p>
        </w:tc>
        <w:tc>
          <w:tcPr>
            <w:tcW w:w="698" w:type="pct"/>
            <w:tcBorders>
              <w:top w:val="single" w:color="000000" w:sz="4" w:space="0"/>
              <w:left w:val="single" w:color="000000" w:sz="4" w:space="0"/>
              <w:right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kern w:val="0"/>
                <w:sz w:val="21"/>
                <w:szCs w:val="21"/>
                <w:highlight w:val="none"/>
                <w:u w:val="none"/>
                <w:lang w:val="en-US" w:eastAsia="zh-CN" w:bidi="ar"/>
              </w:rPr>
              <w:t>污水处理设施恶臭</w:t>
            </w:r>
          </w:p>
        </w:tc>
        <w:tc>
          <w:tcPr>
            <w:tcW w:w="972" w:type="pct"/>
            <w:tcBorders>
              <w:left w:val="single" w:color="000000" w:sz="4" w:space="0"/>
              <w:right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NH3、H2S、</w:t>
            </w:r>
          </w:p>
          <w:p>
            <w:pPr>
              <w:keepNext w:val="0"/>
              <w:keepLines w:val="0"/>
              <w:widowControl/>
              <w:suppressLineNumbers w:val="0"/>
              <w:jc w:val="center"/>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kern w:val="0"/>
                <w:sz w:val="21"/>
                <w:szCs w:val="21"/>
                <w:highlight w:val="none"/>
                <w:u w:val="none"/>
                <w:lang w:val="en-US" w:eastAsia="zh-CN" w:bidi="ar"/>
              </w:rPr>
              <w:t>臭气浓度</w:t>
            </w:r>
          </w:p>
        </w:tc>
        <w:tc>
          <w:tcPr>
            <w:tcW w:w="1074" w:type="pc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投放除臭剂+定</w:t>
            </w:r>
          </w:p>
          <w:p>
            <w:pPr>
              <w:keepNext w:val="0"/>
              <w:keepLines w:val="0"/>
              <w:widowControl/>
              <w:suppressLineNumbers w:val="0"/>
              <w:jc w:val="center"/>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kern w:val="0"/>
                <w:sz w:val="21"/>
                <w:szCs w:val="21"/>
                <w:highlight w:val="none"/>
                <w:u w:val="none"/>
                <w:lang w:val="en-US" w:eastAsia="zh-CN" w:bidi="ar"/>
              </w:rPr>
              <w:t>期清理污物</w:t>
            </w:r>
          </w:p>
        </w:tc>
        <w:tc>
          <w:tcPr>
            <w:tcW w:w="1613" w:type="pct"/>
            <w:tcBorders>
              <w:left w:val="single" w:color="000000" w:sz="4" w:space="0"/>
              <w:bottom w:val="single" w:color="000000" w:sz="4" w:space="0"/>
            </w:tcBorders>
            <w:noWrap w:val="0"/>
            <w:vAlign w:val="center"/>
          </w:tcPr>
          <w:p>
            <w:pPr>
              <w:keepNext w:val="0"/>
              <w:keepLines w:val="0"/>
              <w:widowControl/>
              <w:suppressLineNumbers w:val="0"/>
              <w:jc w:val="center"/>
              <w:rPr>
                <w:rFonts w:hint="default" w:ascii="Times New Roman" w:hAnsi="Times New Roman" w:cs="Times New Roman"/>
                <w:color w:val="auto"/>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《恶臭污染物排放标准》</w:t>
            </w:r>
          </w:p>
          <w:p>
            <w:pPr>
              <w:keepNext w:val="0"/>
              <w:keepLines w:val="0"/>
              <w:widowControl/>
              <w:suppressLineNumbers w:val="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（GB14554-93）二级标准限值</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6" w:hRule="atLeast"/>
        </w:trPr>
        <w:tc>
          <w:tcPr>
            <w:tcW w:w="641" w:type="pct"/>
            <w:vMerge w:val="restart"/>
            <w:tcBorders>
              <w:top w:val="single" w:color="000000" w:sz="4" w:space="0"/>
              <w:bottom w:val="single" w:color="000000" w:sz="4" w:space="0"/>
              <w:right w:val="single" w:color="000000" w:sz="4" w:space="0"/>
            </w:tcBorders>
            <w:noWrap w:val="0"/>
            <w:vAlign w:val="center"/>
          </w:tcPr>
          <w:p>
            <w:pPr>
              <w:pStyle w:val="39"/>
              <w:spacing w:line="242" w:lineRule="auto"/>
              <w:ind w:right="190"/>
              <w:jc w:val="center"/>
              <w:rPr>
                <w:rFonts w:hint="default" w:ascii="Times New Roman" w:hAnsi="Times New Roman" w:cs="Times New Roman"/>
                <w:b/>
                <w:bCs/>
                <w:color w:val="auto"/>
                <w:sz w:val="21"/>
                <w:szCs w:val="21"/>
                <w:highlight w:val="none"/>
                <w:u w:val="none"/>
              </w:rPr>
            </w:pPr>
            <w:r>
              <w:rPr>
                <w:rFonts w:hint="default" w:ascii="Times New Roman" w:hAnsi="Times New Roman" w:cs="Times New Roman"/>
                <w:b/>
                <w:bCs/>
                <w:color w:val="auto"/>
                <w:sz w:val="21"/>
                <w:szCs w:val="21"/>
                <w:highlight w:val="none"/>
                <w:u w:val="none"/>
              </w:rPr>
              <w:t>地表水环境</w:t>
            </w:r>
          </w:p>
        </w:tc>
        <w:tc>
          <w:tcPr>
            <w:tcW w:w="698"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39"/>
              <w:spacing w:before="1"/>
              <w:ind w:left="221"/>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生活污水</w:t>
            </w:r>
          </w:p>
          <w:p>
            <w:pPr>
              <w:pStyle w:val="39"/>
              <w:spacing w:before="2"/>
              <w:ind w:left="171"/>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6"/>
              <w:ind w:left="194" w:right="175"/>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CODcr</w:t>
            </w:r>
          </w:p>
        </w:tc>
        <w:tc>
          <w:tcPr>
            <w:tcW w:w="1074" w:type="pct"/>
            <w:vMerge w:val="restart"/>
            <w:tcBorders>
              <w:top w:val="single" w:color="000000" w:sz="4" w:space="0"/>
              <w:left w:val="single" w:color="000000" w:sz="4" w:space="0"/>
              <w:bottom w:val="single" w:color="000000" w:sz="4" w:space="0"/>
              <w:right w:val="single" w:color="000000" w:sz="4" w:space="0"/>
            </w:tcBorders>
            <w:noWrap w:val="0"/>
            <w:vAlign w:val="center"/>
          </w:tcPr>
          <w:p>
            <w:pPr>
              <w:pStyle w:val="39"/>
              <w:spacing w:line="242" w:lineRule="auto"/>
              <w:ind w:left="146" w:right="127"/>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隔油池、</w:t>
            </w:r>
            <w:r>
              <w:rPr>
                <w:rFonts w:hint="default" w:ascii="Times New Roman" w:hAnsi="Times New Roman" w:cs="Times New Roman"/>
                <w:color w:val="auto"/>
                <w:sz w:val="21"/>
                <w:szCs w:val="21"/>
                <w:highlight w:val="none"/>
                <w:u w:val="none"/>
              </w:rPr>
              <w:t>化粪</w:t>
            </w:r>
            <w:r>
              <w:rPr>
                <w:rFonts w:hint="default" w:ascii="Times New Roman" w:hAnsi="Times New Roman" w:cs="Times New Roman"/>
                <w:color w:val="auto"/>
                <w:sz w:val="21"/>
                <w:szCs w:val="21"/>
                <w:highlight w:val="none"/>
                <w:u w:val="none"/>
                <w:lang w:val="en-US"/>
              </w:rPr>
              <w:t>池</w:t>
            </w:r>
          </w:p>
        </w:tc>
        <w:tc>
          <w:tcPr>
            <w:tcW w:w="1613" w:type="pct"/>
            <w:vMerge w:val="restart"/>
            <w:tcBorders>
              <w:top w:val="single" w:color="000000" w:sz="4" w:space="0"/>
              <w:left w:val="single" w:color="000000" w:sz="4" w:space="0"/>
              <w:bottom w:val="single" w:color="000000" w:sz="4" w:space="0"/>
            </w:tcBorders>
            <w:noWrap w:val="0"/>
            <w:vAlign w:val="center"/>
          </w:tcPr>
          <w:p>
            <w:pPr>
              <w:pStyle w:val="39"/>
              <w:spacing w:before="3" w:line="270" w:lineRule="atLeast"/>
              <w:ind w:left="162" w:right="138"/>
              <w:jc w:val="center"/>
              <w:rPr>
                <w:rFonts w:hint="default" w:ascii="Times New Roman" w:hAnsi="Times New Roman" w:cs="Times New Roman"/>
                <w:color w:val="auto"/>
                <w:sz w:val="21"/>
                <w:szCs w:val="21"/>
                <w:highlight w:val="none"/>
                <w:u w:val="none"/>
              </w:rPr>
            </w:pPr>
          </w:p>
          <w:p>
            <w:pPr>
              <w:pStyle w:val="39"/>
              <w:spacing w:before="3" w:line="270" w:lineRule="atLeast"/>
              <w:ind w:left="162" w:right="138"/>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lang w:val="en-US"/>
              </w:rPr>
              <w:t>生活污水经化粪池处理后用于周</w:t>
            </w:r>
            <w:r>
              <w:rPr>
                <w:rFonts w:hint="default" w:ascii="Times New Roman" w:hAnsi="Times New Roman" w:cs="Times New Roman"/>
                <w:color w:val="auto"/>
                <w:sz w:val="21"/>
                <w:szCs w:val="21"/>
                <w:highlight w:val="none"/>
                <w:u w:val="none"/>
              </w:rPr>
              <w:t>边</w:t>
            </w:r>
            <w:r>
              <w:rPr>
                <w:rFonts w:hint="default" w:ascii="Times New Roman" w:hAnsi="Times New Roman" w:cs="Times New Roman"/>
                <w:color w:val="auto"/>
                <w:sz w:val="21"/>
                <w:szCs w:val="21"/>
                <w:highlight w:val="none"/>
                <w:u w:val="none"/>
                <w:lang w:val="en-US"/>
              </w:rPr>
              <w:t>农</w:t>
            </w:r>
            <w:r>
              <w:rPr>
                <w:rFonts w:hint="default" w:ascii="Times New Roman" w:hAnsi="Times New Roman" w:cs="Times New Roman"/>
                <w:color w:val="auto"/>
                <w:sz w:val="21"/>
                <w:szCs w:val="21"/>
                <w:highlight w:val="none"/>
                <w:u w:val="none"/>
                <w:lang w:val="en-US" w:eastAsia="zh-CN"/>
              </w:rPr>
              <w:t>填</w:t>
            </w:r>
            <w:r>
              <w:rPr>
                <w:rFonts w:hint="default" w:ascii="Times New Roman" w:hAnsi="Times New Roman" w:cs="Times New Roman"/>
                <w:color w:val="auto"/>
                <w:sz w:val="21"/>
                <w:szCs w:val="21"/>
                <w:highlight w:val="none"/>
                <w:u w:val="none"/>
                <w:lang w:val="en-US"/>
              </w:rPr>
              <w:t>灌溉</w:t>
            </w:r>
            <w:r>
              <w:rPr>
                <w:rFonts w:hint="default" w:ascii="Times New Roman" w:hAnsi="Times New Roman" w:cs="Times New Roman"/>
                <w:color w:val="auto"/>
                <w:sz w:val="21"/>
                <w:szCs w:val="21"/>
                <w:highlight w:val="none"/>
                <w:u w:val="none"/>
              </w:rPr>
              <w:t>。</w:t>
            </w:r>
          </w:p>
          <w:p>
            <w:pPr>
              <w:pStyle w:val="39"/>
              <w:spacing w:before="3" w:line="270" w:lineRule="atLeast"/>
              <w:ind w:left="162" w:right="138"/>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3"/>
              <w:ind w:left="194" w:right="174"/>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position w:val="2"/>
                <w:sz w:val="21"/>
                <w:szCs w:val="21"/>
                <w:highlight w:val="none"/>
                <w:u w:val="none"/>
              </w:rPr>
              <w:t>BOD</w:t>
            </w:r>
            <w:r>
              <w:rPr>
                <w:rFonts w:hint="default" w:ascii="Times New Roman" w:hAnsi="Times New Roman" w:cs="Times New Roman"/>
                <w:color w:val="auto"/>
                <w:position w:val="2"/>
                <w:sz w:val="21"/>
                <w:szCs w:val="21"/>
                <w:highlight w:val="none"/>
                <w:u w:val="none"/>
                <w:vertAlign w:val="subscript"/>
              </w:rPr>
              <w:t>5</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8"/>
              <w:ind w:left="194" w:right="146"/>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SS</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3"/>
              <w:ind w:left="194" w:right="176"/>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position w:val="2"/>
                <w:sz w:val="21"/>
                <w:szCs w:val="21"/>
                <w:highlight w:val="none"/>
                <w:u w:val="none"/>
              </w:rPr>
              <w:t>NH</w:t>
            </w:r>
            <w:r>
              <w:rPr>
                <w:rFonts w:hint="default" w:ascii="Times New Roman" w:hAnsi="Times New Roman" w:cs="Times New Roman"/>
                <w:color w:val="auto"/>
                <w:position w:val="2"/>
                <w:sz w:val="21"/>
                <w:szCs w:val="21"/>
                <w:highlight w:val="none"/>
                <w:u w:val="none"/>
                <w:vertAlign w:val="subscript"/>
              </w:rPr>
              <w:t>3</w:t>
            </w:r>
            <w:r>
              <w:rPr>
                <w:rFonts w:hint="default" w:ascii="Times New Roman" w:hAnsi="Times New Roman" w:cs="Times New Roman"/>
                <w:color w:val="auto"/>
                <w:position w:val="2"/>
                <w:sz w:val="21"/>
                <w:szCs w:val="21"/>
                <w:highlight w:val="none"/>
                <w:u w:val="none"/>
              </w:rPr>
              <w:t>-N</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lang w:val="zh-CN" w:bidi="zh-CN"/>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7"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生产废水</w:t>
            </w:r>
            <w:r>
              <w:rPr>
                <w:rFonts w:hint="default" w:ascii="Times New Roman" w:hAnsi="Times New Roman" w:cs="Times New Roman"/>
                <w:color w:val="auto"/>
                <w:sz w:val="21"/>
                <w:szCs w:val="21"/>
                <w:highlight w:val="none"/>
                <w:u w:val="none"/>
                <w:lang w:eastAsia="zh-CN"/>
              </w:rPr>
              <w:t>（</w:t>
            </w:r>
            <w:r>
              <w:rPr>
                <w:rFonts w:hint="default" w:ascii="Times New Roman" w:hAnsi="Times New Roman" w:eastAsia="宋体" w:cs="Times New Roman"/>
                <w:color w:val="auto"/>
                <w:kern w:val="0"/>
                <w:sz w:val="21"/>
                <w:szCs w:val="21"/>
                <w:highlight w:val="none"/>
                <w:u w:val="none"/>
                <w:lang w:val="en-US" w:eastAsia="zh-CN" w:bidi="ar"/>
              </w:rPr>
              <w:t>破碎、清洗废水</w:t>
            </w:r>
            <w:r>
              <w:rPr>
                <w:rFonts w:hint="default" w:ascii="Times New Roman" w:hAnsi="Times New Roman" w:cs="Times New Roman"/>
                <w:color w:val="auto"/>
                <w:sz w:val="21"/>
                <w:szCs w:val="21"/>
                <w:highlight w:val="none"/>
                <w:u w:val="none"/>
                <w:lang w:eastAsia="zh-CN"/>
              </w:rPr>
              <w:t>）</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6"/>
              <w:ind w:left="194" w:right="175"/>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CODcr</w:t>
            </w:r>
          </w:p>
        </w:tc>
        <w:tc>
          <w:tcPr>
            <w:tcW w:w="1074" w:type="pct"/>
            <w:vMerge w:val="restart"/>
            <w:tcBorders>
              <w:top w:val="single" w:color="000000" w:sz="4" w:space="0"/>
              <w:left w:val="single" w:color="000000" w:sz="4" w:space="0"/>
              <w:bottom w:val="single" w:color="000000" w:sz="4" w:space="0"/>
              <w:right w:val="single" w:color="000000" w:sz="4" w:space="0"/>
            </w:tcBorders>
            <w:noWrap w:val="0"/>
            <w:vAlign w:val="center"/>
          </w:tcPr>
          <w:p>
            <w:pPr>
              <w:keepNext w:val="0"/>
              <w:keepLines w:val="0"/>
              <w:widowControl/>
              <w:suppressLineNumbers w:val="0"/>
              <w:jc w:val="left"/>
              <w:rPr>
                <w:rFonts w:hint="default" w:ascii="Times New Roman" w:hAnsi="Times New Roman" w:cs="Times New Roman"/>
                <w:color w:val="auto"/>
                <w:sz w:val="21"/>
                <w:szCs w:val="21"/>
                <w:highlight w:val="none"/>
                <w:u w:val="none"/>
                <w:lang w:val="en-US"/>
              </w:rPr>
            </w:pPr>
            <w:r>
              <w:rPr>
                <w:rFonts w:hint="default" w:ascii="Times New Roman" w:hAnsi="Times New Roman" w:eastAsia="宋体" w:cs="Times New Roman"/>
                <w:color w:val="auto"/>
                <w:kern w:val="0"/>
                <w:sz w:val="21"/>
                <w:szCs w:val="21"/>
                <w:highlight w:val="none"/>
                <w:u w:val="none"/>
                <w:lang w:val="en-US" w:eastAsia="zh-CN" w:bidi="ar"/>
              </w:rPr>
              <w:t>项目破碎废水、清洗废水经厂区污水处理设施（格栅+隔油池+沉砂池+调节池+清水池）处理后全部循环使用</w:t>
            </w:r>
          </w:p>
        </w:tc>
        <w:tc>
          <w:tcPr>
            <w:tcW w:w="1613" w:type="pct"/>
            <w:vMerge w:val="restart"/>
            <w:tcBorders>
              <w:top w:val="single" w:color="000000" w:sz="4" w:space="0"/>
              <w:left w:val="single" w:color="000000" w:sz="4" w:space="0"/>
              <w:bottom w:val="single" w:color="000000" w:sz="4" w:space="0"/>
            </w:tcBorders>
            <w:noWrap w:val="0"/>
            <w:vAlign w:val="center"/>
          </w:tcPr>
          <w:p>
            <w:pPr>
              <w:pStyle w:val="32"/>
              <w:spacing w:line="360" w:lineRule="auto"/>
              <w:ind w:firstLine="420" w:firstLineChars="200"/>
              <w:textAlignment w:val="baseline"/>
              <w:rPr>
                <w:rFonts w:hint="default" w:ascii="Times New Roman" w:hAnsi="Times New Roman" w:eastAsia="宋体" w:cs="Times New Roman"/>
                <w:color w:val="auto"/>
                <w:kern w:val="2"/>
                <w:sz w:val="21"/>
                <w:szCs w:val="21"/>
                <w:highlight w:val="none"/>
                <w:u w:val="none"/>
                <w:lang w:val="en-US" w:eastAsia="zh-CN" w:bidi="zh-CN"/>
              </w:rPr>
            </w:pPr>
            <w:r>
              <w:rPr>
                <w:rFonts w:hint="default" w:ascii="Times New Roman" w:hAnsi="Times New Roman" w:eastAsia="宋体" w:cs="Times New Roman"/>
                <w:color w:val="auto"/>
                <w:kern w:val="2"/>
                <w:sz w:val="21"/>
                <w:szCs w:val="21"/>
                <w:highlight w:val="none"/>
                <w:u w:val="none"/>
                <w:lang w:val="en-US" w:eastAsia="zh-CN" w:bidi="zh-CN"/>
              </w:rPr>
              <w:t>生产废水经自建污水处理设施处理达标后，厂区内设置排放口（DW001）外排至市政污水管网，最后进入华容县桥东污水处理厂处置。</w:t>
            </w:r>
          </w:p>
          <w:p>
            <w:pPr>
              <w:pStyle w:val="39"/>
              <w:spacing w:before="3" w:line="270" w:lineRule="atLeast"/>
              <w:ind w:left="162" w:right="138"/>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6"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3"/>
              <w:ind w:left="194" w:right="174"/>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position w:val="2"/>
                <w:sz w:val="21"/>
                <w:szCs w:val="21"/>
                <w:highlight w:val="none"/>
                <w:u w:val="none"/>
              </w:rPr>
              <w:t>BOD</w:t>
            </w:r>
            <w:r>
              <w:rPr>
                <w:rFonts w:hint="default" w:ascii="Times New Roman" w:hAnsi="Times New Roman" w:cs="Times New Roman"/>
                <w:color w:val="auto"/>
                <w:position w:val="2"/>
                <w:sz w:val="21"/>
                <w:szCs w:val="21"/>
                <w:highlight w:val="none"/>
                <w:u w:val="none"/>
                <w:vertAlign w:val="subscript"/>
              </w:rPr>
              <w:t>5</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96"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8"/>
              <w:ind w:left="194" w:right="146"/>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rPr>
              <w:t>SS</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539" w:hRule="atLeast"/>
        </w:trPr>
        <w:tc>
          <w:tcPr>
            <w:tcW w:w="641" w:type="pct"/>
            <w:vMerge w:val="continue"/>
            <w:tcBorders>
              <w:top w:val="nil"/>
              <w:bottom w:val="single" w:color="000000" w:sz="4" w:space="0"/>
              <w:right w:val="single" w:color="000000" w:sz="4" w:space="0"/>
            </w:tcBorders>
            <w:noWrap w:val="0"/>
            <w:vAlign w:val="center"/>
          </w:tcPr>
          <w:p>
            <w:pPr>
              <w:jc w:val="center"/>
              <w:rPr>
                <w:rFonts w:hint="default" w:ascii="Times New Roman" w:hAnsi="Times New Roman" w:cs="Times New Roman"/>
                <w:b/>
                <w:bCs/>
                <w:color w:val="auto"/>
                <w:sz w:val="21"/>
                <w:szCs w:val="21"/>
                <w:highlight w:val="none"/>
                <w:u w:val="none"/>
                <w:lang w:val="zh-CN" w:bidi="zh-CN"/>
              </w:rPr>
            </w:pPr>
          </w:p>
        </w:tc>
        <w:tc>
          <w:tcPr>
            <w:tcW w:w="698"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spacing w:before="73"/>
              <w:ind w:left="194" w:right="176"/>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position w:val="2"/>
                <w:sz w:val="21"/>
                <w:szCs w:val="21"/>
                <w:highlight w:val="none"/>
                <w:u w:val="none"/>
              </w:rPr>
              <w:t>NH</w:t>
            </w:r>
            <w:r>
              <w:rPr>
                <w:rFonts w:hint="default" w:ascii="Times New Roman" w:hAnsi="Times New Roman" w:cs="Times New Roman"/>
                <w:color w:val="auto"/>
                <w:position w:val="2"/>
                <w:sz w:val="21"/>
                <w:szCs w:val="21"/>
                <w:highlight w:val="none"/>
                <w:u w:val="none"/>
                <w:vertAlign w:val="subscript"/>
              </w:rPr>
              <w:t>3</w:t>
            </w:r>
            <w:r>
              <w:rPr>
                <w:rFonts w:hint="default" w:ascii="Times New Roman" w:hAnsi="Times New Roman" w:cs="Times New Roman"/>
                <w:color w:val="auto"/>
                <w:position w:val="2"/>
                <w:sz w:val="21"/>
                <w:szCs w:val="21"/>
                <w:highlight w:val="none"/>
                <w:u w:val="none"/>
              </w:rPr>
              <w:t>-N</w:t>
            </w:r>
          </w:p>
        </w:tc>
        <w:tc>
          <w:tcPr>
            <w:tcW w:w="1074" w:type="pct"/>
            <w:vMerge w:val="continue"/>
            <w:tcBorders>
              <w:top w:val="nil"/>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top w:val="nil"/>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36" w:hRule="atLeast"/>
        </w:trPr>
        <w:tc>
          <w:tcPr>
            <w:tcW w:w="641" w:type="pct"/>
            <w:tcBorders>
              <w:top w:val="single" w:color="000000" w:sz="4" w:space="0"/>
              <w:bottom w:val="single" w:color="000000" w:sz="4" w:space="0"/>
              <w:right w:val="single" w:color="000000" w:sz="4" w:space="0"/>
            </w:tcBorders>
            <w:noWrap w:val="0"/>
            <w:vAlign w:val="center"/>
          </w:tcPr>
          <w:p>
            <w:pPr>
              <w:pStyle w:val="39"/>
              <w:spacing w:line="242" w:lineRule="auto"/>
              <w:ind w:right="190"/>
              <w:jc w:val="center"/>
              <w:rPr>
                <w:rFonts w:hint="default" w:ascii="Times New Roman" w:hAnsi="Times New Roman" w:cs="Times New Roman"/>
                <w:b/>
                <w:bCs/>
                <w:color w:val="auto"/>
                <w:sz w:val="21"/>
                <w:szCs w:val="21"/>
                <w:highlight w:val="none"/>
                <w:u w:val="none"/>
                <w:lang w:val="en-US"/>
              </w:rPr>
            </w:pPr>
            <w:r>
              <w:rPr>
                <w:rFonts w:hint="default" w:ascii="Times New Roman" w:hAnsi="Times New Roman" w:cs="Times New Roman"/>
                <w:b/>
                <w:bCs/>
                <w:color w:val="auto"/>
                <w:sz w:val="21"/>
                <w:szCs w:val="21"/>
                <w:highlight w:val="none"/>
                <w:u w:val="none"/>
              </w:rPr>
              <w:t>电磁辐射</w:t>
            </w:r>
          </w:p>
        </w:tc>
        <w:tc>
          <w:tcPr>
            <w:tcW w:w="698" w:type="pct"/>
            <w:tcBorders>
              <w:top w:val="single" w:color="000000" w:sz="4" w:space="0"/>
              <w:left w:val="single" w:color="000000" w:sz="4" w:space="0"/>
              <w:bottom w:val="single" w:color="000000" w:sz="4" w:space="0"/>
              <w:right w:val="single" w:color="000000" w:sz="4" w:space="0"/>
            </w:tcBorders>
            <w:noWrap w:val="0"/>
            <w:vAlign w:val="center"/>
          </w:tcPr>
          <w:p>
            <w:pPr>
              <w:pStyle w:val="39"/>
              <w:spacing w:line="244" w:lineRule="auto"/>
              <w:ind w:left="252" w:right="127" w:hanging="106"/>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spacing w:line="244" w:lineRule="auto"/>
              <w:ind w:left="252" w:right="127" w:hanging="106"/>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w:t>
            </w:r>
          </w:p>
        </w:tc>
        <w:tc>
          <w:tcPr>
            <w:tcW w:w="1074" w:type="pct"/>
            <w:tcBorders>
              <w:top w:val="single" w:color="000000" w:sz="4" w:space="0"/>
              <w:left w:val="single" w:color="000000" w:sz="4" w:space="0"/>
              <w:bottom w:val="single" w:color="000000" w:sz="4" w:space="0"/>
              <w:right w:val="single" w:color="000000" w:sz="4" w:space="0"/>
            </w:tcBorders>
            <w:noWrap w:val="0"/>
            <w:vAlign w:val="center"/>
          </w:tcPr>
          <w:p>
            <w:pPr>
              <w:widowControl/>
              <w:jc w:val="center"/>
              <w:rPr>
                <w:rFonts w:hint="default" w:ascii="Times New Roman" w:hAnsi="Times New Roman" w:cs="Times New Roman"/>
                <w:color w:val="auto"/>
                <w:kern w:val="0"/>
                <w:sz w:val="21"/>
                <w:szCs w:val="21"/>
                <w:highlight w:val="none"/>
                <w:u w:val="none"/>
                <w:lang w:bidi="ar"/>
              </w:rPr>
            </w:pPr>
            <w:r>
              <w:rPr>
                <w:rFonts w:hint="default" w:ascii="Times New Roman" w:hAnsi="Times New Roman" w:cs="Times New Roman"/>
                <w:color w:val="auto"/>
                <w:sz w:val="21"/>
                <w:szCs w:val="21"/>
                <w:highlight w:val="none"/>
                <w:u w:val="none"/>
              </w:rPr>
              <w:t>/</w:t>
            </w:r>
          </w:p>
        </w:tc>
        <w:tc>
          <w:tcPr>
            <w:tcW w:w="1613" w:type="pct"/>
            <w:tcBorders>
              <w:top w:val="single" w:color="000000" w:sz="4" w:space="0"/>
              <w:left w:val="single" w:color="000000" w:sz="4" w:space="0"/>
              <w:bottom w:val="single" w:color="000000" w:sz="4" w:space="0"/>
            </w:tcBorders>
            <w:noWrap w:val="0"/>
            <w:vAlign w:val="center"/>
          </w:tcPr>
          <w:p>
            <w:pPr>
              <w:spacing w:line="244" w:lineRule="auto"/>
              <w:ind w:left="252" w:right="127" w:hanging="106"/>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1087" w:hRule="atLeast"/>
        </w:trPr>
        <w:tc>
          <w:tcPr>
            <w:tcW w:w="641" w:type="pct"/>
            <w:tcBorders>
              <w:top w:val="single" w:color="000000" w:sz="4" w:space="0"/>
              <w:bottom w:val="single" w:color="000000" w:sz="4" w:space="0"/>
              <w:right w:val="single" w:color="000000" w:sz="4" w:space="0"/>
            </w:tcBorders>
            <w:noWrap w:val="0"/>
            <w:vAlign w:val="center"/>
          </w:tcPr>
          <w:p>
            <w:pPr>
              <w:pStyle w:val="39"/>
              <w:spacing w:line="244" w:lineRule="auto"/>
              <w:ind w:left="252" w:right="127" w:hanging="106"/>
              <w:jc w:val="center"/>
              <w:rPr>
                <w:rFonts w:hint="default" w:ascii="Times New Roman" w:hAnsi="Times New Roman" w:cs="Times New Roman"/>
                <w:b/>
                <w:bCs/>
                <w:color w:val="auto"/>
                <w:sz w:val="21"/>
                <w:szCs w:val="21"/>
                <w:highlight w:val="none"/>
                <w:u w:val="none"/>
                <w:lang w:val="en-US"/>
              </w:rPr>
            </w:pPr>
          </w:p>
          <w:p>
            <w:pPr>
              <w:pStyle w:val="39"/>
              <w:spacing w:line="244" w:lineRule="auto"/>
              <w:ind w:right="127"/>
              <w:jc w:val="center"/>
              <w:rPr>
                <w:rFonts w:hint="default" w:ascii="Times New Roman" w:hAnsi="Times New Roman" w:cs="Times New Roman"/>
                <w:b/>
                <w:bCs/>
                <w:color w:val="auto"/>
                <w:sz w:val="21"/>
                <w:szCs w:val="21"/>
                <w:highlight w:val="none"/>
                <w:u w:val="none"/>
                <w:lang w:val="en-US"/>
              </w:rPr>
            </w:pPr>
            <w:r>
              <w:rPr>
                <w:rFonts w:hint="default" w:ascii="Times New Roman" w:hAnsi="Times New Roman" w:cs="Times New Roman"/>
                <w:b/>
                <w:bCs/>
                <w:color w:val="auto"/>
                <w:sz w:val="21"/>
                <w:szCs w:val="21"/>
                <w:highlight w:val="none"/>
                <w:u w:val="none"/>
                <w:lang w:val="en-US"/>
              </w:rPr>
              <w:t>声环境</w:t>
            </w:r>
          </w:p>
        </w:tc>
        <w:tc>
          <w:tcPr>
            <w:tcW w:w="698" w:type="pct"/>
            <w:tcBorders>
              <w:top w:val="single" w:color="000000" w:sz="4" w:space="0"/>
              <w:left w:val="single" w:color="000000" w:sz="4" w:space="0"/>
              <w:bottom w:val="single" w:color="000000" w:sz="4" w:space="0"/>
              <w:right w:val="single" w:color="000000" w:sz="4" w:space="0"/>
            </w:tcBorders>
            <w:noWrap w:val="0"/>
            <w:vAlign w:val="center"/>
          </w:tcPr>
          <w:p>
            <w:pPr>
              <w:pStyle w:val="39"/>
              <w:spacing w:line="244" w:lineRule="auto"/>
              <w:ind w:left="252" w:right="127" w:hanging="106"/>
              <w:jc w:val="center"/>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生产设备</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9"/>
              <w:tabs>
                <w:tab w:val="left" w:pos="582"/>
              </w:tabs>
              <w:spacing w:line="244" w:lineRule="auto"/>
              <w:ind w:left="252" w:right="127" w:hanging="106"/>
              <w:jc w:val="left"/>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ab/>
            </w:r>
            <w:r>
              <w:rPr>
                <w:rFonts w:hint="default" w:ascii="Times New Roman" w:hAnsi="Times New Roman" w:cs="Times New Roman"/>
                <w:color w:val="auto"/>
                <w:sz w:val="21"/>
                <w:szCs w:val="21"/>
                <w:highlight w:val="none"/>
                <w:u w:val="none"/>
                <w:lang w:val="en-US"/>
              </w:rPr>
              <w:t>噪声</w:t>
            </w:r>
          </w:p>
        </w:tc>
        <w:tc>
          <w:tcPr>
            <w:tcW w:w="1074" w:type="pct"/>
            <w:tcBorders>
              <w:top w:val="single" w:color="000000" w:sz="4" w:space="0"/>
              <w:left w:val="single" w:color="000000" w:sz="4" w:space="0"/>
              <w:bottom w:val="single" w:color="000000" w:sz="4" w:space="0"/>
              <w:right w:val="single" w:color="000000" w:sz="4" w:space="0"/>
            </w:tcBorders>
            <w:noWrap w:val="0"/>
            <w:vAlign w:val="center"/>
          </w:tcPr>
          <w:p>
            <w:pPr>
              <w:widowControl/>
              <w:jc w:val="left"/>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sz w:val="21"/>
                <w:szCs w:val="21"/>
                <w:highlight w:val="none"/>
                <w:u w:val="none"/>
              </w:rPr>
              <w:t>选用低噪声设备+</w:t>
            </w:r>
            <w:r>
              <w:rPr>
                <w:rFonts w:hint="default" w:ascii="Times New Roman" w:hAnsi="Times New Roman" w:eastAsia="宋体" w:cs="Times New Roman"/>
                <w:color w:val="auto"/>
                <w:sz w:val="21"/>
                <w:szCs w:val="21"/>
                <w:highlight w:val="none"/>
                <w:u w:val="none"/>
                <w:lang w:val="en-US" w:eastAsia="zh-CN"/>
              </w:rPr>
              <w:t>减振</w:t>
            </w:r>
            <w:r>
              <w:rPr>
                <w:rFonts w:hint="default" w:ascii="Times New Roman" w:hAnsi="Times New Roman" w:eastAsia="宋体" w:cs="Times New Roman"/>
                <w:color w:val="auto"/>
                <w:sz w:val="21"/>
                <w:szCs w:val="21"/>
                <w:highlight w:val="none"/>
                <w:u w:val="none"/>
              </w:rPr>
              <w:t>+厂房隔声</w:t>
            </w:r>
          </w:p>
        </w:tc>
        <w:tc>
          <w:tcPr>
            <w:tcW w:w="1613" w:type="pct"/>
            <w:tcBorders>
              <w:top w:val="single" w:color="000000" w:sz="4" w:space="0"/>
              <w:left w:val="single" w:color="000000" w:sz="4" w:space="0"/>
              <w:bottom w:val="single" w:color="000000" w:sz="4" w:space="0"/>
            </w:tcBorders>
            <w:noWrap w:val="0"/>
            <w:vAlign w:val="center"/>
          </w:tcPr>
          <w:p>
            <w:pPr>
              <w:pStyle w:val="39"/>
              <w:spacing w:line="244" w:lineRule="auto"/>
              <w:ind w:right="127"/>
              <w:rPr>
                <w:rFonts w:hint="default" w:ascii="Times New Roman" w:hAnsi="Times New Roman" w:cs="Times New Roman"/>
                <w:color w:val="auto"/>
                <w:sz w:val="21"/>
                <w:szCs w:val="21"/>
                <w:highlight w:val="none"/>
                <w:u w:val="none"/>
                <w:lang w:val="en-US"/>
              </w:rPr>
            </w:pPr>
            <w:r>
              <w:rPr>
                <w:rFonts w:hint="default" w:ascii="Times New Roman" w:hAnsi="Times New Roman" w:cs="Times New Roman"/>
                <w:color w:val="auto"/>
                <w:sz w:val="21"/>
                <w:szCs w:val="21"/>
                <w:highlight w:val="none"/>
                <w:u w:val="none"/>
                <w:lang w:val="en-US"/>
              </w:rPr>
              <w:t>《工业企业厂界环境噪声排放标准》（GB12348-2008）中的2类标准</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290" w:hRule="atLeast"/>
        </w:trPr>
        <w:tc>
          <w:tcPr>
            <w:tcW w:w="641" w:type="pct"/>
            <w:vMerge w:val="restart"/>
            <w:tcBorders>
              <w:top w:val="single" w:color="000000" w:sz="4" w:space="0"/>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b/>
                <w:bCs/>
                <w:color w:val="auto"/>
                <w:sz w:val="21"/>
                <w:szCs w:val="21"/>
                <w:highlight w:val="none"/>
                <w:u w:val="none"/>
                <w:lang w:val="en-US"/>
              </w:rPr>
            </w:pPr>
            <w:r>
              <w:rPr>
                <w:rFonts w:hint="default" w:ascii="Times New Roman" w:hAnsi="Times New Roman" w:cs="Times New Roman"/>
                <w:b/>
                <w:bCs/>
                <w:color w:val="auto"/>
                <w:sz w:val="21"/>
                <w:szCs w:val="21"/>
                <w:highlight w:val="none"/>
                <w:u w:val="none"/>
                <w:lang w:val="en-US"/>
              </w:rPr>
              <w:t>固体废物</w:t>
            </w:r>
          </w:p>
        </w:tc>
        <w:tc>
          <w:tcPr>
            <w:tcW w:w="1671" w:type="pct"/>
            <w:gridSpan w:val="2"/>
            <w:tcBorders>
              <w:top w:val="single" w:color="000000" w:sz="4" w:space="0"/>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生活垃圾</w:t>
            </w:r>
          </w:p>
        </w:tc>
        <w:tc>
          <w:tcPr>
            <w:tcW w:w="1074" w:type="pct"/>
            <w:tcBorders>
              <w:top w:val="single" w:color="000000" w:sz="4" w:space="0"/>
              <w:left w:val="single" w:color="000000" w:sz="4" w:space="0"/>
              <w:bottom w:val="single" w:color="000000" w:sz="4" w:space="0"/>
              <w:right w:val="single" w:color="000000" w:sz="4" w:space="0"/>
            </w:tcBorders>
            <w:noWrap w:val="0"/>
            <w:vAlign w:val="center"/>
          </w:tcPr>
          <w:p>
            <w:pPr>
              <w:jc w:val="both"/>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日常生活垃圾和餐厨垃圾分开</w:t>
            </w:r>
            <w:r>
              <w:rPr>
                <w:rFonts w:hint="default" w:ascii="Times New Roman" w:hAnsi="Times New Roman" w:eastAsia="宋体" w:cs="Times New Roman"/>
                <w:color w:val="auto"/>
                <w:kern w:val="0"/>
                <w:sz w:val="21"/>
                <w:szCs w:val="21"/>
                <w:highlight w:val="none"/>
                <w:u w:val="none"/>
                <w:lang w:bidi="ar"/>
              </w:rPr>
              <w:t>收集，定期交由环卫部门清运</w:t>
            </w:r>
          </w:p>
        </w:tc>
        <w:tc>
          <w:tcPr>
            <w:tcW w:w="1613" w:type="pct"/>
            <w:tcBorders>
              <w:top w:val="single" w:color="000000" w:sz="4" w:space="0"/>
              <w:left w:val="single" w:color="000000" w:sz="4" w:space="0"/>
              <w:bottom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《生活垃圾填埋场污染控制标准》（GB16889-2008）</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一般固废</w:t>
            </w: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6"/>
              <w:bidi w:val="0"/>
              <w:spacing w:line="360" w:lineRule="auto"/>
              <w:ind w:left="0" w:leftChars="0"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分拣杂物</w:t>
            </w:r>
          </w:p>
        </w:tc>
        <w:tc>
          <w:tcPr>
            <w:tcW w:w="1074" w:type="pct"/>
            <w:vMerge w:val="restart"/>
            <w:tcBorders>
              <w:top w:val="single" w:color="000000" w:sz="4" w:space="0"/>
              <w:left w:val="single" w:color="000000" w:sz="4" w:space="0"/>
              <w:right w:val="single" w:color="000000" w:sz="4" w:space="0"/>
            </w:tcBorders>
            <w:noWrap w:val="0"/>
            <w:vAlign w:val="center"/>
          </w:tcPr>
          <w:p>
            <w:pPr>
              <w:jc w:val="center"/>
              <w:rPr>
                <w:rFonts w:hint="default" w:ascii="Times New Roman" w:hAnsi="Times New Roman" w:eastAsia="宋体" w:cs="Times New Roman"/>
                <w:color w:val="auto"/>
                <w:sz w:val="21"/>
                <w:szCs w:val="21"/>
                <w:highlight w:val="none"/>
                <w:u w:val="none"/>
                <w:lang w:eastAsia="zh-CN"/>
              </w:rPr>
            </w:pPr>
            <w:r>
              <w:rPr>
                <w:rFonts w:hint="default" w:ascii="Times New Roman" w:hAnsi="Times New Roman" w:cs="Times New Roman"/>
                <w:color w:val="auto"/>
                <w:sz w:val="21"/>
                <w:szCs w:val="21"/>
                <w:highlight w:val="none"/>
                <w:u w:val="none"/>
              </w:rPr>
              <w:t>集中收集暂存于一般工业固体废物暂存间，</w:t>
            </w:r>
            <w:r>
              <w:rPr>
                <w:rFonts w:hint="default" w:ascii="Times New Roman" w:hAnsi="Times New Roman" w:cs="Times New Roman"/>
                <w:color w:val="auto"/>
                <w:sz w:val="21"/>
                <w:szCs w:val="21"/>
                <w:highlight w:val="none"/>
                <w:u w:val="none"/>
                <w:lang w:val="en-US" w:eastAsia="zh-CN"/>
              </w:rPr>
              <w:t>外售</w:t>
            </w:r>
          </w:p>
        </w:tc>
        <w:tc>
          <w:tcPr>
            <w:tcW w:w="1613" w:type="pct"/>
            <w:vMerge w:val="restart"/>
            <w:tcBorders>
              <w:top w:val="single" w:color="000000" w:sz="4" w:space="0"/>
              <w:left w:val="single" w:color="000000" w:sz="4" w:space="0"/>
            </w:tcBorders>
            <w:noWrap w:val="0"/>
            <w:vAlign w:val="center"/>
          </w:tcPr>
          <w:p>
            <w:pPr>
              <w:rPr>
                <w:rFonts w:hint="default" w:ascii="Times New Roman" w:hAnsi="Times New Roman" w:cs="Times New Roman"/>
                <w:color w:val="auto"/>
                <w:sz w:val="21"/>
                <w:szCs w:val="21"/>
                <w:highlight w:val="none"/>
                <w:u w:val="none"/>
              </w:rPr>
            </w:pPr>
            <w:r>
              <w:rPr>
                <w:rFonts w:hint="default" w:ascii="Times New Roman" w:hAnsi="Times New Roman" w:eastAsia="微软雅黑" w:cs="Times New Roman"/>
                <w:i w:val="0"/>
                <w:iCs w:val="0"/>
                <w:caps w:val="0"/>
                <w:color w:val="auto"/>
                <w:spacing w:val="0"/>
                <w:sz w:val="21"/>
                <w:szCs w:val="21"/>
                <w:highlight w:val="none"/>
                <w:u w:val="none"/>
                <w:shd w:val="clear" w:color="auto" w:fill="FFFFFF"/>
              </w:rPr>
              <w:fldChar w:fldCharType="begin"/>
            </w:r>
            <w:r>
              <w:rPr>
                <w:rFonts w:hint="default" w:ascii="Times New Roman" w:hAnsi="Times New Roman" w:eastAsia="微软雅黑" w:cs="Times New Roman"/>
                <w:i w:val="0"/>
                <w:iCs w:val="0"/>
                <w:caps w:val="0"/>
                <w:color w:val="auto"/>
                <w:spacing w:val="0"/>
                <w:sz w:val="21"/>
                <w:szCs w:val="21"/>
                <w:highlight w:val="none"/>
                <w:u w:val="none"/>
                <w:shd w:val="clear" w:color="auto" w:fill="FFFFFF"/>
              </w:rPr>
              <w:instrText xml:space="preserve"> HYPERLINK "https://www.mee.gov.cn/ywgz/fgbz/bz/bzwb/gthw/gtfwwrkzbz/202012/W020201218695845325455.pdf" </w:instrText>
            </w:r>
            <w:r>
              <w:rPr>
                <w:rFonts w:hint="default" w:ascii="Times New Roman" w:hAnsi="Times New Roman" w:eastAsia="微软雅黑" w:cs="Times New Roman"/>
                <w:i w:val="0"/>
                <w:iCs w:val="0"/>
                <w:caps w:val="0"/>
                <w:color w:val="auto"/>
                <w:spacing w:val="0"/>
                <w:sz w:val="21"/>
                <w:szCs w:val="21"/>
                <w:highlight w:val="none"/>
                <w:u w:val="none"/>
                <w:shd w:val="clear" w:color="auto" w:fill="FFFFFF"/>
              </w:rPr>
              <w:fldChar w:fldCharType="separate"/>
            </w:r>
            <w:r>
              <w:rPr>
                <w:rStyle w:val="28"/>
                <w:rFonts w:hint="default" w:ascii="Times New Roman" w:hAnsi="Times New Roman" w:eastAsia="微软雅黑" w:cs="Times New Roman"/>
                <w:i w:val="0"/>
                <w:iCs w:val="0"/>
                <w:caps w:val="0"/>
                <w:color w:val="auto"/>
                <w:spacing w:val="0"/>
                <w:sz w:val="21"/>
                <w:szCs w:val="21"/>
                <w:highlight w:val="none"/>
                <w:u w:val="none"/>
                <w:shd w:val="clear" w:color="auto" w:fill="FFFFFF"/>
              </w:rPr>
              <w:t> </w:t>
            </w:r>
            <w:r>
              <w:rPr>
                <w:rFonts w:hint="default" w:ascii="Times New Roman" w:hAnsi="Times New Roman" w:cs="Times New Roman"/>
                <w:color w:val="auto"/>
                <w:sz w:val="21"/>
                <w:szCs w:val="21"/>
                <w:highlight w:val="none"/>
                <w:u w:val="none"/>
              </w:rPr>
              <w:t>一般工业固体废物贮存和填埋污染控制标准（GB 18599-2020）</w:t>
            </w:r>
            <w:r>
              <w:rPr>
                <w:rFonts w:hint="default" w:ascii="Times New Roman" w:hAnsi="Times New Roman" w:eastAsia="微软雅黑" w:cs="Times New Roman"/>
                <w:i w:val="0"/>
                <w:iCs w:val="0"/>
                <w:caps w:val="0"/>
                <w:color w:val="auto"/>
                <w:spacing w:val="0"/>
                <w:sz w:val="21"/>
                <w:szCs w:val="21"/>
                <w:highlight w:val="none"/>
                <w:u w:val="none"/>
                <w:shd w:val="clear" w:color="auto" w:fill="FFFFFF"/>
              </w:rPr>
              <w:fldChar w:fldCharType="end"/>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continue"/>
            <w:tcBorders>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bottom w:val="single" w:color="000000" w:sz="4" w:space="0"/>
              <w:right w:val="single" w:color="000000" w:sz="4" w:space="0"/>
            </w:tcBorders>
            <w:noWrap w:val="0"/>
            <w:vAlign w:val="center"/>
          </w:tcPr>
          <w:p>
            <w:pPr>
              <w:pStyle w:val="36"/>
              <w:bidi w:val="0"/>
              <w:spacing w:line="360" w:lineRule="auto"/>
              <w:ind w:left="0" w:leftChars="0"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栅渣</w:t>
            </w:r>
          </w:p>
        </w:tc>
        <w:tc>
          <w:tcPr>
            <w:tcW w:w="1074" w:type="pct"/>
            <w:vMerge w:val="continue"/>
            <w:tcBorders>
              <w:left w:val="single" w:color="000000" w:sz="4" w:space="0"/>
              <w:bottom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lef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continue"/>
            <w:tcBorders>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tcBorders>
              <w:top w:val="single" w:color="000000" w:sz="4" w:space="0"/>
              <w:left w:val="single" w:color="000000" w:sz="4" w:space="0"/>
              <w:right w:val="single" w:color="000000" w:sz="4" w:space="0"/>
            </w:tcBorders>
            <w:noWrap w:val="0"/>
            <w:vAlign w:val="center"/>
          </w:tcPr>
          <w:p>
            <w:pPr>
              <w:pStyle w:val="36"/>
              <w:bidi w:val="0"/>
              <w:spacing w:line="360" w:lineRule="auto"/>
              <w:ind w:left="0" w:leftChars="0"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废标签</w:t>
            </w:r>
          </w:p>
        </w:tc>
        <w:tc>
          <w:tcPr>
            <w:tcW w:w="1074" w:type="pct"/>
            <w:vMerge w:val="continue"/>
            <w:tcBorders>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lef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29"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continue"/>
            <w:tcBorders>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972" w:type="pct"/>
            <w:noWrap w:val="0"/>
            <w:vAlign w:val="center"/>
          </w:tcPr>
          <w:p>
            <w:pPr>
              <w:pStyle w:val="36"/>
              <w:bidi w:val="0"/>
              <w:spacing w:line="360" w:lineRule="auto"/>
              <w:ind w:left="0" w:leftChars="0" w:firstLine="0" w:firstLineChars="0"/>
              <w:jc w:val="center"/>
              <w:rPr>
                <w:rFonts w:hint="default" w:ascii="Times New Roman" w:hAnsi="Times New Roman" w:cs="Times New Roman"/>
                <w:color w:val="auto"/>
                <w:sz w:val="21"/>
                <w:szCs w:val="21"/>
                <w:highlight w:val="none"/>
                <w:u w:val="none"/>
              </w:rPr>
            </w:pPr>
            <w:r>
              <w:rPr>
                <w:rFonts w:hint="default" w:ascii="Times New Roman" w:hAnsi="Times New Roman" w:eastAsia="宋体" w:cs="Times New Roman"/>
                <w:color w:val="auto"/>
                <w:kern w:val="0"/>
                <w:sz w:val="21"/>
                <w:szCs w:val="21"/>
                <w:highlight w:val="none"/>
                <w:u w:val="none"/>
                <w:lang w:val="en-US" w:eastAsia="zh-CN" w:bidi="ar"/>
              </w:rPr>
              <w:t>沉淀池污泥</w:t>
            </w:r>
          </w:p>
        </w:tc>
        <w:tc>
          <w:tcPr>
            <w:tcW w:w="1074" w:type="pct"/>
            <w:vMerge w:val="continue"/>
            <w:tcBorders>
              <w:left w:val="single" w:color="000000" w:sz="4" w:space="0"/>
              <w:righ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tcBorders>
              <w:left w:val="single" w:color="000000" w:sz="4" w:space="0"/>
            </w:tcBorders>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restart"/>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危险废物</w:t>
            </w:r>
          </w:p>
        </w:tc>
        <w:tc>
          <w:tcPr>
            <w:tcW w:w="972" w:type="pct"/>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bidi="ar"/>
              </w:rPr>
              <w:t>隔油池产生的废油</w:t>
            </w:r>
          </w:p>
        </w:tc>
        <w:tc>
          <w:tcPr>
            <w:tcW w:w="1074" w:type="pct"/>
            <w:vMerge w:val="restart"/>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收集后暂存</w:t>
            </w:r>
            <w:r>
              <w:rPr>
                <w:rFonts w:hint="default" w:ascii="Times New Roman" w:hAnsi="Times New Roman" w:cs="Times New Roman"/>
                <w:color w:val="auto"/>
                <w:sz w:val="21"/>
                <w:szCs w:val="21"/>
                <w:highlight w:val="none"/>
                <w:u w:val="none"/>
                <w:lang w:val="en-US" w:eastAsia="zh-CN"/>
              </w:rPr>
              <w:t>危废间</w:t>
            </w:r>
            <w:r>
              <w:rPr>
                <w:rFonts w:hint="default" w:ascii="Times New Roman" w:hAnsi="Times New Roman" w:cs="Times New Roman"/>
                <w:color w:val="auto"/>
                <w:sz w:val="21"/>
                <w:szCs w:val="21"/>
                <w:highlight w:val="none"/>
                <w:u w:val="none"/>
              </w:rPr>
              <w:t>，再委托有相关资质的公司处置。</w:t>
            </w:r>
          </w:p>
        </w:tc>
        <w:tc>
          <w:tcPr>
            <w:tcW w:w="1613" w:type="pct"/>
            <w:vMerge w:val="restart"/>
            <w:noWrap w:val="0"/>
            <w:vAlign w:val="center"/>
          </w:tcPr>
          <w:p>
            <w:pPr>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危险废物贮存污染控制标准》(GB18597-2001)及其2013年修改单</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vMerge w:val="continue"/>
            <w:tcBorders>
              <w:right w:val="single" w:color="000000" w:sz="4" w:space="0"/>
            </w:tcBorders>
            <w:noWrap w:val="0"/>
            <w:vAlign w:val="center"/>
          </w:tcPr>
          <w:p>
            <w:pPr>
              <w:pStyle w:val="39"/>
              <w:spacing w:before="1" w:line="270" w:lineRule="atLeast"/>
              <w:ind w:left="203" w:right="190"/>
              <w:jc w:val="center"/>
              <w:rPr>
                <w:rFonts w:hint="default" w:ascii="Times New Roman" w:hAnsi="Times New Roman" w:cs="Times New Roman"/>
                <w:color w:val="auto"/>
                <w:sz w:val="21"/>
                <w:szCs w:val="21"/>
                <w:highlight w:val="none"/>
                <w:u w:val="none"/>
              </w:rPr>
            </w:pPr>
          </w:p>
        </w:tc>
        <w:tc>
          <w:tcPr>
            <w:tcW w:w="698" w:type="pct"/>
            <w:vMerge w:val="continue"/>
            <w:noWrap w:val="0"/>
            <w:vAlign w:val="center"/>
          </w:tcPr>
          <w:p>
            <w:pPr>
              <w:jc w:val="center"/>
              <w:rPr>
                <w:rFonts w:hint="default" w:ascii="Times New Roman" w:hAnsi="Times New Roman" w:cs="Times New Roman"/>
                <w:color w:val="auto"/>
                <w:sz w:val="21"/>
                <w:szCs w:val="21"/>
                <w:highlight w:val="none"/>
                <w:u w:val="none"/>
              </w:rPr>
            </w:pPr>
          </w:p>
        </w:tc>
        <w:tc>
          <w:tcPr>
            <w:tcW w:w="972" w:type="pct"/>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color w:val="auto"/>
                <w:sz w:val="21"/>
                <w:szCs w:val="21"/>
                <w:highlight w:val="none"/>
                <w:u w:val="none"/>
                <w:lang w:val="en-US" w:eastAsia="zh-CN"/>
              </w:rPr>
            </w:pPr>
            <w:r>
              <w:rPr>
                <w:rFonts w:hint="default" w:ascii="Times New Roman" w:hAnsi="Times New Roman" w:eastAsia="宋体" w:cs="Times New Roman"/>
                <w:color w:val="auto"/>
                <w:kern w:val="0"/>
                <w:sz w:val="21"/>
                <w:szCs w:val="21"/>
                <w:highlight w:val="none"/>
                <w:u w:val="none"/>
                <w:lang w:val="en-US" w:eastAsia="zh-CN" w:bidi="ar"/>
              </w:rPr>
              <w:t>废矿物油</w:t>
            </w:r>
          </w:p>
        </w:tc>
        <w:tc>
          <w:tcPr>
            <w:tcW w:w="1074" w:type="pct"/>
            <w:vMerge w:val="continue"/>
            <w:noWrap w:val="0"/>
            <w:vAlign w:val="center"/>
          </w:tcPr>
          <w:p>
            <w:pPr>
              <w:jc w:val="center"/>
              <w:rPr>
                <w:rFonts w:hint="default" w:ascii="Times New Roman" w:hAnsi="Times New Roman" w:cs="Times New Roman"/>
                <w:color w:val="auto"/>
                <w:sz w:val="21"/>
                <w:szCs w:val="21"/>
                <w:highlight w:val="none"/>
                <w:u w:val="none"/>
              </w:rPr>
            </w:pPr>
          </w:p>
        </w:tc>
        <w:tc>
          <w:tcPr>
            <w:tcW w:w="1613" w:type="pct"/>
            <w:vMerge w:val="continue"/>
            <w:noWrap w:val="0"/>
            <w:vAlign w:val="center"/>
          </w:tcPr>
          <w:p>
            <w:pPr>
              <w:jc w:val="center"/>
              <w:rPr>
                <w:rFonts w:hint="default" w:ascii="Times New Roman" w:hAnsi="Times New Roman" w:cs="Times New Roman"/>
                <w:color w:val="auto"/>
                <w:sz w:val="21"/>
                <w:szCs w:val="21"/>
                <w:highlight w:val="none"/>
                <w:u w:val="none"/>
              </w:rPr>
            </w:pP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tcBorders>
              <w:right w:val="single" w:color="000000" w:sz="4" w:space="0"/>
            </w:tcBorders>
            <w:noWrap w:val="0"/>
            <w:vAlign w:val="center"/>
          </w:tcPr>
          <w:p>
            <w:pPr>
              <w:tabs>
                <w:tab w:val="left" w:pos="0"/>
              </w:tabs>
              <w:adjustRightInd w:val="0"/>
              <w:snapToGrid w:val="0"/>
              <w:jc w:val="center"/>
              <w:rPr>
                <w:rFonts w:hint="default" w:ascii="Times New Roman" w:hAnsi="Times New Roman" w:cs="Times New Roman"/>
                <w:color w:val="auto"/>
                <w:sz w:val="21"/>
                <w:szCs w:val="21"/>
                <w:highlight w:val="none"/>
                <w:u w:val="none"/>
              </w:rPr>
            </w:pPr>
            <w:r>
              <w:rPr>
                <w:rFonts w:hint="default" w:ascii="Times New Roman" w:hAnsi="Times New Roman" w:cs="Times New Roman"/>
                <w:b/>
                <w:bCs/>
                <w:color w:val="auto"/>
                <w:kern w:val="0"/>
                <w:sz w:val="21"/>
                <w:szCs w:val="21"/>
                <w:highlight w:val="none"/>
                <w:u w:val="none"/>
                <w:lang w:bidi="ar"/>
              </w:rPr>
              <w:t>土壤及地下水污染防治措施</w:t>
            </w:r>
          </w:p>
        </w:tc>
        <w:tc>
          <w:tcPr>
            <w:tcW w:w="4358" w:type="pct"/>
            <w:gridSpan w:val="4"/>
            <w:noWrap w:val="0"/>
            <w:vAlign w:val="center"/>
          </w:tcPr>
          <w:p>
            <w:pPr>
              <w:widowControl/>
              <w:spacing w:line="360" w:lineRule="auto"/>
              <w:ind w:firstLine="420" w:firstLineChars="200"/>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sz w:val="21"/>
                <w:szCs w:val="21"/>
                <w:highlight w:val="none"/>
                <w:u w:val="none"/>
              </w:rPr>
              <w:t>对危废暂存间进行重点防渗；生产车间和产品储存区进行一般防渗。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tcBorders>
              <w:right w:val="single" w:color="000000" w:sz="4" w:space="0"/>
            </w:tcBorders>
            <w:noWrap w:val="0"/>
            <w:vAlign w:val="center"/>
          </w:tcPr>
          <w:p>
            <w:pPr>
              <w:tabs>
                <w:tab w:val="left" w:pos="0"/>
              </w:tabs>
              <w:adjustRightInd w:val="0"/>
              <w:snapToGrid w:val="0"/>
              <w:jc w:val="center"/>
              <w:rPr>
                <w:rFonts w:hint="default" w:ascii="Times New Roman" w:hAnsi="Times New Roman" w:cs="Times New Roman"/>
                <w:b/>
                <w:bCs/>
                <w:color w:val="auto"/>
                <w:kern w:val="0"/>
                <w:sz w:val="21"/>
                <w:szCs w:val="21"/>
                <w:highlight w:val="none"/>
                <w:u w:val="none"/>
                <w:lang w:bidi="ar"/>
              </w:rPr>
            </w:pPr>
            <w:r>
              <w:rPr>
                <w:rFonts w:hint="default" w:ascii="Times New Roman" w:hAnsi="Times New Roman" w:cs="Times New Roman"/>
                <w:b/>
                <w:bCs/>
                <w:color w:val="auto"/>
                <w:kern w:val="0"/>
                <w:sz w:val="21"/>
                <w:szCs w:val="21"/>
                <w:highlight w:val="none"/>
                <w:u w:val="none"/>
                <w:lang w:bidi="ar"/>
              </w:rPr>
              <w:t>生态保护措施</w:t>
            </w:r>
          </w:p>
        </w:tc>
        <w:tc>
          <w:tcPr>
            <w:tcW w:w="4358" w:type="pct"/>
            <w:gridSpan w:val="4"/>
            <w:noWrap w:val="0"/>
            <w:vAlign w:val="center"/>
          </w:tcPr>
          <w:p>
            <w:pPr>
              <w:widowControl/>
              <w:spacing w:line="360" w:lineRule="auto"/>
              <w:ind w:firstLine="420" w:firstLineChars="200"/>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kern w:val="0"/>
                <w:sz w:val="21"/>
                <w:szCs w:val="21"/>
                <w:highlight w:val="none"/>
                <w:u w:val="none"/>
                <w:lang w:bidi="ar"/>
              </w:rPr>
              <w:t>建设项目建成后，产生的污染经采用适当的污染防治措施实现达标排放后，对区域的生态环境影响可以接受。</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tcBorders>
              <w:right w:val="single" w:color="000000" w:sz="4" w:space="0"/>
            </w:tcBorders>
            <w:noWrap w:val="0"/>
            <w:vAlign w:val="center"/>
          </w:tcPr>
          <w:p>
            <w:pPr>
              <w:tabs>
                <w:tab w:val="left" w:pos="0"/>
              </w:tabs>
              <w:adjustRightInd w:val="0"/>
              <w:snapToGrid w:val="0"/>
              <w:spacing w:line="360" w:lineRule="auto"/>
              <w:jc w:val="center"/>
              <w:rPr>
                <w:rFonts w:hint="default" w:ascii="Times New Roman" w:hAnsi="Times New Roman" w:cs="Times New Roman"/>
                <w:b/>
                <w:bCs/>
                <w:color w:val="auto"/>
                <w:kern w:val="0"/>
                <w:sz w:val="21"/>
                <w:szCs w:val="21"/>
                <w:highlight w:val="none"/>
                <w:u w:val="none"/>
                <w:lang w:bidi="ar"/>
              </w:rPr>
            </w:pPr>
            <w:r>
              <w:rPr>
                <w:rFonts w:hint="default" w:ascii="Times New Roman" w:hAnsi="Times New Roman" w:cs="Times New Roman"/>
                <w:b/>
                <w:bCs/>
                <w:color w:val="auto"/>
                <w:kern w:val="0"/>
                <w:sz w:val="21"/>
                <w:szCs w:val="21"/>
                <w:highlight w:val="none"/>
                <w:u w:val="none"/>
                <w:lang w:bidi="ar"/>
              </w:rPr>
              <w:t>环境风险防范措施</w:t>
            </w:r>
          </w:p>
        </w:tc>
        <w:tc>
          <w:tcPr>
            <w:tcW w:w="4358" w:type="pct"/>
            <w:gridSpan w:val="4"/>
            <w:noWrap w:val="0"/>
            <w:vAlign w:val="center"/>
          </w:tcPr>
          <w:p>
            <w:pPr>
              <w:widowControl/>
              <w:spacing w:line="360" w:lineRule="auto"/>
              <w:ind w:firstLine="420" w:firstLineChars="200"/>
              <w:jc w:val="left"/>
              <w:rPr>
                <w:rFonts w:hint="default" w:ascii="Times New Roman" w:hAnsi="Times New Roman" w:cs="Times New Roman"/>
                <w:color w:val="auto"/>
                <w:sz w:val="21"/>
                <w:szCs w:val="21"/>
                <w:highlight w:val="none"/>
                <w:u w:val="none"/>
              </w:rPr>
            </w:pPr>
            <w:r>
              <w:rPr>
                <w:rFonts w:hint="default" w:ascii="Times New Roman" w:hAnsi="Times New Roman" w:cs="Times New Roman"/>
                <w:color w:val="auto"/>
                <w:kern w:val="0"/>
                <w:sz w:val="21"/>
                <w:szCs w:val="21"/>
                <w:highlight w:val="none"/>
                <w:u w:val="none"/>
                <w:lang w:bidi="ar"/>
              </w:rPr>
              <w:t>加强安全管理工作，建立安全加工岗位责任制，制定切实可行的安全加工规范、安全操作规程等；厂区设置消防栓、灭火器等消防设施，定期检查与维护、更新；加强安全教育，强化安全意识；突发事故时及时采取应急措施，切断泄漏源、火源，控制事故扩大，防止消防废水等污染物泄露至厂外环境等。</w:t>
            </w:r>
          </w:p>
        </w:tc>
      </w:tr>
      <w:tr>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612" w:hRule="atLeast"/>
        </w:trPr>
        <w:tc>
          <w:tcPr>
            <w:tcW w:w="641" w:type="pct"/>
            <w:tcBorders>
              <w:right w:val="single" w:color="000000" w:sz="4" w:space="0"/>
            </w:tcBorders>
            <w:noWrap w:val="0"/>
            <w:vAlign w:val="center"/>
          </w:tcPr>
          <w:p>
            <w:pPr>
              <w:tabs>
                <w:tab w:val="left" w:pos="0"/>
              </w:tabs>
              <w:adjustRightInd w:val="0"/>
              <w:snapToGrid w:val="0"/>
              <w:spacing w:line="360" w:lineRule="auto"/>
              <w:jc w:val="center"/>
              <w:rPr>
                <w:rFonts w:hint="default" w:ascii="Times New Roman" w:hAnsi="Times New Roman" w:cs="Times New Roman"/>
                <w:b/>
                <w:bCs/>
                <w:color w:val="auto"/>
                <w:kern w:val="0"/>
                <w:sz w:val="21"/>
                <w:szCs w:val="21"/>
                <w:highlight w:val="none"/>
                <w:u w:val="none"/>
                <w:lang w:bidi="ar"/>
              </w:rPr>
            </w:pPr>
            <w:r>
              <w:rPr>
                <w:rFonts w:hint="default" w:ascii="Times New Roman" w:hAnsi="Times New Roman" w:cs="Times New Roman"/>
                <w:b/>
                <w:bCs/>
                <w:color w:val="auto"/>
                <w:kern w:val="0"/>
                <w:sz w:val="21"/>
                <w:szCs w:val="21"/>
                <w:highlight w:val="none"/>
                <w:u w:val="none"/>
                <w:lang w:bidi="ar"/>
              </w:rPr>
              <w:t>其他环境管理要求</w:t>
            </w:r>
          </w:p>
        </w:tc>
        <w:tc>
          <w:tcPr>
            <w:tcW w:w="4358" w:type="pct"/>
            <w:gridSpan w:val="4"/>
            <w:noWrap w:val="0"/>
            <w:vAlign w:val="center"/>
          </w:tcPr>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（1）三同时管理</w:t>
            </w:r>
          </w:p>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zh-CN" w:eastAsia="zh-CN" w:bidi="ar"/>
              </w:rPr>
            </w:pPr>
            <w:r>
              <w:rPr>
                <w:rFonts w:hint="default" w:ascii="Times New Roman" w:hAnsi="Times New Roman" w:eastAsia="宋体" w:cs="Times New Roman"/>
                <w:color w:val="auto"/>
                <w:kern w:val="0"/>
                <w:sz w:val="21"/>
                <w:szCs w:val="21"/>
                <w:highlight w:val="none"/>
                <w:u w:val="none"/>
                <w:lang w:val="zh-CN" w:eastAsia="zh-CN" w:bidi="ar"/>
              </w:rPr>
              <w:t>根据国家新修订的《建设项目环境保护管理条例》，已取消建设项目竣工验收环境保护验收行政许可，改为建设单位自主验收，进一步强化建设单位的环境保护“三同时”主体责任，各级环境保护部门主要是加强对建设单位的指导和监督检查，确保验收内容不缺项，验收标准不降低，验收结果全公开。建设项目竣工后，建设单位应及时委托有能力的技术机构编制验收监测（调查）报告，如实查验、监测、记载建设项目环境保护设施的建设和调试情况。</w:t>
            </w:r>
          </w:p>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（2）环境保护竣工验收</w:t>
            </w:r>
          </w:p>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① 建设项目竣工后，建设单位或者其委托的技术机构应当依照国家有关法律法规、建设项目竣工环境保护验收技术规范、建设项目环境影响报告书（表）和审批决定等要求，如实查验、监测、记载建设项目环境保护设施的建设和调试情况，同时还应如实记载其他环境保护对策措施“三同时”落实情况，编制竣工环境保护验收报告。</w:t>
            </w:r>
          </w:p>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② 验收报告编制完成后，建设单位应组织成立验收工作组，对建项目进行自主验收。 建设项目配套建设的环境保护设施经验收合格后，其主体工程才可以投入生产或者使用。</w:t>
            </w:r>
          </w:p>
          <w:p>
            <w:pPr>
              <w:widowControl/>
              <w:spacing w:line="360" w:lineRule="auto"/>
              <w:ind w:firstLine="420" w:firstLineChars="200"/>
              <w:jc w:val="left"/>
              <w:rPr>
                <w:rFonts w:hint="default" w:ascii="Times New Roman" w:hAnsi="Times New Roman" w:eastAsia="宋体" w:cs="Times New Roman"/>
                <w:color w:val="auto"/>
                <w:kern w:val="0"/>
                <w:sz w:val="21"/>
                <w:szCs w:val="21"/>
                <w:highlight w:val="none"/>
                <w:u w:val="none"/>
                <w:lang w:val="en-US" w:eastAsia="zh-CN" w:bidi="ar"/>
              </w:rPr>
            </w:pPr>
            <w:r>
              <w:rPr>
                <w:rFonts w:hint="default" w:ascii="Times New Roman" w:hAnsi="Times New Roman" w:eastAsia="宋体" w:cs="Times New Roman"/>
                <w:color w:val="auto"/>
                <w:kern w:val="0"/>
                <w:sz w:val="21"/>
                <w:szCs w:val="21"/>
                <w:highlight w:val="none"/>
                <w:u w:val="none"/>
                <w:lang w:val="en-US" w:eastAsia="zh-CN" w:bidi="ar"/>
              </w:rPr>
              <w:t>（3）排污许可证</w:t>
            </w:r>
          </w:p>
          <w:p>
            <w:pPr>
              <w:widowControl/>
              <w:spacing w:line="360" w:lineRule="auto"/>
              <w:ind w:firstLine="420" w:firstLineChars="200"/>
              <w:jc w:val="left"/>
              <w:rPr>
                <w:rFonts w:hint="default" w:ascii="Times New Roman" w:hAnsi="Times New Roman" w:cs="Times New Roman"/>
                <w:color w:val="auto"/>
                <w:kern w:val="0"/>
                <w:sz w:val="21"/>
                <w:szCs w:val="21"/>
                <w:highlight w:val="none"/>
                <w:u w:val="none"/>
                <w:lang w:bidi="ar"/>
              </w:rPr>
            </w:pPr>
            <w:r>
              <w:rPr>
                <w:rFonts w:hint="default" w:ascii="Times New Roman" w:hAnsi="Times New Roman" w:eastAsia="宋体" w:cs="Times New Roman"/>
                <w:color w:val="auto"/>
                <w:kern w:val="0"/>
                <w:sz w:val="21"/>
                <w:szCs w:val="21"/>
                <w:highlight w:val="none"/>
                <w:u w:val="none"/>
                <w:lang w:val="en-US" w:eastAsia="zh-CN" w:bidi="ar"/>
              </w:rPr>
              <w:t xml:space="preserve">   经查《固定污染源排污许可分类管理名录（2019 年版）》，本项目属于名录中“三十七、废弃资源综合利用业 42-废塑料加工处理”，为简化管理。</w:t>
            </w:r>
          </w:p>
        </w:tc>
      </w:tr>
    </w:tbl>
    <w:p>
      <w:pPr>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1"/>
        <w:numPr>
          <w:ilvl w:val="0"/>
          <w:numId w:val="5"/>
        </w:numPr>
        <w:jc w:val="center"/>
        <w:outlineLvl w:val="0"/>
        <w:rPr>
          <w:rFonts w:hint="eastAsia" w:ascii="黑体" w:hAnsi="黑体" w:eastAsia="黑体"/>
          <w:snapToGrid w:val="0"/>
          <w:color w:val="auto"/>
          <w:sz w:val="30"/>
          <w:szCs w:val="30"/>
          <w:highlight w:val="none"/>
        </w:rPr>
      </w:pPr>
      <w:bookmarkStart w:id="50" w:name="_Toc31626"/>
      <w:bookmarkStart w:id="51" w:name="_Toc12882"/>
      <w:r>
        <w:rPr>
          <w:rFonts w:hint="eastAsia" w:ascii="黑体" w:hAnsi="黑体" w:eastAsia="黑体"/>
          <w:snapToGrid w:val="0"/>
          <w:color w:val="auto"/>
          <w:sz w:val="30"/>
          <w:szCs w:val="30"/>
          <w:highlight w:val="none"/>
        </w:rPr>
        <w:t>结论</w:t>
      </w:r>
      <w:bookmarkEnd w:id="50"/>
      <w:bookmarkEnd w:id="51"/>
    </w:p>
    <w:p>
      <w:pPr>
        <w:rPr>
          <w:rFonts w:hint="eastAsia"/>
          <w:color w:val="auto"/>
          <w:highlight w:val="none"/>
        </w:rPr>
      </w:pP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852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145" w:hRule="atLeast"/>
        </w:trPr>
        <w:tc>
          <w:tcPr>
            <w:tcW w:w="8522" w:type="dxa"/>
            <w:noWrap w:val="0"/>
            <w:vAlign w:val="top"/>
          </w:tcPr>
          <w:p>
            <w:pPr>
              <w:rPr>
                <w:rFonts w:hint="eastAsia"/>
                <w:color w:val="auto"/>
                <w:highlight w:val="none"/>
              </w:rPr>
            </w:pPr>
          </w:p>
          <w:p>
            <w:pPr>
              <w:rPr>
                <w:rFonts w:hint="eastAsia"/>
                <w:color w:val="auto"/>
                <w:highlight w:val="none"/>
              </w:rPr>
            </w:pPr>
          </w:p>
          <w:p>
            <w:pPr>
              <w:keepNext w:val="0"/>
              <w:keepLines w:val="0"/>
              <w:widowControl/>
              <w:suppressLineNumbers w:val="0"/>
              <w:spacing w:line="360" w:lineRule="auto"/>
              <w:ind w:firstLine="480" w:firstLineChars="200"/>
              <w:jc w:val="both"/>
              <w:rPr>
                <w:color w:val="auto"/>
                <w:sz w:val="24"/>
                <w:szCs w:val="24"/>
                <w:highlight w:val="none"/>
              </w:rPr>
            </w:pPr>
            <w:r>
              <w:rPr>
                <w:rFonts w:hint="eastAsia" w:ascii="宋体" w:hAnsi="宋体" w:eastAsia="宋体" w:cs="宋体"/>
                <w:color w:val="auto"/>
                <w:kern w:val="0"/>
                <w:sz w:val="24"/>
                <w:szCs w:val="24"/>
                <w:highlight w:val="none"/>
                <w:lang w:val="en-US" w:eastAsia="zh-CN" w:bidi="ar"/>
              </w:rPr>
              <w:t>综上所述，通过对项目所在地区的环境现状评价以及项目产生的环境影响分析，认为本项目在认真执行设计方案及环评中提出的污染防治措施后，产生的污染物对环境影响很小，从环境保护的角度分析，</w:t>
            </w:r>
            <w:r>
              <w:rPr>
                <w:rFonts w:hint="eastAsia" w:ascii="Times New Roman" w:hAnsi="Times New Roman" w:eastAsia="宋体" w:cs="Times New Roman"/>
                <w:b w:val="0"/>
                <w:bCs w:val="0"/>
                <w:color w:val="auto"/>
                <w:sz w:val="24"/>
                <w:szCs w:val="24"/>
                <w:highlight w:val="none"/>
                <w:lang w:val="en-US" w:eastAsia="zh-CN"/>
              </w:rPr>
              <w:t>华容县华腾塑料厂</w:t>
            </w:r>
            <w:r>
              <w:rPr>
                <w:rFonts w:hint="eastAsia" w:ascii="宋体" w:hAnsi="宋体" w:eastAsia="宋体" w:cs="宋体"/>
                <w:color w:val="auto"/>
                <w:kern w:val="0"/>
                <w:sz w:val="24"/>
                <w:szCs w:val="24"/>
                <w:highlight w:val="none"/>
                <w:lang w:val="en-US" w:eastAsia="zh-CN" w:bidi="ar"/>
              </w:rPr>
              <w:t>再生资源废品回收加工的建设是可行的。</w:t>
            </w: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rPr>
                <w:rFonts w:hint="eastAsia"/>
                <w:color w:val="auto"/>
                <w:highlight w:val="none"/>
              </w:rPr>
            </w:pPr>
          </w:p>
          <w:p>
            <w:pPr>
              <w:pStyle w:val="22"/>
              <w:ind w:left="0" w:leftChars="0" w:firstLine="0" w:firstLineChars="0"/>
              <w:rPr>
                <w:rFonts w:hint="eastAsia"/>
                <w:color w:val="auto"/>
                <w:highlight w:val="none"/>
              </w:rPr>
            </w:pPr>
          </w:p>
        </w:tc>
      </w:tr>
    </w:tbl>
    <w:p>
      <w:pPr>
        <w:pStyle w:val="9"/>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1"/>
        <w:keepNext w:val="0"/>
        <w:keepLines w:val="0"/>
        <w:pageBreakBefore w:val="0"/>
        <w:widowControl/>
        <w:kinsoku/>
        <w:wordWrap/>
        <w:overflowPunct/>
        <w:topLinePunct w:val="0"/>
        <w:autoSpaceDE/>
        <w:autoSpaceDN/>
        <w:bidi w:val="0"/>
        <w:adjustRightInd w:val="0"/>
        <w:snapToGrid w:val="0"/>
        <w:spacing w:before="0" w:beforeAutospacing="0" w:after="0" w:afterAutospacing="0" w:line="360" w:lineRule="auto"/>
        <w:jc w:val="center"/>
        <w:textAlignment w:val="auto"/>
        <w:outlineLvl w:val="0"/>
        <w:rPr>
          <w:rFonts w:hint="default" w:ascii="Times New Roman" w:hAnsi="Times New Roman" w:eastAsia="宋体" w:cs="Times New Roman"/>
          <w:snapToGrid w:val="0"/>
          <w:color w:val="auto"/>
          <w:sz w:val="38"/>
          <w:szCs w:val="38"/>
          <w:highlight w:val="none"/>
        </w:rPr>
      </w:pPr>
      <w:bookmarkStart w:id="52" w:name="_Toc28232"/>
      <w:bookmarkStart w:id="53" w:name="_Toc10300"/>
      <w:bookmarkStart w:id="54" w:name="_Toc19672"/>
      <w:r>
        <w:rPr>
          <w:rFonts w:hint="eastAsia" w:ascii="Times New Roman" w:hAnsi="Times New Roman" w:cs="Times New Roman"/>
          <w:b/>
          <w:bCs/>
          <w:snapToGrid w:val="0"/>
          <w:color w:val="auto"/>
          <w:sz w:val="38"/>
          <w:szCs w:val="38"/>
          <w:highlight w:val="none"/>
          <w:lang w:val="en-US" w:eastAsia="zh-CN"/>
        </w:rPr>
        <w:t xml:space="preserve">附表  </w:t>
      </w:r>
      <w:r>
        <w:rPr>
          <w:rFonts w:hint="default" w:ascii="Times New Roman" w:hAnsi="Times New Roman" w:eastAsia="宋体" w:cs="Times New Roman"/>
          <w:b/>
          <w:bCs/>
          <w:snapToGrid w:val="0"/>
          <w:color w:val="auto"/>
          <w:sz w:val="38"/>
          <w:szCs w:val="38"/>
          <w:highlight w:val="none"/>
        </w:rPr>
        <w:t>建设项目污染物排放量汇总表</w:t>
      </w:r>
      <w:bookmarkEnd w:id="52"/>
      <w:bookmarkEnd w:id="53"/>
      <w:bookmarkEnd w:id="54"/>
    </w:p>
    <w:tbl>
      <w:tblPr>
        <w:tblStyle w:val="25"/>
        <w:tblW w:w="14041"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92"/>
        <w:gridCol w:w="1913"/>
        <w:gridCol w:w="1562"/>
        <w:gridCol w:w="1562"/>
        <w:gridCol w:w="1562"/>
        <w:gridCol w:w="1562"/>
        <w:gridCol w:w="1562"/>
        <w:gridCol w:w="1562"/>
        <w:gridCol w:w="1564"/>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1192" w:type="dxa"/>
            <w:tcBorders>
              <w:tl2br w:val="single" w:color="auto" w:sz="4" w:space="0"/>
            </w:tcBorders>
            <w:noWrap w:val="0"/>
            <w:tcMar>
              <w:left w:w="28" w:type="dxa"/>
              <w:right w:w="28" w:type="dxa"/>
            </w:tcMar>
            <w:vAlign w:val="center"/>
          </w:tcPr>
          <w:p>
            <w:pPr>
              <w:pStyle w:val="36"/>
              <w:spacing w:beforeLines="0" w:afterLines="0" w:line="240" w:lineRule="auto"/>
              <w:jc w:val="right"/>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项目</w:t>
            </w:r>
          </w:p>
          <w:p>
            <w:pPr>
              <w:pStyle w:val="36"/>
              <w:spacing w:beforeLines="0" w:afterLines="0" w:line="240" w:lineRule="auto"/>
              <w:jc w:val="left"/>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分类</w:t>
            </w:r>
          </w:p>
        </w:tc>
        <w:tc>
          <w:tcPr>
            <w:tcW w:w="1913"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污染物名称</w:t>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现有工程</w:t>
            </w:r>
          </w:p>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排放量（固体废物产生量）</w:t>
            </w:r>
            <w:r>
              <w:rPr>
                <w:rFonts w:hint="default" w:ascii="Times New Roman" w:hAnsi="Times New Roman" w:eastAsia="宋体" w:cs="Times New Roman"/>
                <w:b/>
                <w:bCs/>
                <w:snapToGrid w:val="0"/>
                <w:color w:val="auto"/>
                <w:spacing w:val="-6"/>
                <w:kern w:val="21"/>
                <w:szCs w:val="21"/>
                <w:highlight w:val="none"/>
              </w:rPr>
              <w:fldChar w:fldCharType="begin"/>
            </w:r>
            <w:r>
              <w:rPr>
                <w:rFonts w:hint="default" w:ascii="Times New Roman" w:hAnsi="Times New Roman" w:eastAsia="宋体" w:cs="Times New Roman"/>
                <w:b/>
                <w:bCs/>
                <w:snapToGrid w:val="0"/>
                <w:color w:val="auto"/>
                <w:spacing w:val="-6"/>
                <w:kern w:val="21"/>
                <w:szCs w:val="21"/>
                <w:highlight w:val="none"/>
              </w:rPr>
              <w:instrText xml:space="preserve"> = 1 \* GB3 \* MERGEFORMAT </w:instrText>
            </w:r>
            <w:r>
              <w:rPr>
                <w:rFonts w:hint="default" w:ascii="Times New Roman" w:hAnsi="Times New Roman" w:eastAsia="宋体" w:cs="Times New Roman"/>
                <w:b/>
                <w:bCs/>
                <w:snapToGrid w:val="0"/>
                <w:color w:val="auto"/>
                <w:spacing w:val="-6"/>
                <w:kern w:val="21"/>
                <w:szCs w:val="21"/>
                <w:highlight w:val="none"/>
              </w:rPr>
              <w:fldChar w:fldCharType="separate"/>
            </w:r>
            <w:r>
              <w:rPr>
                <w:rFonts w:hint="default" w:ascii="Times New Roman" w:hAnsi="Times New Roman" w:eastAsia="宋体" w:cs="Times New Roman"/>
                <w:b/>
                <w:bCs/>
                <w:color w:val="auto"/>
                <w:kern w:val="2"/>
                <w:szCs w:val="21"/>
                <w:highlight w:val="none"/>
              </w:rPr>
              <w:t>①</w:t>
            </w:r>
            <w:r>
              <w:rPr>
                <w:rFonts w:hint="default" w:ascii="Times New Roman" w:hAnsi="Times New Roman" w:eastAsia="宋体" w:cs="Times New Roman"/>
                <w:b/>
                <w:bCs/>
                <w:snapToGrid w:val="0"/>
                <w:color w:val="auto"/>
                <w:spacing w:val="-6"/>
                <w:kern w:val="21"/>
                <w:szCs w:val="21"/>
                <w:highlight w:val="none"/>
              </w:rPr>
              <w:fldChar w:fldCharType="end"/>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现有工程</w:t>
            </w:r>
          </w:p>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许可排放量</w:t>
            </w:r>
          </w:p>
          <w:p>
            <w:pPr>
              <w:pStyle w:val="36"/>
              <w:spacing w:beforeLines="0" w:afterLines="0"/>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fldChar w:fldCharType="begin"/>
            </w:r>
            <w:r>
              <w:rPr>
                <w:rFonts w:hint="default" w:ascii="Times New Roman" w:hAnsi="Times New Roman" w:eastAsia="宋体" w:cs="Times New Roman"/>
                <w:b/>
                <w:bCs/>
                <w:snapToGrid w:val="0"/>
                <w:color w:val="auto"/>
                <w:spacing w:val="-6"/>
                <w:kern w:val="21"/>
                <w:szCs w:val="21"/>
                <w:highlight w:val="none"/>
              </w:rPr>
              <w:instrText xml:space="preserve"> = 2 \* GB3 \* MERGEFORMAT </w:instrText>
            </w:r>
            <w:r>
              <w:rPr>
                <w:rFonts w:hint="default" w:ascii="Times New Roman" w:hAnsi="Times New Roman" w:eastAsia="宋体" w:cs="Times New Roman"/>
                <w:b/>
                <w:bCs/>
                <w:snapToGrid w:val="0"/>
                <w:color w:val="auto"/>
                <w:spacing w:val="-6"/>
                <w:kern w:val="21"/>
                <w:szCs w:val="21"/>
                <w:highlight w:val="none"/>
              </w:rPr>
              <w:fldChar w:fldCharType="separate"/>
            </w:r>
            <w:r>
              <w:rPr>
                <w:rFonts w:hint="default" w:ascii="Times New Roman" w:hAnsi="Times New Roman" w:eastAsia="宋体" w:cs="Times New Roman"/>
                <w:b/>
                <w:bCs/>
                <w:snapToGrid w:val="0"/>
                <w:color w:val="auto"/>
                <w:spacing w:val="-6"/>
                <w:kern w:val="21"/>
                <w:szCs w:val="21"/>
                <w:highlight w:val="none"/>
              </w:rPr>
              <w:t>②</w:t>
            </w:r>
            <w:r>
              <w:rPr>
                <w:rFonts w:hint="default" w:ascii="Times New Roman" w:hAnsi="Times New Roman" w:eastAsia="宋体" w:cs="Times New Roman"/>
                <w:b/>
                <w:bCs/>
                <w:snapToGrid w:val="0"/>
                <w:color w:val="auto"/>
                <w:spacing w:val="-6"/>
                <w:kern w:val="21"/>
                <w:szCs w:val="21"/>
                <w:highlight w:val="none"/>
              </w:rPr>
              <w:fldChar w:fldCharType="end"/>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在建工程</w:t>
            </w:r>
          </w:p>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排放量（固体废物产生量）</w:t>
            </w:r>
            <w:r>
              <w:rPr>
                <w:rFonts w:hint="default" w:ascii="Times New Roman" w:hAnsi="Times New Roman" w:eastAsia="宋体" w:cs="Times New Roman"/>
                <w:b/>
                <w:bCs/>
                <w:snapToGrid w:val="0"/>
                <w:color w:val="auto"/>
                <w:spacing w:val="-6"/>
                <w:kern w:val="21"/>
                <w:szCs w:val="21"/>
                <w:highlight w:val="none"/>
              </w:rPr>
              <w:fldChar w:fldCharType="begin"/>
            </w:r>
            <w:r>
              <w:rPr>
                <w:rFonts w:hint="default" w:ascii="Times New Roman" w:hAnsi="Times New Roman" w:eastAsia="宋体" w:cs="Times New Roman"/>
                <w:b/>
                <w:bCs/>
                <w:snapToGrid w:val="0"/>
                <w:color w:val="auto"/>
                <w:spacing w:val="-6"/>
                <w:kern w:val="21"/>
                <w:szCs w:val="21"/>
                <w:highlight w:val="none"/>
              </w:rPr>
              <w:instrText xml:space="preserve"> = 3 \* GB3 \* MERGEFORMAT </w:instrText>
            </w:r>
            <w:r>
              <w:rPr>
                <w:rFonts w:hint="default" w:ascii="Times New Roman" w:hAnsi="Times New Roman" w:eastAsia="宋体" w:cs="Times New Roman"/>
                <w:b/>
                <w:bCs/>
                <w:snapToGrid w:val="0"/>
                <w:color w:val="auto"/>
                <w:spacing w:val="-6"/>
                <w:kern w:val="21"/>
                <w:szCs w:val="21"/>
                <w:highlight w:val="none"/>
              </w:rPr>
              <w:fldChar w:fldCharType="separate"/>
            </w:r>
            <w:r>
              <w:rPr>
                <w:rFonts w:hint="default" w:ascii="Times New Roman" w:hAnsi="Times New Roman" w:eastAsia="宋体" w:cs="Times New Roman"/>
                <w:b/>
                <w:bCs/>
                <w:color w:val="auto"/>
                <w:kern w:val="2"/>
                <w:szCs w:val="21"/>
                <w:highlight w:val="none"/>
              </w:rPr>
              <w:t>③</w:t>
            </w:r>
            <w:r>
              <w:rPr>
                <w:rFonts w:hint="default" w:ascii="Times New Roman" w:hAnsi="Times New Roman" w:eastAsia="宋体" w:cs="Times New Roman"/>
                <w:b/>
                <w:bCs/>
                <w:snapToGrid w:val="0"/>
                <w:color w:val="auto"/>
                <w:spacing w:val="-6"/>
                <w:kern w:val="21"/>
                <w:szCs w:val="21"/>
                <w:highlight w:val="none"/>
              </w:rPr>
              <w:fldChar w:fldCharType="end"/>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本项目</w:t>
            </w:r>
          </w:p>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排放量（固体废物产生量）</w:t>
            </w:r>
            <w:r>
              <w:rPr>
                <w:rFonts w:hint="default" w:ascii="Times New Roman" w:hAnsi="Times New Roman" w:eastAsia="宋体" w:cs="Times New Roman"/>
                <w:b/>
                <w:bCs/>
                <w:snapToGrid w:val="0"/>
                <w:color w:val="auto"/>
                <w:spacing w:val="-6"/>
                <w:kern w:val="21"/>
                <w:szCs w:val="21"/>
                <w:highlight w:val="none"/>
              </w:rPr>
              <w:fldChar w:fldCharType="begin"/>
            </w:r>
            <w:r>
              <w:rPr>
                <w:rFonts w:hint="default" w:ascii="Times New Roman" w:hAnsi="Times New Roman" w:eastAsia="宋体" w:cs="Times New Roman"/>
                <w:b/>
                <w:bCs/>
                <w:snapToGrid w:val="0"/>
                <w:color w:val="auto"/>
                <w:spacing w:val="-6"/>
                <w:kern w:val="21"/>
                <w:szCs w:val="21"/>
                <w:highlight w:val="none"/>
              </w:rPr>
              <w:instrText xml:space="preserve"> = 4 \* GB3 \* MERGEFORMAT </w:instrText>
            </w:r>
            <w:r>
              <w:rPr>
                <w:rFonts w:hint="default" w:ascii="Times New Roman" w:hAnsi="Times New Roman" w:eastAsia="宋体" w:cs="Times New Roman"/>
                <w:b/>
                <w:bCs/>
                <w:snapToGrid w:val="0"/>
                <w:color w:val="auto"/>
                <w:spacing w:val="-6"/>
                <w:kern w:val="21"/>
                <w:szCs w:val="21"/>
                <w:highlight w:val="none"/>
              </w:rPr>
              <w:fldChar w:fldCharType="separate"/>
            </w:r>
            <w:r>
              <w:rPr>
                <w:rFonts w:hint="default" w:ascii="Times New Roman" w:hAnsi="Times New Roman" w:eastAsia="宋体" w:cs="Times New Roman"/>
                <w:b/>
                <w:bCs/>
                <w:color w:val="auto"/>
                <w:kern w:val="2"/>
                <w:szCs w:val="21"/>
                <w:highlight w:val="none"/>
              </w:rPr>
              <w:t>④</w:t>
            </w:r>
            <w:r>
              <w:rPr>
                <w:rFonts w:hint="default" w:ascii="Times New Roman" w:hAnsi="Times New Roman" w:eastAsia="宋体" w:cs="Times New Roman"/>
                <w:b/>
                <w:bCs/>
                <w:snapToGrid w:val="0"/>
                <w:color w:val="auto"/>
                <w:spacing w:val="-6"/>
                <w:kern w:val="21"/>
                <w:szCs w:val="21"/>
                <w:highlight w:val="none"/>
              </w:rPr>
              <w:fldChar w:fldCharType="end"/>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16"/>
                <w:kern w:val="21"/>
                <w:szCs w:val="21"/>
                <w:highlight w:val="none"/>
              </w:rPr>
            </w:pPr>
            <w:r>
              <w:rPr>
                <w:rFonts w:hint="default" w:ascii="Times New Roman" w:hAnsi="Times New Roman" w:eastAsia="宋体" w:cs="Times New Roman"/>
                <w:b/>
                <w:bCs/>
                <w:snapToGrid w:val="0"/>
                <w:color w:val="auto"/>
                <w:spacing w:val="-16"/>
                <w:kern w:val="21"/>
                <w:szCs w:val="21"/>
                <w:highlight w:val="none"/>
              </w:rPr>
              <w:t>以新带老削减量</w:t>
            </w:r>
          </w:p>
          <w:p>
            <w:pPr>
              <w:pStyle w:val="36"/>
              <w:spacing w:beforeLines="0" w:afterLines="0" w:line="240" w:lineRule="auto"/>
              <w:rPr>
                <w:rFonts w:hint="default" w:ascii="Times New Roman" w:hAnsi="Times New Roman" w:eastAsia="宋体" w:cs="Times New Roman"/>
                <w:b/>
                <w:bCs/>
                <w:snapToGrid w:val="0"/>
                <w:color w:val="auto"/>
                <w:spacing w:val="-16"/>
                <w:kern w:val="21"/>
                <w:szCs w:val="21"/>
                <w:highlight w:val="none"/>
              </w:rPr>
            </w:pPr>
            <w:r>
              <w:rPr>
                <w:rFonts w:hint="default" w:ascii="Times New Roman" w:hAnsi="Times New Roman" w:eastAsia="宋体" w:cs="Times New Roman"/>
                <w:b/>
                <w:bCs/>
                <w:snapToGrid w:val="0"/>
                <w:color w:val="auto"/>
                <w:spacing w:val="-16"/>
                <w:kern w:val="21"/>
                <w:szCs w:val="21"/>
                <w:highlight w:val="none"/>
              </w:rPr>
              <w:t>（新建项目不填）</w:t>
            </w:r>
            <w:r>
              <w:rPr>
                <w:rFonts w:hint="default" w:ascii="Times New Roman" w:hAnsi="Times New Roman" w:eastAsia="宋体" w:cs="Times New Roman"/>
                <w:b/>
                <w:bCs/>
                <w:snapToGrid w:val="0"/>
                <w:color w:val="auto"/>
                <w:spacing w:val="-16"/>
                <w:kern w:val="21"/>
                <w:szCs w:val="21"/>
                <w:highlight w:val="none"/>
              </w:rPr>
              <w:fldChar w:fldCharType="begin"/>
            </w:r>
            <w:r>
              <w:rPr>
                <w:rFonts w:hint="default" w:ascii="Times New Roman" w:hAnsi="Times New Roman" w:eastAsia="宋体" w:cs="Times New Roman"/>
                <w:b/>
                <w:bCs/>
                <w:snapToGrid w:val="0"/>
                <w:color w:val="auto"/>
                <w:spacing w:val="-16"/>
                <w:kern w:val="21"/>
                <w:szCs w:val="21"/>
                <w:highlight w:val="none"/>
              </w:rPr>
              <w:instrText xml:space="preserve"> = 5 \* GB3 \* MERGEFORMAT </w:instrText>
            </w:r>
            <w:r>
              <w:rPr>
                <w:rFonts w:hint="default" w:ascii="Times New Roman" w:hAnsi="Times New Roman" w:eastAsia="宋体" w:cs="Times New Roman"/>
                <w:b/>
                <w:bCs/>
                <w:snapToGrid w:val="0"/>
                <w:color w:val="auto"/>
                <w:spacing w:val="-16"/>
                <w:kern w:val="21"/>
                <w:szCs w:val="21"/>
                <w:highlight w:val="none"/>
              </w:rPr>
              <w:fldChar w:fldCharType="separate"/>
            </w:r>
            <w:r>
              <w:rPr>
                <w:rFonts w:hint="default" w:ascii="Times New Roman" w:hAnsi="Times New Roman" w:eastAsia="宋体" w:cs="Times New Roman"/>
                <w:b/>
                <w:bCs/>
                <w:color w:val="auto"/>
                <w:kern w:val="2"/>
                <w:szCs w:val="21"/>
                <w:highlight w:val="none"/>
              </w:rPr>
              <w:t>⑤</w:t>
            </w:r>
            <w:r>
              <w:rPr>
                <w:rFonts w:hint="default" w:ascii="Times New Roman" w:hAnsi="Times New Roman" w:eastAsia="宋体" w:cs="Times New Roman"/>
                <w:b/>
                <w:bCs/>
                <w:snapToGrid w:val="0"/>
                <w:color w:val="auto"/>
                <w:spacing w:val="-16"/>
                <w:kern w:val="21"/>
                <w:szCs w:val="21"/>
                <w:highlight w:val="none"/>
              </w:rPr>
              <w:fldChar w:fldCharType="end"/>
            </w:r>
          </w:p>
        </w:tc>
        <w:tc>
          <w:tcPr>
            <w:tcW w:w="1562"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16"/>
                <w:kern w:val="21"/>
                <w:szCs w:val="21"/>
                <w:highlight w:val="none"/>
              </w:rPr>
            </w:pPr>
            <w:r>
              <w:rPr>
                <w:rFonts w:hint="default" w:ascii="Times New Roman" w:hAnsi="Times New Roman" w:eastAsia="宋体" w:cs="Times New Roman"/>
                <w:b/>
                <w:bCs/>
                <w:snapToGrid w:val="0"/>
                <w:color w:val="auto"/>
                <w:spacing w:val="-16"/>
                <w:kern w:val="21"/>
                <w:szCs w:val="21"/>
                <w:highlight w:val="none"/>
              </w:rPr>
              <w:t>本项目建成后</w:t>
            </w:r>
          </w:p>
          <w:p>
            <w:pPr>
              <w:pStyle w:val="36"/>
              <w:spacing w:beforeLines="0" w:afterLines="0" w:line="240" w:lineRule="auto"/>
              <w:rPr>
                <w:rFonts w:hint="default" w:ascii="Times New Roman" w:hAnsi="Times New Roman" w:eastAsia="宋体" w:cs="Times New Roman"/>
                <w:b/>
                <w:bCs/>
                <w:snapToGrid w:val="0"/>
                <w:color w:val="auto"/>
                <w:spacing w:val="-16"/>
                <w:kern w:val="21"/>
                <w:szCs w:val="21"/>
                <w:highlight w:val="none"/>
              </w:rPr>
            </w:pPr>
            <w:r>
              <w:rPr>
                <w:rFonts w:hint="default" w:ascii="Times New Roman" w:hAnsi="Times New Roman" w:eastAsia="宋体" w:cs="Times New Roman"/>
                <w:b/>
                <w:bCs/>
                <w:snapToGrid w:val="0"/>
                <w:color w:val="auto"/>
                <w:spacing w:val="-16"/>
                <w:kern w:val="21"/>
                <w:szCs w:val="21"/>
                <w:highlight w:val="none"/>
              </w:rPr>
              <w:t>全厂排放量（固体废物产生量）</w:t>
            </w:r>
            <w:r>
              <w:rPr>
                <w:rFonts w:hint="default" w:ascii="Times New Roman" w:hAnsi="Times New Roman" w:eastAsia="宋体" w:cs="Times New Roman"/>
                <w:b/>
                <w:bCs/>
                <w:snapToGrid w:val="0"/>
                <w:color w:val="auto"/>
                <w:spacing w:val="-16"/>
                <w:kern w:val="21"/>
                <w:szCs w:val="21"/>
                <w:highlight w:val="none"/>
              </w:rPr>
              <w:fldChar w:fldCharType="begin"/>
            </w:r>
            <w:r>
              <w:rPr>
                <w:rFonts w:hint="default" w:ascii="Times New Roman" w:hAnsi="Times New Roman" w:eastAsia="宋体" w:cs="Times New Roman"/>
                <w:b/>
                <w:bCs/>
                <w:snapToGrid w:val="0"/>
                <w:color w:val="auto"/>
                <w:spacing w:val="-16"/>
                <w:kern w:val="21"/>
                <w:szCs w:val="21"/>
                <w:highlight w:val="none"/>
              </w:rPr>
              <w:instrText xml:space="preserve"> = 6 \* GB3 \* MERGEFORMAT </w:instrText>
            </w:r>
            <w:r>
              <w:rPr>
                <w:rFonts w:hint="default" w:ascii="Times New Roman" w:hAnsi="Times New Roman" w:eastAsia="宋体" w:cs="Times New Roman"/>
                <w:b/>
                <w:bCs/>
                <w:snapToGrid w:val="0"/>
                <w:color w:val="auto"/>
                <w:spacing w:val="-16"/>
                <w:kern w:val="21"/>
                <w:szCs w:val="21"/>
                <w:highlight w:val="none"/>
              </w:rPr>
              <w:fldChar w:fldCharType="separate"/>
            </w:r>
            <w:r>
              <w:rPr>
                <w:rFonts w:hint="default" w:ascii="Times New Roman" w:hAnsi="Times New Roman" w:eastAsia="宋体" w:cs="Times New Roman"/>
                <w:b/>
                <w:bCs/>
                <w:color w:val="auto"/>
                <w:kern w:val="2"/>
                <w:szCs w:val="21"/>
                <w:highlight w:val="none"/>
              </w:rPr>
              <w:t>⑥</w:t>
            </w:r>
            <w:r>
              <w:rPr>
                <w:rFonts w:hint="default" w:ascii="Times New Roman" w:hAnsi="Times New Roman" w:eastAsia="宋体" w:cs="Times New Roman"/>
                <w:b/>
                <w:bCs/>
                <w:snapToGrid w:val="0"/>
                <w:color w:val="auto"/>
                <w:spacing w:val="-16"/>
                <w:kern w:val="21"/>
                <w:szCs w:val="21"/>
                <w:highlight w:val="none"/>
              </w:rPr>
              <w:fldChar w:fldCharType="end"/>
            </w:r>
          </w:p>
        </w:tc>
        <w:tc>
          <w:tcPr>
            <w:tcW w:w="1564" w:type="dxa"/>
            <w:noWrap w:val="0"/>
            <w:tcMar>
              <w:left w:w="28" w:type="dxa"/>
              <w:right w:w="28" w:type="dxa"/>
            </w:tcMar>
            <w:vAlign w:val="center"/>
          </w:tcPr>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t>变化量</w:t>
            </w:r>
          </w:p>
          <w:p>
            <w:pPr>
              <w:pStyle w:val="36"/>
              <w:spacing w:beforeLines="0" w:afterLines="0" w:line="240" w:lineRule="auto"/>
              <w:rPr>
                <w:rFonts w:hint="default" w:ascii="Times New Roman" w:hAnsi="Times New Roman" w:eastAsia="宋体" w:cs="Times New Roman"/>
                <w:b/>
                <w:bCs/>
                <w:snapToGrid w:val="0"/>
                <w:color w:val="auto"/>
                <w:spacing w:val="-6"/>
                <w:kern w:val="21"/>
                <w:szCs w:val="21"/>
                <w:highlight w:val="none"/>
              </w:rPr>
            </w:pPr>
            <w:r>
              <w:rPr>
                <w:rFonts w:hint="default" w:ascii="Times New Roman" w:hAnsi="Times New Roman" w:eastAsia="宋体" w:cs="Times New Roman"/>
                <w:b/>
                <w:bCs/>
                <w:snapToGrid w:val="0"/>
                <w:color w:val="auto"/>
                <w:spacing w:val="-6"/>
                <w:kern w:val="21"/>
                <w:szCs w:val="21"/>
                <w:highlight w:val="none"/>
              </w:rPr>
              <w:fldChar w:fldCharType="begin"/>
            </w:r>
            <w:r>
              <w:rPr>
                <w:rFonts w:hint="default" w:ascii="Times New Roman" w:hAnsi="Times New Roman" w:eastAsia="宋体" w:cs="Times New Roman"/>
                <w:b/>
                <w:bCs/>
                <w:snapToGrid w:val="0"/>
                <w:color w:val="auto"/>
                <w:spacing w:val="-6"/>
                <w:kern w:val="21"/>
                <w:szCs w:val="21"/>
                <w:highlight w:val="none"/>
              </w:rPr>
              <w:instrText xml:space="preserve"> = 7 \* GB3 \* MERGEFORMAT </w:instrText>
            </w:r>
            <w:r>
              <w:rPr>
                <w:rFonts w:hint="default" w:ascii="Times New Roman" w:hAnsi="Times New Roman" w:eastAsia="宋体" w:cs="Times New Roman"/>
                <w:b/>
                <w:bCs/>
                <w:snapToGrid w:val="0"/>
                <w:color w:val="auto"/>
                <w:spacing w:val="-6"/>
                <w:kern w:val="21"/>
                <w:szCs w:val="21"/>
                <w:highlight w:val="none"/>
              </w:rPr>
              <w:fldChar w:fldCharType="separate"/>
            </w:r>
            <w:r>
              <w:rPr>
                <w:rFonts w:hint="default" w:ascii="Times New Roman" w:hAnsi="Times New Roman" w:eastAsia="宋体" w:cs="Times New Roman"/>
                <w:b/>
                <w:bCs/>
                <w:color w:val="auto"/>
                <w:kern w:val="2"/>
                <w:szCs w:val="21"/>
                <w:highlight w:val="none"/>
              </w:rPr>
              <w:t>⑦</w:t>
            </w:r>
            <w:r>
              <w:rPr>
                <w:rFonts w:hint="default" w:ascii="Times New Roman" w:hAnsi="Times New Roman" w:eastAsia="宋体" w:cs="Times New Roman"/>
                <w:b/>
                <w:bCs/>
                <w:snapToGrid w:val="0"/>
                <w:color w:val="auto"/>
                <w:spacing w:val="-6"/>
                <w:kern w:val="21"/>
                <w:szCs w:val="21"/>
                <w:highlight w:val="none"/>
              </w:rPr>
              <w:fldChar w:fldCharType="end"/>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废气</w:t>
            </w:r>
          </w:p>
        </w:tc>
        <w:tc>
          <w:tcPr>
            <w:tcW w:w="1913" w:type="dxa"/>
            <w:noWrap w:val="0"/>
            <w:vAlign w:val="center"/>
          </w:tcPr>
          <w:p>
            <w:pPr>
              <w:pStyle w:val="36"/>
              <w:bidi w:val="0"/>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olor w:val="auto"/>
                <w:highlight w:val="none"/>
                <w:lang w:val="en-US" w:eastAsia="zh-CN"/>
              </w:rPr>
              <w:t>颗粒物</w:t>
            </w:r>
          </w:p>
        </w:tc>
        <w:tc>
          <w:tcPr>
            <w:tcW w:w="1562"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spacing w:beforeLines="0" w:afterLines="0" w:line="24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13.25kg</w:t>
            </w:r>
            <w:r>
              <w:rPr>
                <w:rFonts w:hint="eastAsia" w:ascii="Times New Roman" w:hAnsi="Times New Roman" w:cs="Times New Roman"/>
                <w:color w:val="auto"/>
                <w:sz w:val="21"/>
                <w:szCs w:val="21"/>
                <w:highlight w:val="none"/>
                <w:u w:val="none"/>
                <w:lang w:val="en-US" w:eastAsia="zh-CN"/>
              </w:rPr>
              <w:t>/a</w:t>
            </w:r>
          </w:p>
        </w:tc>
        <w:tc>
          <w:tcPr>
            <w:tcW w:w="1562" w:type="dxa"/>
            <w:noWrap w:val="0"/>
            <w:vAlign w:val="center"/>
          </w:tcPr>
          <w:p>
            <w:pPr>
              <w:pStyle w:val="36"/>
              <w:spacing w:beforeLines="0" w:afterLines="0" w:line="24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spacing w:beforeLines="0" w:afterLines="0" w:line="240" w:lineRule="auto"/>
              <w:jc w:val="center"/>
              <w:rPr>
                <w:rFonts w:hint="default" w:ascii="Times New Roman" w:hAnsi="Times New Roman" w:cs="Times New Roman"/>
                <w:color w:val="auto"/>
                <w:sz w:val="21"/>
                <w:szCs w:val="21"/>
                <w:highlight w:val="none"/>
                <w:u w:val="none"/>
                <w:lang w:val="en-US" w:eastAsia="zh-CN"/>
              </w:rPr>
            </w:pPr>
            <w:r>
              <w:rPr>
                <w:rFonts w:hint="eastAsia" w:cs="Times New Roman"/>
                <w:color w:val="auto"/>
                <w:sz w:val="21"/>
                <w:szCs w:val="21"/>
                <w:highlight w:val="none"/>
                <w:u w:val="none"/>
                <w:lang w:val="en-US" w:eastAsia="zh-CN"/>
              </w:rPr>
              <w:t>13.25kg</w:t>
            </w:r>
            <w:r>
              <w:rPr>
                <w:rFonts w:hint="eastAsia" w:ascii="Times New Roman" w:hAnsi="Times New Roman" w:cs="Times New Roman"/>
                <w:color w:val="auto"/>
                <w:sz w:val="21"/>
                <w:szCs w:val="21"/>
                <w:highlight w:val="none"/>
                <w:u w:val="none"/>
                <w:lang w:val="en-US" w:eastAsia="zh-CN"/>
              </w:rPr>
              <w:t>/a</w:t>
            </w:r>
          </w:p>
        </w:tc>
        <w:tc>
          <w:tcPr>
            <w:tcW w:w="1564" w:type="dxa"/>
            <w:noWrap w:val="0"/>
            <w:vAlign w:val="center"/>
          </w:tcPr>
          <w:p>
            <w:pPr>
              <w:pStyle w:val="52"/>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restart"/>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废水</w:t>
            </w:r>
          </w:p>
        </w:tc>
        <w:tc>
          <w:tcPr>
            <w:tcW w:w="1913" w:type="dxa"/>
            <w:noWrap w:val="0"/>
            <w:vAlign w:val="center"/>
          </w:tcPr>
          <w:p>
            <w:pPr>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总量</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firstLine="0" w:firstLineChars="0"/>
              <w:jc w:val="center"/>
              <w:textAlignment w:val="top"/>
              <w:rPr>
                <w:rFonts w:hint="default"/>
                <w:lang w:val="en-US" w:eastAsia="zh-CN"/>
              </w:rPr>
            </w:pPr>
            <w:r>
              <w:rPr>
                <w:rFonts w:hint="eastAsia"/>
                <w:lang w:val="en-US" w:eastAsia="zh-CN"/>
              </w:rPr>
              <w:t>477t/a</w:t>
            </w:r>
          </w:p>
        </w:tc>
        <w:tc>
          <w:tcPr>
            <w:tcW w:w="1562" w:type="dxa"/>
            <w:noWrap w:val="0"/>
            <w:vAlign w:val="center"/>
          </w:tcPr>
          <w:p>
            <w:pPr>
              <w:spacing w:beforeLines="0" w:afterLines="0" w:line="240" w:lineRule="auto"/>
              <w:jc w:val="center"/>
              <w:rPr>
                <w:rFonts w:hint="default" w:ascii="Times New Roman" w:hAnsi="Times New Roman" w:cs="Times New Roman"/>
                <w:color w:val="auto"/>
                <w:sz w:val="21"/>
                <w:szCs w:val="21"/>
                <w:highlight w:val="none"/>
                <w:lang w:val="en-US" w:eastAsia="zh-CN"/>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left="0" w:leftChars="0" w:firstLine="0" w:firstLineChars="0"/>
              <w:jc w:val="center"/>
              <w:textAlignment w:val="top"/>
              <w:rPr>
                <w:rFonts w:hint="default" w:ascii="Times New Roman" w:hAnsi="Times New Roman" w:cs="Times New Roman"/>
                <w:color w:val="auto"/>
                <w:sz w:val="21"/>
                <w:szCs w:val="21"/>
                <w:highlight w:val="none"/>
                <w:lang w:val="en-US" w:eastAsia="zh-CN"/>
              </w:rPr>
            </w:pPr>
            <w:r>
              <w:rPr>
                <w:rFonts w:hint="eastAsia"/>
                <w:lang w:val="en-US" w:eastAsia="zh-CN"/>
              </w:rPr>
              <w:t>477t/a</w:t>
            </w:r>
          </w:p>
        </w:tc>
        <w:tc>
          <w:tcPr>
            <w:tcW w:w="1564" w:type="dxa"/>
            <w:noWrap w:val="0"/>
            <w:vAlign w:val="center"/>
          </w:tcPr>
          <w:p>
            <w:pPr>
              <w:pStyle w:val="36"/>
              <w:spacing w:beforeLines="0" w:afterLines="0" w:line="240" w:lineRule="auto"/>
              <w:jc w:val="center"/>
              <w:rPr>
                <w:rFonts w:hint="eastAsia"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noWrap w:val="0"/>
            <w:vAlign w:val="center"/>
          </w:tcPr>
          <w:p>
            <w:pPr>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COD</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firstLine="0" w:firstLineChars="0"/>
              <w:jc w:val="center"/>
              <w:textAlignment w:val="top"/>
              <w:rPr>
                <w:rFonts w:hint="default"/>
                <w:lang w:val="en-US" w:eastAsia="zh-CN"/>
              </w:rPr>
            </w:pPr>
            <w:r>
              <w:rPr>
                <w:rFonts w:hint="eastAsia"/>
                <w:lang w:val="en-US" w:eastAsia="zh-CN"/>
              </w:rPr>
              <w:t>0.07155</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firstLine="0" w:firstLineChars="0"/>
              <w:jc w:val="center"/>
              <w:textAlignment w:val="top"/>
              <w:rPr>
                <w:rFonts w:hint="eastAsia"/>
                <w:lang w:val="en-US" w:eastAsia="zh-CN"/>
              </w:rPr>
            </w:pPr>
            <w:r>
              <w:rPr>
                <w:rFonts w:hint="eastAsia"/>
                <w:lang w:val="en-US" w:eastAsia="zh-CN"/>
              </w:rPr>
              <w:t>0.07155</w:t>
            </w:r>
          </w:p>
        </w:tc>
        <w:tc>
          <w:tcPr>
            <w:tcW w:w="1564" w:type="dxa"/>
            <w:noWrap w:val="0"/>
            <w:vAlign w:val="center"/>
          </w:tcPr>
          <w:p>
            <w:pPr>
              <w:pStyle w:val="36"/>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noWrap w:val="0"/>
            <w:vAlign w:val="center"/>
          </w:tcPr>
          <w:p>
            <w:pPr>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氨氮</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firstLine="0" w:firstLineChars="0"/>
              <w:jc w:val="center"/>
              <w:textAlignment w:val="top"/>
              <w:rPr>
                <w:rFonts w:hint="eastAsia"/>
                <w:lang w:val="en-US" w:eastAsia="zh-CN"/>
              </w:rPr>
            </w:pPr>
            <w:r>
              <w:rPr>
                <w:rFonts w:hint="eastAsia" w:cs="Times New Roman" w:eastAsiaTheme="minorEastAsia"/>
                <w:color w:val="auto"/>
                <w:kern w:val="2"/>
                <w:sz w:val="24"/>
                <w:szCs w:val="32"/>
                <w:highlight w:val="none"/>
                <w:lang w:val="en-US" w:eastAsia="zh-CN" w:bidi="zh-CN"/>
              </w:rPr>
              <w:t>0.011925</w:t>
            </w:r>
            <w:r>
              <w:rPr>
                <w:rFonts w:hint="default" w:ascii="Times New Roman" w:hAnsi="Times New Roman" w:cs="Times New Roman" w:eastAsiaTheme="minorEastAsia"/>
                <w:color w:val="auto"/>
                <w:kern w:val="2"/>
                <w:sz w:val="24"/>
                <w:szCs w:val="32"/>
                <w:highlight w:val="none"/>
                <w:lang w:val="en-US" w:eastAsia="zh-CN" w:bidi="zh-CN"/>
              </w:rPr>
              <w:t>t/a</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keepNext w:val="0"/>
              <w:keepLines w:val="0"/>
              <w:widowControl/>
              <w:suppressLineNumbers w:val="0"/>
              <w:ind w:firstLine="0" w:firstLineChars="0"/>
              <w:jc w:val="center"/>
              <w:textAlignment w:val="top"/>
              <w:rPr>
                <w:rFonts w:hint="eastAsia"/>
                <w:lang w:val="en-US" w:eastAsia="zh-CN"/>
              </w:rPr>
            </w:pPr>
            <w:r>
              <w:rPr>
                <w:rFonts w:hint="eastAsia" w:cs="Times New Roman" w:eastAsiaTheme="minorEastAsia"/>
                <w:color w:val="auto"/>
                <w:kern w:val="2"/>
                <w:sz w:val="24"/>
                <w:szCs w:val="32"/>
                <w:highlight w:val="none"/>
                <w:lang w:val="en-US" w:eastAsia="zh-CN" w:bidi="zh-CN"/>
              </w:rPr>
              <w:t>0.011925</w:t>
            </w:r>
            <w:r>
              <w:rPr>
                <w:rFonts w:hint="default" w:ascii="Times New Roman" w:hAnsi="Times New Roman" w:cs="Times New Roman" w:eastAsiaTheme="minorEastAsia"/>
                <w:color w:val="auto"/>
                <w:kern w:val="2"/>
                <w:sz w:val="24"/>
                <w:szCs w:val="32"/>
                <w:highlight w:val="none"/>
                <w:lang w:val="en-US" w:eastAsia="zh-CN" w:bidi="zh-CN"/>
              </w:rPr>
              <w:t>t/a</w:t>
            </w:r>
          </w:p>
        </w:tc>
        <w:tc>
          <w:tcPr>
            <w:tcW w:w="1564" w:type="dxa"/>
            <w:noWrap w:val="0"/>
            <w:vAlign w:val="center"/>
          </w:tcPr>
          <w:p>
            <w:pPr>
              <w:pStyle w:val="36"/>
              <w:spacing w:beforeLines="0" w:afterLines="0" w:line="240" w:lineRule="auto"/>
              <w:jc w:val="center"/>
              <w:rPr>
                <w:rFonts w:hint="default"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lang w:val="en-US" w:eastAsia="zh-CN"/>
              </w:rPr>
            </w:pPr>
            <w:r>
              <w:rPr>
                <w:rFonts w:hint="eastAsia" w:cs="Times New Roman"/>
                <w:snapToGrid w:val="0"/>
                <w:color w:val="auto"/>
                <w:kern w:val="21"/>
                <w:szCs w:val="21"/>
                <w:highlight w:val="none"/>
                <w:lang w:val="en-US" w:eastAsia="zh-CN"/>
              </w:rPr>
              <w:t>生活垃圾</w:t>
            </w:r>
          </w:p>
        </w:tc>
        <w:tc>
          <w:tcPr>
            <w:tcW w:w="1913" w:type="dxa"/>
            <w:noWrap w:val="0"/>
            <w:vAlign w:val="center"/>
          </w:tcPr>
          <w:p>
            <w:pPr>
              <w:pStyle w:val="36"/>
              <w:bidi w:val="0"/>
              <w:spacing w:line="360" w:lineRule="auto"/>
              <w:ind w:left="0" w:leftChars="0" w:firstLine="0" w:firstLineChars="0"/>
              <w:jc w:val="center"/>
              <w:rPr>
                <w:rFonts w:hint="default" w:ascii="宋体" w:hAnsi="宋体" w:eastAsia="宋体" w:cs="宋体"/>
                <w:color w:val="auto"/>
                <w:kern w:val="0"/>
                <w:sz w:val="21"/>
                <w:szCs w:val="21"/>
                <w:highlight w:val="none"/>
                <w:lang w:val="en-US" w:eastAsia="zh-CN" w:bidi="ar"/>
              </w:rPr>
            </w:pPr>
            <w:r>
              <w:rPr>
                <w:rFonts w:hint="eastAsia" w:ascii="宋体" w:hAnsi="宋体" w:eastAsia="宋体" w:cs="宋体"/>
                <w:color w:val="auto"/>
                <w:kern w:val="0"/>
                <w:sz w:val="21"/>
                <w:szCs w:val="21"/>
                <w:highlight w:val="none"/>
                <w:lang w:val="en-US" w:eastAsia="zh-CN" w:bidi="ar"/>
              </w:rPr>
              <w:t>日常生产垃圾</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ind w:left="0" w:leftChars="0" w:firstLine="0" w:firstLineChars="0"/>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cs="Times New Roman"/>
                <w:color w:val="auto"/>
                <w:sz w:val="21"/>
                <w:szCs w:val="21"/>
                <w:highlight w:val="none"/>
                <w:u w:val="none"/>
                <w:lang w:val="en-US" w:eastAsia="zh-CN"/>
              </w:rPr>
            </w:pPr>
            <w:r>
              <w:rPr>
                <w:rFonts w:hint="eastAsia" w:cs="Times New Roman"/>
                <w:color w:val="auto"/>
                <w:highlight w:val="none"/>
                <w:lang w:val="en-US" w:eastAsia="zh-CN"/>
              </w:rPr>
              <w:t>3t/a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u w:val="singl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u w:val="single"/>
                <w:lang w:val="en-US" w:eastAsia="zh-CN" w:bidi="ar-SA"/>
              </w:rPr>
            </w:pPr>
            <w:r>
              <w:rPr>
                <w:rFonts w:hint="eastAsia" w:cs="Times New Roman"/>
                <w:color w:val="auto"/>
                <w:sz w:val="21"/>
                <w:szCs w:val="21"/>
                <w:highlight w:val="none"/>
                <w:u w:val="none"/>
                <w:lang w:val="en-US" w:eastAsia="zh-CN"/>
              </w:rPr>
              <w:t>3</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restart"/>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一般工业</w:t>
            </w:r>
          </w:p>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固体废物</w:t>
            </w:r>
          </w:p>
        </w:tc>
        <w:tc>
          <w:tcPr>
            <w:tcW w:w="1913"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rPr>
            </w:pPr>
            <w:r>
              <w:rPr>
                <w:rFonts w:hint="eastAsia" w:ascii="宋体" w:hAnsi="宋体" w:eastAsia="宋体" w:cs="宋体"/>
                <w:color w:val="auto"/>
                <w:kern w:val="0"/>
                <w:sz w:val="21"/>
                <w:szCs w:val="21"/>
                <w:highlight w:val="none"/>
                <w:lang w:val="en-US" w:eastAsia="zh-CN" w:bidi="ar"/>
              </w:rPr>
              <w:t>分拣杂物</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sz w:val="21"/>
                <w:szCs w:val="21"/>
                <w:highlight w:val="none"/>
                <w:u w:val="none"/>
                <w:lang w:val="en-US" w:eastAsia="zh-CN"/>
              </w:rPr>
              <w:t>60</w:t>
            </w:r>
            <w:r>
              <w:rPr>
                <w:rFonts w:hint="eastAsia" w:cs="Times New Roman"/>
                <w:color w:val="auto"/>
                <w:highlight w:val="none"/>
                <w:lang w:val="en-US" w:eastAsia="zh-CN"/>
              </w:rPr>
              <w:t>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u w:val="singl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u w:val="single"/>
                <w:lang w:val="en-US" w:eastAsia="zh-CN" w:bidi="ar-SA"/>
              </w:rPr>
            </w:pPr>
            <w:r>
              <w:rPr>
                <w:rFonts w:hint="eastAsia" w:cs="Times New Roman"/>
                <w:color w:val="auto"/>
                <w:sz w:val="21"/>
                <w:szCs w:val="21"/>
                <w:highlight w:val="none"/>
                <w:u w:val="none"/>
                <w:lang w:val="en-US" w:eastAsia="zh-CN"/>
              </w:rPr>
              <w:t>60</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ascii="Times New Roman" w:hAnsi="Times New Roman" w:cs="Times New Roman"/>
                <w:color w:val="auto"/>
                <w:highlight w:val="none"/>
                <w:lang w:val="en-US" w:eastAsia="zh-CN"/>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noWrap w:val="0"/>
            <w:vAlign w:val="center"/>
          </w:tcPr>
          <w:p>
            <w:pPr>
              <w:pStyle w:val="36"/>
              <w:bidi w:val="0"/>
              <w:spacing w:line="360" w:lineRule="auto"/>
              <w:ind w:left="0" w:leftChars="0" w:firstLine="0" w:firstLineChars="0"/>
              <w:jc w:val="center"/>
              <w:rPr>
                <w:rFonts w:hint="eastAsia" w:cs="Times New Roman"/>
                <w:color w:val="auto"/>
                <w:sz w:val="21"/>
                <w:szCs w:val="21"/>
                <w:highlight w:val="none"/>
                <w:lang w:eastAsia="zh-CN"/>
              </w:rPr>
            </w:pPr>
            <w:r>
              <w:rPr>
                <w:rFonts w:hint="eastAsia" w:ascii="宋体" w:hAnsi="宋体" w:eastAsia="宋体" w:cs="宋体"/>
                <w:color w:val="auto"/>
                <w:kern w:val="0"/>
                <w:sz w:val="21"/>
                <w:szCs w:val="21"/>
                <w:highlight w:val="none"/>
                <w:lang w:val="en-US" w:eastAsia="zh-CN" w:bidi="ar"/>
              </w:rPr>
              <w:t>栅渣</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sz w:val="21"/>
                <w:szCs w:val="21"/>
                <w:highlight w:val="none"/>
                <w:u w:val="none"/>
                <w:lang w:val="en-US" w:eastAsia="zh-CN"/>
              </w:rPr>
              <w:t>5</w:t>
            </w:r>
            <w:r>
              <w:rPr>
                <w:rFonts w:hint="eastAsia" w:cs="Times New Roman"/>
                <w:color w:val="auto"/>
                <w:highlight w:val="none"/>
                <w:lang w:val="en-US" w:eastAsia="zh-CN"/>
              </w:rPr>
              <w:t>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cs="Times New Roman"/>
                <w:color w:val="auto"/>
                <w:highlight w:val="none"/>
                <w:lang w:val="en-US" w:eastAsia="zh-CN"/>
              </w:rPr>
            </w:pPr>
            <w:r>
              <w:rPr>
                <w:rFonts w:hint="eastAsia" w:cs="Times New Roman"/>
                <w:color w:val="auto"/>
                <w:sz w:val="21"/>
                <w:szCs w:val="21"/>
                <w:highlight w:val="none"/>
                <w:u w:val="none"/>
                <w:lang w:val="en-US" w:eastAsia="zh-CN"/>
              </w:rPr>
              <w:t>5</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ascii="Times New Roman" w:hAnsi="Times New Roman" w:cs="Times New Roman"/>
                <w:color w:val="auto"/>
                <w:highlight w:val="none"/>
                <w:lang w:val="en-US" w:eastAsia="zh-CN"/>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noWrap w:val="0"/>
            <w:vAlign w:val="center"/>
          </w:tcPr>
          <w:p>
            <w:pPr>
              <w:pStyle w:val="36"/>
              <w:bidi w:val="0"/>
              <w:spacing w:line="360" w:lineRule="auto"/>
              <w:ind w:left="0" w:leftChars="0" w:firstLine="0" w:firstLineChars="0"/>
              <w:jc w:val="center"/>
              <w:rPr>
                <w:rFonts w:hint="eastAsia" w:cs="Times New Roman"/>
                <w:color w:val="auto"/>
                <w:sz w:val="21"/>
                <w:szCs w:val="21"/>
                <w:highlight w:val="none"/>
                <w:lang w:eastAsia="zh-CN"/>
              </w:rPr>
            </w:pPr>
            <w:r>
              <w:rPr>
                <w:rFonts w:hint="eastAsia" w:ascii="宋体" w:hAnsi="宋体" w:eastAsia="宋体" w:cs="宋体"/>
                <w:color w:val="auto"/>
                <w:kern w:val="0"/>
                <w:sz w:val="21"/>
                <w:szCs w:val="21"/>
                <w:highlight w:val="none"/>
                <w:lang w:val="en-US" w:eastAsia="zh-CN" w:bidi="ar"/>
              </w:rPr>
              <w:t>废标签</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cs="Times New Roman"/>
                <w:color w:val="auto"/>
                <w:highlight w:val="none"/>
                <w:lang w:val="en-US" w:eastAsia="zh-CN"/>
              </w:rPr>
            </w:pPr>
            <w:r>
              <w:rPr>
                <w:rFonts w:hint="eastAsia" w:cs="Times New Roman"/>
                <w:color w:val="auto"/>
                <w:sz w:val="21"/>
                <w:szCs w:val="21"/>
                <w:highlight w:val="none"/>
                <w:u w:val="none"/>
                <w:lang w:val="en-US" w:eastAsia="zh-CN"/>
              </w:rPr>
              <w:t>2</w:t>
            </w:r>
            <w:r>
              <w:rPr>
                <w:rFonts w:hint="eastAsia" w:cs="Times New Roman"/>
                <w:color w:val="auto"/>
                <w:highlight w:val="none"/>
                <w:lang w:val="en-US" w:eastAsia="zh-CN"/>
              </w:rPr>
              <w:t>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cs="Times New Roman"/>
                <w:color w:val="auto"/>
                <w:highlight w:val="none"/>
                <w:lang w:val="en-US" w:eastAsia="zh-CN"/>
              </w:rPr>
            </w:pPr>
            <w:r>
              <w:rPr>
                <w:rFonts w:hint="eastAsia" w:cs="Times New Roman"/>
                <w:color w:val="auto"/>
                <w:sz w:val="21"/>
                <w:szCs w:val="21"/>
                <w:highlight w:val="none"/>
                <w:u w:val="none"/>
                <w:lang w:val="en-US" w:eastAsia="zh-CN"/>
              </w:rPr>
              <w:t>2</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ascii="Times New Roman" w:hAnsi="Times New Roman" w:cs="Times New Roman"/>
                <w:color w:val="auto"/>
                <w:highlight w:val="none"/>
                <w:lang w:val="en-US" w:eastAsia="zh-CN"/>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restart"/>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default" w:ascii="Times New Roman" w:hAnsi="Times New Roman" w:eastAsia="宋体" w:cs="Times New Roman"/>
                <w:snapToGrid w:val="0"/>
                <w:color w:val="auto"/>
                <w:kern w:val="21"/>
                <w:szCs w:val="21"/>
                <w:highlight w:val="none"/>
              </w:rPr>
              <w:t>危险废物</w:t>
            </w:r>
          </w:p>
        </w:tc>
        <w:tc>
          <w:tcPr>
            <w:tcW w:w="1913" w:type="dxa"/>
            <w:noWrap w:val="0"/>
            <w:vAlign w:val="center"/>
          </w:tcPr>
          <w:p>
            <w:pPr>
              <w:pStyle w:val="36"/>
              <w:bidi w:val="0"/>
              <w:spacing w:line="360" w:lineRule="auto"/>
              <w:ind w:left="0" w:leftChars="0" w:firstLine="0" w:firstLineChars="0"/>
              <w:jc w:val="center"/>
              <w:rPr>
                <w:rFonts w:hint="eastAsia" w:cs="Times New Roman"/>
                <w:color w:val="auto"/>
                <w:sz w:val="21"/>
                <w:szCs w:val="21"/>
                <w:highlight w:val="none"/>
                <w:lang w:eastAsia="zh-CN"/>
              </w:rPr>
            </w:pPr>
            <w:r>
              <w:rPr>
                <w:rFonts w:hint="eastAsia" w:ascii="宋体" w:hAnsi="宋体" w:eastAsia="宋体" w:cs="宋体"/>
                <w:color w:val="auto"/>
                <w:kern w:val="0"/>
                <w:sz w:val="21"/>
                <w:szCs w:val="21"/>
                <w:highlight w:val="none"/>
                <w:lang w:val="en-US" w:eastAsia="zh-CN" w:bidi="ar"/>
              </w:rPr>
              <w:t>沉淀池污泥</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eastAsia"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eastAsia" w:cs="Times New Roman"/>
                <w:color w:val="auto"/>
                <w:highlight w:val="none"/>
                <w:lang w:val="en-US" w:eastAsia="zh-CN"/>
              </w:rPr>
            </w:pPr>
            <w:r>
              <w:rPr>
                <w:rFonts w:hint="eastAsia" w:cs="Times New Roman"/>
                <w:color w:val="auto"/>
                <w:sz w:val="21"/>
                <w:szCs w:val="21"/>
                <w:highlight w:val="none"/>
                <w:u w:val="none"/>
                <w:lang w:val="en-US" w:eastAsia="zh-CN"/>
              </w:rPr>
              <w:t>1</w:t>
            </w:r>
            <w:r>
              <w:rPr>
                <w:rFonts w:hint="eastAsia" w:cs="Times New Roman"/>
                <w:color w:val="auto"/>
                <w:highlight w:val="none"/>
                <w:lang w:val="en-US" w:eastAsia="zh-CN"/>
              </w:rPr>
              <w:t>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eastAsia" w:cs="Times New Roman"/>
                <w:color w:val="auto"/>
                <w:highlight w:val="none"/>
                <w:lang w:val="en-US" w:eastAsia="zh-CN"/>
              </w:rPr>
            </w:pPr>
            <w:r>
              <w:rPr>
                <w:rFonts w:hint="eastAsia" w:cs="Times New Roman"/>
                <w:color w:val="auto"/>
                <w:sz w:val="21"/>
                <w:szCs w:val="21"/>
                <w:highlight w:val="none"/>
                <w:u w:val="none"/>
                <w:lang w:val="en-US" w:eastAsia="zh-CN"/>
              </w:rPr>
              <w:t>1</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noWrap w:val="0"/>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隔油池产生的废油</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ind w:left="0" w:leftChars="0" w:firstLine="0" w:firstLineChars="0"/>
              <w:jc w:val="center"/>
              <w:rPr>
                <w:rFonts w:hint="default" w:ascii="Times New Roman" w:hAnsi="Times New Roman" w:eastAsia="宋体" w:cs="Times New Roman"/>
                <w:color w:val="auto"/>
                <w:kern w:val="2"/>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sz w:val="21"/>
                <w:szCs w:val="21"/>
                <w:highlight w:val="none"/>
                <w:u w:val="none"/>
                <w:lang w:val="en-US" w:eastAsia="zh-CN"/>
              </w:rPr>
              <w:t>0.02</w:t>
            </w:r>
            <w:r>
              <w:rPr>
                <w:rFonts w:hint="eastAsia" w:cs="Times New Roman"/>
                <w:color w:val="auto"/>
                <w:highlight w:val="none"/>
                <w:lang w:val="en-US" w:eastAsia="zh-CN"/>
              </w:rPr>
              <w:t>t/a</w:t>
            </w:r>
          </w:p>
        </w:tc>
        <w:tc>
          <w:tcPr>
            <w:tcW w:w="1562"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noWrap w:val="0"/>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Cs w:val="21"/>
                <w:highlight w:val="none"/>
              </w:rPr>
            </w:pPr>
            <w:r>
              <w:rPr>
                <w:rFonts w:hint="eastAsia" w:cs="Times New Roman"/>
                <w:color w:val="auto"/>
                <w:sz w:val="21"/>
                <w:szCs w:val="21"/>
                <w:highlight w:val="none"/>
                <w:u w:val="none"/>
                <w:lang w:val="en-US" w:eastAsia="zh-CN"/>
              </w:rPr>
              <w:t>0.02</w:t>
            </w:r>
            <w:r>
              <w:rPr>
                <w:rFonts w:hint="eastAsia" w:cs="Times New Roman"/>
                <w:color w:val="auto"/>
                <w:highlight w:val="none"/>
                <w:lang w:val="en-US" w:eastAsia="zh-CN"/>
              </w:rPr>
              <w:t>t/a</w:t>
            </w:r>
          </w:p>
        </w:tc>
        <w:tc>
          <w:tcPr>
            <w:tcW w:w="1564" w:type="dxa"/>
            <w:noWrap w:val="0"/>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0</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1192" w:type="dxa"/>
            <w:vMerge w:val="continue"/>
            <w:vAlign w:val="center"/>
          </w:tcPr>
          <w:p>
            <w:pPr>
              <w:pStyle w:val="36"/>
              <w:spacing w:beforeLines="0" w:afterLines="0" w:line="240" w:lineRule="auto"/>
              <w:jc w:val="center"/>
              <w:rPr>
                <w:rFonts w:hint="default" w:ascii="Times New Roman" w:hAnsi="Times New Roman" w:eastAsia="宋体" w:cs="Times New Roman"/>
                <w:snapToGrid w:val="0"/>
                <w:color w:val="auto"/>
                <w:kern w:val="21"/>
                <w:szCs w:val="21"/>
                <w:highlight w:val="none"/>
              </w:rPr>
            </w:pPr>
          </w:p>
        </w:tc>
        <w:tc>
          <w:tcPr>
            <w:tcW w:w="1913" w:type="dxa"/>
            <w:vAlign w:val="center"/>
          </w:tcPr>
          <w:p>
            <w:pPr>
              <w:pStyle w:val="36"/>
              <w:bidi w:val="0"/>
              <w:spacing w:line="360" w:lineRule="auto"/>
              <w:ind w:left="0" w:leftChars="0"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宋体" w:hAnsi="宋体" w:eastAsia="宋体" w:cs="宋体"/>
                <w:color w:val="auto"/>
                <w:kern w:val="0"/>
                <w:sz w:val="21"/>
                <w:szCs w:val="21"/>
                <w:highlight w:val="none"/>
                <w:lang w:val="en-US" w:eastAsia="zh-CN" w:bidi="ar"/>
              </w:rPr>
              <w:t>废矿物油</w:t>
            </w:r>
          </w:p>
        </w:tc>
        <w:tc>
          <w:tcPr>
            <w:tcW w:w="1562" w:type="dxa"/>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vAlign w:val="center"/>
          </w:tcPr>
          <w:p>
            <w:pPr>
              <w:spacing w:beforeLines="0" w:afterLines="0" w:line="24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kern w:val="2"/>
                <w:sz w:val="21"/>
                <w:szCs w:val="21"/>
                <w:highlight w:val="none"/>
                <w:lang w:val="en-US" w:eastAsia="zh-CN" w:bidi="ar-SA"/>
              </w:rPr>
              <w:t>/</w:t>
            </w:r>
          </w:p>
        </w:tc>
        <w:tc>
          <w:tcPr>
            <w:tcW w:w="1562" w:type="dxa"/>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 w:val="21"/>
                <w:szCs w:val="21"/>
                <w:highlight w:val="none"/>
                <w:lang w:val="en-US" w:eastAsia="zh-CN" w:bidi="ar-SA"/>
              </w:rPr>
            </w:pPr>
            <w:r>
              <w:rPr>
                <w:rFonts w:hint="eastAsia" w:cs="Times New Roman"/>
                <w:color w:val="auto"/>
                <w:sz w:val="21"/>
                <w:szCs w:val="21"/>
                <w:highlight w:val="none"/>
                <w:u w:val="none"/>
                <w:lang w:val="en-US" w:eastAsia="zh-CN"/>
              </w:rPr>
              <w:t>0.05</w:t>
            </w:r>
            <w:r>
              <w:rPr>
                <w:rFonts w:hint="eastAsia" w:cs="Times New Roman"/>
                <w:color w:val="auto"/>
                <w:highlight w:val="none"/>
                <w:lang w:val="en-US" w:eastAsia="zh-CN"/>
              </w:rPr>
              <w:t>t/a</w:t>
            </w:r>
          </w:p>
        </w:tc>
        <w:tc>
          <w:tcPr>
            <w:tcW w:w="1562" w:type="dxa"/>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w:t>
            </w:r>
          </w:p>
        </w:tc>
        <w:tc>
          <w:tcPr>
            <w:tcW w:w="1562" w:type="dxa"/>
            <w:vAlign w:val="center"/>
          </w:tcPr>
          <w:p>
            <w:pPr>
              <w:pStyle w:val="36"/>
              <w:bidi w:val="0"/>
              <w:spacing w:line="360" w:lineRule="auto"/>
              <w:ind w:left="0" w:leftChars="0" w:firstLine="0" w:firstLineChars="0"/>
              <w:jc w:val="center"/>
              <w:rPr>
                <w:rFonts w:hint="default" w:ascii="Times New Roman" w:hAnsi="Times New Roman" w:eastAsia="宋体" w:cs="Times New Roman"/>
                <w:snapToGrid w:val="0"/>
                <w:color w:val="auto"/>
                <w:kern w:val="21"/>
                <w:szCs w:val="21"/>
                <w:highlight w:val="none"/>
              </w:rPr>
            </w:pPr>
            <w:r>
              <w:rPr>
                <w:rFonts w:hint="eastAsia" w:cs="Times New Roman"/>
                <w:color w:val="auto"/>
                <w:sz w:val="21"/>
                <w:szCs w:val="21"/>
                <w:highlight w:val="none"/>
                <w:u w:val="none"/>
                <w:lang w:val="en-US" w:eastAsia="zh-CN"/>
              </w:rPr>
              <w:t>0.05</w:t>
            </w:r>
            <w:r>
              <w:rPr>
                <w:rFonts w:hint="eastAsia" w:cs="Times New Roman"/>
                <w:color w:val="auto"/>
                <w:highlight w:val="none"/>
                <w:lang w:val="en-US" w:eastAsia="zh-CN"/>
              </w:rPr>
              <w:t>t/a</w:t>
            </w:r>
          </w:p>
        </w:tc>
        <w:tc>
          <w:tcPr>
            <w:tcW w:w="1564" w:type="dxa"/>
            <w:vAlign w:val="center"/>
          </w:tcPr>
          <w:p>
            <w:pPr>
              <w:spacing w:beforeLines="0" w:afterLines="0" w:line="240" w:lineRule="auto"/>
              <w:jc w:val="center"/>
              <w:rPr>
                <w:rFonts w:hint="default" w:ascii="Times New Roman" w:hAnsi="Times New Roman" w:eastAsia="宋体" w:cs="Times New Roman"/>
                <w:snapToGrid w:val="0"/>
                <w:color w:val="auto"/>
                <w:kern w:val="21"/>
                <w:szCs w:val="21"/>
                <w:highlight w:val="none"/>
              </w:rPr>
            </w:pPr>
            <w:r>
              <w:rPr>
                <w:rFonts w:hint="eastAsia" w:cs="Times New Roman"/>
                <w:color w:val="auto"/>
                <w:kern w:val="2"/>
                <w:sz w:val="21"/>
                <w:szCs w:val="21"/>
                <w:highlight w:val="none"/>
                <w:lang w:val="en-US" w:eastAsia="zh-CN" w:bidi="ar-SA"/>
              </w:rPr>
              <w:t>0</w:t>
            </w:r>
          </w:p>
        </w:tc>
      </w:tr>
    </w:tbl>
    <w:p>
      <w:pPr>
        <w:pStyle w:val="36"/>
        <w:spacing w:before="192" w:beforeLines="80" w:after="24"/>
        <w:jc w:val="left"/>
        <w:rPr>
          <w:rFonts w:hint="default" w:ascii="Times New Roman" w:hAnsi="Times New Roman" w:eastAsia="宋体" w:cs="Times New Roman"/>
          <w:snapToGrid w:val="0"/>
          <w:color w:val="auto"/>
          <w:spacing w:val="-6"/>
          <w:kern w:val="21"/>
          <w:szCs w:val="21"/>
          <w:highlight w:val="none"/>
        </w:rPr>
      </w:pPr>
      <w:r>
        <w:rPr>
          <w:rFonts w:hint="default" w:ascii="Times New Roman" w:hAnsi="Times New Roman" w:eastAsia="宋体" w:cs="Times New Roman"/>
          <w:snapToGrid w:val="0"/>
          <w:color w:val="auto"/>
          <w:kern w:val="21"/>
          <w:szCs w:val="21"/>
          <w:highlight w:val="none"/>
        </w:rPr>
        <w:t>注：</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3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③</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4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④</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5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⑤</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7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⑦</w:t>
      </w:r>
      <w:r>
        <w:rPr>
          <w:rFonts w:hint="default" w:ascii="Times New Roman" w:hAnsi="Times New Roman" w:eastAsia="宋体" w:cs="Times New Roman"/>
          <w:snapToGrid w:val="0"/>
          <w:color w:val="auto"/>
          <w:spacing w:val="-6"/>
          <w:kern w:val="21"/>
          <w:szCs w:val="21"/>
          <w:highlight w:val="none"/>
        </w:rPr>
        <w:fldChar w:fldCharType="end"/>
      </w:r>
      <w:r>
        <w:rPr>
          <w:rFonts w:hint="default" w:ascii="Times New Roman" w:hAnsi="Times New Roman" w:eastAsia="宋体" w:cs="Times New Roman"/>
          <w:snapToGrid w:val="0"/>
          <w:color w:val="auto"/>
          <w:spacing w:val="-6"/>
          <w:kern w:val="21"/>
          <w:szCs w:val="21"/>
          <w:highlight w:val="none"/>
        </w:rPr>
        <w:t>=</w:t>
      </w:r>
      <w:r>
        <w:rPr>
          <w:rFonts w:hint="default" w:ascii="Times New Roman" w:hAnsi="Times New Roman" w:eastAsia="宋体" w:cs="Times New Roman"/>
          <w:snapToGrid w:val="0"/>
          <w:color w:val="auto"/>
          <w:spacing w:val="-16"/>
          <w:kern w:val="21"/>
          <w:szCs w:val="21"/>
          <w:highlight w:val="none"/>
        </w:rPr>
        <w:fldChar w:fldCharType="begin"/>
      </w:r>
      <w:r>
        <w:rPr>
          <w:rFonts w:hint="default" w:ascii="Times New Roman" w:hAnsi="Times New Roman" w:eastAsia="宋体" w:cs="Times New Roman"/>
          <w:snapToGrid w:val="0"/>
          <w:color w:val="auto"/>
          <w:spacing w:val="-16"/>
          <w:kern w:val="21"/>
          <w:szCs w:val="21"/>
          <w:highlight w:val="none"/>
        </w:rPr>
        <w:instrText xml:space="preserve"> = 6 \* GB3 \* MERGEFORMAT </w:instrText>
      </w:r>
      <w:r>
        <w:rPr>
          <w:rFonts w:hint="default" w:ascii="Times New Roman" w:hAnsi="Times New Roman" w:eastAsia="宋体" w:cs="Times New Roman"/>
          <w:snapToGrid w:val="0"/>
          <w:color w:val="auto"/>
          <w:spacing w:val="-16"/>
          <w:kern w:val="21"/>
          <w:szCs w:val="21"/>
          <w:highlight w:val="none"/>
        </w:rPr>
        <w:fldChar w:fldCharType="separate"/>
      </w:r>
      <w:r>
        <w:rPr>
          <w:rFonts w:hint="default" w:ascii="Times New Roman" w:hAnsi="Times New Roman" w:eastAsia="宋体" w:cs="Times New Roman"/>
          <w:color w:val="auto"/>
          <w:szCs w:val="21"/>
          <w:highlight w:val="none"/>
        </w:rPr>
        <w:t>⑥</w:t>
      </w:r>
      <w:r>
        <w:rPr>
          <w:rFonts w:hint="default" w:ascii="Times New Roman" w:hAnsi="Times New Roman" w:eastAsia="宋体" w:cs="Times New Roman"/>
          <w:snapToGrid w:val="0"/>
          <w:color w:val="auto"/>
          <w:spacing w:val="-16"/>
          <w:kern w:val="21"/>
          <w:szCs w:val="21"/>
          <w:highlight w:val="none"/>
        </w:rPr>
        <w:fldChar w:fldCharType="end"/>
      </w:r>
      <w:r>
        <w:rPr>
          <w:rFonts w:hint="default" w:ascii="Times New Roman" w:hAnsi="Times New Roman" w:eastAsia="宋体" w:cs="Times New Roman"/>
          <w:snapToGrid w:val="0"/>
          <w:color w:val="auto"/>
          <w:spacing w:val="-16"/>
          <w:kern w:val="21"/>
          <w:szCs w:val="21"/>
          <w:highlight w:val="none"/>
        </w:rPr>
        <w:t>-</w:t>
      </w:r>
      <w:r>
        <w:rPr>
          <w:rFonts w:hint="default" w:ascii="Times New Roman" w:hAnsi="Times New Roman" w:eastAsia="宋体" w:cs="Times New Roman"/>
          <w:snapToGrid w:val="0"/>
          <w:color w:val="auto"/>
          <w:spacing w:val="-6"/>
          <w:kern w:val="21"/>
          <w:szCs w:val="21"/>
          <w:highlight w:val="none"/>
        </w:rPr>
        <w:fldChar w:fldCharType="begin"/>
      </w:r>
      <w:r>
        <w:rPr>
          <w:rFonts w:hint="default" w:ascii="Times New Roman" w:hAnsi="Times New Roman" w:eastAsia="宋体" w:cs="Times New Roman"/>
          <w:snapToGrid w:val="0"/>
          <w:color w:val="auto"/>
          <w:spacing w:val="-6"/>
          <w:kern w:val="21"/>
          <w:szCs w:val="21"/>
          <w:highlight w:val="none"/>
        </w:rPr>
        <w:instrText xml:space="preserve"> = 1 \* GB3 \* MERGEFORMAT </w:instrText>
      </w:r>
      <w:r>
        <w:rPr>
          <w:rFonts w:hint="default" w:ascii="Times New Roman" w:hAnsi="Times New Roman" w:eastAsia="宋体" w:cs="Times New Roman"/>
          <w:snapToGrid w:val="0"/>
          <w:color w:val="auto"/>
          <w:spacing w:val="-6"/>
          <w:kern w:val="21"/>
          <w:szCs w:val="21"/>
          <w:highlight w:val="none"/>
        </w:rPr>
        <w:fldChar w:fldCharType="separate"/>
      </w:r>
      <w:r>
        <w:rPr>
          <w:rFonts w:hint="default" w:ascii="Times New Roman" w:hAnsi="Times New Roman" w:eastAsia="宋体" w:cs="Times New Roman"/>
          <w:color w:val="auto"/>
          <w:szCs w:val="21"/>
          <w:highlight w:val="none"/>
        </w:rPr>
        <w:t>①</w:t>
      </w:r>
      <w:r>
        <w:rPr>
          <w:rFonts w:hint="default" w:ascii="Times New Roman" w:hAnsi="Times New Roman" w:eastAsia="宋体" w:cs="Times New Roman"/>
          <w:snapToGrid w:val="0"/>
          <w:color w:val="auto"/>
          <w:spacing w:val="-6"/>
          <w:kern w:val="21"/>
          <w:szCs w:val="21"/>
          <w:highlight w:val="none"/>
        </w:rPr>
        <w:fldChar w:fldCharType="end"/>
      </w:r>
    </w:p>
    <w:p>
      <w:pPr>
        <w:rPr>
          <w:color w:val="auto"/>
          <w:highlight w:val="none"/>
        </w:rPr>
        <w:sectPr>
          <w:pgSz w:w="16838" w:h="11906" w:orient="landscape"/>
          <w:pgMar w:top="1800" w:right="1440" w:bottom="1800" w:left="1440" w:header="851" w:footer="992" w:gutter="0"/>
          <w:pgNumType w:fmt="decimal"/>
          <w:cols w:space="425" w:num="1"/>
          <w:docGrid w:type="lines" w:linePitch="312" w:charSpace="0"/>
        </w:sectPr>
      </w:pPr>
    </w:p>
    <w:p>
      <w:pPr>
        <w:pStyle w:val="2"/>
        <w:spacing w:line="200" w:lineRule="exact"/>
        <w:jc w:val="left"/>
        <w:rPr>
          <w:color w:val="auto"/>
          <w:sz w:val="28"/>
          <w:szCs w:val="28"/>
          <w:highlight w:val="none"/>
        </w:rPr>
      </w:pPr>
      <w:bookmarkStart w:id="55" w:name="_Toc9731"/>
      <w:bookmarkStart w:id="56" w:name="_Toc12990"/>
      <w:bookmarkStart w:id="57" w:name="_Toc8566"/>
      <w:bookmarkStart w:id="58" w:name="_Toc25352"/>
      <w:bookmarkStart w:id="59" w:name="_Toc26540"/>
      <w:bookmarkStart w:id="60" w:name="_Toc26124"/>
      <w:bookmarkStart w:id="61" w:name="_Toc22707"/>
      <w:r>
        <w:rPr>
          <w:rFonts w:hint="eastAsia"/>
          <w:color w:val="auto"/>
          <w:sz w:val="28"/>
          <w:szCs w:val="28"/>
          <w:highlight w:val="none"/>
        </w:rPr>
        <w:t xml:space="preserve">附图1 </w:t>
      </w:r>
      <w:r>
        <w:rPr>
          <w:color w:val="auto"/>
          <w:sz w:val="28"/>
          <w:szCs w:val="28"/>
          <w:highlight w:val="none"/>
        </w:rPr>
        <w:t>项目地理位置图</w:t>
      </w:r>
      <w:bookmarkEnd w:id="55"/>
      <w:bookmarkEnd w:id="56"/>
      <w:bookmarkEnd w:id="57"/>
      <w:bookmarkEnd w:id="58"/>
      <w:bookmarkEnd w:id="59"/>
      <w:bookmarkEnd w:id="60"/>
      <w:bookmarkEnd w:id="61"/>
    </w:p>
    <w:p>
      <w:pPr>
        <w:pStyle w:val="9"/>
        <w:rPr>
          <w:rFonts w:hint="eastAsia" w:eastAsia="宋体"/>
          <w:color w:val="auto"/>
          <w:highlight w:val="none"/>
          <w:lang w:eastAsia="zh-CN"/>
        </w:rPr>
        <w:sectPr>
          <w:pgSz w:w="16838" w:h="11906" w:orient="landscape"/>
          <w:pgMar w:top="1800" w:right="1440" w:bottom="1800" w:left="1440" w:header="851" w:footer="992" w:gutter="0"/>
          <w:pgNumType w:fmt="decimal"/>
          <w:cols w:space="425" w:num="1"/>
          <w:docGrid w:type="lines" w:linePitch="312" w:charSpace="0"/>
        </w:sectPr>
      </w:pPr>
      <w:r>
        <w:rPr>
          <w:rFonts w:hint="eastAsia" w:eastAsia="宋体"/>
          <w:color w:val="auto"/>
          <w:highlight w:val="none"/>
          <w:lang w:eastAsia="zh-CN"/>
        </w:rPr>
        <w:drawing>
          <wp:inline distT="0" distB="0" distL="114300" distR="114300">
            <wp:extent cx="8859520" cy="4592955"/>
            <wp:effectExtent l="0" t="0" r="17780" b="17145"/>
            <wp:docPr id="14" name="图片 14" descr="400f47e4b6a72f4d3ea47b40b75f8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400f47e4b6a72f4d3ea47b40b75f8b2"/>
                    <pic:cNvPicPr>
                      <a:picLocks noChangeAspect="1"/>
                    </pic:cNvPicPr>
                  </pic:nvPicPr>
                  <pic:blipFill>
                    <a:blip r:embed="rId15"/>
                    <a:stretch>
                      <a:fillRect/>
                    </a:stretch>
                  </pic:blipFill>
                  <pic:spPr>
                    <a:xfrm>
                      <a:off x="0" y="0"/>
                      <a:ext cx="8859520" cy="4592955"/>
                    </a:xfrm>
                    <a:prstGeom prst="rect">
                      <a:avLst/>
                    </a:prstGeom>
                  </pic:spPr>
                </pic:pic>
              </a:graphicData>
            </a:graphic>
          </wp:inline>
        </w:drawing>
      </w:r>
    </w:p>
    <w:p>
      <w:pPr>
        <w:pStyle w:val="2"/>
        <w:spacing w:line="480" w:lineRule="auto"/>
        <w:jc w:val="left"/>
        <w:rPr>
          <w:rFonts w:hint="eastAsia"/>
          <w:color w:val="auto"/>
          <w:sz w:val="28"/>
          <w:szCs w:val="28"/>
          <w:highlight w:val="none"/>
        </w:rPr>
      </w:pPr>
      <w:bookmarkStart w:id="62" w:name="_Toc14424"/>
      <w:bookmarkStart w:id="63" w:name="_Toc11038"/>
      <w:bookmarkStart w:id="64" w:name="_Toc31602"/>
      <w:bookmarkStart w:id="65" w:name="_Toc13418"/>
      <w:bookmarkStart w:id="66" w:name="_Toc100"/>
      <w:bookmarkStart w:id="67" w:name="_Toc3930"/>
      <w:bookmarkStart w:id="68" w:name="_Toc24307"/>
      <w:r>
        <w:rPr>
          <w:rFonts w:hint="eastAsia"/>
          <w:color w:val="auto"/>
          <w:sz w:val="28"/>
          <w:szCs w:val="28"/>
          <w:highlight w:val="none"/>
        </w:rPr>
        <w:t>附图2 环境保护目标图</w:t>
      </w:r>
      <w:bookmarkEnd w:id="62"/>
      <w:bookmarkEnd w:id="63"/>
      <w:bookmarkEnd w:id="64"/>
      <w:bookmarkEnd w:id="65"/>
      <w:bookmarkEnd w:id="66"/>
      <w:bookmarkEnd w:id="67"/>
      <w:bookmarkEnd w:id="68"/>
    </w:p>
    <w:p>
      <w:pPr>
        <w:jc w:val="center"/>
        <w:rPr>
          <w:color w:val="auto"/>
          <w:highlight w:val="none"/>
        </w:rPr>
        <w:sectPr>
          <w:pgSz w:w="16838" w:h="11906" w:orient="landscape"/>
          <w:pgMar w:top="1800" w:right="1440" w:bottom="1800" w:left="1440" w:header="851" w:footer="992" w:gutter="0"/>
          <w:pgNumType w:fmt="decimal"/>
          <w:cols w:space="425" w:num="1"/>
          <w:docGrid w:type="lines" w:linePitch="312" w:charSpace="0"/>
        </w:sectPr>
      </w:pPr>
      <w:r>
        <w:drawing>
          <wp:inline distT="0" distB="0" distL="114300" distR="114300">
            <wp:extent cx="7708265" cy="4504690"/>
            <wp:effectExtent l="0" t="0" r="6985" b="10160"/>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16"/>
                    <a:stretch>
                      <a:fillRect/>
                    </a:stretch>
                  </pic:blipFill>
                  <pic:spPr>
                    <a:xfrm>
                      <a:off x="0" y="0"/>
                      <a:ext cx="7708265" cy="4504690"/>
                    </a:xfrm>
                    <a:prstGeom prst="rect">
                      <a:avLst/>
                    </a:prstGeom>
                    <a:noFill/>
                    <a:ln>
                      <a:noFill/>
                    </a:ln>
                  </pic:spPr>
                </pic:pic>
              </a:graphicData>
            </a:graphic>
          </wp:inline>
        </w:drawing>
      </w:r>
    </w:p>
    <w:p>
      <w:pPr>
        <w:pStyle w:val="2"/>
        <w:spacing w:line="480" w:lineRule="auto"/>
        <w:jc w:val="left"/>
        <w:rPr>
          <w:rFonts w:hint="eastAsia" w:ascii="Times New Roman" w:hAnsi="Times New Roman" w:eastAsia="宋体" w:cs="Times New Roman"/>
          <w:color w:val="auto"/>
          <w:sz w:val="28"/>
          <w:szCs w:val="28"/>
          <w:highlight w:val="none"/>
        </w:rPr>
      </w:pPr>
      <w:bookmarkStart w:id="69" w:name="_Toc21836"/>
      <w:bookmarkStart w:id="70" w:name="_Toc5530"/>
      <w:bookmarkStart w:id="71" w:name="_Toc30426"/>
      <w:bookmarkStart w:id="72" w:name="_Toc31544"/>
      <w:bookmarkStart w:id="73" w:name="_Toc8885"/>
      <w:bookmarkStart w:id="74" w:name="_Toc16492"/>
      <w:bookmarkStart w:id="75" w:name="_Toc4955"/>
      <w:r>
        <w:rPr>
          <w:rFonts w:hint="eastAsia" w:ascii="Times New Roman" w:hAnsi="Times New Roman" w:eastAsia="宋体" w:cs="Times New Roman"/>
          <w:color w:val="auto"/>
          <w:sz w:val="28"/>
          <w:szCs w:val="28"/>
          <w:highlight w:val="none"/>
        </w:rPr>
        <w:t>附图3</w:t>
      </w:r>
      <w:r>
        <w:rPr>
          <w:rFonts w:hint="eastAsia" w:ascii="Times New Roman" w:hAnsi="Times New Roman" w:eastAsia="宋体" w:cs="Times New Roman"/>
          <w:color w:val="auto"/>
          <w:sz w:val="28"/>
          <w:szCs w:val="28"/>
          <w:highlight w:val="none"/>
          <w:lang w:val="en-US" w:eastAsia="zh-CN"/>
        </w:rPr>
        <w:t xml:space="preserve">  厂区</w:t>
      </w:r>
      <w:r>
        <w:rPr>
          <w:rFonts w:hint="eastAsia" w:ascii="Times New Roman" w:hAnsi="Times New Roman" w:eastAsia="宋体" w:cs="Times New Roman"/>
          <w:color w:val="auto"/>
          <w:sz w:val="28"/>
          <w:szCs w:val="28"/>
          <w:highlight w:val="none"/>
        </w:rPr>
        <w:t>平面布置图</w:t>
      </w:r>
      <w:bookmarkEnd w:id="69"/>
      <w:bookmarkEnd w:id="70"/>
      <w:bookmarkEnd w:id="71"/>
      <w:bookmarkEnd w:id="72"/>
      <w:bookmarkEnd w:id="73"/>
      <w:bookmarkEnd w:id="74"/>
      <w:bookmarkEnd w:id="75"/>
    </w:p>
    <w:p>
      <w:pPr>
        <w:pStyle w:val="5"/>
        <w:ind w:left="0" w:leftChars="0" w:firstLine="0" w:firstLineChars="0"/>
        <w:jc w:val="center"/>
        <w:rPr>
          <w:color w:val="auto"/>
          <w:highlight w:val="none"/>
        </w:rPr>
        <w:sectPr>
          <w:pgSz w:w="16838" w:h="11906" w:orient="landscape"/>
          <w:pgMar w:top="1800" w:right="1440" w:bottom="1800" w:left="1440" w:header="851" w:footer="992" w:gutter="0"/>
          <w:pgNumType w:fmt="decimal"/>
          <w:cols w:space="425" w:num="1"/>
          <w:docGrid w:type="lines" w:linePitch="312" w:charSpace="0"/>
        </w:sectPr>
      </w:pPr>
      <w:r>
        <w:drawing>
          <wp:inline distT="0" distB="0" distL="114300" distR="114300">
            <wp:extent cx="7970520" cy="4141470"/>
            <wp:effectExtent l="0" t="0" r="11430" b="11430"/>
            <wp:docPr id="2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
                    <pic:cNvPicPr>
                      <a:picLocks noChangeAspect="1"/>
                    </pic:cNvPicPr>
                  </pic:nvPicPr>
                  <pic:blipFill>
                    <a:blip r:embed="rId17"/>
                    <a:stretch>
                      <a:fillRect/>
                    </a:stretch>
                  </pic:blipFill>
                  <pic:spPr>
                    <a:xfrm>
                      <a:off x="0" y="0"/>
                      <a:ext cx="7970520" cy="4141470"/>
                    </a:xfrm>
                    <a:prstGeom prst="rect">
                      <a:avLst/>
                    </a:prstGeom>
                    <a:noFill/>
                    <a:ln>
                      <a:noFill/>
                    </a:ln>
                  </pic:spPr>
                </pic:pic>
              </a:graphicData>
            </a:graphic>
          </wp:inline>
        </w:drawing>
      </w:r>
    </w:p>
    <w:p>
      <w:pPr>
        <w:pStyle w:val="2"/>
        <w:spacing w:line="240" w:lineRule="auto"/>
        <w:jc w:val="left"/>
        <w:rPr>
          <w:color w:val="auto"/>
          <w:sz w:val="28"/>
          <w:szCs w:val="28"/>
          <w:highlight w:val="none"/>
        </w:rPr>
      </w:pPr>
      <w:bookmarkStart w:id="76" w:name="_Toc18953"/>
      <w:bookmarkStart w:id="77" w:name="_Toc22259"/>
      <w:bookmarkStart w:id="78" w:name="_Toc12317"/>
      <w:bookmarkStart w:id="79" w:name="_Toc2091"/>
      <w:bookmarkStart w:id="80" w:name="_Toc28163"/>
      <w:bookmarkStart w:id="81" w:name="_Toc5845"/>
      <w:bookmarkStart w:id="82" w:name="_Toc6550"/>
      <w:r>
        <w:rPr>
          <w:rFonts w:hint="eastAsia"/>
          <w:color w:val="auto"/>
          <w:sz w:val="28"/>
          <w:szCs w:val="28"/>
          <w:highlight w:val="none"/>
        </w:rPr>
        <w:t xml:space="preserve">附件1 </w:t>
      </w:r>
      <w:r>
        <w:rPr>
          <w:rFonts w:hint="eastAsia"/>
          <w:color w:val="auto"/>
          <w:sz w:val="28"/>
          <w:szCs w:val="28"/>
          <w:highlight w:val="none"/>
          <w:lang w:val="en-US" w:eastAsia="zh-CN"/>
        </w:rPr>
        <w:t>环评</w:t>
      </w:r>
      <w:r>
        <w:rPr>
          <w:rFonts w:hint="eastAsia"/>
          <w:color w:val="auto"/>
          <w:sz w:val="28"/>
          <w:szCs w:val="28"/>
          <w:highlight w:val="none"/>
        </w:rPr>
        <w:t>委托书</w:t>
      </w:r>
      <w:bookmarkEnd w:id="76"/>
      <w:bookmarkEnd w:id="77"/>
      <w:bookmarkEnd w:id="78"/>
      <w:bookmarkEnd w:id="79"/>
      <w:bookmarkEnd w:id="80"/>
      <w:bookmarkEnd w:id="81"/>
      <w:bookmarkEnd w:id="82"/>
    </w:p>
    <w:p>
      <w:pPr>
        <w:jc w:val="center"/>
        <w:rPr>
          <w:rFonts w:hint="eastAsia" w:hAnsi="宋体"/>
          <w:b/>
          <w:color w:val="auto"/>
          <w:sz w:val="36"/>
          <w:szCs w:val="36"/>
        </w:rPr>
      </w:pPr>
      <w:r>
        <w:rPr>
          <w:rFonts w:hint="eastAsia" w:hAnsi="宋体"/>
          <w:b/>
          <w:color w:val="auto"/>
          <w:sz w:val="36"/>
          <w:szCs w:val="36"/>
        </w:rPr>
        <w:t>委  托  书</w:t>
      </w:r>
    </w:p>
    <w:p>
      <w:pPr>
        <w:jc w:val="center"/>
        <w:rPr>
          <w:rFonts w:hint="eastAsia" w:ascii="仿宋_GB2312" w:eastAsia="仿宋_GB2312"/>
          <w:b/>
          <w:color w:val="auto"/>
          <w:sz w:val="32"/>
          <w:szCs w:val="32"/>
        </w:rPr>
      </w:pPr>
    </w:p>
    <w:p>
      <w:pPr>
        <w:spacing w:line="700" w:lineRule="atLeast"/>
        <w:rPr>
          <w:rFonts w:hint="eastAsia" w:hAnsi="宋体"/>
          <w:color w:val="auto"/>
          <w:sz w:val="28"/>
          <w:szCs w:val="28"/>
        </w:rPr>
      </w:pPr>
      <w:r>
        <w:rPr>
          <w:rFonts w:hint="eastAsia" w:hAnsi="宋体"/>
          <w:b/>
          <w:color w:val="auto"/>
          <w:sz w:val="28"/>
          <w:szCs w:val="28"/>
          <w:lang w:val="en-US" w:eastAsia="zh-CN"/>
        </w:rPr>
        <w:t>公司</w:t>
      </w:r>
      <w:r>
        <w:rPr>
          <w:rFonts w:hint="eastAsia" w:hAnsi="宋体"/>
          <w:color w:val="auto"/>
          <w:sz w:val="28"/>
          <w:szCs w:val="28"/>
        </w:rPr>
        <w:t>：</w:t>
      </w:r>
    </w:p>
    <w:p>
      <w:pPr>
        <w:spacing w:line="700" w:lineRule="atLeast"/>
        <w:ind w:firstLine="560" w:firstLineChars="200"/>
        <w:rPr>
          <w:rFonts w:hint="eastAsia" w:hAnsi="宋体"/>
          <w:color w:val="auto"/>
          <w:sz w:val="28"/>
          <w:szCs w:val="28"/>
        </w:rPr>
      </w:pPr>
      <w:r>
        <w:rPr>
          <w:rFonts w:hint="eastAsia" w:hAnsi="宋体"/>
          <w:color w:val="auto"/>
          <w:sz w:val="28"/>
          <w:szCs w:val="28"/>
        </w:rPr>
        <w:t>根据国家《中华人民共和国环境影响评价法》、《建设项目环境保护管理条例》和《建设项目环境影响评价分类管理名录》等环保法规及要求，我公司特委托</w:t>
      </w:r>
      <w:r>
        <w:rPr>
          <w:rFonts w:hint="eastAsia" w:hAnsi="宋体"/>
          <w:color w:val="auto"/>
          <w:sz w:val="28"/>
          <w:szCs w:val="28"/>
          <w:lang w:eastAsia="zh-CN"/>
        </w:rPr>
        <w:t>公司</w:t>
      </w:r>
      <w:r>
        <w:rPr>
          <w:rFonts w:hint="eastAsia" w:hAnsi="宋体"/>
          <w:color w:val="auto"/>
          <w:sz w:val="28"/>
          <w:szCs w:val="28"/>
        </w:rPr>
        <w:t>承担“</w:t>
      </w:r>
      <w:r>
        <w:rPr>
          <w:rFonts w:hint="eastAsia" w:hAnsi="宋体"/>
          <w:color w:val="auto"/>
          <w:sz w:val="28"/>
          <w:szCs w:val="28"/>
          <w:lang w:eastAsia="zh-CN"/>
        </w:rPr>
        <w:t>再生资源废品回收加工建设项目</w:t>
      </w:r>
      <w:r>
        <w:rPr>
          <w:rFonts w:hint="eastAsia" w:hAnsi="宋体"/>
          <w:color w:val="auto"/>
          <w:sz w:val="28"/>
          <w:szCs w:val="28"/>
        </w:rPr>
        <w:t>”的环境影响评价工作。</w:t>
      </w:r>
    </w:p>
    <w:p>
      <w:pPr>
        <w:tabs>
          <w:tab w:val="left" w:pos="3360"/>
        </w:tabs>
        <w:spacing w:line="700" w:lineRule="atLeast"/>
        <w:ind w:firstLine="560" w:firstLineChars="200"/>
        <w:rPr>
          <w:rFonts w:hint="eastAsia" w:hAnsi="宋体"/>
          <w:color w:val="auto"/>
          <w:sz w:val="28"/>
          <w:szCs w:val="28"/>
        </w:rPr>
      </w:pPr>
      <w:r>
        <w:rPr>
          <w:rFonts w:hint="eastAsia" w:hAnsi="宋体"/>
          <w:color w:val="auto"/>
          <w:sz w:val="28"/>
          <w:szCs w:val="28"/>
        </w:rPr>
        <w:t>特此委托！</w:t>
      </w:r>
    </w:p>
    <w:p>
      <w:pPr>
        <w:spacing w:line="700" w:lineRule="atLeast"/>
        <w:ind w:firstLine="3480" w:firstLineChars="1450"/>
        <w:rPr>
          <w:rFonts w:hint="eastAsia" w:hAnsi="宋体"/>
          <w:color w:val="auto"/>
          <w:sz w:val="24"/>
        </w:rPr>
      </w:pPr>
    </w:p>
    <w:p>
      <w:pPr>
        <w:spacing w:line="700" w:lineRule="atLeast"/>
        <w:jc w:val="right"/>
        <w:rPr>
          <w:rFonts w:hint="eastAsia" w:hAnsi="宋体"/>
          <w:color w:val="auto"/>
          <w:sz w:val="24"/>
        </w:rPr>
      </w:pPr>
    </w:p>
    <w:p>
      <w:pPr>
        <w:adjustRightInd w:val="0"/>
        <w:spacing w:line="240" w:lineRule="atLeast"/>
        <w:jc w:val="center"/>
        <w:rPr>
          <w:rFonts w:hint="eastAsia" w:hAnsi="宋体"/>
          <w:color w:val="auto"/>
          <w:sz w:val="28"/>
          <w:szCs w:val="28"/>
        </w:rPr>
      </w:pPr>
      <w:r>
        <w:rPr>
          <w:rFonts w:hint="eastAsia" w:hAnsi="宋体"/>
          <w:color w:val="auto"/>
          <w:sz w:val="28"/>
          <w:szCs w:val="28"/>
        </w:rPr>
        <w:t xml:space="preserve">        </w:t>
      </w:r>
      <w:r>
        <w:rPr>
          <w:rFonts w:hint="eastAsia" w:hAnsi="宋体"/>
          <w:color w:val="auto"/>
          <w:sz w:val="28"/>
          <w:szCs w:val="28"/>
          <w:lang w:val="en-US" w:eastAsia="zh-CN"/>
        </w:rPr>
        <w:t xml:space="preserve">                         </w:t>
      </w:r>
      <w:r>
        <w:rPr>
          <w:rFonts w:hint="eastAsia" w:hAnsi="宋体"/>
          <w:color w:val="auto"/>
          <w:sz w:val="28"/>
          <w:szCs w:val="28"/>
          <w:lang w:eastAsia="zh-CN"/>
        </w:rPr>
        <w:t>湖南玉兔钛业新材料有限公司</w:t>
      </w:r>
      <w:r>
        <w:rPr>
          <w:rFonts w:hint="eastAsia" w:hAnsi="宋体"/>
          <w:color w:val="auto"/>
          <w:sz w:val="28"/>
          <w:szCs w:val="28"/>
        </w:rPr>
        <w:t xml:space="preserve">                                                           </w:t>
      </w:r>
    </w:p>
    <w:p>
      <w:pPr>
        <w:pStyle w:val="6"/>
        <w:ind w:left="0" w:leftChars="0" w:firstLine="5600" w:firstLineChars="2000"/>
        <w:rPr>
          <w:rFonts w:hint="eastAsia" w:eastAsia="宋体"/>
          <w:color w:val="auto"/>
          <w:highlight w:val="none"/>
          <w:lang w:eastAsia="zh-CN"/>
        </w:rPr>
        <w:sectPr>
          <w:pgSz w:w="11906" w:h="16838"/>
          <w:pgMar w:top="1440" w:right="1800" w:bottom="1440" w:left="1800" w:header="851" w:footer="992" w:gutter="0"/>
          <w:pgNumType w:fmt="decimal"/>
          <w:cols w:space="425" w:num="1"/>
          <w:docGrid w:type="lines" w:linePitch="312" w:charSpace="0"/>
        </w:sectPr>
      </w:pPr>
      <w:r>
        <w:rPr>
          <w:rFonts w:hint="eastAsia" w:hAnsi="宋体"/>
          <w:color w:val="auto"/>
          <w:sz w:val="28"/>
          <w:szCs w:val="28"/>
        </w:rPr>
        <w:t>202</w:t>
      </w:r>
      <w:r>
        <w:rPr>
          <w:rFonts w:hint="eastAsia" w:hAnsi="宋体"/>
          <w:color w:val="auto"/>
          <w:sz w:val="28"/>
          <w:szCs w:val="28"/>
          <w:lang w:val="en-US" w:eastAsia="zh-CN"/>
        </w:rPr>
        <w:t>3</w:t>
      </w:r>
      <w:r>
        <w:rPr>
          <w:rFonts w:hint="eastAsia" w:hAnsi="宋体"/>
          <w:color w:val="auto"/>
          <w:sz w:val="28"/>
          <w:szCs w:val="28"/>
        </w:rPr>
        <w:t>年</w:t>
      </w:r>
      <w:r>
        <w:rPr>
          <w:rFonts w:hint="eastAsia" w:hAnsi="宋体"/>
          <w:color w:val="auto"/>
          <w:sz w:val="28"/>
          <w:szCs w:val="28"/>
          <w:lang w:val="en-US" w:eastAsia="zh-CN"/>
        </w:rPr>
        <w:t>7</w:t>
      </w:r>
      <w:r>
        <w:rPr>
          <w:rFonts w:hint="eastAsia" w:hAnsi="宋体"/>
          <w:color w:val="auto"/>
          <w:sz w:val="28"/>
          <w:szCs w:val="28"/>
        </w:rPr>
        <w:t>月</w:t>
      </w:r>
      <w:r>
        <w:rPr>
          <w:rFonts w:hint="eastAsia" w:hAnsi="宋体"/>
          <w:color w:val="auto"/>
          <w:sz w:val="28"/>
          <w:szCs w:val="28"/>
          <w:lang w:val="en-US" w:eastAsia="zh-CN"/>
        </w:rPr>
        <w:t>16</w:t>
      </w:r>
      <w:r>
        <w:rPr>
          <w:rFonts w:hint="eastAsia" w:hAnsi="宋体"/>
          <w:color w:val="auto"/>
          <w:sz w:val="28"/>
          <w:szCs w:val="28"/>
        </w:rPr>
        <w:t>日</w:t>
      </w:r>
    </w:p>
    <w:p>
      <w:pPr>
        <w:pStyle w:val="2"/>
        <w:spacing w:line="360" w:lineRule="auto"/>
        <w:jc w:val="left"/>
        <w:rPr>
          <w:color w:val="auto"/>
          <w:sz w:val="28"/>
          <w:szCs w:val="28"/>
          <w:highlight w:val="none"/>
        </w:rPr>
      </w:pPr>
      <w:bookmarkStart w:id="83" w:name="_Toc1594"/>
      <w:bookmarkStart w:id="84" w:name="_Toc18761"/>
      <w:bookmarkStart w:id="85" w:name="_Toc15442"/>
      <w:bookmarkStart w:id="86" w:name="_Toc17959"/>
      <w:bookmarkStart w:id="87" w:name="_Toc22798"/>
      <w:bookmarkStart w:id="88" w:name="_Toc29116"/>
      <w:r>
        <w:rPr>
          <w:color w:val="auto"/>
          <w:sz w:val="28"/>
          <w:szCs w:val="28"/>
          <w:highlight w:val="none"/>
        </w:rPr>
        <w:t>附件2 营业执照</w:t>
      </w:r>
      <w:bookmarkEnd w:id="83"/>
      <w:bookmarkEnd w:id="84"/>
      <w:bookmarkEnd w:id="85"/>
      <w:bookmarkEnd w:id="86"/>
      <w:bookmarkEnd w:id="87"/>
      <w:bookmarkEnd w:id="88"/>
    </w:p>
    <w:p>
      <w:pPr>
        <w:bidi w:val="0"/>
        <w:rPr>
          <w:rFonts w:hint="eastAsia" w:eastAsiaTheme="minorEastAsia"/>
          <w:color w:val="auto"/>
          <w:highlight w:val="none"/>
          <w:lang w:eastAsia="zh-CN"/>
        </w:rPr>
        <w:sectPr>
          <w:pgSz w:w="11906" w:h="16838"/>
          <w:pgMar w:top="1440" w:right="1800" w:bottom="1440" w:left="1800" w:header="851" w:footer="992" w:gutter="0"/>
          <w:pgNumType w:fmt="decimal"/>
          <w:cols w:space="425" w:num="1"/>
          <w:docGrid w:type="lines" w:linePitch="312" w:charSpace="0"/>
        </w:sectPr>
      </w:pPr>
      <w:r>
        <w:rPr>
          <w:rFonts w:hint="eastAsia" w:ascii="仿宋" w:hAnsi="仿宋" w:eastAsia="仿宋" w:cs="仿宋"/>
          <w:b w:val="0"/>
          <w:bCs/>
          <w:sz w:val="32"/>
          <w:szCs w:val="32"/>
        </w:rPr>
        <w:drawing>
          <wp:inline distT="0" distB="0" distL="114300" distR="114300">
            <wp:extent cx="6790055" cy="5092065"/>
            <wp:effectExtent l="0" t="0" r="13335" b="10795"/>
            <wp:docPr id="18" name="图片 18" descr="08437707cc1745a16f88b83e1d32a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08437707cc1745a16f88b83e1d32a21"/>
                    <pic:cNvPicPr>
                      <a:picLocks noChangeAspect="1"/>
                    </pic:cNvPicPr>
                  </pic:nvPicPr>
                  <pic:blipFill>
                    <a:blip r:embed="rId18"/>
                    <a:stretch>
                      <a:fillRect/>
                    </a:stretch>
                  </pic:blipFill>
                  <pic:spPr>
                    <a:xfrm rot="5400000">
                      <a:off x="0" y="0"/>
                      <a:ext cx="6790055" cy="5092065"/>
                    </a:xfrm>
                    <a:prstGeom prst="rect">
                      <a:avLst/>
                    </a:prstGeom>
                  </pic:spPr>
                </pic:pic>
              </a:graphicData>
            </a:graphic>
          </wp:inline>
        </w:drawing>
      </w:r>
    </w:p>
    <w:p>
      <w:pPr>
        <w:pStyle w:val="2"/>
        <w:spacing w:line="360" w:lineRule="auto"/>
        <w:jc w:val="left"/>
        <w:rPr>
          <w:rFonts w:hint="eastAsia" w:ascii="Times New Roman" w:hAnsi="Times New Roman" w:eastAsia="宋体" w:cs="Times New Roman"/>
          <w:color w:val="auto"/>
          <w:sz w:val="28"/>
          <w:szCs w:val="28"/>
          <w:highlight w:val="none"/>
          <w:lang w:val="en-US" w:eastAsia="zh-CN"/>
        </w:rPr>
      </w:pPr>
      <w:bookmarkStart w:id="89" w:name="_Toc4444"/>
      <w:bookmarkStart w:id="90" w:name="_Toc16764"/>
      <w:bookmarkStart w:id="91" w:name="_Toc21196"/>
      <w:bookmarkStart w:id="92" w:name="_Toc1211"/>
      <w:bookmarkStart w:id="93" w:name="_Toc29772"/>
      <w:bookmarkStart w:id="94" w:name="_Toc15964"/>
      <w:bookmarkStart w:id="95" w:name="_Toc26939"/>
      <w:r>
        <w:rPr>
          <w:rFonts w:hint="eastAsia" w:ascii="Times New Roman" w:hAnsi="Times New Roman" w:eastAsia="宋体" w:cs="Times New Roman"/>
          <w:color w:val="auto"/>
          <w:sz w:val="28"/>
          <w:szCs w:val="28"/>
          <w:highlight w:val="none"/>
        </w:rPr>
        <w:t xml:space="preserve">附件3 </w:t>
      </w:r>
      <w:r>
        <w:rPr>
          <w:rFonts w:hint="eastAsia" w:ascii="Times New Roman" w:hAnsi="Times New Roman" w:eastAsia="宋体" w:cs="Times New Roman"/>
          <w:color w:val="auto"/>
          <w:sz w:val="28"/>
          <w:szCs w:val="28"/>
          <w:highlight w:val="none"/>
          <w:lang w:val="en-US" w:eastAsia="zh-CN"/>
        </w:rPr>
        <w:t>厂</w:t>
      </w:r>
      <w:bookmarkEnd w:id="89"/>
      <w:bookmarkEnd w:id="90"/>
      <w:bookmarkEnd w:id="91"/>
      <w:bookmarkEnd w:id="92"/>
      <w:bookmarkEnd w:id="93"/>
      <w:r>
        <w:rPr>
          <w:rFonts w:hint="eastAsia" w:ascii="Times New Roman" w:hAnsi="Times New Roman" w:eastAsia="宋体" w:cs="Times New Roman"/>
          <w:color w:val="auto"/>
          <w:sz w:val="28"/>
          <w:szCs w:val="28"/>
          <w:highlight w:val="none"/>
          <w:lang w:val="en-US" w:eastAsia="zh-CN"/>
        </w:rPr>
        <w:t>区用地资料</w:t>
      </w:r>
      <w:bookmarkEnd w:id="94"/>
      <w:bookmarkEnd w:id="95"/>
    </w:p>
    <w:p>
      <w:pPr>
        <w:rPr>
          <w:rFonts w:hint="eastAsia" w:ascii="仿宋" w:hAnsi="仿宋" w:eastAsia="仿宋" w:cs="仿宋"/>
          <w:b w:val="0"/>
          <w:bCs/>
          <w:sz w:val="32"/>
          <w:szCs w:val="32"/>
        </w:rPr>
      </w:pPr>
      <w:r>
        <w:rPr>
          <w:rFonts w:hint="eastAsia" w:ascii="仿宋" w:hAnsi="仿宋" w:eastAsia="仿宋" w:cs="仿宋"/>
          <w:b w:val="0"/>
          <w:bCs/>
          <w:sz w:val="32"/>
          <w:szCs w:val="32"/>
        </w:rPr>
        <w:drawing>
          <wp:inline distT="0" distB="0" distL="114300" distR="114300">
            <wp:extent cx="7092950" cy="5319395"/>
            <wp:effectExtent l="0" t="0" r="14605" b="12700"/>
            <wp:docPr id="2" name="图片 2" descr="6838ba7b2bf91e7df98f03884dc7c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838ba7b2bf91e7df98f03884dc7c62"/>
                    <pic:cNvPicPr>
                      <a:picLocks noChangeAspect="1"/>
                    </pic:cNvPicPr>
                  </pic:nvPicPr>
                  <pic:blipFill>
                    <a:blip r:embed="rId19"/>
                    <a:stretch>
                      <a:fillRect/>
                    </a:stretch>
                  </pic:blipFill>
                  <pic:spPr>
                    <a:xfrm rot="5400000">
                      <a:off x="0" y="0"/>
                      <a:ext cx="7092950" cy="5319395"/>
                    </a:xfrm>
                    <a:prstGeom prst="rect">
                      <a:avLst/>
                    </a:prstGeom>
                  </pic:spPr>
                </pic:pic>
              </a:graphicData>
            </a:graphic>
          </wp:inline>
        </w:drawing>
      </w:r>
      <w:r>
        <w:rPr>
          <w:rFonts w:hint="eastAsia" w:ascii="仿宋" w:hAnsi="仿宋" w:eastAsia="仿宋" w:cs="仿宋"/>
          <w:b w:val="0"/>
          <w:bCs/>
          <w:sz w:val="32"/>
          <w:szCs w:val="32"/>
        </w:rPr>
        <w:drawing>
          <wp:inline distT="0" distB="0" distL="114300" distR="114300">
            <wp:extent cx="7112635" cy="5334000"/>
            <wp:effectExtent l="0" t="0" r="0" b="12065"/>
            <wp:docPr id="3" name="图片 3" descr="75eb2deb5ea2f2e949e3886cfdaa0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75eb2deb5ea2f2e949e3886cfdaa04e"/>
                    <pic:cNvPicPr>
                      <a:picLocks noChangeAspect="1"/>
                    </pic:cNvPicPr>
                  </pic:nvPicPr>
                  <pic:blipFill>
                    <a:blip r:embed="rId20"/>
                    <a:stretch>
                      <a:fillRect/>
                    </a:stretch>
                  </pic:blipFill>
                  <pic:spPr>
                    <a:xfrm rot="5400000">
                      <a:off x="0" y="0"/>
                      <a:ext cx="7112635" cy="5334000"/>
                    </a:xfrm>
                    <a:prstGeom prst="rect">
                      <a:avLst/>
                    </a:prstGeom>
                  </pic:spPr>
                </pic:pic>
              </a:graphicData>
            </a:graphic>
          </wp:inline>
        </w:drawing>
      </w:r>
      <w:r>
        <w:rPr>
          <w:rFonts w:hint="eastAsia" w:ascii="仿宋" w:hAnsi="仿宋" w:eastAsia="仿宋" w:cs="仿宋"/>
          <w:b w:val="0"/>
          <w:bCs/>
          <w:sz w:val="32"/>
          <w:szCs w:val="32"/>
        </w:rPr>
        <w:drawing>
          <wp:inline distT="0" distB="0" distL="114300" distR="114300">
            <wp:extent cx="7051040" cy="5288280"/>
            <wp:effectExtent l="0" t="0" r="7620" b="16510"/>
            <wp:docPr id="26" name="图片 26" descr="316e12c6e07527965c48a00c9e0ba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316e12c6e07527965c48a00c9e0bac3"/>
                    <pic:cNvPicPr>
                      <a:picLocks noChangeAspect="1"/>
                    </pic:cNvPicPr>
                  </pic:nvPicPr>
                  <pic:blipFill>
                    <a:blip r:embed="rId21"/>
                    <a:stretch>
                      <a:fillRect/>
                    </a:stretch>
                  </pic:blipFill>
                  <pic:spPr>
                    <a:xfrm rot="5400000">
                      <a:off x="0" y="0"/>
                      <a:ext cx="7051040" cy="5288280"/>
                    </a:xfrm>
                    <a:prstGeom prst="rect">
                      <a:avLst/>
                    </a:prstGeom>
                  </pic:spPr>
                </pic:pic>
              </a:graphicData>
            </a:graphic>
          </wp:inline>
        </w:drawing>
      </w:r>
      <w:r>
        <w:rPr>
          <w:rFonts w:hint="eastAsia" w:ascii="仿宋" w:hAnsi="仿宋" w:eastAsia="仿宋" w:cs="仿宋"/>
          <w:b w:val="0"/>
          <w:bCs/>
          <w:sz w:val="32"/>
          <w:szCs w:val="32"/>
        </w:rPr>
        <w:drawing>
          <wp:inline distT="0" distB="0" distL="114300" distR="114300">
            <wp:extent cx="6979285" cy="5234305"/>
            <wp:effectExtent l="0" t="0" r="4445" b="12065"/>
            <wp:docPr id="4" name="图片 4" descr="7ed72e25045243e293f4a5f8faa727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7ed72e25045243e293f4a5f8faa727c"/>
                    <pic:cNvPicPr>
                      <a:picLocks noChangeAspect="1"/>
                    </pic:cNvPicPr>
                  </pic:nvPicPr>
                  <pic:blipFill>
                    <a:blip r:embed="rId22"/>
                    <a:stretch>
                      <a:fillRect/>
                    </a:stretch>
                  </pic:blipFill>
                  <pic:spPr>
                    <a:xfrm rot="5400000">
                      <a:off x="0" y="0"/>
                      <a:ext cx="6979285" cy="5234305"/>
                    </a:xfrm>
                    <a:prstGeom prst="rect">
                      <a:avLst/>
                    </a:prstGeom>
                  </pic:spPr>
                </pic:pic>
              </a:graphicData>
            </a:graphic>
          </wp:inline>
        </w:drawing>
      </w:r>
      <w:r>
        <w:rPr>
          <w:rFonts w:hint="eastAsia" w:ascii="仿宋" w:hAnsi="仿宋" w:eastAsia="仿宋" w:cs="仿宋"/>
          <w:b w:val="0"/>
          <w:bCs/>
          <w:sz w:val="32"/>
          <w:szCs w:val="32"/>
        </w:rPr>
        <w:drawing>
          <wp:inline distT="0" distB="0" distL="114300" distR="114300">
            <wp:extent cx="7303135" cy="5476875"/>
            <wp:effectExtent l="0" t="0" r="9525" b="12065"/>
            <wp:docPr id="7" name="图片 7" descr="9f995e323d7d4c40cd3b48484db3e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9f995e323d7d4c40cd3b48484db3e62"/>
                    <pic:cNvPicPr>
                      <a:picLocks noChangeAspect="1"/>
                    </pic:cNvPicPr>
                  </pic:nvPicPr>
                  <pic:blipFill>
                    <a:blip r:embed="rId23"/>
                    <a:stretch>
                      <a:fillRect/>
                    </a:stretch>
                  </pic:blipFill>
                  <pic:spPr>
                    <a:xfrm rot="5400000">
                      <a:off x="0" y="0"/>
                      <a:ext cx="7303135" cy="5476875"/>
                    </a:xfrm>
                    <a:prstGeom prst="rect">
                      <a:avLst/>
                    </a:prstGeom>
                  </pic:spPr>
                </pic:pic>
              </a:graphicData>
            </a:graphic>
          </wp:inline>
        </w:drawing>
      </w:r>
    </w:p>
    <w:p>
      <w:pPr>
        <w:rPr>
          <w:rFonts w:hint="eastAsia"/>
          <w:color w:val="auto"/>
          <w:highlight w:val="none"/>
          <w:lang w:val="en-US" w:eastAsia="zh-CN"/>
        </w:rPr>
      </w:pPr>
      <w:r>
        <w:rPr>
          <w:rFonts w:hint="eastAsia"/>
          <w:color w:val="auto"/>
          <w:highlight w:val="none"/>
          <w:lang w:val="en-US" w:eastAsia="zh-CN"/>
        </w:rPr>
        <w:t xml:space="preserve">  </w:t>
      </w: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eastAsia"/>
          <w:color w:val="auto"/>
          <w:highlight w:val="none"/>
          <w:lang w:val="en-US" w:eastAsia="zh-CN"/>
        </w:rPr>
      </w:pPr>
    </w:p>
    <w:p>
      <w:pPr>
        <w:rPr>
          <w:rFonts w:hint="default"/>
          <w:color w:val="auto"/>
          <w:highlight w:val="none"/>
          <w:lang w:val="en-US" w:eastAsia="zh-CN"/>
        </w:rPr>
      </w:pPr>
    </w:p>
    <w:p>
      <w:pPr>
        <w:rPr>
          <w:color w:val="auto"/>
          <w:highlight w:val="none"/>
        </w:rPr>
        <w:sectPr>
          <w:pgSz w:w="11906" w:h="16838"/>
          <w:pgMar w:top="1440" w:right="1800" w:bottom="1440" w:left="1800" w:header="851" w:footer="992" w:gutter="0"/>
          <w:pgNumType w:fmt="decimal"/>
          <w:cols w:space="425" w:num="1"/>
          <w:docGrid w:type="lines" w:linePitch="312" w:charSpace="0"/>
        </w:sectPr>
      </w:pPr>
    </w:p>
    <w:p>
      <w:pPr>
        <w:pStyle w:val="2"/>
        <w:spacing w:line="360" w:lineRule="auto"/>
        <w:jc w:val="left"/>
        <w:rPr>
          <w:color w:val="auto"/>
          <w:sz w:val="28"/>
          <w:szCs w:val="28"/>
          <w:highlight w:val="none"/>
        </w:rPr>
      </w:pPr>
      <w:bookmarkStart w:id="96" w:name="_Toc13831"/>
      <w:bookmarkStart w:id="97" w:name="_Toc21453"/>
      <w:bookmarkStart w:id="98" w:name="_Toc413"/>
      <w:r>
        <w:rPr>
          <w:color w:val="auto"/>
          <w:sz w:val="28"/>
          <w:szCs w:val="28"/>
          <w:highlight w:val="none"/>
        </w:rPr>
        <w:t>附件</w:t>
      </w:r>
      <w:r>
        <w:rPr>
          <w:rFonts w:hint="eastAsia"/>
          <w:color w:val="auto"/>
          <w:sz w:val="28"/>
          <w:szCs w:val="28"/>
          <w:highlight w:val="none"/>
          <w:lang w:val="en-US" w:eastAsia="zh-CN"/>
        </w:rPr>
        <w:t>4</w:t>
      </w:r>
      <w:r>
        <w:rPr>
          <w:rFonts w:hint="eastAsia"/>
          <w:color w:val="auto"/>
          <w:sz w:val="28"/>
          <w:szCs w:val="28"/>
          <w:highlight w:val="none"/>
        </w:rPr>
        <w:t xml:space="preserve"> 环境现状</w:t>
      </w:r>
      <w:r>
        <w:rPr>
          <w:color w:val="auto"/>
          <w:sz w:val="28"/>
          <w:szCs w:val="28"/>
          <w:highlight w:val="none"/>
        </w:rPr>
        <w:t>检测报告</w:t>
      </w:r>
      <w:bookmarkEnd w:id="96"/>
      <w:bookmarkEnd w:id="97"/>
      <w:bookmarkEnd w:id="98"/>
    </w:p>
    <w:p>
      <w:pPr>
        <w:pStyle w:val="6"/>
        <w:ind w:left="0" w:leftChars="0" w:firstLine="0" w:firstLineChars="0"/>
        <w:rPr>
          <w:color w:val="auto"/>
          <w:highlight w:val="none"/>
        </w:rPr>
      </w:pPr>
    </w:p>
    <w:p>
      <w:pPr>
        <w:pStyle w:val="6"/>
        <w:ind w:left="0" w:leftChars="0" w:firstLine="0" w:firstLineChars="0"/>
        <w:rPr>
          <w:color w:val="auto"/>
          <w:highlight w:val="none"/>
        </w:rPr>
        <w:sectPr>
          <w:pgSz w:w="11906" w:h="16838"/>
          <w:pgMar w:top="1440" w:right="1800" w:bottom="1440" w:left="1800" w:header="851" w:footer="992" w:gutter="0"/>
          <w:pgNumType w:fmt="decimal"/>
          <w:cols w:space="425" w:num="1"/>
          <w:docGrid w:type="lines" w:linePitch="312" w:charSpace="0"/>
        </w:sectPr>
      </w:pPr>
    </w:p>
    <w:p>
      <w:pPr>
        <w:bidi w:val="0"/>
        <w:rPr>
          <w:rFonts w:hint="eastAsia"/>
          <w:lang w:eastAsia="zh-CN"/>
        </w:rPr>
      </w:pPr>
    </w:p>
    <w:sectPr>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0"/>
    <w:family w:val="auto"/>
    <w:pitch w:val="default"/>
    <w:sig w:usb0="E0002AFF" w:usb1="C0007841" w:usb2="00000009" w:usb3="00000000" w:csb0="400001FF" w:csb1="FFFF0000"/>
  </w:font>
  <w:font w:name="宋体">
    <w:panose1 w:val="02010600030101010101"/>
    <w:charset w:val="34"/>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仿宋_GB2312">
    <w:altName w:val="仿宋"/>
    <w:panose1 w:val="02010609030101010101"/>
    <w:charset w:val="86"/>
    <w:family w:val="modern"/>
    <w:pitch w:val="default"/>
    <w:sig w:usb0="00000000" w:usb1="00000000" w:usb2="00000010" w:usb3="00000000" w:csb0="00040000" w:csb1="00000000"/>
  </w:font>
  <w:font w:name="Corbel">
    <w:panose1 w:val="020B0503020204020204"/>
    <w:charset w:val="00"/>
    <w:family w:val="swiss"/>
    <w:pitch w:val="default"/>
    <w:sig w:usb0="A00002EF" w:usb1="4000A44B" w:usb2="00000000" w:usb3="00000000" w:csb0="2000019F" w:csb1="00000000"/>
  </w:font>
  <w:font w:name="楷体_GB2312">
    <w:altName w:val="楷体"/>
    <w:panose1 w:val="02010609030101010101"/>
    <w:charset w:val="86"/>
    <w:family w:val="modern"/>
    <w:pitch w:val="default"/>
    <w:sig w:usb0="00000000" w:usb1="00000000" w:usb2="00000010" w:usb3="00000000" w:csb0="00040000" w:csb1="00000000"/>
  </w:font>
  <w:font w:name="Cambria Math">
    <w:panose1 w:val="02040503050406030204"/>
    <w:charset w:val="00"/>
    <w:family w:val="auto"/>
    <w:pitch w:val="default"/>
    <w:sig w:usb0="E00002FF" w:usb1="420024FF" w:usb2="00000000" w:usb3="00000000" w:csb0="2000019F" w:csb1="00000000"/>
  </w:font>
  <w:font w:name="微软雅黑">
    <w:panose1 w:val="020B0503020204020204"/>
    <w:charset w:val="86"/>
    <w:family w:val="auto"/>
    <w:pitch w:val="default"/>
    <w:sig w:usb0="80000287" w:usb1="280F3C52" w:usb2="00000016" w:usb3="00000000" w:csb0="0004001F" w:csb1="00000000"/>
  </w:font>
  <w:font w:name="仿宋">
    <w:panose1 w:val="02010609060101010101"/>
    <w:charset w:val="86"/>
    <w:family w:val="auto"/>
    <w:pitch w:val="default"/>
    <w:sig w:usb0="800002BF" w:usb1="38CF7CFA" w:usb2="00000016" w:usb3="00000000" w:csb0="00040001" w:csb1="00000000"/>
  </w:font>
  <w:font w:name="楷体">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23" name="文本框 2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16"/>
                          </w:pPr>
                          <w:r>
                            <w:fldChar w:fldCharType="begin"/>
                          </w:r>
                          <w:r>
                            <w:instrText xml:space="preserve"> PAGE  \* MERGEFORMAT </w:instrText>
                          </w:r>
                          <w:r>
                            <w:fldChar w:fldCharType="separate"/>
                          </w:r>
                          <w:r>
                            <w:t>3</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FOJUQ0zAgAAYwQAAA4AAAAAAAAAAQAgAAAAHwEAAGRycy9lMm9Eb2MueG1sUEsF&#10;BgAAAAAGAAYAWQEAAMQFAAAAAA==&#10;">
              <v:fill on="f" focussize="0,0"/>
              <v:stroke on="f" weight="0.5pt"/>
              <v:imagedata o:title=""/>
              <o:lock v:ext="edit" aspectratio="f"/>
              <v:textbox inset="0mm,0mm,0mm,0mm" style="mso-fit-shape-to-text:t;">
                <w:txbxContent>
                  <w:p>
                    <w:pPr>
                      <w:pStyle w:val="16"/>
                    </w:pPr>
                    <w:r>
                      <w:fldChar w:fldCharType="begin"/>
                    </w:r>
                    <w:r>
                      <w:instrText xml:space="preserve"> PAGE  \* MERGEFORMAT </w:instrText>
                    </w:r>
                    <w:r>
                      <w:fldChar w:fldCharType="separate"/>
                    </w:r>
                    <w:r>
                      <w:t>3</w:t>
                    </w:r>
                    <w:r>
                      <w:fldChar w:fldCharType="end"/>
                    </w:r>
                  </w:p>
                </w:txbxContent>
              </v:textbox>
            </v:shape>
          </w:pict>
        </mc:Fallback>
      </mc:AlternateContent>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3DA462B"/>
    <w:multiLevelType w:val="singleLevel"/>
    <w:tmpl w:val="B3DA462B"/>
    <w:lvl w:ilvl="0" w:tentative="0">
      <w:start w:val="5"/>
      <w:numFmt w:val="chineseCounting"/>
      <w:suff w:val="nothing"/>
      <w:lvlText w:val="%1、"/>
      <w:lvlJc w:val="left"/>
      <w:rPr>
        <w:rFonts w:hint="eastAsia"/>
      </w:rPr>
    </w:lvl>
  </w:abstractNum>
  <w:abstractNum w:abstractNumId="1">
    <w:nsid w:val="FB1BF80B"/>
    <w:multiLevelType w:val="singleLevel"/>
    <w:tmpl w:val="FB1BF80B"/>
    <w:lvl w:ilvl="0" w:tentative="0">
      <w:start w:val="1"/>
      <w:numFmt w:val="bullet"/>
      <w:pStyle w:val="11"/>
      <w:lvlText w:val=""/>
      <w:lvlJc w:val="left"/>
      <w:pPr>
        <w:tabs>
          <w:tab w:val="left" w:pos="780"/>
        </w:tabs>
        <w:ind w:left="780" w:hanging="360"/>
      </w:pPr>
      <w:rPr>
        <w:rFonts w:hint="default" w:ascii="Wingdings" w:hAnsi="Wingdings"/>
      </w:rPr>
    </w:lvl>
  </w:abstractNum>
  <w:abstractNum w:abstractNumId="2">
    <w:nsid w:val="0000000E"/>
    <w:multiLevelType w:val="multilevel"/>
    <w:tmpl w:val="0000000E"/>
    <w:lvl w:ilvl="0" w:tentative="0">
      <w:start w:val="1"/>
      <w:numFmt w:val="decimal"/>
      <w:lvlText w:val="%1"/>
      <w:lvlJc w:val="left"/>
      <w:pPr>
        <w:tabs>
          <w:tab w:val="left" w:pos="432"/>
        </w:tabs>
        <w:ind w:left="432" w:hanging="432"/>
      </w:pPr>
      <w:rPr>
        <w:rFonts w:hint="default" w:ascii="Times New Roman" w:hAnsi="Times New Roman" w:cs="Times New Roman"/>
        <w:color w:val="auto"/>
        <w:sz w:val="32"/>
        <w:szCs w:val="32"/>
      </w:rPr>
    </w:lvl>
    <w:lvl w:ilvl="1" w:tentative="0">
      <w:start w:val="1"/>
      <w:numFmt w:val="decimal"/>
      <w:lvlText w:val="%1.%2"/>
      <w:lvlJc w:val="left"/>
      <w:pPr>
        <w:tabs>
          <w:tab w:val="left" w:pos="648"/>
        </w:tabs>
        <w:ind w:left="576" w:hanging="576"/>
      </w:pPr>
      <w:rPr>
        <w:rFonts w:hint="default" w:ascii="Times New Roman" w:hAnsi="Times New Roman" w:cs="Times New Roman"/>
        <w:b/>
        <w:color w:val="auto"/>
        <w:sz w:val="28"/>
        <w:szCs w:val="28"/>
      </w:rPr>
    </w:lvl>
    <w:lvl w:ilvl="2" w:tentative="0">
      <w:start w:val="1"/>
      <w:numFmt w:val="decimal"/>
      <w:pStyle w:val="4"/>
      <w:lvlText w:val="%1.%2.%3"/>
      <w:lvlJc w:val="left"/>
      <w:pPr>
        <w:tabs>
          <w:tab w:val="left" w:pos="432"/>
        </w:tabs>
        <w:ind w:left="432" w:hanging="432"/>
      </w:pPr>
      <w:rPr>
        <w:rFonts w:hint="default" w:ascii="Times New Roman" w:hAnsi="Times New Roman" w:eastAsia="宋体" w:cs="Times New Roman"/>
        <w:b/>
        <w:i w:val="0"/>
        <w:color w:val="auto"/>
        <w:sz w:val="24"/>
        <w:szCs w:val="24"/>
      </w:rPr>
    </w:lvl>
    <w:lvl w:ilvl="3" w:tentative="0">
      <w:start w:val="1"/>
      <w:numFmt w:val="decimal"/>
      <w:lvlText w:val="%1.%2.%3.%4"/>
      <w:lvlJc w:val="left"/>
      <w:pPr>
        <w:tabs>
          <w:tab w:val="left" w:pos="284"/>
        </w:tabs>
        <w:ind w:left="255" w:hanging="198"/>
      </w:pPr>
      <w:rPr>
        <w:rFonts w:hint="default" w:ascii="Times New Roman" w:hAnsi="Times New Roman" w:cs="Times New Roman"/>
      </w:rPr>
    </w:lvl>
    <w:lvl w:ilvl="4" w:tentative="0">
      <w:start w:val="1"/>
      <w:numFmt w:val="decimal"/>
      <w:lvlText w:val="%1.%2.%3.%4.%5"/>
      <w:lvlJc w:val="left"/>
      <w:pPr>
        <w:tabs>
          <w:tab w:val="left" w:pos="1008"/>
        </w:tabs>
        <w:ind w:left="1008" w:hanging="1008"/>
      </w:pPr>
      <w:rPr>
        <w:rFonts w:hint="eastAsia"/>
      </w:rPr>
    </w:lvl>
    <w:lvl w:ilvl="5" w:tentative="0">
      <w:start w:val="1"/>
      <w:numFmt w:val="decimal"/>
      <w:lvlText w:val="%1.%2.%3.%4.%5.%6"/>
      <w:lvlJc w:val="left"/>
      <w:pPr>
        <w:tabs>
          <w:tab w:val="left" w:pos="1152"/>
        </w:tabs>
        <w:ind w:left="1152" w:hanging="1152"/>
      </w:pPr>
      <w:rPr>
        <w:rFonts w:hint="eastAsia"/>
      </w:rPr>
    </w:lvl>
    <w:lvl w:ilvl="6" w:tentative="0">
      <w:start w:val="1"/>
      <w:numFmt w:val="decimal"/>
      <w:lvlText w:val="%1.%2.%3.%4.%5.%6.%7"/>
      <w:lvlJc w:val="left"/>
      <w:pPr>
        <w:tabs>
          <w:tab w:val="left" w:pos="1296"/>
        </w:tabs>
        <w:ind w:left="1296" w:hanging="1296"/>
      </w:pPr>
      <w:rPr>
        <w:rFonts w:hint="eastAsia"/>
      </w:rPr>
    </w:lvl>
    <w:lvl w:ilvl="7" w:tentative="0">
      <w:start w:val="1"/>
      <w:numFmt w:val="decimal"/>
      <w:lvlText w:val="%1.%2.%3.%4.%5.%6.%7.%8"/>
      <w:lvlJc w:val="left"/>
      <w:pPr>
        <w:tabs>
          <w:tab w:val="left" w:pos="1440"/>
        </w:tabs>
        <w:ind w:left="1440" w:hanging="1440"/>
      </w:pPr>
      <w:rPr>
        <w:rFonts w:hint="eastAsia"/>
      </w:rPr>
    </w:lvl>
    <w:lvl w:ilvl="8" w:tentative="0">
      <w:start w:val="1"/>
      <w:numFmt w:val="decimal"/>
      <w:lvlText w:val="%1.%2.%3.%4.%5.%6.%7.%8.%9"/>
      <w:lvlJc w:val="left"/>
      <w:pPr>
        <w:tabs>
          <w:tab w:val="left" w:pos="1584"/>
        </w:tabs>
        <w:ind w:left="1584" w:hanging="1584"/>
      </w:pPr>
      <w:rPr>
        <w:rFonts w:hint="eastAsia"/>
      </w:rPr>
    </w:lvl>
  </w:abstractNum>
  <w:abstractNum w:abstractNumId="3">
    <w:nsid w:val="2EA2E3BC"/>
    <w:multiLevelType w:val="singleLevel"/>
    <w:tmpl w:val="2EA2E3BC"/>
    <w:lvl w:ilvl="0" w:tentative="0">
      <w:start w:val="3"/>
      <w:numFmt w:val="decimal"/>
      <w:suff w:val="nothing"/>
      <w:lvlText w:val="（%1）"/>
      <w:lvlJc w:val="left"/>
    </w:lvl>
  </w:abstractNum>
  <w:abstractNum w:abstractNumId="4">
    <w:nsid w:val="56BE6B53"/>
    <w:multiLevelType w:val="singleLevel"/>
    <w:tmpl w:val="56BE6B53"/>
    <w:lvl w:ilvl="0" w:tentative="0">
      <w:start w:val="3"/>
      <w:numFmt w:val="chineseCounting"/>
      <w:suff w:val="nothing"/>
      <w:lvlText w:val="%1、"/>
      <w:lvlJc w:val="left"/>
      <w:rPr>
        <w:rFonts w:hint="eastAsia"/>
      </w:rPr>
    </w:lvl>
  </w:abstractNum>
  <w:num w:numId="1">
    <w:abstractNumId w:val="2"/>
  </w:num>
  <w:num w:numId="2">
    <w:abstractNumId w:val="1"/>
  </w:num>
  <w:num w:numId="3">
    <w:abstractNumId w:val="3"/>
  </w:num>
  <w:num w:numId="4">
    <w:abstractNumId w:val="4"/>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3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mI1ZmVhYmZjM2U0MjQ0ZjJmMWU1NGQxZjRhMWVjZjgifQ=="/>
    <w:docVar w:name="KSO_WPS_MARK_KEY" w:val="37fa350f-c701-4c47-96f5-7de9840eb911"/>
  </w:docVars>
  <w:rsids>
    <w:rsidRoot w:val="00000000"/>
    <w:rsid w:val="00360E24"/>
    <w:rsid w:val="006F1C92"/>
    <w:rsid w:val="00E0770D"/>
    <w:rsid w:val="01317F69"/>
    <w:rsid w:val="0156177E"/>
    <w:rsid w:val="01864794"/>
    <w:rsid w:val="01955D51"/>
    <w:rsid w:val="01B241D1"/>
    <w:rsid w:val="01BA61B0"/>
    <w:rsid w:val="01C7435C"/>
    <w:rsid w:val="01E366C0"/>
    <w:rsid w:val="0234156B"/>
    <w:rsid w:val="0250621C"/>
    <w:rsid w:val="02764492"/>
    <w:rsid w:val="02DE0327"/>
    <w:rsid w:val="02E9145B"/>
    <w:rsid w:val="03091250"/>
    <w:rsid w:val="032558AB"/>
    <w:rsid w:val="032A2EC2"/>
    <w:rsid w:val="03505073"/>
    <w:rsid w:val="03701033"/>
    <w:rsid w:val="03B86720"/>
    <w:rsid w:val="03D26988"/>
    <w:rsid w:val="04885CA3"/>
    <w:rsid w:val="050463C4"/>
    <w:rsid w:val="052E656D"/>
    <w:rsid w:val="05960D73"/>
    <w:rsid w:val="05C56ED2"/>
    <w:rsid w:val="05CE4396"/>
    <w:rsid w:val="05DE653E"/>
    <w:rsid w:val="06352E5D"/>
    <w:rsid w:val="063E7ECD"/>
    <w:rsid w:val="06E0088A"/>
    <w:rsid w:val="07C713FA"/>
    <w:rsid w:val="080042CC"/>
    <w:rsid w:val="0802440D"/>
    <w:rsid w:val="0838532B"/>
    <w:rsid w:val="08517143"/>
    <w:rsid w:val="085E53BC"/>
    <w:rsid w:val="088C1F29"/>
    <w:rsid w:val="08CE1FBC"/>
    <w:rsid w:val="0948640A"/>
    <w:rsid w:val="0A157CFC"/>
    <w:rsid w:val="0A710A8D"/>
    <w:rsid w:val="0A984BB5"/>
    <w:rsid w:val="0A9926DB"/>
    <w:rsid w:val="0B106E41"/>
    <w:rsid w:val="0B93537C"/>
    <w:rsid w:val="0BDE0106"/>
    <w:rsid w:val="0C1E0271"/>
    <w:rsid w:val="0C923886"/>
    <w:rsid w:val="0CB16402"/>
    <w:rsid w:val="0D0F4ED6"/>
    <w:rsid w:val="0D7D7894"/>
    <w:rsid w:val="0DCA63AF"/>
    <w:rsid w:val="0E0376F9"/>
    <w:rsid w:val="0E6D45AA"/>
    <w:rsid w:val="0E7B3A22"/>
    <w:rsid w:val="0E9E667F"/>
    <w:rsid w:val="0EBD2E3C"/>
    <w:rsid w:val="0EE91E83"/>
    <w:rsid w:val="0F15709A"/>
    <w:rsid w:val="0FC74BFC"/>
    <w:rsid w:val="0FED0EDA"/>
    <w:rsid w:val="0FF241AB"/>
    <w:rsid w:val="102313C5"/>
    <w:rsid w:val="10907E3C"/>
    <w:rsid w:val="109C302B"/>
    <w:rsid w:val="110B2B14"/>
    <w:rsid w:val="110C00AB"/>
    <w:rsid w:val="11416F6F"/>
    <w:rsid w:val="11B00A36"/>
    <w:rsid w:val="11B15434"/>
    <w:rsid w:val="11C70F11"/>
    <w:rsid w:val="122D30E1"/>
    <w:rsid w:val="128833AE"/>
    <w:rsid w:val="12F11306"/>
    <w:rsid w:val="13935ED2"/>
    <w:rsid w:val="13AC347F"/>
    <w:rsid w:val="13BB4E14"/>
    <w:rsid w:val="13C06F2A"/>
    <w:rsid w:val="13D97474"/>
    <w:rsid w:val="13FF5CA5"/>
    <w:rsid w:val="148E4E49"/>
    <w:rsid w:val="149363ED"/>
    <w:rsid w:val="14973B01"/>
    <w:rsid w:val="149E0C82"/>
    <w:rsid w:val="14EF3F6B"/>
    <w:rsid w:val="152410B7"/>
    <w:rsid w:val="1548367B"/>
    <w:rsid w:val="159643E7"/>
    <w:rsid w:val="15C319C3"/>
    <w:rsid w:val="15D6649B"/>
    <w:rsid w:val="16AC2D8D"/>
    <w:rsid w:val="16C86237"/>
    <w:rsid w:val="16D773BA"/>
    <w:rsid w:val="16DE452D"/>
    <w:rsid w:val="18033352"/>
    <w:rsid w:val="18247EA8"/>
    <w:rsid w:val="18422604"/>
    <w:rsid w:val="189741B2"/>
    <w:rsid w:val="18AB2A89"/>
    <w:rsid w:val="18AE37F5"/>
    <w:rsid w:val="18F63A84"/>
    <w:rsid w:val="19151AC7"/>
    <w:rsid w:val="194D74B2"/>
    <w:rsid w:val="19A87926"/>
    <w:rsid w:val="19DC5194"/>
    <w:rsid w:val="1A033902"/>
    <w:rsid w:val="1A2D2F7B"/>
    <w:rsid w:val="1A98650B"/>
    <w:rsid w:val="1ABB5A27"/>
    <w:rsid w:val="1AEA48DA"/>
    <w:rsid w:val="1AFE5D7A"/>
    <w:rsid w:val="1B974A15"/>
    <w:rsid w:val="1CFA2158"/>
    <w:rsid w:val="1D374168"/>
    <w:rsid w:val="1D73399E"/>
    <w:rsid w:val="1E2A1F4B"/>
    <w:rsid w:val="1E3521D5"/>
    <w:rsid w:val="1EC21DA9"/>
    <w:rsid w:val="1EEB0EFF"/>
    <w:rsid w:val="1EEE0DF0"/>
    <w:rsid w:val="1EF45C96"/>
    <w:rsid w:val="1F520C6C"/>
    <w:rsid w:val="1F9D477B"/>
    <w:rsid w:val="20196340"/>
    <w:rsid w:val="208C266E"/>
    <w:rsid w:val="21132D8F"/>
    <w:rsid w:val="215C5EEC"/>
    <w:rsid w:val="21C26E80"/>
    <w:rsid w:val="22652D37"/>
    <w:rsid w:val="22A333AC"/>
    <w:rsid w:val="23040BE2"/>
    <w:rsid w:val="232474D6"/>
    <w:rsid w:val="233D0598"/>
    <w:rsid w:val="239E607B"/>
    <w:rsid w:val="23E6478B"/>
    <w:rsid w:val="241949B5"/>
    <w:rsid w:val="242808E3"/>
    <w:rsid w:val="247B3131"/>
    <w:rsid w:val="24B9532B"/>
    <w:rsid w:val="24BB331B"/>
    <w:rsid w:val="25050C41"/>
    <w:rsid w:val="25090731"/>
    <w:rsid w:val="259C089A"/>
    <w:rsid w:val="25A33471"/>
    <w:rsid w:val="25BA4515"/>
    <w:rsid w:val="25E76599"/>
    <w:rsid w:val="2609650F"/>
    <w:rsid w:val="260C44F0"/>
    <w:rsid w:val="260E7FC9"/>
    <w:rsid w:val="26E759FF"/>
    <w:rsid w:val="27384AB7"/>
    <w:rsid w:val="275639D6"/>
    <w:rsid w:val="279E3173"/>
    <w:rsid w:val="27AE7775"/>
    <w:rsid w:val="27FF7BCA"/>
    <w:rsid w:val="282615FA"/>
    <w:rsid w:val="28687E65"/>
    <w:rsid w:val="286B1703"/>
    <w:rsid w:val="28B1020C"/>
    <w:rsid w:val="29690916"/>
    <w:rsid w:val="298E19D6"/>
    <w:rsid w:val="298F4F7D"/>
    <w:rsid w:val="299C7A57"/>
    <w:rsid w:val="29F45AFE"/>
    <w:rsid w:val="2A117F7D"/>
    <w:rsid w:val="2A3257BD"/>
    <w:rsid w:val="2A3E6001"/>
    <w:rsid w:val="2B0F281A"/>
    <w:rsid w:val="2B620B9B"/>
    <w:rsid w:val="2B6761B2"/>
    <w:rsid w:val="2B71245C"/>
    <w:rsid w:val="2B960845"/>
    <w:rsid w:val="2C175D66"/>
    <w:rsid w:val="2C1E56F0"/>
    <w:rsid w:val="2C6A0BFA"/>
    <w:rsid w:val="2CE35247"/>
    <w:rsid w:val="2D047A30"/>
    <w:rsid w:val="2D0B1F79"/>
    <w:rsid w:val="2D333D21"/>
    <w:rsid w:val="2D3A04E8"/>
    <w:rsid w:val="2D947006"/>
    <w:rsid w:val="2DB3100A"/>
    <w:rsid w:val="2DBB27E5"/>
    <w:rsid w:val="2E0C181B"/>
    <w:rsid w:val="2EC76F67"/>
    <w:rsid w:val="2F4D1B62"/>
    <w:rsid w:val="2FE73D65"/>
    <w:rsid w:val="303D5733"/>
    <w:rsid w:val="30403475"/>
    <w:rsid w:val="30444D13"/>
    <w:rsid w:val="30D422AE"/>
    <w:rsid w:val="317E24A7"/>
    <w:rsid w:val="31D64091"/>
    <w:rsid w:val="32026C34"/>
    <w:rsid w:val="322B10D6"/>
    <w:rsid w:val="325925CC"/>
    <w:rsid w:val="32C43EEA"/>
    <w:rsid w:val="32EC3A5E"/>
    <w:rsid w:val="3321758E"/>
    <w:rsid w:val="336D4581"/>
    <w:rsid w:val="338849BB"/>
    <w:rsid w:val="339C35F9"/>
    <w:rsid w:val="33A06705"/>
    <w:rsid w:val="33C17762"/>
    <w:rsid w:val="33E32A95"/>
    <w:rsid w:val="3449441B"/>
    <w:rsid w:val="34841CFC"/>
    <w:rsid w:val="351F7200"/>
    <w:rsid w:val="358774A3"/>
    <w:rsid w:val="35D00DF7"/>
    <w:rsid w:val="36545C9A"/>
    <w:rsid w:val="36ED33AA"/>
    <w:rsid w:val="36F62AE0"/>
    <w:rsid w:val="37217B5C"/>
    <w:rsid w:val="376E52BC"/>
    <w:rsid w:val="377063EE"/>
    <w:rsid w:val="37873738"/>
    <w:rsid w:val="37906A90"/>
    <w:rsid w:val="37CB5D1A"/>
    <w:rsid w:val="37F7493E"/>
    <w:rsid w:val="38C5276A"/>
    <w:rsid w:val="39070FD4"/>
    <w:rsid w:val="39BF3A57"/>
    <w:rsid w:val="3A464BF3"/>
    <w:rsid w:val="3A505559"/>
    <w:rsid w:val="3A7266A6"/>
    <w:rsid w:val="3ADD73B5"/>
    <w:rsid w:val="3AFC1598"/>
    <w:rsid w:val="3B033531"/>
    <w:rsid w:val="3B201ED9"/>
    <w:rsid w:val="3B3B31B7"/>
    <w:rsid w:val="3B3C653D"/>
    <w:rsid w:val="3BD957CD"/>
    <w:rsid w:val="3C881EB8"/>
    <w:rsid w:val="3C964B49"/>
    <w:rsid w:val="3CCF3BB7"/>
    <w:rsid w:val="3CF7310E"/>
    <w:rsid w:val="3D5B407D"/>
    <w:rsid w:val="3D9170BE"/>
    <w:rsid w:val="3D98669F"/>
    <w:rsid w:val="3DFD5238"/>
    <w:rsid w:val="3E7C38CA"/>
    <w:rsid w:val="3E8D311B"/>
    <w:rsid w:val="3EA32422"/>
    <w:rsid w:val="3EB0628B"/>
    <w:rsid w:val="3F0F0BE2"/>
    <w:rsid w:val="3F3F0AC8"/>
    <w:rsid w:val="3F422D66"/>
    <w:rsid w:val="3F744EE9"/>
    <w:rsid w:val="3F7F1872"/>
    <w:rsid w:val="3F8979BC"/>
    <w:rsid w:val="3FA06772"/>
    <w:rsid w:val="40757A4F"/>
    <w:rsid w:val="40D07B27"/>
    <w:rsid w:val="40E1210B"/>
    <w:rsid w:val="410858E9"/>
    <w:rsid w:val="41C757A4"/>
    <w:rsid w:val="41EF3B6B"/>
    <w:rsid w:val="420E6F2F"/>
    <w:rsid w:val="42352B76"/>
    <w:rsid w:val="42925DB2"/>
    <w:rsid w:val="43911BC6"/>
    <w:rsid w:val="439B27FA"/>
    <w:rsid w:val="44C25999"/>
    <w:rsid w:val="459040FF"/>
    <w:rsid w:val="45A2210C"/>
    <w:rsid w:val="460C0751"/>
    <w:rsid w:val="46E34612"/>
    <w:rsid w:val="47290274"/>
    <w:rsid w:val="478D08F6"/>
    <w:rsid w:val="479D1A9C"/>
    <w:rsid w:val="47BC0AC9"/>
    <w:rsid w:val="47E80223"/>
    <w:rsid w:val="481E3C44"/>
    <w:rsid w:val="48666FEA"/>
    <w:rsid w:val="48A00AFD"/>
    <w:rsid w:val="4916795C"/>
    <w:rsid w:val="495F2766"/>
    <w:rsid w:val="49F51014"/>
    <w:rsid w:val="4A190B67"/>
    <w:rsid w:val="4A5E4B33"/>
    <w:rsid w:val="4A9451A7"/>
    <w:rsid w:val="4AAF6A1F"/>
    <w:rsid w:val="4AB12B4E"/>
    <w:rsid w:val="4AB631A5"/>
    <w:rsid w:val="4B2A3C10"/>
    <w:rsid w:val="4B342571"/>
    <w:rsid w:val="4B5A30A1"/>
    <w:rsid w:val="4B956C94"/>
    <w:rsid w:val="4BB548C0"/>
    <w:rsid w:val="4C414060"/>
    <w:rsid w:val="4C430C40"/>
    <w:rsid w:val="4C580A5D"/>
    <w:rsid w:val="4CDF1BF4"/>
    <w:rsid w:val="4D0A165F"/>
    <w:rsid w:val="4DAA65C5"/>
    <w:rsid w:val="4E326AC0"/>
    <w:rsid w:val="4EA63D69"/>
    <w:rsid w:val="4EE30EFF"/>
    <w:rsid w:val="4F07321C"/>
    <w:rsid w:val="4F284310"/>
    <w:rsid w:val="4F5F4528"/>
    <w:rsid w:val="4FAE6A0C"/>
    <w:rsid w:val="4FB635B4"/>
    <w:rsid w:val="50677928"/>
    <w:rsid w:val="50830AE8"/>
    <w:rsid w:val="50C72850"/>
    <w:rsid w:val="50F31EEA"/>
    <w:rsid w:val="517A013D"/>
    <w:rsid w:val="519C3FCF"/>
    <w:rsid w:val="51E27A91"/>
    <w:rsid w:val="51FF0996"/>
    <w:rsid w:val="53061BE0"/>
    <w:rsid w:val="53DB6E8D"/>
    <w:rsid w:val="53EE716F"/>
    <w:rsid w:val="54224ABC"/>
    <w:rsid w:val="54436F0C"/>
    <w:rsid w:val="54694499"/>
    <w:rsid w:val="54AD082A"/>
    <w:rsid w:val="54EE3F3E"/>
    <w:rsid w:val="55110EE4"/>
    <w:rsid w:val="55115B0E"/>
    <w:rsid w:val="553B5E36"/>
    <w:rsid w:val="555962BC"/>
    <w:rsid w:val="56195360"/>
    <w:rsid w:val="57633422"/>
    <w:rsid w:val="576E3FF6"/>
    <w:rsid w:val="57B9654E"/>
    <w:rsid w:val="57F66044"/>
    <w:rsid w:val="58AB4747"/>
    <w:rsid w:val="59091DA7"/>
    <w:rsid w:val="5B8C61AE"/>
    <w:rsid w:val="5BBA4012"/>
    <w:rsid w:val="5BE1154A"/>
    <w:rsid w:val="5BE471AA"/>
    <w:rsid w:val="5BED775E"/>
    <w:rsid w:val="5C341AE4"/>
    <w:rsid w:val="5CC95649"/>
    <w:rsid w:val="5CE52E17"/>
    <w:rsid w:val="5D0B6E29"/>
    <w:rsid w:val="5D1A51E2"/>
    <w:rsid w:val="5D953CD4"/>
    <w:rsid w:val="5DE47957"/>
    <w:rsid w:val="5DF11787"/>
    <w:rsid w:val="5E7E6D93"/>
    <w:rsid w:val="5E9B16F3"/>
    <w:rsid w:val="5F344365"/>
    <w:rsid w:val="5F7273A4"/>
    <w:rsid w:val="5F730A40"/>
    <w:rsid w:val="5F8D11CA"/>
    <w:rsid w:val="5FA665A1"/>
    <w:rsid w:val="5FE22B59"/>
    <w:rsid w:val="60116111"/>
    <w:rsid w:val="604858AA"/>
    <w:rsid w:val="60546027"/>
    <w:rsid w:val="606A75CF"/>
    <w:rsid w:val="60AC5E39"/>
    <w:rsid w:val="60C223CE"/>
    <w:rsid w:val="60E47381"/>
    <w:rsid w:val="61694E9E"/>
    <w:rsid w:val="61894629"/>
    <w:rsid w:val="61C55311"/>
    <w:rsid w:val="62B94A87"/>
    <w:rsid w:val="62C531E2"/>
    <w:rsid w:val="62DA3805"/>
    <w:rsid w:val="630B32EB"/>
    <w:rsid w:val="63BB7DCA"/>
    <w:rsid w:val="63C91C60"/>
    <w:rsid w:val="63E47698"/>
    <w:rsid w:val="64432611"/>
    <w:rsid w:val="648915B9"/>
    <w:rsid w:val="64AF7CA6"/>
    <w:rsid w:val="64B74DAD"/>
    <w:rsid w:val="64C70877"/>
    <w:rsid w:val="65605444"/>
    <w:rsid w:val="65A76BCF"/>
    <w:rsid w:val="663C1A0D"/>
    <w:rsid w:val="66792D18"/>
    <w:rsid w:val="66A9783B"/>
    <w:rsid w:val="66B71A94"/>
    <w:rsid w:val="66DB4D83"/>
    <w:rsid w:val="66E0683D"/>
    <w:rsid w:val="67807895"/>
    <w:rsid w:val="67B61F9B"/>
    <w:rsid w:val="67C32EA8"/>
    <w:rsid w:val="68664FE4"/>
    <w:rsid w:val="68735E71"/>
    <w:rsid w:val="68932395"/>
    <w:rsid w:val="697F6A24"/>
    <w:rsid w:val="69E95A08"/>
    <w:rsid w:val="6A127846"/>
    <w:rsid w:val="6A141323"/>
    <w:rsid w:val="6A58493C"/>
    <w:rsid w:val="6A5C61DA"/>
    <w:rsid w:val="6A9F0749"/>
    <w:rsid w:val="6AA638F9"/>
    <w:rsid w:val="6AB06526"/>
    <w:rsid w:val="6AB2291A"/>
    <w:rsid w:val="6AFA799D"/>
    <w:rsid w:val="6B225676"/>
    <w:rsid w:val="6B5577B9"/>
    <w:rsid w:val="6B5A7352"/>
    <w:rsid w:val="6BCA5EAF"/>
    <w:rsid w:val="6BD34BC2"/>
    <w:rsid w:val="6C022850"/>
    <w:rsid w:val="6C08703D"/>
    <w:rsid w:val="6C1A0B27"/>
    <w:rsid w:val="6CFA7F2C"/>
    <w:rsid w:val="6D3C1642"/>
    <w:rsid w:val="6D5910F7"/>
    <w:rsid w:val="6D7F6140"/>
    <w:rsid w:val="6E733541"/>
    <w:rsid w:val="6EB552A9"/>
    <w:rsid w:val="6F0E3818"/>
    <w:rsid w:val="6F8D6E36"/>
    <w:rsid w:val="6FB85AA5"/>
    <w:rsid w:val="6FC31379"/>
    <w:rsid w:val="6FDE58E3"/>
    <w:rsid w:val="70131A31"/>
    <w:rsid w:val="70480FAF"/>
    <w:rsid w:val="704D134E"/>
    <w:rsid w:val="705637DF"/>
    <w:rsid w:val="705931BC"/>
    <w:rsid w:val="709A3C22"/>
    <w:rsid w:val="70C920F0"/>
    <w:rsid w:val="70E3437C"/>
    <w:rsid w:val="70F33611"/>
    <w:rsid w:val="70F74EAF"/>
    <w:rsid w:val="718575C1"/>
    <w:rsid w:val="71FB09CF"/>
    <w:rsid w:val="72C866BA"/>
    <w:rsid w:val="72CC4119"/>
    <w:rsid w:val="73500DFC"/>
    <w:rsid w:val="73532145"/>
    <w:rsid w:val="737547B1"/>
    <w:rsid w:val="741E36BE"/>
    <w:rsid w:val="745A54B1"/>
    <w:rsid w:val="746B210A"/>
    <w:rsid w:val="74F53273"/>
    <w:rsid w:val="7507768A"/>
    <w:rsid w:val="75114065"/>
    <w:rsid w:val="75183646"/>
    <w:rsid w:val="755D72AA"/>
    <w:rsid w:val="75875E4A"/>
    <w:rsid w:val="758E5275"/>
    <w:rsid w:val="75BD3DE2"/>
    <w:rsid w:val="75FA45D6"/>
    <w:rsid w:val="760836BA"/>
    <w:rsid w:val="763554A4"/>
    <w:rsid w:val="76415493"/>
    <w:rsid w:val="766E250E"/>
    <w:rsid w:val="76F123A0"/>
    <w:rsid w:val="76FF686B"/>
    <w:rsid w:val="776C7C79"/>
    <w:rsid w:val="77F24C5C"/>
    <w:rsid w:val="77F57C6E"/>
    <w:rsid w:val="786077DD"/>
    <w:rsid w:val="7897184C"/>
    <w:rsid w:val="79053EE1"/>
    <w:rsid w:val="791D4CDE"/>
    <w:rsid w:val="79534C4C"/>
    <w:rsid w:val="79751067"/>
    <w:rsid w:val="7A5349FE"/>
    <w:rsid w:val="7AF21DE3"/>
    <w:rsid w:val="7B095F0A"/>
    <w:rsid w:val="7B3510AB"/>
    <w:rsid w:val="7B4268C2"/>
    <w:rsid w:val="7B884B1F"/>
    <w:rsid w:val="7B8F74E8"/>
    <w:rsid w:val="7BC74659"/>
    <w:rsid w:val="7BE51C17"/>
    <w:rsid w:val="7C04115F"/>
    <w:rsid w:val="7C743857"/>
    <w:rsid w:val="7CFC77C1"/>
    <w:rsid w:val="7DE67B03"/>
    <w:rsid w:val="7E260B81"/>
    <w:rsid w:val="7E61605D"/>
    <w:rsid w:val="7EA63044"/>
    <w:rsid w:val="7EAD4DFF"/>
    <w:rsid w:val="7F6846AF"/>
    <w:rsid w:val="7FA73F44"/>
    <w:rsid w:val="7FD210B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nhideWhenUsed="0" w:uiPriority="0" w:semiHidden="0" w:name="heading 3"/>
    <w:lsdException w:qFormat="1" w:unhideWhenUsed="0" w:uiPriority="1"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nhideWhenUsed="0" w:uiPriority="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qFormat="1" w:unhideWhenUsed="0" w:uiPriority="0" w:semiHidden="0" w:name="table of authorities"/>
    <w:lsdException w:unhideWhenUsed="0" w:uiPriority="0" w:semiHidden="0" w:name="macro"/>
    <w:lsdException w:unhideWhenUsed="0" w:uiPriority="0" w:semiHidden="0" w:name="toa heading"/>
    <w:lsdException w:qFormat="1" w:uiPriority="99"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qFormat="1"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99"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2">
    <w:name w:val="heading 1"/>
    <w:basedOn w:val="1"/>
    <w:next w:val="1"/>
    <w:qFormat/>
    <w:uiPriority w:val="0"/>
    <w:pPr>
      <w:keepNext/>
      <w:keepLines/>
      <w:spacing w:before="340" w:after="330" w:line="576" w:lineRule="auto"/>
      <w:outlineLvl w:val="0"/>
    </w:pPr>
    <w:rPr>
      <w:b/>
      <w:bCs/>
      <w:kern w:val="44"/>
      <w:sz w:val="44"/>
      <w:szCs w:val="44"/>
    </w:rPr>
  </w:style>
  <w:style w:type="paragraph" w:styleId="3">
    <w:name w:val="heading 2"/>
    <w:basedOn w:val="1"/>
    <w:next w:val="1"/>
    <w:unhideWhenUsed/>
    <w:qFormat/>
    <w:uiPriority w:val="0"/>
    <w:pPr>
      <w:spacing w:before="100" w:beforeAutospacing="1" w:after="100" w:afterAutospacing="1"/>
      <w:jc w:val="left"/>
      <w:outlineLvl w:val="1"/>
    </w:pPr>
    <w:rPr>
      <w:rFonts w:hint="eastAsia" w:ascii="宋体" w:hAnsi="宋体" w:eastAsia="宋体" w:cs="宋体"/>
      <w:b/>
      <w:bCs/>
      <w:kern w:val="0"/>
      <w:sz w:val="36"/>
      <w:szCs w:val="36"/>
      <w:lang w:val="en-US" w:eastAsia="zh-CN" w:bidi="ar"/>
    </w:rPr>
  </w:style>
  <w:style w:type="paragraph" w:styleId="4">
    <w:name w:val="heading 3"/>
    <w:basedOn w:val="1"/>
    <w:next w:val="1"/>
    <w:qFormat/>
    <w:uiPriority w:val="0"/>
    <w:pPr>
      <w:keepNext/>
      <w:keepLines/>
      <w:numPr>
        <w:ilvl w:val="2"/>
        <w:numId w:val="1"/>
      </w:numPr>
      <w:jc w:val="left"/>
      <w:outlineLvl w:val="2"/>
    </w:pPr>
    <w:rPr>
      <w:rFonts w:ascii="Cambria" w:hAnsi="Cambria"/>
      <w:b/>
      <w:bCs/>
      <w:szCs w:val="32"/>
    </w:rPr>
  </w:style>
  <w:style w:type="paragraph" w:styleId="5">
    <w:name w:val="heading 4"/>
    <w:basedOn w:val="1"/>
    <w:next w:val="6"/>
    <w:qFormat/>
    <w:uiPriority w:val="1"/>
    <w:pPr>
      <w:ind w:left="1266"/>
      <w:outlineLvl w:val="3"/>
    </w:pPr>
    <w:rPr>
      <w:rFonts w:ascii="宋体" w:hAnsi="宋体" w:eastAsia="宋体" w:cs="宋体"/>
      <w:b/>
      <w:bCs/>
      <w:sz w:val="21"/>
      <w:szCs w:val="21"/>
      <w:lang w:val="zh-CN" w:eastAsia="zh-CN" w:bidi="zh-CN"/>
    </w:rPr>
  </w:style>
  <w:style w:type="character" w:default="1" w:styleId="27">
    <w:name w:val="Default Paragraph Font"/>
    <w:semiHidden/>
    <w:qFormat/>
    <w:uiPriority w:val="0"/>
  </w:style>
  <w:style w:type="table" w:default="1" w:styleId="25">
    <w:name w:val="Normal Table"/>
    <w:semiHidden/>
    <w:qFormat/>
    <w:uiPriority w:val="0"/>
    <w:tblPr>
      <w:tblCellMar>
        <w:top w:w="0" w:type="dxa"/>
        <w:left w:w="108" w:type="dxa"/>
        <w:bottom w:w="0" w:type="dxa"/>
        <w:right w:w="108" w:type="dxa"/>
      </w:tblCellMar>
    </w:tblPr>
  </w:style>
  <w:style w:type="paragraph" w:styleId="6">
    <w:name w:val="Normal Indent"/>
    <w:basedOn w:val="1"/>
    <w:next w:val="5"/>
    <w:qFormat/>
    <w:uiPriority w:val="0"/>
    <w:pPr>
      <w:widowControl w:val="0"/>
      <w:adjustRightInd/>
      <w:snapToGrid/>
      <w:ind w:firstLine="420" w:firstLineChars="200"/>
    </w:pPr>
    <w:rPr>
      <w:sz w:val="32"/>
      <w:szCs w:val="24"/>
    </w:rPr>
  </w:style>
  <w:style w:type="paragraph" w:styleId="7">
    <w:name w:val="table of authorities"/>
    <w:basedOn w:val="1"/>
    <w:next w:val="1"/>
    <w:qFormat/>
    <w:uiPriority w:val="0"/>
  </w:style>
  <w:style w:type="paragraph" w:styleId="8">
    <w:name w:val="annotation text"/>
    <w:basedOn w:val="1"/>
    <w:semiHidden/>
    <w:qFormat/>
    <w:uiPriority w:val="0"/>
    <w:pPr>
      <w:jc w:val="left"/>
    </w:pPr>
    <w:rPr>
      <w:kern w:val="0"/>
      <w:sz w:val="24"/>
      <w:szCs w:val="20"/>
    </w:rPr>
  </w:style>
  <w:style w:type="paragraph" w:styleId="9">
    <w:name w:val="Body Text"/>
    <w:basedOn w:val="1"/>
    <w:next w:val="1"/>
    <w:qFormat/>
    <w:uiPriority w:val="0"/>
    <w:pPr>
      <w:widowControl/>
      <w:snapToGrid w:val="0"/>
      <w:spacing w:before="60" w:after="160" w:line="259" w:lineRule="auto"/>
      <w:ind w:right="113"/>
    </w:pPr>
    <w:rPr>
      <w:kern w:val="0"/>
      <w:sz w:val="18"/>
      <w:szCs w:val="20"/>
    </w:rPr>
  </w:style>
  <w:style w:type="paragraph" w:styleId="10">
    <w:name w:val="Body Text Indent"/>
    <w:basedOn w:val="1"/>
    <w:next w:val="6"/>
    <w:qFormat/>
    <w:uiPriority w:val="0"/>
    <w:pPr>
      <w:spacing w:line="360" w:lineRule="auto"/>
      <w:ind w:firstLine="570"/>
    </w:pPr>
    <w:rPr>
      <w:rFonts w:eastAsia="仿宋_GB2312"/>
      <w:sz w:val="28"/>
      <w:szCs w:val="20"/>
    </w:rPr>
  </w:style>
  <w:style w:type="paragraph" w:styleId="11">
    <w:name w:val="List Bullet 2"/>
    <w:basedOn w:val="1"/>
    <w:next w:val="12"/>
    <w:qFormat/>
    <w:uiPriority w:val="0"/>
    <w:pPr>
      <w:numPr>
        <w:ilvl w:val="0"/>
        <w:numId w:val="2"/>
      </w:numPr>
    </w:pPr>
  </w:style>
  <w:style w:type="paragraph" w:customStyle="1" w:styleId="12">
    <w:name w:val="xl70"/>
    <w:basedOn w:val="1"/>
    <w:next w:val="13"/>
    <w:qFormat/>
    <w:uiPriority w:val="0"/>
    <w:pPr>
      <w:widowControl/>
      <w:spacing w:before="280" w:after="280"/>
    </w:pPr>
    <w:rPr>
      <w:rFonts w:ascii="宋体"/>
    </w:rPr>
  </w:style>
  <w:style w:type="paragraph" w:customStyle="1" w:styleId="13">
    <w:name w:val="正文缩进1"/>
    <w:basedOn w:val="1"/>
    <w:next w:val="14"/>
    <w:qFormat/>
    <w:uiPriority w:val="0"/>
    <w:pPr>
      <w:ind w:firstLine="420"/>
    </w:pPr>
    <w:rPr>
      <w:rFonts w:ascii="宋体"/>
      <w:sz w:val="28"/>
    </w:rPr>
  </w:style>
  <w:style w:type="paragraph" w:customStyle="1" w:styleId="14">
    <w:name w:val="td1"/>
    <w:basedOn w:val="1"/>
    <w:next w:val="1"/>
    <w:qFormat/>
    <w:uiPriority w:val="0"/>
    <w:pPr>
      <w:widowControl/>
      <w:spacing w:before="280" w:after="280" w:line="300" w:lineRule="atLeast"/>
      <w:ind w:firstLine="200"/>
    </w:pPr>
    <w:rPr>
      <w:color w:val="000000"/>
      <w:sz w:val="18"/>
    </w:rPr>
  </w:style>
  <w:style w:type="paragraph" w:styleId="15">
    <w:name w:val="Plain Text"/>
    <w:basedOn w:val="1"/>
    <w:unhideWhenUsed/>
    <w:qFormat/>
    <w:uiPriority w:val="99"/>
    <w:pPr>
      <w:autoSpaceDE/>
      <w:autoSpaceDN/>
      <w:jc w:val="both"/>
    </w:pPr>
    <w:rPr>
      <w:rFonts w:hAnsi="Courier New" w:cs="Courier New"/>
      <w:kern w:val="2"/>
      <w:sz w:val="21"/>
      <w:szCs w:val="21"/>
      <w:lang w:val="en-US" w:bidi="ar-SA"/>
    </w:rPr>
  </w:style>
  <w:style w:type="paragraph" w:styleId="16">
    <w:name w:val="footer"/>
    <w:basedOn w:val="1"/>
    <w:qFormat/>
    <w:uiPriority w:val="99"/>
    <w:pPr>
      <w:tabs>
        <w:tab w:val="center" w:pos="4153"/>
        <w:tab w:val="right" w:pos="8306"/>
      </w:tabs>
      <w:snapToGrid w:val="0"/>
      <w:jc w:val="left"/>
    </w:pPr>
    <w:rPr>
      <w:kern w:val="0"/>
      <w:sz w:val="18"/>
      <w:szCs w:val="20"/>
    </w:rPr>
  </w:style>
  <w:style w:type="paragraph" w:styleId="1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8">
    <w:name w:val="toc 1"/>
    <w:basedOn w:val="1"/>
    <w:next w:val="1"/>
    <w:qFormat/>
    <w:uiPriority w:val="0"/>
  </w:style>
  <w:style w:type="paragraph" w:styleId="19">
    <w:name w:val="List"/>
    <w:basedOn w:val="1"/>
    <w:next w:val="11"/>
    <w:unhideWhenUsed/>
    <w:qFormat/>
    <w:uiPriority w:val="99"/>
    <w:pPr>
      <w:ind w:left="200" w:hanging="200" w:hangingChars="200"/>
      <w:contextualSpacing/>
    </w:pPr>
  </w:style>
  <w:style w:type="paragraph" w:styleId="20">
    <w:name w:val="Body Text Indent 3"/>
    <w:basedOn w:val="1"/>
    <w:qFormat/>
    <w:uiPriority w:val="0"/>
    <w:pPr>
      <w:spacing w:line="460" w:lineRule="exact"/>
      <w:ind w:left="479" w:leftChars="228" w:firstLine="360" w:firstLineChars="150"/>
    </w:pPr>
    <w:rPr>
      <w:rFonts w:ascii="Corbel" w:hAnsi="Corbel"/>
      <w:sz w:val="24"/>
      <w:szCs w:val="20"/>
    </w:rPr>
  </w:style>
  <w:style w:type="paragraph" w:styleId="21">
    <w:name w:val="Normal (Web)"/>
    <w:basedOn w:val="1"/>
    <w:qFormat/>
    <w:uiPriority w:val="0"/>
    <w:pPr>
      <w:widowControl/>
      <w:spacing w:before="100" w:beforeAutospacing="1" w:after="100" w:afterAutospacing="1"/>
      <w:jc w:val="left"/>
    </w:pPr>
    <w:rPr>
      <w:rFonts w:ascii="宋体" w:hAnsi="宋体"/>
      <w:kern w:val="0"/>
      <w:sz w:val="24"/>
      <w:szCs w:val="20"/>
    </w:rPr>
  </w:style>
  <w:style w:type="paragraph" w:styleId="22">
    <w:name w:val="Body Text First Indent 2"/>
    <w:basedOn w:val="10"/>
    <w:next w:val="23"/>
    <w:qFormat/>
    <w:uiPriority w:val="0"/>
    <w:pPr>
      <w:spacing w:after="120" w:line="240" w:lineRule="auto"/>
      <w:ind w:left="420" w:leftChars="200" w:firstLine="420" w:firstLineChars="200"/>
    </w:pPr>
    <w:rPr>
      <w:rFonts w:ascii="Corbel" w:hAnsi="Corbel"/>
      <w:sz w:val="21"/>
    </w:rPr>
  </w:style>
  <w:style w:type="paragraph" w:customStyle="1" w:styleId="23">
    <w:name w:val="Default"/>
    <w:basedOn w:val="24"/>
    <w:next w:val="22"/>
    <w:qFormat/>
    <w:uiPriority w:val="0"/>
    <w:pPr>
      <w:autoSpaceDE w:val="0"/>
      <w:autoSpaceDN w:val="0"/>
    </w:pPr>
    <w:rPr>
      <w:rFonts w:hAnsi="Times New Roman" w:cs="宋体"/>
      <w:color w:val="000000"/>
      <w:sz w:val="24"/>
      <w:szCs w:val="24"/>
    </w:rPr>
  </w:style>
  <w:style w:type="paragraph" w:customStyle="1" w:styleId="24">
    <w:name w:val="标题 段落4级"/>
    <w:qFormat/>
    <w:uiPriority w:val="0"/>
    <w:pPr>
      <w:spacing w:line="500" w:lineRule="exact"/>
      <w:outlineLvl w:val="3"/>
    </w:pPr>
    <w:rPr>
      <w:rFonts w:ascii="Times New Roman" w:hAnsi="Times New Roman" w:eastAsia="仿宋_GB2312" w:cs="Calibri"/>
      <w:b/>
      <w:kern w:val="2"/>
      <w:sz w:val="28"/>
      <w:szCs w:val="24"/>
      <w:lang w:val="en-US" w:eastAsia="zh-CN" w:bidi="ar-SA"/>
    </w:rPr>
  </w:style>
  <w:style w:type="table" w:styleId="26">
    <w:name w:val="Table Grid"/>
    <w:basedOn w:val="2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Hyperlink"/>
    <w:basedOn w:val="27"/>
    <w:qFormat/>
    <w:uiPriority w:val="0"/>
    <w:rPr>
      <w:color w:val="0000FF"/>
      <w:u w:val="single"/>
    </w:rPr>
  </w:style>
  <w:style w:type="paragraph" w:customStyle="1" w:styleId="29">
    <w:name w:val="BT22"/>
    <w:basedOn w:val="3"/>
    <w:next w:val="1"/>
    <w:qFormat/>
    <w:uiPriority w:val="0"/>
    <w:rPr>
      <w:rFonts w:ascii="Times New Roman" w:hAnsi="Times New Roman"/>
      <w:b w:val="0"/>
      <w:sz w:val="20"/>
      <w:szCs w:val="20"/>
    </w:rPr>
  </w:style>
  <w:style w:type="paragraph" w:customStyle="1" w:styleId="30">
    <w:name w:val="T表格内文字"/>
    <w:basedOn w:val="1"/>
    <w:qFormat/>
    <w:uiPriority w:val="0"/>
    <w:pPr>
      <w:jc w:val="center"/>
    </w:pPr>
    <w:rPr>
      <w:rFonts w:ascii="Times New Roman"/>
    </w:rPr>
  </w:style>
  <w:style w:type="paragraph" w:customStyle="1" w:styleId="31">
    <w:name w:val="李正文"/>
    <w:basedOn w:val="1"/>
    <w:qFormat/>
    <w:uiPriority w:val="0"/>
    <w:pPr>
      <w:spacing w:line="360" w:lineRule="auto"/>
      <w:ind w:firstLine="720" w:firstLineChars="200"/>
    </w:pPr>
  </w:style>
  <w:style w:type="paragraph" w:customStyle="1" w:styleId="32">
    <w:name w:val="报告书正文"/>
    <w:basedOn w:val="1"/>
    <w:qFormat/>
    <w:uiPriority w:val="0"/>
    <w:pPr>
      <w:spacing w:line="300" w:lineRule="auto"/>
      <w:ind w:firstLine="200" w:firstLineChars="200"/>
    </w:pPr>
    <w:rPr>
      <w:sz w:val="24"/>
      <w:szCs w:val="20"/>
    </w:rPr>
  </w:style>
  <w:style w:type="paragraph" w:customStyle="1" w:styleId="33">
    <w:name w:val="纯文本1"/>
    <w:basedOn w:val="1"/>
    <w:qFormat/>
    <w:uiPriority w:val="0"/>
    <w:pPr>
      <w:adjustRightInd w:val="0"/>
    </w:pPr>
    <w:rPr>
      <w:rFonts w:ascii="宋体" w:hAnsi="Courier New"/>
      <w:szCs w:val="20"/>
    </w:rPr>
  </w:style>
  <w:style w:type="paragraph" w:customStyle="1" w:styleId="34">
    <w:name w:val="样式 左侧:  0.99 厘米"/>
    <w:basedOn w:val="1"/>
    <w:qFormat/>
    <w:uiPriority w:val="0"/>
    <w:pPr>
      <w:spacing w:line="360" w:lineRule="auto"/>
      <w:jc w:val="left"/>
    </w:pPr>
    <w:rPr>
      <w:rFonts w:ascii="宋体" w:cs="宋体"/>
      <w:sz w:val="28"/>
    </w:rPr>
  </w:style>
  <w:style w:type="paragraph" w:customStyle="1" w:styleId="35">
    <w:name w:val="报告表正文"/>
    <w:basedOn w:val="1"/>
    <w:qFormat/>
    <w:uiPriority w:val="0"/>
    <w:pPr>
      <w:spacing w:line="360" w:lineRule="auto"/>
      <w:ind w:firstLine="200" w:firstLineChars="200"/>
    </w:pPr>
    <w:rPr>
      <w:sz w:val="24"/>
    </w:rPr>
  </w:style>
  <w:style w:type="paragraph" w:customStyle="1" w:styleId="36">
    <w:name w:val="表格"/>
    <w:basedOn w:val="19"/>
    <w:next w:val="1"/>
    <w:qFormat/>
    <w:uiPriority w:val="0"/>
    <w:pPr>
      <w:adjustRightInd w:val="0"/>
      <w:snapToGrid w:val="0"/>
      <w:spacing w:line="240" w:lineRule="auto"/>
      <w:ind w:left="0" w:firstLine="0" w:firstLineChars="0"/>
      <w:jc w:val="center"/>
    </w:pPr>
    <w:rPr>
      <w:rFonts w:ascii="Times New Roman" w:hAnsi="Times New Roman" w:eastAsia="宋体"/>
      <w:kern w:val="0"/>
      <w:sz w:val="21"/>
      <w:szCs w:val="20"/>
    </w:rPr>
  </w:style>
  <w:style w:type="character" w:customStyle="1" w:styleId="37">
    <w:name w:val="T表头 Char"/>
    <w:link w:val="38"/>
    <w:qFormat/>
    <w:uiPriority w:val="0"/>
    <w:rPr>
      <w:b/>
    </w:rPr>
  </w:style>
  <w:style w:type="paragraph" w:customStyle="1" w:styleId="38">
    <w:name w:val="T表头"/>
    <w:basedOn w:val="1"/>
    <w:link w:val="37"/>
    <w:qFormat/>
    <w:uiPriority w:val="0"/>
    <w:pPr>
      <w:jc w:val="center"/>
    </w:pPr>
    <w:rPr>
      <w:b/>
    </w:rPr>
  </w:style>
  <w:style w:type="paragraph" w:customStyle="1" w:styleId="39">
    <w:name w:val="Table Paragraph"/>
    <w:basedOn w:val="1"/>
    <w:qFormat/>
    <w:uiPriority w:val="1"/>
    <w:pPr>
      <w:jc w:val="center"/>
    </w:pPr>
    <w:rPr>
      <w:rFonts w:ascii="宋体" w:hAnsi="宋体" w:cs="宋体"/>
      <w:lang w:val="zh-CN" w:bidi="zh-CN"/>
    </w:rPr>
  </w:style>
  <w:style w:type="paragraph" w:customStyle="1" w:styleId="40">
    <w:name w:val="表题"/>
    <w:basedOn w:val="1"/>
    <w:qFormat/>
    <w:uiPriority w:val="0"/>
    <w:pPr>
      <w:spacing w:afterLines="20"/>
      <w:jc w:val="center"/>
    </w:pPr>
    <w:rPr>
      <w:b/>
      <w:sz w:val="32"/>
    </w:rPr>
  </w:style>
  <w:style w:type="paragraph" w:customStyle="1" w:styleId="41">
    <w:name w:val="国寰正文"/>
    <w:basedOn w:val="1"/>
    <w:qFormat/>
    <w:uiPriority w:val="0"/>
    <w:pPr>
      <w:adjustRightInd w:val="0"/>
      <w:snapToGrid w:val="0"/>
      <w:ind w:firstLine="200" w:firstLineChars="200"/>
    </w:pPr>
    <w:rPr>
      <w:kern w:val="0"/>
    </w:rPr>
  </w:style>
  <w:style w:type="paragraph" w:customStyle="1" w:styleId="42">
    <w:name w:val="正文q"/>
    <w:basedOn w:val="1"/>
    <w:qFormat/>
    <w:uiPriority w:val="0"/>
    <w:pPr>
      <w:ind w:firstLine="200" w:firstLineChars="200"/>
    </w:pPr>
    <w:rPr>
      <w:szCs w:val="22"/>
    </w:rPr>
  </w:style>
  <w:style w:type="paragraph" w:customStyle="1" w:styleId="43">
    <w:name w:val="李表格"/>
    <w:basedOn w:val="1"/>
    <w:qFormat/>
    <w:uiPriority w:val="0"/>
    <w:pPr>
      <w:spacing w:line="240" w:lineRule="auto"/>
      <w:jc w:val="center"/>
    </w:pPr>
    <w:rPr>
      <w:rFonts w:ascii="Times New Roman" w:hAnsi="Times New Roman" w:eastAsia="宋体"/>
      <w:sz w:val="21"/>
    </w:rPr>
  </w:style>
  <w:style w:type="paragraph" w:customStyle="1" w:styleId="44">
    <w:name w:val="表头李"/>
    <w:basedOn w:val="1"/>
    <w:next w:val="36"/>
    <w:qFormat/>
    <w:uiPriority w:val="0"/>
    <w:pPr>
      <w:spacing w:line="240" w:lineRule="auto"/>
      <w:jc w:val="center"/>
    </w:pPr>
    <w:rPr>
      <w:rFonts w:hint="eastAsia" w:ascii="Times New Roman" w:hAnsi="Times New Roman" w:eastAsia="宋体" w:cs="Times New Roman"/>
      <w:b/>
      <w:bCs/>
      <w:kern w:val="2"/>
      <w:sz w:val="21"/>
      <w:szCs w:val="24"/>
      <w:lang w:val="en-US" w:bidi="ar-SA"/>
    </w:rPr>
  </w:style>
  <w:style w:type="paragraph" w:customStyle="1" w:styleId="45">
    <w:name w:val="表 内容"/>
    <w:basedOn w:val="1"/>
    <w:qFormat/>
    <w:uiPriority w:val="0"/>
    <w:pPr>
      <w:adjustRightInd w:val="0"/>
      <w:snapToGrid w:val="0"/>
      <w:spacing w:beforeLines="15" w:afterLines="15"/>
      <w:jc w:val="center"/>
    </w:pPr>
    <w:rPr>
      <w:sz w:val="21"/>
      <w:szCs w:val="21"/>
    </w:rPr>
  </w:style>
  <w:style w:type="paragraph" w:customStyle="1" w:styleId="46">
    <w:name w:val="hks表注"/>
    <w:basedOn w:val="1"/>
    <w:qFormat/>
    <w:uiPriority w:val="0"/>
    <w:pPr>
      <w:adjustRightInd w:val="0"/>
      <w:snapToGrid w:val="0"/>
      <w:spacing w:beforeLines="50"/>
      <w:jc w:val="center"/>
    </w:pPr>
    <w:rPr>
      <w:b/>
      <w:sz w:val="21"/>
      <w:szCs w:val="21"/>
    </w:rPr>
  </w:style>
  <w:style w:type="paragraph" w:customStyle="1" w:styleId="47">
    <w:name w:val="0正文"/>
    <w:unhideWhenUsed/>
    <w:qFormat/>
    <w:uiPriority w:val="0"/>
    <w:pPr>
      <w:widowControl w:val="0"/>
      <w:spacing w:line="360" w:lineRule="auto"/>
      <w:ind w:firstLine="200" w:firstLineChars="200"/>
    </w:pPr>
    <w:rPr>
      <w:rFonts w:ascii="Times New Roman" w:hAnsi="Times New Roman" w:eastAsia="宋体" w:cs="Times New Roman"/>
      <w:sz w:val="24"/>
      <w:szCs w:val="22"/>
      <w:lang w:val="en-US" w:eastAsia="zh-CN" w:bidi="ar-SA"/>
    </w:rPr>
  </w:style>
  <w:style w:type="paragraph" w:customStyle="1" w:styleId="48">
    <w:name w:val="表内文字"/>
    <w:basedOn w:val="1"/>
    <w:next w:val="15"/>
    <w:qFormat/>
    <w:uiPriority w:val="0"/>
    <w:pPr>
      <w:tabs>
        <w:tab w:val="left" w:pos="1350"/>
      </w:tabs>
      <w:autoSpaceDE w:val="0"/>
      <w:autoSpaceDN w:val="0"/>
      <w:spacing w:line="240" w:lineRule="auto"/>
      <w:ind w:firstLine="0" w:firstLineChars="0"/>
      <w:jc w:val="center"/>
    </w:pPr>
    <w:rPr>
      <w:rFonts w:cs="宋体"/>
      <w:sz w:val="21"/>
      <w:szCs w:val="21"/>
    </w:rPr>
  </w:style>
  <w:style w:type="paragraph" w:customStyle="1" w:styleId="49">
    <w:name w:val="正文 首行缩进:  2 字符"/>
    <w:basedOn w:val="1"/>
    <w:qFormat/>
    <w:uiPriority w:val="0"/>
    <w:pPr>
      <w:ind w:firstLine="579" w:firstLineChars="200"/>
    </w:pPr>
    <w:rPr>
      <w:rFonts w:ascii="Times New Roman" w:hAnsi="Times New Roman" w:cs="宋体"/>
      <w:sz w:val="28"/>
      <w:szCs w:val="20"/>
    </w:rPr>
  </w:style>
  <w:style w:type="paragraph" w:customStyle="1" w:styleId="50">
    <w:name w:val="a正文"/>
    <w:basedOn w:val="1"/>
    <w:qFormat/>
    <w:uiPriority w:val="0"/>
    <w:pPr>
      <w:spacing w:line="360" w:lineRule="auto"/>
      <w:ind w:firstLine="200" w:firstLineChars="200"/>
    </w:pPr>
    <w:rPr>
      <w:kern w:val="0"/>
    </w:rPr>
  </w:style>
  <w:style w:type="paragraph" w:customStyle="1" w:styleId="51">
    <w:name w:val="表字居中"/>
    <w:basedOn w:val="1"/>
    <w:qFormat/>
    <w:uiPriority w:val="0"/>
    <w:pPr>
      <w:jc w:val="center"/>
    </w:pPr>
  </w:style>
  <w:style w:type="paragraph" w:customStyle="1" w:styleId="52">
    <w:name w:val="hks表格"/>
    <w:basedOn w:val="36"/>
    <w:qFormat/>
    <w:uiPriority w:val="0"/>
    <w:pPr>
      <w:jc w:val="center"/>
    </w:pPr>
    <w:rPr>
      <w:kern w:val="2"/>
      <w:szCs w:val="21"/>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png"/><Relationship Id="rId6" Type="http://schemas.openxmlformats.org/officeDocument/2006/relationships/image" Target="media/image2.png"/><Relationship Id="rId5" Type="http://schemas.openxmlformats.org/officeDocument/2006/relationships/image" Target="media/image1.png"/><Relationship Id="rId4" Type="http://schemas.openxmlformats.org/officeDocument/2006/relationships/theme" Target="theme/theme1.xml"/><Relationship Id="rId3" Type="http://schemas.openxmlformats.org/officeDocument/2006/relationships/footer" Target="footer1.xml"/><Relationship Id="rId26" Type="http://schemas.openxmlformats.org/officeDocument/2006/relationships/fontTable" Target="fontTable.xml"/><Relationship Id="rId25" Type="http://schemas.openxmlformats.org/officeDocument/2006/relationships/numbering" Target="numbering.xml"/><Relationship Id="rId24" Type="http://schemas.openxmlformats.org/officeDocument/2006/relationships/customXml" Target="../customXml/item1.xml"/><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emf"/><Relationship Id="rId12" Type="http://schemas.openxmlformats.org/officeDocument/2006/relationships/oleObject" Target="embeddings/oleObject1.bin"/><Relationship Id="rId11" Type="http://schemas.openxmlformats.org/officeDocument/2006/relationships/image" Target="media/image7.png"/><Relationship Id="rId10" Type="http://schemas.openxmlformats.org/officeDocument/2006/relationships/image" Target="media/image6.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75</Pages>
  <Words>25757</Words>
  <Characters>27958</Characters>
  <Lines>0</Lines>
  <Paragraphs>0</Paragraphs>
  <TotalTime>4</TotalTime>
  <ScaleCrop>false</ScaleCrop>
  <LinksUpToDate>false</LinksUpToDate>
  <CharactersWithSpaces>28642</CharactersWithSpaces>
  <Application>WPS Office_12.1.0.15712_F1E327BC-269C-435d-A152-05C5408002CA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2022-10-13T02:52:00Z</dcterms:created>
  <dc:creator>Administrator</dc:creator>
  <cp:lastModifiedBy>WPS_1684057384</cp:lastModifiedBy>
  <dcterms:modified xsi:type="dcterms:W3CDTF">2023-11-15T06:08:46Z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2052-12.1.0.15712</vt:lpwstr>
  </property>
  <property fmtid="{D5CDD505-2E9C-101B-9397-08002B2CF9AE}" pid="3" name="ICV">
    <vt:lpwstr>6E4147FDB26F437A91DF6FB1537FC19D_13</vt:lpwstr>
  </property>
</Properties>
</file>