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华容县住建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局关于“证照分离”改革措施的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为贯彻落实党中央、国务院、省委省政府关于深化化“证照分离”改革决策部署，根据《岳阳市深化“证照分离”改革实施方案》(岳政办发〔2022〕29号)，进一步细化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系统“证照分离”改革，现将我局涉企经营许可事项的改革具体措施予以公告。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</w:t>
      </w:r>
      <w:r>
        <w:rPr>
          <w:rFonts w:hint="eastAsia" w:ascii="黑体" w:hAnsi="黑体" w:eastAsia="黑体" w:cs="黑体"/>
          <w:color w:val="333949"/>
          <w:sz w:val="32"/>
          <w:szCs w:val="32"/>
          <w:lang w:val="zh-CN"/>
        </w:rPr>
        <w:t>房地产开发企业三级资质核定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(一)改革方式：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直接取消审批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(二)改革举措：</w:t>
      </w:r>
      <w:r>
        <w:rPr>
          <w:rFonts w:hint="eastAsia" w:ascii="仿宋_GB2312" w:hAnsi="仿宋_GB2312" w:eastAsia="仿宋_GB2312" w:cs="仿宋_GB2312"/>
          <w:color w:val="333949"/>
          <w:sz w:val="32"/>
          <w:szCs w:val="32"/>
          <w:lang w:val="zh-CN"/>
        </w:rPr>
        <w:t>将房地产开发企业资质由四级调整为两级，取消三级资质，相应调整二级资质的许可条件。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949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(三)事中事后监管措施：</w:t>
      </w:r>
      <w:r>
        <w:rPr>
          <w:rFonts w:hint="eastAsia" w:ascii="仿宋_GB2312" w:hAnsi="仿宋_GB2312" w:eastAsia="仿宋_GB2312" w:cs="仿宋_GB2312"/>
          <w:color w:val="333949"/>
          <w:sz w:val="32"/>
          <w:szCs w:val="32"/>
          <w:lang w:val="zh-CN"/>
        </w:rPr>
        <w:t>1.开展“双随机、一公开"监管，依法查处违法违规行为并公开结果。2加强信用监管，依法依规对失信主体开展失信惩戒。3.发挥行业协会自律作用。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房地产开发企业四级资质核定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(一)改革方式：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直接取消审批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333949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(二)改革举措：</w:t>
      </w:r>
      <w:r>
        <w:rPr>
          <w:rFonts w:hint="eastAsia" w:ascii="仿宋_GB2312" w:hAnsi="仿宋_GB2312" w:eastAsia="仿宋_GB2312" w:cs="仿宋_GB2312"/>
          <w:color w:val="333949"/>
          <w:sz w:val="32"/>
          <w:szCs w:val="32"/>
          <w:lang w:val="zh-CN"/>
        </w:rPr>
        <w:t>将房地产开发企业资质由四级调整为两级，取消四级资质，相应调整二级资质的许可条件。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333949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(三)事中事后监管措施：</w:t>
      </w:r>
      <w:r>
        <w:rPr>
          <w:rFonts w:hint="eastAsia" w:ascii="仿宋_GB2312" w:hAnsi="仿宋_GB2312" w:eastAsia="仿宋_GB2312" w:cs="仿宋_GB2312"/>
          <w:color w:val="333949"/>
          <w:sz w:val="32"/>
          <w:szCs w:val="32"/>
          <w:lang w:val="zh-CN"/>
        </w:rPr>
        <w:t>1.开展“双随机、一公开”监管，依法查处违法违规行为并公开结果。2加强信用监管，依法依规对失信主体开展失信惩戒。3.发挥行业协会自律作用。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701" w:bottom="1701" w:left="1701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DRjMDMwZjc3NzE4NjBlMTQ2NTE0MWM4M2NkNzAifQ=="/>
  </w:docVars>
  <w:rsids>
    <w:rsidRoot w:val="00172A27"/>
    <w:rsid w:val="15287DE6"/>
    <w:rsid w:val="189F7A56"/>
    <w:rsid w:val="3387564F"/>
    <w:rsid w:val="40BF161D"/>
    <w:rsid w:val="460E3E29"/>
    <w:rsid w:val="5A19426B"/>
    <w:rsid w:val="676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474</Characters>
  <Lines>0</Lines>
  <Paragraphs>0</Paragraphs>
  <TotalTime>0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2023-06-05T01:29:00Z</dcterms:created>
  <dc:creator>01</dc:creator>
  <cp:lastModifiedBy>忘穿秋裤</cp:lastModifiedBy>
  <dcterms:modified xsi:type="dcterms:W3CDTF">2023-07-19T08:09:52Z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C58A7B3F7A3342C78EF7E5C214F9819D_11</vt:lpwstr>
  </property>
</Properties>
</file>