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华容县20</w:t>
      </w:r>
      <w:r>
        <w:rPr>
          <w:rFonts w:hint="eastAsia" w:eastAsia="方正小标宋简体"/>
          <w:bCs/>
          <w:sz w:val="46"/>
          <w:szCs w:val="46"/>
          <w:u w:val="single"/>
        </w:rPr>
        <w:t>19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部门(单位)名称：中共华容县委办公室本级</w:t>
      </w:r>
    </w:p>
    <w:p>
      <w:pPr>
        <w:spacing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码：112001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 2020  年 10  月 12  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</w:rPr>
        <w:t>华容县财政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5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李劲草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4188081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54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负责县委日常文书的处理、中央省市县重大方针和工作的落实和检查、负责县委重要工作的组织协调、协调各部门的工作关系.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任务</w:t>
            </w:r>
            <w:r>
              <w:rPr>
                <w:rFonts w:ascii="??_GB2312" w:hAnsi="??_GB2312"/>
                <w:color w:val="000000"/>
                <w:sz w:val="24"/>
              </w:rPr>
              <w:t>1</w:t>
            </w:r>
            <w:r>
              <w:rPr>
                <w:rFonts w:hint="eastAsia" w:ascii="??_GB2312" w:hAnsi="??_GB2312"/>
                <w:color w:val="000000"/>
                <w:sz w:val="24"/>
              </w:rPr>
              <w:t>：着眼高效运转，综合协调更加规范</w:t>
            </w:r>
          </w:p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任务</w:t>
            </w:r>
            <w:r>
              <w:rPr>
                <w:rFonts w:ascii="??_GB2312" w:hAnsi="??_GB2312"/>
                <w:color w:val="000000"/>
                <w:sz w:val="24"/>
              </w:rPr>
              <w:t>2</w:t>
            </w:r>
            <w:r>
              <w:rPr>
                <w:rFonts w:hint="eastAsia" w:ascii="??_GB2312" w:hAnsi="??_GB2312"/>
                <w:color w:val="000000"/>
                <w:sz w:val="24"/>
              </w:rPr>
              <w:t>：做好参谋辅助，更加科学加强文件稿服务优质</w:t>
            </w:r>
          </w:p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任务</w:t>
            </w:r>
            <w:r>
              <w:rPr>
                <w:rFonts w:ascii="??_GB2312" w:hAnsi="??_GB2312"/>
                <w:color w:val="000000"/>
                <w:sz w:val="24"/>
              </w:rPr>
              <w:t>3</w:t>
            </w:r>
            <w:r>
              <w:rPr>
                <w:rFonts w:hint="eastAsia" w:ascii="??_GB2312" w:hAnsi="??_GB2312"/>
                <w:color w:val="000000"/>
                <w:sz w:val="24"/>
              </w:rPr>
              <w:t>：强化服务促落实，调查研究成效显著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任务</w:t>
            </w:r>
            <w:r>
              <w:rPr>
                <w:rFonts w:ascii="??_GB2312" w:hAnsi="??_GB2312"/>
                <w:color w:val="000000"/>
                <w:sz w:val="24"/>
              </w:rPr>
              <w:t>4</w:t>
            </w:r>
            <w:r>
              <w:rPr>
                <w:rFonts w:hint="eastAsia" w:ascii="??_GB2312" w:hAnsi="??_GB2312"/>
                <w:color w:val="000000"/>
                <w:sz w:val="24"/>
              </w:rPr>
              <w:t>：小康工作扎实推进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各项工作稳步推进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1108.54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1108.54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1108.54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1108.54</w:t>
            </w:r>
          </w:p>
        </w:tc>
        <w:tc>
          <w:tcPr>
            <w:tcW w:w="1705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1108.54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1108.54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625.02</w:t>
            </w: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108.46</w:t>
            </w:r>
          </w:p>
        </w:tc>
        <w:tc>
          <w:tcPr>
            <w:tcW w:w="1080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375.06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1108.54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1108.54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625.02</w:t>
            </w: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108.46</w:t>
            </w:r>
          </w:p>
        </w:tc>
        <w:tc>
          <w:tcPr>
            <w:tcW w:w="1080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375.06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1.01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1.01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425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1.01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1.01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425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183.53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183.53</w:t>
            </w:r>
          </w:p>
        </w:tc>
        <w:tc>
          <w:tcPr>
            <w:tcW w:w="364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183.53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183.53</w:t>
            </w:r>
          </w:p>
        </w:tc>
        <w:tc>
          <w:tcPr>
            <w:tcW w:w="364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目标</w:t>
            </w:r>
            <w:r>
              <w:rPr>
                <w:rFonts w:ascii="??_GB2312" w:hAnsi="??_GB2312"/>
                <w:color w:val="000000"/>
                <w:sz w:val="24"/>
              </w:rPr>
              <w:t>1</w:t>
            </w:r>
            <w:r>
              <w:rPr>
                <w:rFonts w:hint="eastAsia" w:ascii="??_GB2312" w:hAnsi="??_GB2312"/>
                <w:color w:val="000000"/>
                <w:sz w:val="24"/>
              </w:rPr>
              <w:t>：综合协调工作</w:t>
            </w:r>
          </w:p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目标</w:t>
            </w:r>
            <w:r>
              <w:rPr>
                <w:rFonts w:ascii="??_GB2312" w:hAnsi="??_GB2312"/>
                <w:color w:val="000000"/>
                <w:sz w:val="24"/>
              </w:rPr>
              <w:t>2</w:t>
            </w:r>
            <w:r>
              <w:rPr>
                <w:rFonts w:hint="eastAsia" w:ascii="??_GB2312" w:hAnsi="??_GB2312"/>
                <w:color w:val="000000"/>
                <w:sz w:val="24"/>
              </w:rPr>
              <w:t>：文稿服务优质</w:t>
            </w:r>
          </w:p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目标</w:t>
            </w:r>
            <w:r>
              <w:rPr>
                <w:rFonts w:ascii="??_GB2312" w:hAnsi="??_GB2312"/>
                <w:color w:val="000000"/>
                <w:sz w:val="24"/>
              </w:rPr>
              <w:t>3</w:t>
            </w:r>
            <w:r>
              <w:rPr>
                <w:rFonts w:hint="eastAsia" w:ascii="??_GB2312" w:hAnsi="??_GB2312"/>
                <w:color w:val="000000"/>
                <w:sz w:val="24"/>
              </w:rPr>
              <w:t>：小康工作扎实推进</w:t>
            </w:r>
          </w:p>
        </w:tc>
        <w:tc>
          <w:tcPr>
            <w:tcW w:w="4585" w:type="dxa"/>
            <w:gridSpan w:val="9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（部门工作实绩，包含上级部门和县委县政府布置的重点工作、实事任务等，根据部门实际进行调整细化）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</w:rPr>
              <w:t>1</w:t>
            </w:r>
            <w:r>
              <w:rPr>
                <w:rFonts w:hint="eastAsia" w:ascii="??_GB2312" w:hAnsi="??_GB2312"/>
                <w:color w:val="000000"/>
                <w:sz w:val="24"/>
              </w:rPr>
              <w:t>：综合协调高效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</w:rPr>
              <w:t>2</w:t>
            </w:r>
            <w:r>
              <w:rPr>
                <w:rFonts w:hint="eastAsia" w:ascii="??_GB2312" w:hAnsi="??_GB2312"/>
                <w:color w:val="000000"/>
                <w:sz w:val="24"/>
              </w:rPr>
              <w:t>：文稿服务优质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</w:rPr>
              <w:t>1</w:t>
            </w:r>
            <w:r>
              <w:rPr>
                <w:rFonts w:hint="eastAsia" w:ascii="??_GB2312" w:hAnsi="??_GB2312"/>
                <w:color w:val="000000"/>
                <w:sz w:val="24"/>
              </w:rPr>
              <w:t>：完成市级任务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</w:rPr>
              <w:t>2</w:t>
            </w:r>
            <w:r>
              <w:rPr>
                <w:rFonts w:hint="eastAsia" w:ascii="??_GB2312" w:hAnsi="??_GB2312"/>
                <w:color w:val="000000"/>
                <w:sz w:val="24"/>
              </w:rPr>
              <w:t>：完成县级任务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</w:rPr>
              <w:t>1</w:t>
            </w:r>
            <w:r>
              <w:rPr>
                <w:rFonts w:hint="eastAsia" w:ascii="??_GB2312" w:hAnsi="??_GB2312"/>
                <w:color w:val="000000"/>
                <w:sz w:val="24"/>
              </w:rPr>
              <w:t>：按月完成任务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</w:rPr>
              <w:t>2</w:t>
            </w:r>
            <w:r>
              <w:rPr>
                <w:rFonts w:hint="eastAsia" w:ascii="??_GB2312" w:hAnsi="??_GB2312"/>
                <w:color w:val="000000"/>
                <w:sz w:val="24"/>
              </w:rPr>
              <w:t>：按年完成任务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</w:rPr>
              <w:t>1</w:t>
            </w:r>
            <w:r>
              <w:rPr>
                <w:rFonts w:hint="eastAsia" w:ascii="??_GB2312" w:hAnsi="??_GB2312"/>
                <w:color w:val="000000"/>
                <w:sz w:val="24"/>
              </w:rPr>
              <w:t>：节能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</w:rPr>
              <w:t>1</w:t>
            </w:r>
            <w:r>
              <w:rPr>
                <w:rFonts w:hint="eastAsia" w:ascii="??_GB2312" w:hAnsi="??_GB2312"/>
                <w:color w:val="000000"/>
                <w:sz w:val="24"/>
              </w:rPr>
              <w:t>：群众反映较好</w:t>
            </w:r>
          </w:p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</w:rPr>
              <w:t>2</w:t>
            </w:r>
            <w:r>
              <w:rPr>
                <w:rFonts w:hint="eastAsia" w:ascii="??_GB2312" w:hAnsi="??_GB2312"/>
                <w:color w:val="000000"/>
                <w:sz w:val="24"/>
              </w:rPr>
              <w:t>：上级满意度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??_GB2312" w:hAnsi="??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</w:rPr>
              <w:t>1</w:t>
            </w:r>
            <w:r>
              <w:rPr>
                <w:rFonts w:hint="eastAsia" w:ascii="??_GB2312" w:hAnsi="??_GB2312"/>
                <w:color w:val="000000"/>
                <w:sz w:val="24"/>
              </w:rPr>
              <w:t>：社会公众满意</w:t>
            </w:r>
          </w:p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</w:rPr>
              <w:t>2</w:t>
            </w:r>
            <w:r>
              <w:rPr>
                <w:rFonts w:hint="eastAsia" w:ascii="??_GB2312" w:hAnsi="??_GB2312"/>
                <w:color w:val="000000"/>
                <w:sz w:val="24"/>
              </w:rPr>
              <w:t>：服务对象满意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??_GB2312" w:hAnsi="??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李建新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副主任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县委办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李云峰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行政室主任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县委办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邓求红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政工室主任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县委办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李劲草            联系电话：4188081</w:t>
      </w:r>
    </w:p>
    <w:tbl>
      <w:tblPr>
        <w:tblStyle w:val="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noWrap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（一）部门（单位）基本情况</w:t>
            </w:r>
          </w:p>
          <w:p>
            <w:pPr>
              <w:spacing w:line="560" w:lineRule="exact"/>
              <w:ind w:firstLine="560" w:firstLineChars="200"/>
              <w:rPr>
                <w:rFonts w:ascii="??_GB2312" w:hAnsi="??_GB2312"/>
                <w:sz w:val="28"/>
                <w:szCs w:val="28"/>
              </w:rPr>
            </w:pPr>
            <w:r>
              <w:rPr>
                <w:rFonts w:hint="eastAsia" w:ascii="??_GB2312" w:hAnsi="??_GB2312"/>
                <w:sz w:val="28"/>
                <w:szCs w:val="28"/>
              </w:rPr>
              <w:t>我办共有在职人员54人、退休27人、遗属人员</w:t>
            </w:r>
            <w:r>
              <w:rPr>
                <w:rFonts w:ascii="??_GB2312" w:hAnsi="??_GB2312"/>
                <w:sz w:val="28"/>
                <w:szCs w:val="28"/>
              </w:rPr>
              <w:t>1</w:t>
            </w:r>
            <w:r>
              <w:rPr>
                <w:rFonts w:hint="eastAsia" w:ascii="??_GB2312" w:hAnsi="??_GB2312"/>
                <w:sz w:val="28"/>
                <w:szCs w:val="28"/>
              </w:rPr>
              <w:t>人。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（二）部门（单位）整体支出规模、使用方向和主要内容、涉及范围等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??_GB2312" w:hAnsi="??_GB2312"/>
                <w:sz w:val="28"/>
                <w:szCs w:val="28"/>
              </w:rPr>
              <w:t>我办主要负责县委日常文书的处理、负责中央、省市县重大方针和工作的落实和检查、负责县委重要工作的组织协调、协调各部门的工作关系.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基本支出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2018年我单位支出1108.54万元，其中人员经费支出625.02万元、日常经费支出108.46万元、项目支出375.06万元(涉密系统建设)。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、部门（单位）整体支出绩效情况</w:t>
            </w:r>
          </w:p>
          <w:p>
            <w:pPr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我办坚持规范、节约、高效的工作准则，确保津补贴按时发放，三金定额缴纳、退休老干部津补贴及时发放到位，公用经费及时报帐，做到管理的严格规范。</w:t>
            </w:r>
            <w:r>
              <w:rPr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</w:rPr>
              <w:t>9年重学习、强服务、促落实是我办的工作重心，操军镇的扶贫帮困、脱贫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攻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坚；积极做好全面深化改革和全面建成小康社会的工作；</w:t>
            </w:r>
          </w:p>
          <w:p>
            <w:pPr>
              <w:ind w:firstLine="56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、存在的主要问题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积极推进预算绩效管理是缓解财政收支紧张的重要途径，是提高财政资金使用效益的有效举措。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、改进措施和有关建议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年度将继续以树立绩效理念为中心，勤俭节约、努力将绩效理念融入执行、监督管理的全过程促进机关经费管理的合理合法高效化。着力解决在执行中央八项规定、反对四风及联系服务群众等方面的问题，大力转变作风，强化履职尽责管理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line="200" w:lineRule="exact"/>
        <w:rPr>
          <w:rFonts w:eastAsia="仿宋_GB2312"/>
          <w:sz w:val="32"/>
        </w:rPr>
      </w:pPr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6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NjNDZhZDM2MjljYzcxZWQ4MmVmOWQ1MGFlYWRlMTIifQ=="/>
  </w:docVars>
  <w:rsids>
    <w:rsidRoot w:val="2CE55C20"/>
    <w:rsid w:val="00071915"/>
    <w:rsid w:val="0009255E"/>
    <w:rsid w:val="000A5D21"/>
    <w:rsid w:val="000A7787"/>
    <w:rsid w:val="000B2B85"/>
    <w:rsid w:val="0015267B"/>
    <w:rsid w:val="00166798"/>
    <w:rsid w:val="001F6A70"/>
    <w:rsid w:val="002040AB"/>
    <w:rsid w:val="0028305C"/>
    <w:rsid w:val="0034313B"/>
    <w:rsid w:val="003F5212"/>
    <w:rsid w:val="004E0687"/>
    <w:rsid w:val="005232BC"/>
    <w:rsid w:val="005902C6"/>
    <w:rsid w:val="00592F8C"/>
    <w:rsid w:val="005C2681"/>
    <w:rsid w:val="005E0E69"/>
    <w:rsid w:val="005E5B6C"/>
    <w:rsid w:val="006350B7"/>
    <w:rsid w:val="0066400A"/>
    <w:rsid w:val="006C41DC"/>
    <w:rsid w:val="007033AE"/>
    <w:rsid w:val="007252D8"/>
    <w:rsid w:val="00740501"/>
    <w:rsid w:val="00743A0B"/>
    <w:rsid w:val="0074449B"/>
    <w:rsid w:val="00767E56"/>
    <w:rsid w:val="007A7398"/>
    <w:rsid w:val="007B2063"/>
    <w:rsid w:val="007C4E80"/>
    <w:rsid w:val="0083428D"/>
    <w:rsid w:val="00863DA9"/>
    <w:rsid w:val="008C0246"/>
    <w:rsid w:val="008E0CCF"/>
    <w:rsid w:val="008F0457"/>
    <w:rsid w:val="00910D80"/>
    <w:rsid w:val="00935C7D"/>
    <w:rsid w:val="009F0394"/>
    <w:rsid w:val="00A020FB"/>
    <w:rsid w:val="00A13AD2"/>
    <w:rsid w:val="00A56331"/>
    <w:rsid w:val="00AF08D4"/>
    <w:rsid w:val="00B24308"/>
    <w:rsid w:val="00B46563"/>
    <w:rsid w:val="00BB6449"/>
    <w:rsid w:val="00BD0C81"/>
    <w:rsid w:val="00BF4F1B"/>
    <w:rsid w:val="00BF5B71"/>
    <w:rsid w:val="00C40572"/>
    <w:rsid w:val="00C50F5E"/>
    <w:rsid w:val="00D96838"/>
    <w:rsid w:val="00DF647A"/>
    <w:rsid w:val="00F2010C"/>
    <w:rsid w:val="00F97B35"/>
    <w:rsid w:val="00FB2AC3"/>
    <w:rsid w:val="00FB6B99"/>
    <w:rsid w:val="083749E7"/>
    <w:rsid w:val="0DE528CD"/>
    <w:rsid w:val="18725427"/>
    <w:rsid w:val="263C173A"/>
    <w:rsid w:val="2CA33441"/>
    <w:rsid w:val="2CE55C20"/>
    <w:rsid w:val="2F287302"/>
    <w:rsid w:val="30426D13"/>
    <w:rsid w:val="3A43255A"/>
    <w:rsid w:val="3D6201A1"/>
    <w:rsid w:val="477245B4"/>
    <w:rsid w:val="48B6063C"/>
    <w:rsid w:val="4E4F0BB0"/>
    <w:rsid w:val="5BE95901"/>
    <w:rsid w:val="6A0A15CD"/>
    <w:rsid w:val="6DF352BD"/>
    <w:rsid w:val="705E3E6D"/>
    <w:rsid w:val="71C1048A"/>
    <w:rsid w:val="72E26CF8"/>
    <w:rsid w:val="73C00B3A"/>
    <w:rsid w:val="73F35F5B"/>
    <w:rsid w:val="79C04582"/>
    <w:rsid w:val="7D1F0D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1708</Words>
  <Characters>1879</Characters>
  <Lines>58</Lines>
  <Paragraphs>16</Paragraphs>
  <TotalTime>1</TotalTime>
  <ScaleCrop>false</ScaleCrop>
  <LinksUpToDate>false</LinksUpToDate>
  <CharactersWithSpaces>2208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Administrator</cp:lastModifiedBy>
  <cp:lastPrinted>2020-10-19T03:33:00Z</cp:lastPrinted>
  <dcterms:modified xsi:type="dcterms:W3CDTF">2023-07-14T01:20:26Z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0C791FE9F7E94603BC48CA5B88C07989</vt:lpwstr>
  </property>
</Properties>
</file>