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val="0"/>
        <w:autoSpaceDN w:val="0"/>
        <w:bidi w:val="0"/>
        <w:adjustRightInd w:val="0"/>
        <w:snapToGrid w:val="0"/>
        <w:spacing w:line="700" w:lineRule="exact"/>
        <w:jc w:val="center"/>
        <w:textAlignment w:val="baseline"/>
        <w:rPr>
          <w:rFonts w:hint="eastAsia" w:ascii="方正小标宋简体" w:hAnsi="方正小标宋简体" w:eastAsia="方正小标宋简体" w:cs="方正小标宋简体"/>
          <w:b w:val="0"/>
          <w:bCs w:val="0"/>
          <w:w w:val="90"/>
          <w:sz w:val="44"/>
          <w:szCs w:val="44"/>
          <w:lang w:eastAsia="zh-CN"/>
        </w:rPr>
      </w:pPr>
    </w:p>
    <w:p>
      <w:pPr>
        <w:keepNext w:val="0"/>
        <w:keepLines w:val="0"/>
        <w:pageBreakBefore w:val="0"/>
        <w:widowControl w:val="0"/>
        <w:kinsoku/>
        <w:wordWrap/>
        <w:overflowPunct w:val="0"/>
        <w:topLinePunct w:val="0"/>
        <w:autoSpaceDE w:val="0"/>
        <w:autoSpaceDN w:val="0"/>
        <w:bidi w:val="0"/>
        <w:adjustRightInd w:val="0"/>
        <w:snapToGrid w:val="0"/>
        <w:spacing w:line="610" w:lineRule="exact"/>
        <w:jc w:val="center"/>
        <w:textAlignment w:val="baseline"/>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关于贯彻落实省政府打好经济增长主动仗</w:t>
      </w:r>
    </w:p>
    <w:p>
      <w:pPr>
        <w:keepNext w:val="0"/>
        <w:keepLines w:val="0"/>
        <w:pageBreakBefore w:val="0"/>
        <w:widowControl w:val="0"/>
        <w:kinsoku/>
        <w:wordWrap/>
        <w:overflowPunct w:val="0"/>
        <w:topLinePunct w:val="0"/>
        <w:autoSpaceDE w:val="0"/>
        <w:autoSpaceDN w:val="0"/>
        <w:bidi w:val="0"/>
        <w:adjustRightInd w:val="0"/>
        <w:snapToGrid w:val="0"/>
        <w:spacing w:line="61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实现经济运行整体好转若干政策措施的</w:t>
      </w:r>
    </w:p>
    <w:p>
      <w:pPr>
        <w:keepNext w:val="0"/>
        <w:keepLines w:val="0"/>
        <w:pageBreakBefore w:val="0"/>
        <w:widowControl w:val="0"/>
        <w:kinsoku/>
        <w:wordWrap/>
        <w:overflowPunct w:val="0"/>
        <w:topLinePunct w:val="0"/>
        <w:autoSpaceDE w:val="0"/>
        <w:autoSpaceDN w:val="0"/>
        <w:bidi w:val="0"/>
        <w:adjustRightInd w:val="0"/>
        <w:snapToGrid w:val="0"/>
        <w:spacing w:line="61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施</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细</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则</w:t>
      </w:r>
    </w:p>
    <w:p>
      <w:pPr>
        <w:keepNext w:val="0"/>
        <w:keepLines w:val="0"/>
        <w:pageBreakBefore w:val="0"/>
        <w:widowControl w:val="0"/>
        <w:kinsoku/>
        <w:wordWrap/>
        <w:overflowPunct w:val="0"/>
        <w:topLinePunct w:val="0"/>
        <w:autoSpaceDE w:val="0"/>
        <w:autoSpaceDN w:val="0"/>
        <w:bidi w:val="0"/>
        <w:adjustRightInd w:val="0"/>
        <w:snapToGrid w:val="0"/>
        <w:spacing w:line="610" w:lineRule="exact"/>
        <w:jc w:val="both"/>
        <w:textAlignment w:val="baseline"/>
        <w:rPr>
          <w:rFonts w:hint="eastAsia" w:ascii="仿宋" w:hAnsi="仿宋" w:eastAsia="仿宋" w:cs="仿宋"/>
          <w:sz w:val="32"/>
          <w:szCs w:val="32"/>
          <w:lang w:eastAsia="zh-CN"/>
        </w:rPr>
      </w:pPr>
    </w:p>
    <w:p>
      <w:pPr>
        <w:keepNext w:val="0"/>
        <w:keepLines w:val="0"/>
        <w:pageBreakBefore w:val="0"/>
        <w:widowControl w:val="0"/>
        <w:kinsoku/>
        <w:wordWrap/>
        <w:overflowPunct w:val="0"/>
        <w:topLinePunct w:val="0"/>
        <w:autoSpaceDE w:val="0"/>
        <w:autoSpaceDN w:val="0"/>
        <w:bidi w:val="0"/>
        <w:adjustRightInd w:val="0"/>
        <w:snapToGrid w:val="0"/>
        <w:spacing w:line="610" w:lineRule="exact"/>
        <w:jc w:val="center"/>
        <w:textAlignment w:val="baseline"/>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（征求意见稿）</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20" w:firstLineChars="200"/>
        <w:jc w:val="both"/>
        <w:textAlignment w:val="baseline"/>
        <w:rPr>
          <w:rFonts w:hint="eastAsia" w:ascii="仿宋_GB2312" w:hAnsi="宋体" w:eastAsia="仿宋_GB2312" w:cs="仿宋_GB2312"/>
          <w:color w:val="000000"/>
          <w:kern w:val="0"/>
          <w:sz w:val="31"/>
          <w:szCs w:val="31"/>
          <w:lang w:val="en-US" w:eastAsia="zh-CN" w:bidi="ar"/>
        </w:rPr>
      </w:pP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20" w:firstLineChars="200"/>
        <w:jc w:val="both"/>
        <w:textAlignment w:val="baseline"/>
        <w:rPr>
          <w:rFonts w:hint="eastAsia" w:ascii="仿宋" w:hAnsi="仿宋" w:eastAsia="仿宋" w:cs="仿宋"/>
          <w:sz w:val="32"/>
          <w:szCs w:val="32"/>
        </w:rPr>
      </w:pPr>
      <w:r>
        <w:rPr>
          <w:rFonts w:hint="eastAsia" w:ascii="仿宋_GB2312" w:hAnsi="宋体" w:eastAsia="仿宋_GB2312" w:cs="仿宋_GB2312"/>
          <w:color w:val="000000"/>
          <w:kern w:val="0"/>
          <w:sz w:val="31"/>
          <w:szCs w:val="31"/>
          <w:lang w:val="en-US" w:eastAsia="zh-CN" w:bidi="ar"/>
        </w:rPr>
        <w:t>为深入学习贯彻党的二十大精神，认真落实中央、省、市各项决策部署</w:t>
      </w:r>
      <w:r>
        <w:rPr>
          <w:rFonts w:hint="eastAsia" w:ascii="仿宋" w:hAnsi="仿宋" w:eastAsia="仿宋" w:cs="仿宋"/>
          <w:sz w:val="32"/>
          <w:szCs w:val="32"/>
        </w:rPr>
        <w:t>，细化量化实化</w:t>
      </w:r>
      <w:r>
        <w:rPr>
          <w:rFonts w:hint="eastAsia" w:ascii="仿宋" w:hAnsi="仿宋" w:eastAsia="仿宋" w:cs="仿宋"/>
          <w:sz w:val="32"/>
          <w:szCs w:val="32"/>
          <w:lang w:eastAsia="zh-CN"/>
        </w:rPr>
        <w:t>《</w:t>
      </w:r>
      <w:r>
        <w:rPr>
          <w:rFonts w:hint="eastAsia" w:ascii="仿宋" w:hAnsi="仿宋" w:eastAsia="仿宋" w:cs="仿宋"/>
          <w:sz w:val="32"/>
          <w:szCs w:val="32"/>
        </w:rPr>
        <w:t>湖南省人民政府办公厅印发〈关于打好经济增长主动仗实现经济运行整体好转的若干政策措施〉的通知》(湘政办发〔2023〕4号)要求，进一步拼经济、强信心、稳增长，结合</w:t>
      </w:r>
      <w:r>
        <w:rPr>
          <w:rFonts w:hint="eastAsia" w:ascii="仿宋" w:hAnsi="仿宋" w:eastAsia="仿宋" w:cs="仿宋"/>
          <w:sz w:val="32"/>
          <w:szCs w:val="32"/>
          <w:lang w:eastAsia="zh-CN"/>
        </w:rPr>
        <w:t>华容</w:t>
      </w:r>
      <w:r>
        <w:rPr>
          <w:rFonts w:hint="eastAsia" w:ascii="仿宋" w:hAnsi="仿宋" w:eastAsia="仿宋" w:cs="仿宋"/>
          <w:sz w:val="32"/>
          <w:szCs w:val="32"/>
        </w:rPr>
        <w:t>实际，制定本细则。</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eastAsia" w:ascii="仿宋" w:hAnsi="仿宋" w:eastAsia="仿宋" w:cs="仿宋"/>
          <w:sz w:val="32"/>
          <w:szCs w:val="32"/>
        </w:rPr>
      </w:pPr>
      <w:r>
        <w:rPr>
          <w:rFonts w:hint="eastAsia" w:ascii="黑体" w:hAnsi="黑体" w:eastAsia="黑体" w:cs="黑体"/>
          <w:sz w:val="32"/>
          <w:szCs w:val="32"/>
        </w:rPr>
        <w:t>一、着力恢复和提振消费</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3" w:firstLineChars="200"/>
        <w:jc w:val="both"/>
        <w:textAlignment w:val="baseline"/>
        <w:rPr>
          <w:rFonts w:hint="eastAsia" w:ascii="仿宋" w:hAnsi="仿宋" w:eastAsia="仿宋" w:cs="仿宋"/>
          <w:b w:val="0"/>
          <w:bCs w:val="0"/>
          <w:sz w:val="32"/>
          <w:szCs w:val="32"/>
        </w:rPr>
      </w:pPr>
      <w:r>
        <w:rPr>
          <w:rFonts w:hint="eastAsia" w:ascii="华文楷体" w:hAnsi="华文楷体" w:eastAsia="华文楷体" w:cs="华文楷体"/>
          <w:b/>
          <w:bCs/>
          <w:sz w:val="32"/>
          <w:szCs w:val="32"/>
        </w:rPr>
        <w:t>(一)组织开展系列消费促进活动。</w:t>
      </w:r>
      <w:r>
        <w:rPr>
          <w:rFonts w:hint="eastAsia" w:ascii="仿宋" w:hAnsi="仿宋" w:eastAsia="仿宋" w:cs="仿宋"/>
          <w:sz w:val="32"/>
          <w:szCs w:val="32"/>
        </w:rPr>
        <w:t>开展“主题突出、热度持续、亮点纷呈”消费年行动，参与全市洞庭渔火季、岳阳小龙虾产业博览会、“味道湖南”岳阳味道美食季、老字号嘉年华、新能源汽车推广应用、绿色智能家电下乡等一系列促消费活动的同时</w:t>
      </w:r>
      <w:r>
        <w:rPr>
          <w:rFonts w:hint="eastAsia" w:ascii="仿宋" w:hAnsi="仿宋" w:eastAsia="仿宋" w:cs="仿宋"/>
          <w:sz w:val="32"/>
          <w:szCs w:val="32"/>
          <w:lang w:eastAsia="zh-CN"/>
        </w:rPr>
        <w:t>，组织好雪花啤酒嘉年华、农民丰收节等，联合中农联、华骐汽车小镇等企业，平台商家，旅游景点等开展让利展销、消费满减和抽奖活动。全县各单位工会根据有关规定和标准以多场景多用途消费卡形式发放年度工会福利费。</w:t>
      </w:r>
      <w:r>
        <w:rPr>
          <w:rFonts w:hint="eastAsia" w:ascii="华文楷体" w:hAnsi="华文楷体" w:eastAsia="华文楷体" w:cs="华文楷体"/>
          <w:b w:val="0"/>
          <w:bCs w:val="0"/>
          <w:sz w:val="32"/>
          <w:szCs w:val="32"/>
        </w:rPr>
        <w:t>（县商务粮食局、县文旅广电局、县总工会按职责分工负责）</w:t>
      </w:r>
    </w:p>
    <w:p>
      <w:pPr>
        <w:keepNext w:val="0"/>
        <w:keepLines w:val="0"/>
        <w:pageBreakBefore w:val="0"/>
        <w:kinsoku/>
        <w:wordWrap/>
        <w:topLinePunct w:val="0"/>
        <w:autoSpaceDE w:val="0"/>
        <w:autoSpaceDN w:val="0"/>
        <w:bidi w:val="0"/>
        <w:adjustRightInd w:val="0"/>
        <w:snapToGrid w:val="0"/>
        <w:spacing w:line="580" w:lineRule="exact"/>
        <w:ind w:firstLine="643" w:firstLineChars="200"/>
        <w:jc w:val="both"/>
        <w:textAlignment w:val="baseline"/>
        <w:rPr>
          <w:rFonts w:hint="eastAsia" w:ascii="楷体" w:hAnsi="楷体" w:eastAsia="楷体" w:cs="楷体"/>
          <w:sz w:val="32"/>
          <w:szCs w:val="32"/>
          <w:lang w:val="en-US" w:eastAsia="zh-CN"/>
        </w:rPr>
      </w:pPr>
      <w:r>
        <w:rPr>
          <w:rFonts w:hint="eastAsia" w:ascii="华文楷体" w:hAnsi="华文楷体" w:eastAsia="华文楷体" w:cs="华文楷体"/>
          <w:b/>
          <w:bCs/>
          <w:sz w:val="32"/>
          <w:szCs w:val="32"/>
        </w:rPr>
        <w:t>(二)支持引导重点领域消费。</w:t>
      </w:r>
      <w:r>
        <w:rPr>
          <w:rFonts w:hint="eastAsia" w:ascii="仿宋" w:hAnsi="仿宋" w:eastAsia="仿宋" w:cs="仿宋"/>
          <w:sz w:val="32"/>
          <w:szCs w:val="32"/>
          <w:lang w:val="en-US" w:eastAsia="zh-CN"/>
        </w:rPr>
        <w:t>实施新一轮新能源汽车和充换电基础设施支持政策，制定出台电动汽车充电基础设施建设奖补政策，带动新能源汽车消费。精心组织泥鳅节、糍粑节等特色农旅节会，挖掘红色旅游文化资源，</w:t>
      </w:r>
      <w:r>
        <w:rPr>
          <w:rFonts w:hint="eastAsia" w:ascii="仿宋" w:hAnsi="仿宋" w:eastAsia="仿宋" w:cs="仿宋"/>
          <w:sz w:val="32"/>
          <w:szCs w:val="32"/>
        </w:rPr>
        <w:t>促进新零售与文创、旅游等产业融合发展。</w:t>
      </w:r>
      <w:r>
        <w:rPr>
          <w:rFonts w:hint="eastAsia" w:ascii="仿宋" w:hAnsi="仿宋" w:eastAsia="仿宋" w:cs="仿宋"/>
          <w:sz w:val="32"/>
          <w:szCs w:val="32"/>
          <w:lang w:val="en-US" w:eastAsia="zh-CN"/>
        </w:rPr>
        <w:t>全力申报承办第二届市旅游发展大会。（</w:t>
      </w:r>
      <w:r>
        <w:rPr>
          <w:rFonts w:hint="eastAsia" w:ascii="楷体" w:hAnsi="楷体" w:eastAsia="楷体" w:cs="楷体"/>
          <w:sz w:val="32"/>
          <w:szCs w:val="32"/>
          <w:lang w:val="en-US" w:eastAsia="zh-CN"/>
        </w:rPr>
        <w:t>县商务粮食局、县文旅广电局、县发改局、县财政局按职责分工负责）</w:t>
      </w:r>
    </w:p>
    <w:p>
      <w:pPr>
        <w:keepNext w:val="0"/>
        <w:keepLines w:val="0"/>
        <w:pageBreakBefore w:val="0"/>
        <w:kinsoku/>
        <w:wordWrap/>
        <w:topLinePunct w:val="0"/>
        <w:autoSpaceDE w:val="0"/>
        <w:autoSpaceDN w:val="0"/>
        <w:bidi w:val="0"/>
        <w:adjustRightInd w:val="0"/>
        <w:snapToGrid w:val="0"/>
        <w:spacing w:line="580" w:lineRule="exact"/>
        <w:ind w:firstLine="643" w:firstLineChars="200"/>
        <w:jc w:val="both"/>
        <w:textAlignment w:val="baseline"/>
        <w:rPr>
          <w:rFonts w:hint="eastAsia" w:ascii="仿宋" w:hAnsi="仿宋" w:eastAsia="仿宋" w:cs="仿宋"/>
          <w:sz w:val="32"/>
          <w:szCs w:val="32"/>
          <w:lang w:val="en-US" w:eastAsia="zh-CN"/>
        </w:rPr>
      </w:pPr>
      <w:r>
        <w:rPr>
          <w:rFonts w:hint="eastAsia" w:ascii="华文楷体" w:hAnsi="华文楷体" w:eastAsia="华文楷体" w:cs="华文楷体"/>
          <w:b/>
          <w:bCs/>
          <w:sz w:val="32"/>
          <w:szCs w:val="32"/>
        </w:rPr>
        <w:t>(三)加快新型消费场景和平台创建。</w:t>
      </w:r>
      <w:r>
        <w:rPr>
          <w:rFonts w:hint="eastAsia" w:ascii="仿宋" w:hAnsi="仿宋" w:eastAsia="仿宋" w:cs="仿宋"/>
          <w:sz w:val="32"/>
          <w:szCs w:val="32"/>
          <w:lang w:val="en-US" w:eastAsia="zh-CN"/>
        </w:rPr>
        <w:t>推进内外贸一体化试点，加快建设区域性消费中心。加强城乡商业体系建设，引导城市广场、商业步行街等商圈转型发展，健全县乡村物流配送体系，打造更多“夜间经济”“网红经济”“田园经济”地标和打卡地。积极申报创建省级及以上示范步行街、“华容冰花”“华容烧烤”“雪花啤酒”夜间消费聚集示范区，争取省市级财政对相关申报主体的奖补政策。组织辖内电商企业积极申报创建省级及以上电子商务示范基地、数字商务集聚区和电子商务示范企业，全年实现农产品电商销售额4亿元以上。</w:t>
      </w:r>
      <w:r>
        <w:rPr>
          <w:rFonts w:hint="eastAsia" w:ascii="楷体" w:hAnsi="楷体" w:eastAsia="楷体" w:cs="楷体"/>
          <w:sz w:val="32"/>
          <w:szCs w:val="32"/>
          <w:lang w:val="en-US" w:eastAsia="zh-CN"/>
        </w:rPr>
        <w:t>（县商务粮食局、县财政局、县文旅广电局按职责分工负责）</w:t>
      </w:r>
    </w:p>
    <w:p>
      <w:pPr>
        <w:keepNext w:val="0"/>
        <w:keepLines w:val="0"/>
        <w:pageBreakBefore w:val="0"/>
        <w:kinsoku/>
        <w:wordWrap/>
        <w:topLinePunct w:val="0"/>
        <w:autoSpaceDE w:val="0"/>
        <w:autoSpaceDN w:val="0"/>
        <w:bidi w:val="0"/>
        <w:adjustRightInd w:val="0"/>
        <w:snapToGrid w:val="0"/>
        <w:spacing w:line="580" w:lineRule="exact"/>
        <w:ind w:firstLine="643" w:firstLineChars="200"/>
        <w:jc w:val="both"/>
        <w:textAlignment w:val="baseline"/>
        <w:rPr>
          <w:rFonts w:hint="eastAsia" w:ascii="楷体" w:hAnsi="楷体" w:eastAsia="楷体" w:cs="楷体"/>
          <w:sz w:val="32"/>
          <w:szCs w:val="32"/>
          <w:lang w:val="en-US" w:eastAsia="zh-CN"/>
        </w:rPr>
      </w:pPr>
      <w:r>
        <w:rPr>
          <w:rFonts w:hint="eastAsia" w:ascii="华文楷体" w:hAnsi="华文楷体" w:eastAsia="华文楷体" w:cs="华文楷体"/>
          <w:b/>
          <w:bCs/>
          <w:sz w:val="32"/>
          <w:szCs w:val="32"/>
        </w:rPr>
        <w:t>(四)培育知名商贸企业和品牌。</w:t>
      </w:r>
      <w:r>
        <w:rPr>
          <w:rFonts w:hint="eastAsia" w:ascii="仿宋" w:hAnsi="仿宋" w:eastAsia="仿宋" w:cs="仿宋"/>
          <w:sz w:val="32"/>
          <w:szCs w:val="32"/>
          <w:lang w:val="en-US" w:eastAsia="zh-CN"/>
        </w:rPr>
        <w:t>壮大商贸流通领域市场主体，培育一批年销售额超过2000万元的限上法人单位。积极引导我县老字号企业发挥传统品牌优势，打破传统经营模式，推动便利店品牌化、连锁化发展。积极参与市组织的“老字号嘉年华”活动，进一步提升我县老字号品牌影响力，对2023年新获批“中华老字号”的企业给予奖励。加大品牌培育力度，扎实帮扶企业股改上市，鼓励支持企业争创省长质量奖、市长质量奖。</w:t>
      </w:r>
      <w:r>
        <w:rPr>
          <w:rFonts w:hint="eastAsia" w:ascii="楷体" w:hAnsi="楷体" w:eastAsia="楷体" w:cs="楷体"/>
          <w:sz w:val="32"/>
          <w:szCs w:val="32"/>
          <w:lang w:val="en-US" w:eastAsia="zh-CN"/>
        </w:rPr>
        <w:t>（县商务粮食局、县市场监管局、县财政局、县金融办按职责分工负责）</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二、积极扩大有效投资</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华文楷体" w:hAnsi="华文楷体" w:eastAsia="华文楷体" w:cs="华文楷体"/>
          <w:sz w:val="32"/>
          <w:szCs w:val="32"/>
        </w:rPr>
      </w:pPr>
      <w:r>
        <w:rPr>
          <w:rFonts w:hint="eastAsia" w:ascii="华文楷体" w:hAnsi="华文楷体" w:eastAsia="华文楷体" w:cs="华文楷体"/>
          <w:b/>
          <w:bCs/>
          <w:sz w:val="32"/>
          <w:szCs w:val="32"/>
        </w:rPr>
        <w:t>(五)加大招商引资力度。</w:t>
      </w:r>
      <w:r>
        <w:rPr>
          <w:rFonts w:hint="eastAsia" w:ascii="仿宋" w:hAnsi="仿宋" w:eastAsia="仿宋" w:cs="仿宋"/>
          <w:sz w:val="32"/>
          <w:szCs w:val="32"/>
          <w:lang w:eastAsia="zh-CN"/>
        </w:rPr>
        <w:t>深入实施“湘商回归”工程，扎实抓好“迎老乡、回故乡、建家乡”工作，力争全年引进各类产业项目50个以上，其中50亿元项目1个以上、10亿元项目3个以上、5亿元项目5个以上、2亿元项目15个以上，招引10家以上机器人生产或汇川技术配套企业入驻金荣工业机器人产业园，</w:t>
      </w:r>
      <w:r>
        <w:rPr>
          <w:rFonts w:hint="eastAsia" w:ascii="仿宋" w:hAnsi="仿宋" w:eastAsia="仿宋" w:cs="仿宋"/>
          <w:sz w:val="32"/>
          <w:szCs w:val="32"/>
        </w:rPr>
        <w:t>内联引资到位资金增</w:t>
      </w:r>
      <w:r>
        <w:rPr>
          <w:rFonts w:hint="eastAsia" w:ascii="仿宋" w:hAnsi="仿宋" w:eastAsia="仿宋" w:cs="仿宋"/>
          <w:sz w:val="32"/>
          <w:szCs w:val="32"/>
          <w:lang w:eastAsia="zh-CN"/>
        </w:rPr>
        <w:t>速</w:t>
      </w:r>
      <w:r>
        <w:rPr>
          <w:rFonts w:hint="eastAsia" w:ascii="仿宋" w:hAnsi="仿宋" w:eastAsia="仿宋" w:cs="仿宋"/>
          <w:sz w:val="32"/>
          <w:szCs w:val="32"/>
          <w:lang w:val="en-US" w:eastAsia="zh-CN"/>
        </w:rPr>
        <w:t>10</w:t>
      </w:r>
      <w:r>
        <w:rPr>
          <w:rFonts w:hint="eastAsia" w:ascii="仿宋" w:hAnsi="仿宋" w:eastAsia="仿宋" w:cs="仿宋"/>
          <w:sz w:val="32"/>
          <w:szCs w:val="32"/>
        </w:rPr>
        <w:t>%,实际使用外资突破</w:t>
      </w:r>
      <w:r>
        <w:rPr>
          <w:rFonts w:hint="eastAsia" w:ascii="仿宋" w:hAnsi="仿宋" w:eastAsia="仿宋" w:cs="仿宋"/>
          <w:sz w:val="32"/>
          <w:szCs w:val="32"/>
          <w:u w:val="none"/>
          <w:lang w:val="en-US" w:eastAsia="zh-CN"/>
        </w:rPr>
        <w:t>2万</w:t>
      </w:r>
      <w:r>
        <w:rPr>
          <w:rFonts w:hint="eastAsia" w:ascii="仿宋" w:hAnsi="仿宋" w:eastAsia="仿宋" w:cs="仿宋"/>
          <w:sz w:val="32"/>
          <w:szCs w:val="32"/>
        </w:rPr>
        <w:t>美元。</w:t>
      </w:r>
      <w:r>
        <w:rPr>
          <w:rFonts w:hint="eastAsia" w:ascii="仿宋" w:hAnsi="仿宋" w:eastAsia="仿宋" w:cs="仿宋"/>
          <w:sz w:val="32"/>
          <w:szCs w:val="32"/>
          <w:lang w:eastAsia="zh-CN"/>
        </w:rPr>
        <w:t>成立华容县湘商回归和返乡创业指导服务站，力争每个乡镇每年引进2—3家乡友企业回乡投资创业，3年内返乡创业人数达到外出务工总人数的5%以上。</w:t>
      </w:r>
      <w:r>
        <w:rPr>
          <w:rFonts w:hint="eastAsia" w:ascii="华文楷体" w:hAnsi="华文楷体" w:eastAsia="华文楷体" w:cs="华文楷体"/>
          <w:sz w:val="32"/>
          <w:szCs w:val="32"/>
        </w:rPr>
        <w:t>(</w:t>
      </w:r>
      <w:r>
        <w:rPr>
          <w:rFonts w:hint="eastAsia" w:ascii="华文楷体" w:hAnsi="华文楷体" w:eastAsia="华文楷体" w:cs="华文楷体"/>
          <w:sz w:val="32"/>
          <w:szCs w:val="32"/>
          <w:lang w:eastAsia="zh-CN"/>
        </w:rPr>
        <w:t>县贸促会</w:t>
      </w:r>
      <w:r>
        <w:rPr>
          <w:rFonts w:hint="eastAsia" w:ascii="华文楷体" w:hAnsi="华文楷体" w:eastAsia="华文楷体" w:cs="华文楷体"/>
          <w:sz w:val="32"/>
          <w:szCs w:val="32"/>
        </w:rPr>
        <w:t>、</w:t>
      </w:r>
      <w:r>
        <w:rPr>
          <w:rFonts w:hint="eastAsia" w:ascii="华文楷体" w:hAnsi="华文楷体" w:eastAsia="华文楷体" w:cs="华文楷体"/>
          <w:sz w:val="32"/>
          <w:szCs w:val="32"/>
          <w:lang w:eastAsia="zh-CN"/>
        </w:rPr>
        <w:t>华容高新区等</w:t>
      </w:r>
      <w:r>
        <w:rPr>
          <w:rFonts w:hint="eastAsia" w:ascii="华文楷体" w:hAnsi="华文楷体" w:eastAsia="华文楷体" w:cs="华文楷体"/>
          <w:sz w:val="32"/>
          <w:szCs w:val="32"/>
        </w:rPr>
        <w:t>按职责分工负责)</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3" w:firstLineChars="200"/>
        <w:jc w:val="both"/>
        <w:textAlignment w:val="baseline"/>
        <w:rPr>
          <w:rFonts w:hint="eastAsia" w:ascii="华文楷体" w:hAnsi="华文楷体" w:eastAsia="华文楷体" w:cs="华文楷体"/>
          <w:b w:val="0"/>
          <w:bCs w:val="0"/>
          <w:color w:val="auto"/>
          <w:sz w:val="32"/>
          <w:szCs w:val="32"/>
        </w:rPr>
      </w:pPr>
      <w:r>
        <w:rPr>
          <w:rFonts w:hint="eastAsia" w:ascii="华文楷体" w:hAnsi="华文楷体" w:eastAsia="华文楷体" w:cs="华文楷体"/>
          <w:b/>
          <w:bCs/>
          <w:color w:val="auto"/>
          <w:sz w:val="32"/>
          <w:szCs w:val="32"/>
        </w:rPr>
        <w:t>(六)加快项目推进实施。</w:t>
      </w:r>
      <w:r>
        <w:rPr>
          <w:rFonts w:hint="eastAsia" w:ascii="仿宋" w:hAnsi="仿宋" w:eastAsia="仿宋" w:cs="仿宋"/>
          <w:color w:val="auto"/>
          <w:sz w:val="32"/>
          <w:szCs w:val="32"/>
          <w:lang w:eastAsia="zh-CN"/>
        </w:rPr>
        <w:t>强力推进</w:t>
      </w:r>
      <w:r>
        <w:rPr>
          <w:rFonts w:hint="eastAsia" w:ascii="仿宋" w:hAnsi="仿宋" w:eastAsia="仿宋" w:cs="仿宋"/>
          <w:color w:val="auto"/>
          <w:sz w:val="32"/>
          <w:szCs w:val="32"/>
        </w:rPr>
        <w:t>“项目建设年”活动，</w:t>
      </w:r>
      <w:r>
        <w:rPr>
          <w:rFonts w:hint="eastAsia" w:ascii="仿宋_GB2312" w:eastAsia="仿宋_GB2312"/>
          <w:color w:val="auto"/>
          <w:sz w:val="32"/>
          <w:szCs w:val="32"/>
          <w:lang w:eastAsia="zh-CN"/>
        </w:rPr>
        <w:t>加快推进</w:t>
      </w:r>
      <w:r>
        <w:rPr>
          <w:rFonts w:hint="eastAsia" w:ascii="仿宋_GB2312" w:eastAsia="仿宋_GB2312"/>
          <w:color w:val="auto"/>
          <w:sz w:val="32"/>
          <w:szCs w:val="32"/>
          <w:lang w:val="en-US" w:eastAsia="zh-CN"/>
        </w:rPr>
        <w:t>汇川技术配套产业园、</w:t>
      </w:r>
      <w:r>
        <w:rPr>
          <w:rFonts w:hint="eastAsia" w:ascii="仿宋_GB2312" w:eastAsia="仿宋_GB2312"/>
          <w:color w:val="auto"/>
          <w:sz w:val="32"/>
          <w:szCs w:val="32"/>
        </w:rPr>
        <w:t>重点垸堤防加固</w:t>
      </w:r>
      <w:r>
        <w:rPr>
          <w:rFonts w:hint="eastAsia" w:ascii="仿宋" w:hAnsi="仿宋" w:eastAsia="仿宋" w:cs="仿宋"/>
          <w:color w:val="auto"/>
          <w:sz w:val="32"/>
          <w:szCs w:val="32"/>
        </w:rPr>
        <w:t>等重大产业项目和重大基础设施项目建设，加快</w:t>
      </w:r>
      <w:r>
        <w:rPr>
          <w:rFonts w:hint="eastAsia" w:ascii="仿宋" w:hAnsi="仿宋" w:eastAsia="仿宋" w:cs="仿宋"/>
          <w:color w:val="auto"/>
          <w:sz w:val="32"/>
          <w:szCs w:val="32"/>
          <w:lang w:eastAsia="zh-CN"/>
        </w:rPr>
        <w:t>岳阳电厂二期、</w:t>
      </w:r>
      <w:r>
        <w:rPr>
          <w:rFonts w:hint="eastAsia" w:ascii="仿宋" w:hAnsi="仿宋" w:eastAsia="仿宋" w:cs="仿宋"/>
          <w:color w:val="auto"/>
          <w:sz w:val="32"/>
          <w:szCs w:val="32"/>
        </w:rPr>
        <w:t>常岳九铁路、荆岳高铁等重大项目前期工作。对纳入年度省市重点建设项目</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中央预算内</w:t>
      </w:r>
      <w:r>
        <w:rPr>
          <w:rFonts w:hint="eastAsia" w:ascii="仿宋" w:hAnsi="仿宋" w:eastAsia="仿宋" w:cs="仿宋"/>
          <w:color w:val="auto"/>
          <w:sz w:val="32"/>
          <w:szCs w:val="32"/>
          <w:lang w:eastAsia="zh-CN"/>
        </w:rPr>
        <w:t>及</w:t>
      </w:r>
      <w:r>
        <w:rPr>
          <w:rFonts w:hint="eastAsia" w:ascii="仿宋" w:hAnsi="仿宋" w:eastAsia="仿宋" w:cs="仿宋"/>
          <w:color w:val="auto"/>
          <w:sz w:val="32"/>
          <w:szCs w:val="32"/>
        </w:rPr>
        <w:t>地方政府专项债券等项目实施全生命周期清单化管理，组建专班实行全流程、全周期跟踪指导服务，确保重大项目投资完成率、开竣工率居全</w:t>
      </w:r>
      <w:r>
        <w:rPr>
          <w:rFonts w:hint="eastAsia" w:ascii="仿宋" w:hAnsi="仿宋" w:eastAsia="仿宋" w:cs="仿宋"/>
          <w:color w:val="auto"/>
          <w:sz w:val="32"/>
          <w:szCs w:val="32"/>
          <w:lang w:eastAsia="zh-CN"/>
        </w:rPr>
        <w:t>市</w:t>
      </w:r>
      <w:r>
        <w:rPr>
          <w:rFonts w:hint="eastAsia" w:ascii="仿宋" w:hAnsi="仿宋" w:eastAsia="仿宋" w:cs="仿宋"/>
          <w:color w:val="auto"/>
          <w:sz w:val="32"/>
          <w:szCs w:val="32"/>
        </w:rPr>
        <w:t>前列。</w:t>
      </w:r>
      <w:r>
        <w:rPr>
          <w:rFonts w:hint="eastAsia" w:ascii="华文楷体" w:hAnsi="华文楷体" w:eastAsia="华文楷体" w:cs="华文楷体"/>
          <w:b w:val="0"/>
          <w:bCs w:val="0"/>
          <w:color w:val="auto"/>
          <w:sz w:val="32"/>
          <w:szCs w:val="32"/>
        </w:rPr>
        <w:t>(</w:t>
      </w:r>
      <w:r>
        <w:rPr>
          <w:rFonts w:hint="eastAsia" w:ascii="华文楷体" w:hAnsi="华文楷体" w:eastAsia="华文楷体" w:cs="华文楷体"/>
          <w:b w:val="0"/>
          <w:bCs w:val="0"/>
          <w:color w:val="auto"/>
          <w:sz w:val="32"/>
          <w:szCs w:val="32"/>
          <w:lang w:eastAsia="zh-CN"/>
        </w:rPr>
        <w:t>县</w:t>
      </w:r>
      <w:r>
        <w:rPr>
          <w:rFonts w:hint="eastAsia" w:ascii="华文楷体" w:hAnsi="华文楷体" w:eastAsia="华文楷体" w:cs="华文楷体"/>
          <w:b w:val="0"/>
          <w:bCs w:val="0"/>
          <w:color w:val="auto"/>
          <w:sz w:val="32"/>
          <w:szCs w:val="32"/>
        </w:rPr>
        <w:t>发改</w:t>
      </w:r>
      <w:r>
        <w:rPr>
          <w:rFonts w:hint="eastAsia" w:ascii="华文楷体" w:hAnsi="华文楷体" w:eastAsia="华文楷体" w:cs="华文楷体"/>
          <w:b w:val="0"/>
          <w:bCs w:val="0"/>
          <w:color w:val="auto"/>
          <w:sz w:val="32"/>
          <w:szCs w:val="32"/>
          <w:lang w:eastAsia="zh-CN"/>
        </w:rPr>
        <w:t>局</w:t>
      </w:r>
      <w:r>
        <w:rPr>
          <w:rFonts w:hint="eastAsia" w:ascii="华文楷体" w:hAnsi="华文楷体" w:eastAsia="华文楷体" w:cs="华文楷体"/>
          <w:b w:val="0"/>
          <w:bCs w:val="0"/>
          <w:color w:val="auto"/>
          <w:sz w:val="32"/>
          <w:szCs w:val="32"/>
        </w:rPr>
        <w:t>、</w:t>
      </w:r>
      <w:r>
        <w:rPr>
          <w:rFonts w:hint="eastAsia" w:ascii="华文楷体" w:hAnsi="华文楷体" w:eastAsia="华文楷体" w:cs="华文楷体"/>
          <w:b w:val="0"/>
          <w:bCs w:val="0"/>
          <w:color w:val="auto"/>
          <w:sz w:val="32"/>
          <w:szCs w:val="32"/>
          <w:lang w:eastAsia="zh-CN"/>
        </w:rPr>
        <w:t>县重点建设项目事务中心、华容高新区、县水利局等</w:t>
      </w:r>
      <w:r>
        <w:rPr>
          <w:rFonts w:hint="eastAsia" w:ascii="华文楷体" w:hAnsi="华文楷体" w:eastAsia="华文楷体" w:cs="华文楷体"/>
          <w:b w:val="0"/>
          <w:bCs w:val="0"/>
          <w:color w:val="auto"/>
          <w:sz w:val="32"/>
          <w:szCs w:val="32"/>
        </w:rPr>
        <w:t>按职责分工负责)</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3" w:firstLineChars="200"/>
        <w:jc w:val="both"/>
        <w:textAlignment w:val="baseline"/>
        <w:rPr>
          <w:rFonts w:hint="eastAsia" w:ascii="华文楷体" w:hAnsi="华文楷体" w:eastAsia="华文楷体" w:cs="华文楷体"/>
          <w:b w:val="0"/>
          <w:bCs w:val="0"/>
          <w:sz w:val="32"/>
          <w:szCs w:val="32"/>
        </w:rPr>
      </w:pPr>
      <w:r>
        <w:rPr>
          <w:rFonts w:hint="eastAsia" w:ascii="华文楷体" w:hAnsi="华文楷体" w:eastAsia="华文楷体" w:cs="华文楷体"/>
          <w:b/>
          <w:bCs/>
          <w:color w:val="auto"/>
          <w:sz w:val="32"/>
          <w:szCs w:val="32"/>
        </w:rPr>
        <w:t>(七)强化项目要素保障。</w:t>
      </w:r>
      <w:r>
        <w:rPr>
          <w:rFonts w:hint="eastAsia" w:ascii="仿宋" w:hAnsi="仿宋" w:eastAsia="仿宋" w:cs="仿宋"/>
          <w:sz w:val="32"/>
          <w:szCs w:val="32"/>
        </w:rPr>
        <w:t>争取</w:t>
      </w:r>
      <w:r>
        <w:rPr>
          <w:rFonts w:hint="eastAsia" w:ascii="仿宋" w:hAnsi="仿宋" w:eastAsia="仿宋" w:cs="仿宋"/>
          <w:sz w:val="32"/>
          <w:szCs w:val="32"/>
          <w:lang w:eastAsia="zh-CN"/>
        </w:rPr>
        <w:t>各类财政性资金</w:t>
      </w:r>
      <w:r>
        <w:rPr>
          <w:rFonts w:hint="eastAsia" w:ascii="仿宋" w:hAnsi="仿宋" w:eastAsia="仿宋" w:cs="仿宋"/>
          <w:sz w:val="32"/>
          <w:szCs w:val="32"/>
          <w:lang w:val="en-US" w:eastAsia="zh-CN"/>
        </w:rPr>
        <w:t>40亿元、</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专项债券</w:t>
      </w:r>
      <w:r>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t>6</w:t>
      </w: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亿元，</w:t>
      </w:r>
      <w:r>
        <w:rPr>
          <w:rFonts w:hint="eastAsia" w:ascii="仿宋" w:hAnsi="仿宋" w:eastAsia="仿宋" w:cs="仿宋"/>
          <w:sz w:val="32"/>
          <w:szCs w:val="32"/>
        </w:rPr>
        <w:t>统筹整合有关财政预算专项资金，支持省、市重大项目及政府投资计划项目建设。积极争取政策性开发性金融工具、省“三高四新”融资专项等金融政策支持，推进政银企对接合作，加强重大项目资金保障。持续推进国有“三资”清查处置，加速完成资产办证归集，运作盘活资产形成收</w:t>
      </w:r>
      <w:r>
        <w:rPr>
          <w:rFonts w:hint="eastAsia" w:ascii="仿宋" w:hAnsi="仿宋" w:eastAsia="仿宋" w:cs="仿宋"/>
          <w:color w:val="0D0D0D" w:themeColor="text1" w:themeTint="F2"/>
          <w:sz w:val="32"/>
          <w:szCs w:val="32"/>
          <w:lang w:eastAsia="zh-CN"/>
          <w14:textFill>
            <w14:solidFill>
              <w14:schemeClr w14:val="tx1">
                <w14:lumMod w14:val="95000"/>
                <w14:lumOff w14:val="5000"/>
              </w14:schemeClr>
            </w14:solidFill>
          </w14:textFill>
        </w:rPr>
        <w:t>入</w:t>
      </w:r>
      <w:r>
        <w:rPr>
          <w:rFonts w:hint="eastAsia" w:ascii="仿宋" w:hAnsi="仿宋" w:eastAsia="仿宋" w:cs="仿宋"/>
          <w:color w:val="auto"/>
          <w:sz w:val="32"/>
          <w:szCs w:val="32"/>
        </w:rPr>
        <w:t>20亿元</w:t>
      </w:r>
      <w:r>
        <w:rPr>
          <w:rFonts w:hint="eastAsia" w:ascii="仿宋" w:hAnsi="仿宋" w:eastAsia="仿宋" w:cs="仿宋"/>
          <w:sz w:val="32"/>
          <w:szCs w:val="32"/>
        </w:rPr>
        <w:t>以上。</w:t>
      </w:r>
      <w:r>
        <w:rPr>
          <w:rFonts w:hint="eastAsia" w:ascii="仿宋_GB2312" w:hAnsi="仿宋_GB2312" w:eastAsia="仿宋_GB2312" w:cs="仿宋_GB2312"/>
          <w:color w:val="auto"/>
          <w:kern w:val="2"/>
          <w:sz w:val="32"/>
          <w:szCs w:val="32"/>
          <w:lang w:val="en-US" w:eastAsia="zh-CN" w:bidi="ar-SA"/>
        </w:rPr>
        <w:t>开展园区低效用地处置攻坚战，推进园区土地二次利用。提升年度成片开发方案编制质量和审批效率，加大土地储备力度，全力保障项目特别是重点项目用地。</w:t>
      </w:r>
      <w:r>
        <w:rPr>
          <w:rFonts w:hint="eastAsia" w:ascii="华文楷体" w:hAnsi="华文楷体" w:eastAsia="华文楷体" w:cs="华文楷体"/>
          <w:b w:val="0"/>
          <w:bCs w:val="0"/>
          <w:sz w:val="32"/>
          <w:szCs w:val="32"/>
        </w:rPr>
        <w:t>(</w:t>
      </w:r>
      <w:r>
        <w:rPr>
          <w:rFonts w:hint="eastAsia" w:ascii="华文楷体" w:hAnsi="华文楷体" w:eastAsia="华文楷体" w:cs="华文楷体"/>
          <w:b w:val="0"/>
          <w:bCs w:val="0"/>
          <w:sz w:val="32"/>
          <w:szCs w:val="32"/>
          <w:lang w:eastAsia="zh-CN"/>
        </w:rPr>
        <w:t>县</w:t>
      </w:r>
      <w:r>
        <w:rPr>
          <w:rFonts w:hint="eastAsia" w:ascii="华文楷体" w:hAnsi="华文楷体" w:eastAsia="华文楷体" w:cs="华文楷体"/>
          <w:b w:val="0"/>
          <w:bCs w:val="0"/>
          <w:sz w:val="32"/>
          <w:szCs w:val="32"/>
        </w:rPr>
        <w:t>发改</w:t>
      </w:r>
      <w:r>
        <w:rPr>
          <w:rFonts w:hint="eastAsia" w:ascii="华文楷体" w:hAnsi="华文楷体" w:eastAsia="华文楷体" w:cs="华文楷体"/>
          <w:b w:val="0"/>
          <w:bCs w:val="0"/>
          <w:sz w:val="32"/>
          <w:szCs w:val="32"/>
          <w:lang w:eastAsia="zh-CN"/>
        </w:rPr>
        <w:t>局</w:t>
      </w:r>
      <w:r>
        <w:rPr>
          <w:rFonts w:hint="eastAsia" w:ascii="华文楷体" w:hAnsi="华文楷体" w:eastAsia="华文楷体" w:cs="华文楷体"/>
          <w:b w:val="0"/>
          <w:bCs w:val="0"/>
          <w:sz w:val="32"/>
          <w:szCs w:val="32"/>
        </w:rPr>
        <w:t>、</w:t>
      </w:r>
      <w:r>
        <w:rPr>
          <w:rFonts w:hint="eastAsia" w:ascii="华文楷体" w:hAnsi="华文楷体" w:eastAsia="华文楷体" w:cs="华文楷体"/>
          <w:b w:val="0"/>
          <w:bCs w:val="0"/>
          <w:sz w:val="32"/>
          <w:szCs w:val="32"/>
          <w:lang w:eastAsia="zh-CN"/>
        </w:rPr>
        <w:t>县</w:t>
      </w:r>
      <w:r>
        <w:rPr>
          <w:rFonts w:hint="eastAsia" w:ascii="华文楷体" w:hAnsi="华文楷体" w:eastAsia="华文楷体" w:cs="华文楷体"/>
          <w:b w:val="0"/>
          <w:bCs w:val="0"/>
          <w:sz w:val="32"/>
          <w:szCs w:val="32"/>
        </w:rPr>
        <w:t>财政局、</w:t>
      </w:r>
      <w:r>
        <w:rPr>
          <w:rFonts w:hint="eastAsia" w:ascii="华文楷体" w:hAnsi="华文楷体" w:eastAsia="华文楷体" w:cs="华文楷体"/>
          <w:b w:val="0"/>
          <w:bCs w:val="0"/>
          <w:sz w:val="32"/>
          <w:szCs w:val="32"/>
          <w:lang w:eastAsia="zh-CN"/>
        </w:rPr>
        <w:t>县自然资源</w:t>
      </w:r>
      <w:r>
        <w:rPr>
          <w:rFonts w:hint="eastAsia" w:ascii="华文楷体" w:hAnsi="华文楷体" w:eastAsia="华文楷体" w:cs="华文楷体"/>
          <w:b w:val="0"/>
          <w:bCs w:val="0"/>
          <w:sz w:val="32"/>
          <w:szCs w:val="32"/>
        </w:rPr>
        <w:t>局、</w:t>
      </w:r>
      <w:r>
        <w:rPr>
          <w:rFonts w:hint="eastAsia" w:ascii="华文楷体" w:hAnsi="华文楷体" w:eastAsia="华文楷体" w:cs="华文楷体"/>
          <w:b w:val="0"/>
          <w:bCs w:val="0"/>
          <w:sz w:val="32"/>
          <w:szCs w:val="32"/>
          <w:lang w:eastAsia="zh-CN"/>
        </w:rPr>
        <w:t>市</w:t>
      </w:r>
      <w:r>
        <w:rPr>
          <w:rFonts w:hint="eastAsia" w:ascii="华文楷体" w:hAnsi="华文楷体" w:eastAsia="华文楷体" w:cs="华文楷体"/>
          <w:b w:val="0"/>
          <w:bCs w:val="0"/>
          <w:sz w:val="32"/>
          <w:szCs w:val="32"/>
        </w:rPr>
        <w:t>生态环境局</w:t>
      </w:r>
      <w:r>
        <w:rPr>
          <w:rFonts w:hint="eastAsia" w:ascii="华文楷体" w:hAnsi="华文楷体" w:eastAsia="华文楷体" w:cs="华文楷体"/>
          <w:b w:val="0"/>
          <w:bCs w:val="0"/>
          <w:sz w:val="32"/>
          <w:szCs w:val="32"/>
          <w:lang w:eastAsia="zh-CN"/>
        </w:rPr>
        <w:t>华容分局</w:t>
      </w:r>
      <w:r>
        <w:rPr>
          <w:rFonts w:hint="eastAsia" w:ascii="华文楷体" w:hAnsi="华文楷体" w:eastAsia="华文楷体" w:cs="华文楷体"/>
          <w:b w:val="0"/>
          <w:bCs w:val="0"/>
          <w:sz w:val="32"/>
          <w:szCs w:val="32"/>
        </w:rPr>
        <w:t>、</w:t>
      </w:r>
      <w:r>
        <w:rPr>
          <w:rFonts w:hint="eastAsia" w:ascii="华文楷体" w:hAnsi="华文楷体" w:eastAsia="华文楷体" w:cs="华文楷体"/>
          <w:b w:val="0"/>
          <w:bCs w:val="0"/>
          <w:sz w:val="32"/>
          <w:szCs w:val="32"/>
          <w:lang w:eastAsia="zh-CN"/>
        </w:rPr>
        <w:t>县</w:t>
      </w:r>
      <w:r>
        <w:rPr>
          <w:rFonts w:hint="eastAsia" w:ascii="华文楷体" w:hAnsi="华文楷体" w:eastAsia="华文楷体" w:cs="华文楷体"/>
          <w:b w:val="0"/>
          <w:bCs w:val="0"/>
          <w:sz w:val="32"/>
          <w:szCs w:val="32"/>
        </w:rPr>
        <w:t>林业局、</w:t>
      </w:r>
      <w:r>
        <w:rPr>
          <w:rFonts w:hint="eastAsia" w:ascii="华文楷体" w:hAnsi="华文楷体" w:eastAsia="华文楷体" w:cs="华文楷体"/>
          <w:b w:val="0"/>
          <w:bCs w:val="0"/>
          <w:sz w:val="32"/>
          <w:szCs w:val="32"/>
          <w:lang w:eastAsia="zh-CN"/>
        </w:rPr>
        <w:t>县</w:t>
      </w:r>
      <w:r>
        <w:rPr>
          <w:rFonts w:hint="eastAsia" w:ascii="华文楷体" w:hAnsi="华文楷体" w:eastAsia="华文楷体" w:cs="华文楷体"/>
          <w:b w:val="0"/>
          <w:bCs w:val="0"/>
          <w:sz w:val="32"/>
          <w:szCs w:val="32"/>
        </w:rPr>
        <w:t>金融办</w:t>
      </w:r>
      <w:r>
        <w:rPr>
          <w:rFonts w:hint="eastAsia" w:ascii="华文楷体" w:hAnsi="华文楷体" w:eastAsia="华文楷体" w:cs="华文楷体"/>
          <w:b w:val="0"/>
          <w:bCs w:val="0"/>
          <w:sz w:val="32"/>
          <w:szCs w:val="32"/>
          <w:lang w:eastAsia="zh-CN"/>
        </w:rPr>
        <w:t>、华容高新区、县国资中心、惠华城投集团</w:t>
      </w:r>
      <w:r>
        <w:rPr>
          <w:rFonts w:hint="eastAsia" w:ascii="华文楷体" w:hAnsi="华文楷体" w:eastAsia="华文楷体" w:cs="华文楷体"/>
          <w:b w:val="0"/>
          <w:bCs w:val="0"/>
          <w:sz w:val="32"/>
          <w:szCs w:val="32"/>
        </w:rPr>
        <w:t>等按职责分工负责)</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3" w:firstLineChars="200"/>
        <w:jc w:val="both"/>
        <w:textAlignment w:val="baseline"/>
        <w:rPr>
          <w:rFonts w:hint="eastAsia" w:ascii="华文楷体" w:hAnsi="华文楷体" w:eastAsia="华文楷体" w:cs="华文楷体"/>
          <w:b w:val="0"/>
          <w:bCs w:val="0"/>
          <w:color w:val="auto"/>
          <w:sz w:val="32"/>
          <w:szCs w:val="32"/>
          <w:lang w:val="en-US" w:eastAsia="zh-CN"/>
        </w:rPr>
      </w:pPr>
      <w:r>
        <w:rPr>
          <w:rFonts w:hint="eastAsia" w:ascii="华文楷体" w:hAnsi="华文楷体" w:eastAsia="华文楷体" w:cs="华文楷体"/>
          <w:b/>
          <w:bCs/>
          <w:color w:val="auto"/>
          <w:sz w:val="32"/>
          <w:szCs w:val="32"/>
        </w:rPr>
        <w:t>(八)深化投资审批制度改革。</w:t>
      </w:r>
      <w:r>
        <w:rPr>
          <w:rFonts w:hint="eastAsia" w:ascii="仿宋_GB2312" w:hAnsi="仿宋_GB2312" w:eastAsia="仿宋_GB2312" w:cs="仿宋_GB2312"/>
          <w:color w:val="auto"/>
          <w:kern w:val="2"/>
          <w:sz w:val="32"/>
          <w:szCs w:val="32"/>
          <w:lang w:val="en-US" w:eastAsia="zh-CN" w:bidi="ar-SA"/>
        </w:rPr>
        <w:t>探索重点项目审批“绿色通道”服务方式,加快资金来源审核意见和项目评审工作，简化报市审批项目初审程序。持续推进园区企业投资项目备案审批，进一步简化审批环节，优化审批流程，精简审批要件，推行园区企业投资项目备案极简审批。</w:t>
      </w:r>
      <w:r>
        <w:rPr>
          <w:rFonts w:hint="eastAsia" w:ascii="华文楷体" w:hAnsi="华文楷体" w:eastAsia="华文楷体" w:cs="华文楷体"/>
          <w:b w:val="0"/>
          <w:bCs w:val="0"/>
          <w:color w:val="auto"/>
          <w:sz w:val="32"/>
          <w:szCs w:val="32"/>
          <w:lang w:val="en-US" w:eastAsia="zh-CN"/>
        </w:rPr>
        <w:t>(县发改局、县财政局、县行政审批服务局、华容高新区等按职责分工负责)</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3" w:firstLineChars="200"/>
        <w:jc w:val="both"/>
        <w:textAlignment w:val="baseline"/>
        <w:rPr>
          <w:rFonts w:hint="eastAsia" w:ascii="华文楷体" w:hAnsi="华文楷体" w:eastAsia="华文楷体" w:cs="华文楷体"/>
          <w:b w:val="0"/>
          <w:bCs w:val="0"/>
          <w:color w:val="auto"/>
          <w:sz w:val="32"/>
          <w:szCs w:val="32"/>
        </w:rPr>
      </w:pPr>
      <w:r>
        <w:rPr>
          <w:rFonts w:hint="eastAsia" w:ascii="华文楷体" w:hAnsi="华文楷体" w:eastAsia="华文楷体" w:cs="华文楷体"/>
          <w:b/>
          <w:bCs/>
          <w:color w:val="auto"/>
          <w:sz w:val="32"/>
          <w:szCs w:val="32"/>
        </w:rPr>
        <w:t>(九)激发社会投资动能</w:t>
      </w:r>
      <w:r>
        <w:rPr>
          <w:rFonts w:hint="eastAsia" w:ascii="仿宋" w:hAnsi="仿宋" w:eastAsia="仿宋" w:cs="仿宋"/>
          <w:color w:val="auto"/>
          <w:sz w:val="32"/>
          <w:szCs w:val="32"/>
        </w:rPr>
        <w:t>。鼓励民间资本参与交通、市政公用、生态环保等领域项目投资，鼓励国有企业通过股权转让、增资扩股、项目合作等方式，与具有产业链或价值链关联、在行业中有竞争优势的民间资本开展合作，共同推进重大工程项目建设。对具备相关条件的基础设施存量项目采取基础设施领域不动产投资信托基金(REITs)、资产证券化(ABS)等方式盘活存量资产资源。</w:t>
      </w:r>
      <w:r>
        <w:rPr>
          <w:rFonts w:hint="eastAsia" w:ascii="华文楷体" w:hAnsi="华文楷体" w:eastAsia="华文楷体" w:cs="华文楷体"/>
          <w:b w:val="0"/>
          <w:bCs w:val="0"/>
          <w:color w:val="auto"/>
          <w:sz w:val="32"/>
          <w:szCs w:val="32"/>
        </w:rPr>
        <w:t>(</w:t>
      </w:r>
      <w:r>
        <w:rPr>
          <w:rFonts w:hint="eastAsia" w:ascii="华文楷体" w:hAnsi="华文楷体" w:eastAsia="华文楷体" w:cs="华文楷体"/>
          <w:b w:val="0"/>
          <w:bCs w:val="0"/>
          <w:color w:val="auto"/>
          <w:sz w:val="32"/>
          <w:szCs w:val="32"/>
          <w:lang w:eastAsia="zh-CN"/>
        </w:rPr>
        <w:t>县</w:t>
      </w:r>
      <w:r>
        <w:rPr>
          <w:rFonts w:hint="eastAsia" w:ascii="华文楷体" w:hAnsi="华文楷体" w:eastAsia="华文楷体" w:cs="华文楷体"/>
          <w:b w:val="0"/>
          <w:bCs w:val="0"/>
          <w:color w:val="auto"/>
          <w:sz w:val="32"/>
          <w:szCs w:val="32"/>
        </w:rPr>
        <w:t>发改局、</w:t>
      </w:r>
      <w:r>
        <w:rPr>
          <w:rFonts w:hint="eastAsia" w:ascii="华文楷体" w:hAnsi="华文楷体" w:eastAsia="华文楷体" w:cs="华文楷体"/>
          <w:b w:val="0"/>
          <w:bCs w:val="0"/>
          <w:color w:val="auto"/>
          <w:sz w:val="32"/>
          <w:szCs w:val="32"/>
          <w:lang w:eastAsia="zh-CN"/>
        </w:rPr>
        <w:t>县</w:t>
      </w:r>
      <w:r>
        <w:rPr>
          <w:rFonts w:hint="eastAsia" w:ascii="华文楷体" w:hAnsi="华文楷体" w:eastAsia="华文楷体" w:cs="华文楷体"/>
          <w:b w:val="0"/>
          <w:bCs w:val="0"/>
          <w:color w:val="auto"/>
          <w:sz w:val="32"/>
          <w:szCs w:val="32"/>
        </w:rPr>
        <w:t>财政局、</w:t>
      </w:r>
      <w:r>
        <w:rPr>
          <w:rFonts w:hint="eastAsia" w:ascii="华文楷体" w:hAnsi="华文楷体" w:eastAsia="华文楷体" w:cs="华文楷体"/>
          <w:b w:val="0"/>
          <w:bCs w:val="0"/>
          <w:color w:val="auto"/>
          <w:sz w:val="32"/>
          <w:szCs w:val="32"/>
          <w:lang w:eastAsia="zh-CN"/>
        </w:rPr>
        <w:t>县国有资产中心、县</w:t>
      </w:r>
      <w:r>
        <w:rPr>
          <w:rFonts w:hint="eastAsia" w:ascii="华文楷体" w:hAnsi="华文楷体" w:eastAsia="华文楷体" w:cs="华文楷体"/>
          <w:b w:val="0"/>
          <w:bCs w:val="0"/>
          <w:color w:val="auto"/>
          <w:sz w:val="32"/>
          <w:szCs w:val="32"/>
        </w:rPr>
        <w:t>金融办等按职责分工负责)</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三、推进高水平对外开放</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华文楷体" w:hAnsi="华文楷体" w:eastAsia="华文楷体" w:cs="华文楷体"/>
          <w:b w:val="0"/>
          <w:bCs w:val="0"/>
          <w:sz w:val="32"/>
          <w:szCs w:val="32"/>
          <w:lang w:val="en-US" w:eastAsia="zh-CN"/>
        </w:rPr>
      </w:pPr>
      <w:r>
        <w:rPr>
          <w:rFonts w:hint="eastAsia" w:ascii="华文楷体" w:hAnsi="华文楷体" w:eastAsia="华文楷体" w:cs="华文楷体"/>
          <w:b/>
          <w:bCs/>
          <w:sz w:val="32"/>
          <w:szCs w:val="32"/>
          <w:lang w:val="en-US" w:eastAsia="zh-CN"/>
        </w:rPr>
        <w:t>（十）支持外贸企业拓展市场。</w:t>
      </w:r>
      <w:r>
        <w:rPr>
          <w:rFonts w:hint="eastAsia" w:ascii="仿宋" w:hAnsi="仿宋" w:eastAsia="仿宋" w:cs="仿宋"/>
          <w:sz w:val="32"/>
          <w:szCs w:val="32"/>
          <w:lang w:eastAsia="zh-CN"/>
        </w:rPr>
        <w:t>积极探索接入省市商务活动出入境专门服务窗口，加快办理外贸业务人员出境参加商务活动审批。支持外贸企业通过实地参展、线上参展、代参展等方式赴境外参展。</w:t>
      </w:r>
      <w:r>
        <w:rPr>
          <w:rFonts w:hint="eastAsia" w:ascii="华文楷体" w:hAnsi="华文楷体" w:eastAsia="华文楷体" w:cs="华文楷体"/>
          <w:b w:val="0"/>
          <w:bCs w:val="0"/>
          <w:sz w:val="32"/>
          <w:szCs w:val="32"/>
          <w:lang w:val="en-US" w:eastAsia="zh-CN"/>
        </w:rPr>
        <w:t>（县商务粮食局、县财政局按职责分工负责）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华文楷体" w:hAnsi="华文楷体" w:eastAsia="华文楷体" w:cs="华文楷体"/>
          <w:b w:val="0"/>
          <w:bCs w:val="0"/>
          <w:sz w:val="32"/>
          <w:szCs w:val="32"/>
          <w:lang w:val="en-US" w:eastAsia="zh-CN"/>
        </w:rPr>
      </w:pPr>
      <w:r>
        <w:rPr>
          <w:rFonts w:hint="eastAsia" w:ascii="华文楷体" w:hAnsi="华文楷体" w:eastAsia="华文楷体" w:cs="华文楷体"/>
          <w:b/>
          <w:bCs/>
          <w:sz w:val="32"/>
          <w:szCs w:val="32"/>
          <w:lang w:val="en-US" w:eastAsia="zh-CN"/>
        </w:rPr>
        <w:t>（十一）推进贸易投融资便利化。</w:t>
      </w:r>
      <w:r>
        <w:rPr>
          <w:rFonts w:hint="eastAsia" w:ascii="仿宋" w:hAnsi="仿宋" w:eastAsia="仿宋" w:cs="仿宋"/>
          <w:sz w:val="32"/>
          <w:szCs w:val="32"/>
          <w:lang w:val="en-US" w:eastAsia="zh-CN"/>
        </w:rPr>
        <w:t>引导金融机构扩大外贸信贷投放规模。发挥出口信用保险政策性金融工具作用，进一步扩大出口信用保险覆盖面，加大出口信用保险风险保</w:t>
      </w:r>
      <w:r>
        <w:rPr>
          <w:rFonts w:hint="eastAsia" w:ascii="仿宋" w:hAnsi="仿宋" w:eastAsia="仿宋" w:cs="仿宋"/>
          <w:spacing w:val="-6"/>
          <w:sz w:val="32"/>
          <w:szCs w:val="32"/>
          <w:lang w:val="en-US" w:eastAsia="zh-CN"/>
        </w:rPr>
        <w:t>费和融资支持力度，扩大出口信用保险保单融资规模。支持新型离岸国际贸易发展，优化资金结算流程，提供跨境结算便利。</w:t>
      </w:r>
      <w:r>
        <w:rPr>
          <w:rFonts w:hint="eastAsia" w:ascii="华文楷体" w:hAnsi="华文楷体" w:eastAsia="华文楷体" w:cs="华文楷体"/>
          <w:b w:val="0"/>
          <w:bCs w:val="0"/>
          <w:spacing w:val="-6"/>
          <w:sz w:val="32"/>
          <w:szCs w:val="32"/>
          <w:lang w:val="en-US" w:eastAsia="zh-CN"/>
        </w:rPr>
        <w:t>（县商务粮食局、县金融办、人民银行按职责分工负责）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 w:hAnsi="仿宋" w:eastAsia="仿宋" w:cs="仿宋"/>
          <w:sz w:val="32"/>
          <w:szCs w:val="32"/>
          <w:lang w:val="en-US" w:eastAsia="zh-CN"/>
        </w:rPr>
      </w:pPr>
      <w:r>
        <w:rPr>
          <w:rFonts w:hint="eastAsia" w:ascii="华文楷体" w:hAnsi="华文楷体" w:eastAsia="华文楷体" w:cs="华文楷体"/>
          <w:b/>
          <w:bCs/>
          <w:sz w:val="32"/>
          <w:szCs w:val="32"/>
          <w:lang w:val="en-US" w:eastAsia="zh-CN"/>
        </w:rPr>
        <w:t>（十二）促进跨境电商加快发展。</w:t>
      </w:r>
      <w:r>
        <w:rPr>
          <w:rFonts w:hint="eastAsia" w:ascii="仿宋" w:hAnsi="仿宋" w:eastAsia="仿宋" w:cs="仿宋"/>
          <w:sz w:val="32"/>
          <w:szCs w:val="32"/>
          <w:lang w:val="en-US" w:eastAsia="zh-CN"/>
        </w:rPr>
        <w:t>加强项目招引和孵化培育，跟踪对接重点电商平台企业，促进跨境电商产业项目落地，健全完善配套服务体系，力争全年跨境电商进出口额达到2.1亿元以上。</w:t>
      </w:r>
      <w:r>
        <w:rPr>
          <w:rFonts w:hint="eastAsia" w:ascii="仿宋" w:hAnsi="仿宋" w:eastAsia="仿宋" w:cs="仿宋"/>
          <w:b w:val="0"/>
          <w:bCs w:val="0"/>
          <w:sz w:val="32"/>
          <w:szCs w:val="32"/>
          <w:lang w:val="en-US" w:eastAsia="zh-CN"/>
        </w:rPr>
        <w:t>支持有条件的银行开展跨境电商外汇业务。</w:t>
      </w:r>
      <w:r>
        <w:rPr>
          <w:rFonts w:hint="eastAsia" w:ascii="华文楷体" w:hAnsi="华文楷体" w:eastAsia="华文楷体" w:cs="华文楷体"/>
          <w:b w:val="0"/>
          <w:bCs w:val="0"/>
          <w:sz w:val="32"/>
          <w:szCs w:val="32"/>
          <w:lang w:val="en-US" w:eastAsia="zh-CN"/>
        </w:rPr>
        <w:t>（县商务粮食局、人民银行按职责分工负责）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华文楷体" w:hAnsi="华文楷体" w:eastAsia="华文楷体" w:cs="华文楷体"/>
          <w:b w:val="0"/>
          <w:bCs w:val="0"/>
          <w:sz w:val="32"/>
          <w:szCs w:val="32"/>
          <w:lang w:val="en-US" w:eastAsia="zh-CN"/>
        </w:rPr>
      </w:pPr>
      <w:r>
        <w:rPr>
          <w:rFonts w:hint="eastAsia" w:ascii="华文楷体" w:hAnsi="华文楷体" w:eastAsia="华文楷体" w:cs="华文楷体"/>
          <w:b/>
          <w:bCs/>
          <w:sz w:val="32"/>
          <w:szCs w:val="32"/>
          <w:lang w:val="en-US" w:eastAsia="zh-CN"/>
        </w:rPr>
        <w:t>（十三）推动联港联运联动发展。</w:t>
      </w:r>
      <w:r>
        <w:rPr>
          <w:rFonts w:hint="eastAsia" w:ascii="仿宋" w:hAnsi="仿宋" w:eastAsia="仿宋" w:cs="仿宋"/>
          <w:sz w:val="32"/>
          <w:szCs w:val="32"/>
          <w:lang w:val="en-US" w:eastAsia="zh-CN"/>
        </w:rPr>
        <w:t>持续深化与城陵矶港区的协同联动，建好协同联动区、中非工贸产业园等载体，做到资源共享和信息互通，合作建设“飞地园区”，实现产业互补、联港联运，深度融入全市现代港口群建设和省港务集团航运体系。</w:t>
      </w:r>
      <w:r>
        <w:rPr>
          <w:rFonts w:hint="eastAsia" w:ascii="华文楷体" w:hAnsi="华文楷体" w:eastAsia="华文楷体" w:cs="华文楷体"/>
          <w:b w:val="0"/>
          <w:bCs w:val="0"/>
          <w:sz w:val="32"/>
          <w:szCs w:val="32"/>
          <w:lang w:val="en-US" w:eastAsia="zh-CN"/>
        </w:rPr>
        <w:t>（县商务粮食局、县发改局、县交通局等按职责分工负责）</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四、促进房地产市场平稳健康发展</w:t>
      </w:r>
    </w:p>
    <w:p>
      <w:pPr>
        <w:keepNext w:val="0"/>
        <w:keepLines w:val="0"/>
        <w:pageBreakBefore w:val="0"/>
        <w:widowControl/>
        <w:kinsoku/>
        <w:wordWrap/>
        <w:overflowPunct/>
        <w:topLinePunct w:val="0"/>
        <w:autoSpaceDE w:val="0"/>
        <w:autoSpaceDN w:val="0"/>
        <w:bidi w:val="0"/>
        <w:adjustRightInd w:val="0"/>
        <w:snapToGrid w:val="0"/>
        <w:spacing w:line="580" w:lineRule="exact"/>
        <w:ind w:firstLine="643" w:firstLineChars="200"/>
        <w:jc w:val="both"/>
        <w:textAlignment w:val="baseline"/>
        <w:rPr>
          <w:rFonts w:hint="eastAsia" w:ascii="楷体" w:hAnsi="楷体" w:eastAsia="楷体" w:cs="楷体"/>
          <w:sz w:val="32"/>
          <w:szCs w:val="32"/>
          <w:lang w:val="en-US" w:eastAsia="zh-CN"/>
        </w:rPr>
      </w:pPr>
      <w:r>
        <w:rPr>
          <w:rFonts w:hint="eastAsia" w:ascii="华文楷体" w:hAnsi="华文楷体" w:eastAsia="华文楷体" w:cs="华文楷体"/>
          <w:b/>
          <w:bCs/>
          <w:sz w:val="32"/>
          <w:szCs w:val="32"/>
        </w:rPr>
        <w:t>(十四)稳定房地产市场预期。</w:t>
      </w:r>
      <w:r>
        <w:rPr>
          <w:rFonts w:hint="eastAsia" w:ascii="仿宋" w:hAnsi="仿宋" w:eastAsia="仿宋" w:cs="仿宋"/>
          <w:sz w:val="32"/>
          <w:szCs w:val="32"/>
          <w:lang w:val="en-US" w:eastAsia="zh-CN"/>
        </w:rPr>
        <w:t>推进落实我县房地产稳市“九条”政策措施，支持阶段性放宽首套住房商业性个人贷款利率下限等支持消费措施，积极去库存，筹划举办房交会，提升置业消费信心，确保市场平稳。完善征收拆迁安置补偿方式，按政策计划，因地制宜实施棚户区改造，优化商品房价格备案制度。</w:t>
      </w:r>
      <w:r>
        <w:rPr>
          <w:rFonts w:hint="eastAsia" w:ascii="楷体" w:hAnsi="楷体" w:eastAsia="楷体" w:cs="楷体"/>
          <w:sz w:val="32"/>
          <w:szCs w:val="32"/>
          <w:lang w:val="en-US" w:eastAsia="zh-CN"/>
        </w:rPr>
        <w:t>(县住建局、县自然资源局、县财政局、县金融办按职责分工负责)</w:t>
      </w:r>
    </w:p>
    <w:p>
      <w:pPr>
        <w:keepNext w:val="0"/>
        <w:keepLines w:val="0"/>
        <w:pageBreakBefore w:val="0"/>
        <w:widowControl/>
        <w:kinsoku/>
        <w:wordWrap/>
        <w:overflowPunct/>
        <w:topLinePunct w:val="0"/>
        <w:autoSpaceDE w:val="0"/>
        <w:autoSpaceDN w:val="0"/>
        <w:bidi w:val="0"/>
        <w:adjustRightInd w:val="0"/>
        <w:snapToGrid w:val="0"/>
        <w:spacing w:line="580" w:lineRule="exact"/>
        <w:ind w:firstLine="643" w:firstLineChars="200"/>
        <w:jc w:val="both"/>
        <w:textAlignment w:val="baseline"/>
        <w:rPr>
          <w:rFonts w:hint="eastAsia" w:ascii="楷体" w:hAnsi="楷体" w:eastAsia="楷体" w:cs="楷体"/>
          <w:sz w:val="32"/>
          <w:szCs w:val="32"/>
          <w:lang w:val="en-US" w:eastAsia="zh-CN"/>
        </w:rPr>
      </w:pPr>
      <w:r>
        <w:rPr>
          <w:rFonts w:hint="eastAsia" w:ascii="华文楷体" w:hAnsi="华文楷体" w:eastAsia="华文楷体" w:cs="华文楷体"/>
          <w:b/>
          <w:bCs/>
          <w:sz w:val="32"/>
          <w:szCs w:val="32"/>
        </w:rPr>
        <w:t>(十五)支持房地产企业合理融资需求。</w:t>
      </w:r>
      <w:r>
        <w:rPr>
          <w:rFonts w:hint="eastAsia" w:ascii="仿宋" w:hAnsi="仿宋" w:eastAsia="仿宋" w:cs="仿宋"/>
          <w:sz w:val="32"/>
          <w:szCs w:val="32"/>
          <w:lang w:val="en-US" w:eastAsia="zh-CN"/>
        </w:rPr>
        <w:t>支持房地产企业和参建企业、材料供应企业合理融资需求。落实房地产开发贷款、信托贷款等存量融资政策，助企纾困，缓解短期偿债压力。鼓励金融机构加大配套融资支持力度，支持资产管理公司参与县内风险房地产企业的资产处置、项目并购。</w:t>
      </w:r>
      <w:r>
        <w:rPr>
          <w:rFonts w:hint="eastAsia" w:ascii="楷体" w:hAnsi="楷体" w:eastAsia="楷体" w:cs="楷体"/>
          <w:sz w:val="32"/>
          <w:szCs w:val="32"/>
          <w:lang w:val="en-US" w:eastAsia="zh-CN"/>
        </w:rPr>
        <w:t>(县住建局、县财政局、县金融办按职责分工负责)</w:t>
      </w:r>
    </w:p>
    <w:p>
      <w:pPr>
        <w:keepNext w:val="0"/>
        <w:keepLines w:val="0"/>
        <w:pageBreakBefore w:val="0"/>
        <w:widowControl/>
        <w:kinsoku/>
        <w:wordWrap/>
        <w:overflowPunct/>
        <w:topLinePunct w:val="0"/>
        <w:autoSpaceDE w:val="0"/>
        <w:autoSpaceDN w:val="0"/>
        <w:bidi w:val="0"/>
        <w:adjustRightInd w:val="0"/>
        <w:snapToGrid w:val="0"/>
        <w:spacing w:line="580" w:lineRule="exact"/>
        <w:ind w:firstLine="643" w:firstLineChars="200"/>
        <w:jc w:val="both"/>
        <w:textAlignment w:val="baseline"/>
        <w:rPr>
          <w:rFonts w:hint="eastAsia" w:ascii="楷体" w:hAnsi="楷体" w:eastAsia="楷体" w:cs="楷体"/>
          <w:sz w:val="32"/>
          <w:szCs w:val="32"/>
          <w:lang w:val="en-US" w:eastAsia="zh-CN"/>
        </w:rPr>
      </w:pPr>
      <w:r>
        <w:rPr>
          <w:rFonts w:hint="eastAsia" w:ascii="华文楷体" w:hAnsi="华文楷体" w:eastAsia="华文楷体" w:cs="华文楷体"/>
          <w:b/>
          <w:bCs/>
          <w:sz w:val="32"/>
          <w:szCs w:val="32"/>
        </w:rPr>
        <w:t>(十六)探索房地产业新发展模式。</w:t>
      </w:r>
      <w:r>
        <w:rPr>
          <w:rFonts w:hint="eastAsia" w:ascii="仿宋" w:hAnsi="仿宋" w:eastAsia="仿宋" w:cs="仿宋"/>
          <w:sz w:val="32"/>
          <w:szCs w:val="32"/>
          <w:lang w:val="en-US" w:eastAsia="zh-CN"/>
        </w:rPr>
        <w:t>坚持“房住不炒”定位，因城施策，支持和引导人民群众理性购房。促进开发模式转型，稳投资，探索城市更新等房地产发展新模式。用足用好住房租赁政策，可利用住房公积金增值收益收购社会房源作为公租房、保障性租赁住房，满足各类群体租赁住房需求。提高县城小区科学化、精细化、智能化水平，持续做好保交楼工作，让人民群众安心购房、购安心房。</w:t>
      </w:r>
      <w:r>
        <w:rPr>
          <w:rFonts w:hint="eastAsia" w:ascii="楷体" w:hAnsi="楷体" w:eastAsia="楷体" w:cs="楷体"/>
          <w:sz w:val="32"/>
          <w:szCs w:val="32"/>
          <w:lang w:val="en-US" w:eastAsia="zh-CN"/>
        </w:rPr>
        <w:t>(县住建局、县发改局等按职责分工负责)</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五、培育壮大产业发展动能</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3" w:firstLineChars="200"/>
        <w:jc w:val="both"/>
        <w:textAlignment w:val="baseline"/>
        <w:rPr>
          <w:rFonts w:hint="eastAsia" w:ascii="华文楷体" w:hAnsi="华文楷体" w:eastAsia="华文楷体" w:cs="华文楷体"/>
          <w:sz w:val="32"/>
          <w:szCs w:val="32"/>
        </w:rPr>
      </w:pPr>
      <w:r>
        <w:rPr>
          <w:rFonts w:hint="eastAsia" w:ascii="华文楷体" w:hAnsi="华文楷体" w:eastAsia="华文楷体" w:cs="华文楷体"/>
          <w:b/>
          <w:bCs/>
          <w:sz w:val="32"/>
          <w:szCs w:val="32"/>
        </w:rPr>
        <w:t>(十七)加强市场主体培育。</w:t>
      </w:r>
      <w:r>
        <w:rPr>
          <w:rFonts w:hint="eastAsia" w:ascii="仿宋" w:hAnsi="仿宋" w:eastAsia="仿宋" w:cs="仿宋"/>
          <w:sz w:val="32"/>
          <w:szCs w:val="32"/>
          <w:lang w:val="en-US" w:eastAsia="zh-CN"/>
        </w:rPr>
        <w:t>继续实施市场主体培育工程，培育新增规模企业15家，创建一家省级智能智造标杆工厂，培育国家级、省级“专精特新”小巨人各一家，培育一家省级消费品“三品”标杆企业，创建一家国家级“绿色工厂”，培育一批湖南省创新型中小企业。创建一家湖南省“上云上平台”标杆企业，培育“数字新基建”、“数字湖南十大应用场景”、“5G典型应用场景”重点项目各一家，培育一批数字化转型“三化”重点项目企业。鼓励“个转企、小升规、规改股、股上市”,对当年新入库的规模以上工业企业法人单位、限额以上批发零售住宿餐饮法人单位和规模以上服务业法人单位，经认定的规模以上文化企业按规定进行奖励。</w:t>
      </w:r>
      <w:r>
        <w:rPr>
          <w:rFonts w:hint="eastAsia" w:ascii="华文楷体" w:hAnsi="华文楷体" w:eastAsia="华文楷体" w:cs="华文楷体"/>
          <w:sz w:val="32"/>
          <w:szCs w:val="32"/>
        </w:rPr>
        <w:t>(</w:t>
      </w:r>
      <w:r>
        <w:rPr>
          <w:rFonts w:hint="eastAsia" w:ascii="华文楷体" w:hAnsi="华文楷体" w:eastAsia="华文楷体" w:cs="华文楷体"/>
          <w:sz w:val="32"/>
          <w:szCs w:val="32"/>
          <w:lang w:eastAsia="zh-CN"/>
        </w:rPr>
        <w:t>县</w:t>
      </w:r>
      <w:r>
        <w:rPr>
          <w:rFonts w:hint="eastAsia" w:ascii="华文楷体" w:hAnsi="华文楷体" w:eastAsia="华文楷体" w:cs="华文楷体"/>
          <w:sz w:val="32"/>
          <w:szCs w:val="32"/>
        </w:rPr>
        <w:t>工信局、</w:t>
      </w:r>
      <w:r>
        <w:rPr>
          <w:rFonts w:hint="eastAsia" w:ascii="华文楷体" w:hAnsi="华文楷体" w:eastAsia="华文楷体" w:cs="华文楷体"/>
          <w:sz w:val="32"/>
          <w:szCs w:val="32"/>
          <w:lang w:eastAsia="zh-CN"/>
        </w:rPr>
        <w:t>县</w:t>
      </w:r>
      <w:r>
        <w:rPr>
          <w:rFonts w:hint="eastAsia" w:ascii="华文楷体" w:hAnsi="华文楷体" w:eastAsia="华文楷体" w:cs="华文楷体"/>
          <w:sz w:val="32"/>
          <w:szCs w:val="32"/>
        </w:rPr>
        <w:t>财政局、</w:t>
      </w:r>
      <w:r>
        <w:rPr>
          <w:rFonts w:hint="eastAsia" w:ascii="华文楷体" w:hAnsi="华文楷体" w:eastAsia="华文楷体" w:cs="华文楷体"/>
          <w:sz w:val="32"/>
          <w:szCs w:val="32"/>
          <w:lang w:eastAsia="zh-CN"/>
        </w:rPr>
        <w:t>县</w:t>
      </w:r>
      <w:r>
        <w:rPr>
          <w:rFonts w:hint="eastAsia" w:ascii="华文楷体" w:hAnsi="华文楷体" w:eastAsia="华文楷体" w:cs="华文楷体"/>
          <w:sz w:val="32"/>
          <w:szCs w:val="32"/>
        </w:rPr>
        <w:t>市场监管局</w:t>
      </w:r>
      <w:r>
        <w:rPr>
          <w:rFonts w:hint="eastAsia" w:ascii="华文楷体" w:hAnsi="华文楷体" w:eastAsia="华文楷体" w:cs="华文楷体"/>
          <w:sz w:val="32"/>
          <w:szCs w:val="32"/>
          <w:lang w:eastAsia="zh-CN"/>
        </w:rPr>
        <w:t>等</w:t>
      </w:r>
      <w:r>
        <w:rPr>
          <w:rFonts w:hint="eastAsia" w:ascii="华文楷体" w:hAnsi="华文楷体" w:eastAsia="华文楷体" w:cs="华文楷体"/>
          <w:sz w:val="32"/>
          <w:szCs w:val="32"/>
        </w:rPr>
        <w:t>按职责分工负责)</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3" w:firstLineChars="200"/>
        <w:jc w:val="both"/>
        <w:textAlignment w:val="baseline"/>
        <w:rPr>
          <w:rFonts w:hint="eastAsia" w:ascii="华文楷体" w:hAnsi="华文楷体" w:eastAsia="华文楷体" w:cs="华文楷体"/>
          <w:sz w:val="32"/>
          <w:szCs w:val="32"/>
        </w:rPr>
      </w:pPr>
      <w:r>
        <w:rPr>
          <w:rFonts w:hint="eastAsia" w:ascii="华文楷体" w:hAnsi="华文楷体" w:eastAsia="华文楷体" w:cs="华文楷体"/>
          <w:b/>
          <w:bCs/>
          <w:sz w:val="32"/>
          <w:szCs w:val="32"/>
        </w:rPr>
        <w:t>(十八)支持企业技术创新。</w:t>
      </w:r>
      <w:r>
        <w:rPr>
          <w:rFonts w:hint="eastAsia" w:ascii="仿宋" w:hAnsi="仿宋" w:eastAsia="仿宋" w:cs="仿宋"/>
          <w:sz w:val="32"/>
          <w:szCs w:val="32"/>
          <w:lang w:val="en-US" w:eastAsia="zh-CN"/>
        </w:rPr>
        <w:t>聚焦“4+1”优势产业链，加大技术创新力度，深入推进“华容英才”计划建设湘北人才高地，统筹产业发展专项资金及上级相关项目专项资金，全面落实省财政企业研发奖补政策；对新认定的国家级、省级、市级技术创新中心、企业技术中心、行业创新中心、工程技术研究中心、新型研发机构、重点实验室等科技创新平台，经考核运转正常的，分别给予最高100万元、50万元、20万元经费支持，成效显著的可申请“一事一议”，每年给予一定工作经费支持；对新认定的国家级、省级、市级科技企业孵化器、众创空间、星创天地分别给予最高100万元、30万元、10万元经费支持，每成功孵化一家企业奖励最高5万元,每培育一家高新技术企业奖励2万元。</w:t>
      </w:r>
      <w:r>
        <w:rPr>
          <w:rFonts w:hint="eastAsia" w:ascii="华文楷体" w:hAnsi="华文楷体" w:eastAsia="华文楷体" w:cs="华文楷体"/>
          <w:sz w:val="32"/>
          <w:szCs w:val="32"/>
        </w:rPr>
        <w:t>（</w:t>
      </w:r>
      <w:r>
        <w:rPr>
          <w:rFonts w:hint="eastAsia" w:ascii="华文楷体" w:hAnsi="华文楷体" w:eastAsia="华文楷体" w:cs="华文楷体"/>
          <w:sz w:val="32"/>
          <w:szCs w:val="32"/>
          <w:lang w:eastAsia="zh-CN"/>
        </w:rPr>
        <w:t>县</w:t>
      </w:r>
      <w:r>
        <w:rPr>
          <w:rFonts w:hint="eastAsia" w:ascii="华文楷体" w:hAnsi="华文楷体" w:eastAsia="华文楷体" w:cs="华文楷体"/>
          <w:sz w:val="32"/>
          <w:szCs w:val="32"/>
        </w:rPr>
        <w:t>科技局、</w:t>
      </w:r>
      <w:r>
        <w:rPr>
          <w:rFonts w:hint="eastAsia" w:ascii="华文楷体" w:hAnsi="华文楷体" w:eastAsia="华文楷体" w:cs="华文楷体"/>
          <w:sz w:val="32"/>
          <w:szCs w:val="32"/>
          <w:lang w:eastAsia="zh-CN"/>
        </w:rPr>
        <w:t>县委</w:t>
      </w:r>
      <w:r>
        <w:rPr>
          <w:rFonts w:hint="eastAsia" w:ascii="华文楷体" w:hAnsi="华文楷体" w:eastAsia="华文楷体" w:cs="华文楷体"/>
          <w:sz w:val="32"/>
          <w:szCs w:val="32"/>
        </w:rPr>
        <w:t>组织部、</w:t>
      </w:r>
      <w:r>
        <w:rPr>
          <w:rFonts w:hint="eastAsia" w:ascii="华文楷体" w:hAnsi="华文楷体" w:eastAsia="华文楷体" w:cs="华文楷体"/>
          <w:sz w:val="32"/>
          <w:szCs w:val="32"/>
          <w:lang w:eastAsia="zh-CN"/>
        </w:rPr>
        <w:t>县</w:t>
      </w:r>
      <w:r>
        <w:rPr>
          <w:rFonts w:hint="eastAsia" w:ascii="华文楷体" w:hAnsi="华文楷体" w:eastAsia="华文楷体" w:cs="华文楷体"/>
          <w:sz w:val="32"/>
          <w:szCs w:val="32"/>
        </w:rPr>
        <w:t>财政局、</w:t>
      </w:r>
      <w:r>
        <w:rPr>
          <w:rFonts w:hint="eastAsia" w:ascii="华文楷体" w:hAnsi="华文楷体" w:eastAsia="华文楷体" w:cs="华文楷体"/>
          <w:sz w:val="32"/>
          <w:szCs w:val="32"/>
          <w:lang w:eastAsia="zh-CN"/>
        </w:rPr>
        <w:t>县</w:t>
      </w:r>
      <w:r>
        <w:rPr>
          <w:rFonts w:hint="eastAsia" w:ascii="华文楷体" w:hAnsi="华文楷体" w:eastAsia="华文楷体" w:cs="华文楷体"/>
          <w:sz w:val="32"/>
          <w:szCs w:val="32"/>
        </w:rPr>
        <w:t>发改局、</w:t>
      </w:r>
      <w:r>
        <w:rPr>
          <w:rFonts w:hint="eastAsia" w:ascii="华文楷体" w:hAnsi="华文楷体" w:eastAsia="华文楷体" w:cs="华文楷体"/>
          <w:sz w:val="32"/>
          <w:szCs w:val="32"/>
          <w:lang w:eastAsia="zh-CN"/>
        </w:rPr>
        <w:t>县</w:t>
      </w:r>
      <w:r>
        <w:rPr>
          <w:rFonts w:hint="eastAsia" w:ascii="华文楷体" w:hAnsi="华文楷体" w:eastAsia="华文楷体" w:cs="华文楷体"/>
          <w:sz w:val="32"/>
          <w:szCs w:val="32"/>
        </w:rPr>
        <w:t>工信局按职责分工负责)</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3" w:firstLineChars="200"/>
        <w:jc w:val="both"/>
        <w:textAlignment w:val="baseline"/>
        <w:rPr>
          <w:rFonts w:hint="eastAsia" w:ascii="华文楷体" w:hAnsi="华文楷体" w:eastAsia="华文楷体" w:cs="华文楷体"/>
          <w:color w:val="auto"/>
          <w:sz w:val="32"/>
          <w:szCs w:val="32"/>
        </w:rPr>
      </w:pPr>
      <w:r>
        <w:rPr>
          <w:rFonts w:hint="eastAsia" w:ascii="华文楷体" w:hAnsi="华文楷体" w:eastAsia="华文楷体" w:cs="华文楷体"/>
          <w:b/>
          <w:bCs/>
          <w:color w:val="auto"/>
          <w:sz w:val="32"/>
          <w:szCs w:val="32"/>
        </w:rPr>
        <w:t>(十九)支持重点产业发展。</w:t>
      </w:r>
      <w:r>
        <w:rPr>
          <w:rFonts w:hint="eastAsia" w:ascii="仿宋" w:hAnsi="仿宋" w:eastAsia="仿宋" w:cs="仿宋"/>
          <w:sz w:val="32"/>
          <w:szCs w:val="32"/>
          <w:lang w:val="en-US" w:eastAsia="zh-CN"/>
        </w:rPr>
        <w:t>积极争取工业企业技术改造税收贡献增量奖补。重点培育纺织服装产业、食品加工产业两大传统产业集群。推动纺织服装、食品加工等2个现有百亿产业产值稳定增长并达到200亿元以上，通用设备制造、医药制造、能源及新材料等，3个产业稳步向百亿产业迈进，争取更多重大产业项目纳入省级统筹推进的重大项目范围。支持大健康、通用航空等产业发展，按规定放宽大健康相关行业准入。</w:t>
      </w:r>
      <w:r>
        <w:rPr>
          <w:rFonts w:hint="eastAsia" w:ascii="华文楷体" w:hAnsi="华文楷体" w:eastAsia="华文楷体" w:cs="华文楷体"/>
          <w:color w:val="auto"/>
          <w:sz w:val="32"/>
          <w:szCs w:val="32"/>
        </w:rPr>
        <w:t>(</w:t>
      </w:r>
      <w:r>
        <w:rPr>
          <w:rFonts w:hint="eastAsia" w:ascii="华文楷体" w:hAnsi="华文楷体" w:eastAsia="华文楷体" w:cs="华文楷体"/>
          <w:color w:val="auto"/>
          <w:sz w:val="32"/>
          <w:szCs w:val="32"/>
          <w:lang w:eastAsia="zh-CN"/>
        </w:rPr>
        <w:t>县</w:t>
      </w:r>
      <w:r>
        <w:rPr>
          <w:rFonts w:hint="eastAsia" w:ascii="华文楷体" w:hAnsi="华文楷体" w:eastAsia="华文楷体" w:cs="华文楷体"/>
          <w:color w:val="auto"/>
          <w:sz w:val="32"/>
          <w:szCs w:val="32"/>
        </w:rPr>
        <w:t>工信局、</w:t>
      </w:r>
      <w:r>
        <w:rPr>
          <w:rFonts w:hint="eastAsia" w:ascii="华文楷体" w:hAnsi="华文楷体" w:eastAsia="华文楷体" w:cs="华文楷体"/>
          <w:color w:val="auto"/>
          <w:sz w:val="32"/>
          <w:szCs w:val="32"/>
          <w:lang w:eastAsia="zh-CN"/>
        </w:rPr>
        <w:t>县</w:t>
      </w:r>
      <w:r>
        <w:rPr>
          <w:rFonts w:hint="eastAsia" w:ascii="华文楷体" w:hAnsi="华文楷体" w:eastAsia="华文楷体" w:cs="华文楷体"/>
          <w:color w:val="auto"/>
          <w:sz w:val="32"/>
          <w:szCs w:val="32"/>
        </w:rPr>
        <w:t>发改</w:t>
      </w:r>
      <w:r>
        <w:rPr>
          <w:rFonts w:hint="eastAsia" w:ascii="华文楷体" w:hAnsi="华文楷体" w:eastAsia="华文楷体" w:cs="华文楷体"/>
          <w:color w:val="auto"/>
          <w:sz w:val="32"/>
          <w:szCs w:val="32"/>
          <w:lang w:eastAsia="zh-CN"/>
        </w:rPr>
        <w:t>局</w:t>
      </w:r>
      <w:r>
        <w:rPr>
          <w:rFonts w:hint="eastAsia" w:ascii="华文楷体" w:hAnsi="华文楷体" w:eastAsia="华文楷体" w:cs="华文楷体"/>
          <w:color w:val="auto"/>
          <w:sz w:val="32"/>
          <w:szCs w:val="32"/>
        </w:rPr>
        <w:t>、</w:t>
      </w:r>
      <w:r>
        <w:rPr>
          <w:rFonts w:hint="eastAsia" w:ascii="华文楷体" w:hAnsi="华文楷体" w:eastAsia="华文楷体" w:cs="华文楷体"/>
          <w:color w:val="auto"/>
          <w:sz w:val="32"/>
          <w:szCs w:val="32"/>
          <w:lang w:eastAsia="zh-CN"/>
        </w:rPr>
        <w:t>县重点项目事务中心等</w:t>
      </w:r>
      <w:r>
        <w:rPr>
          <w:rFonts w:hint="eastAsia" w:ascii="华文楷体" w:hAnsi="华文楷体" w:eastAsia="华文楷体" w:cs="华文楷体"/>
          <w:color w:val="auto"/>
          <w:sz w:val="32"/>
          <w:szCs w:val="32"/>
        </w:rPr>
        <w:t>按职责分工负责)</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3" w:firstLineChars="200"/>
        <w:jc w:val="both"/>
        <w:textAlignment w:val="baseline"/>
        <w:rPr>
          <w:rFonts w:hint="eastAsia" w:ascii="华文楷体" w:hAnsi="华文楷体" w:eastAsia="华文楷体" w:cs="华文楷体"/>
          <w:color w:val="auto"/>
          <w:sz w:val="32"/>
          <w:szCs w:val="32"/>
        </w:rPr>
      </w:pPr>
      <w:r>
        <w:rPr>
          <w:rFonts w:hint="eastAsia" w:ascii="华文楷体" w:hAnsi="华文楷体" w:eastAsia="华文楷体" w:cs="华文楷体"/>
          <w:b/>
          <w:bCs/>
          <w:sz w:val="32"/>
          <w:szCs w:val="32"/>
        </w:rPr>
        <w:t>(二十)推动“五好”园区建设。</w:t>
      </w:r>
      <w:r>
        <w:rPr>
          <w:rFonts w:hint="eastAsia" w:ascii="仿宋" w:hAnsi="仿宋" w:eastAsia="仿宋" w:cs="仿宋"/>
          <w:color w:val="auto"/>
          <w:sz w:val="32"/>
          <w:szCs w:val="32"/>
          <w:lang w:val="en-US" w:eastAsia="zh-CN"/>
        </w:rPr>
        <w:t>继续实施企业培优倍增，实行“二次创业”，提升亩均税收，2023年底园区企业上缴税收总额突破4亿元。完善企业白名单制度，确保资金周转困难的白名单企业免抵押申请500万元以内小额贷款。大力开展“僵尸企业”清理处置，盘活闲置土地和厂房，提高资源利用率，力争2023年度全省产业园区年度综合考核进入全省前40强、全市前5强。</w:t>
      </w:r>
      <w:r>
        <w:rPr>
          <w:rFonts w:hint="eastAsia" w:ascii="华文楷体" w:hAnsi="华文楷体" w:eastAsia="华文楷体" w:cs="华文楷体"/>
          <w:color w:val="auto"/>
          <w:sz w:val="32"/>
          <w:szCs w:val="32"/>
        </w:rPr>
        <w:t>(</w:t>
      </w:r>
      <w:r>
        <w:rPr>
          <w:rFonts w:hint="eastAsia" w:ascii="华文楷体" w:hAnsi="华文楷体" w:eastAsia="华文楷体" w:cs="华文楷体"/>
          <w:color w:val="auto"/>
          <w:sz w:val="32"/>
          <w:szCs w:val="32"/>
          <w:lang w:eastAsia="zh-CN"/>
        </w:rPr>
        <w:t>华容高新区、县</w:t>
      </w:r>
      <w:r>
        <w:rPr>
          <w:rFonts w:hint="eastAsia" w:ascii="华文楷体" w:hAnsi="华文楷体" w:eastAsia="华文楷体" w:cs="华文楷体"/>
          <w:color w:val="auto"/>
          <w:sz w:val="32"/>
          <w:szCs w:val="32"/>
        </w:rPr>
        <w:t>发改</w:t>
      </w:r>
      <w:r>
        <w:rPr>
          <w:rFonts w:hint="eastAsia" w:ascii="华文楷体" w:hAnsi="华文楷体" w:eastAsia="华文楷体" w:cs="华文楷体"/>
          <w:color w:val="auto"/>
          <w:sz w:val="32"/>
          <w:szCs w:val="32"/>
          <w:lang w:eastAsia="zh-CN"/>
        </w:rPr>
        <w:t>局</w:t>
      </w:r>
      <w:r>
        <w:rPr>
          <w:rFonts w:hint="eastAsia" w:ascii="华文楷体" w:hAnsi="华文楷体" w:eastAsia="华文楷体" w:cs="华文楷体"/>
          <w:color w:val="auto"/>
          <w:sz w:val="32"/>
          <w:szCs w:val="32"/>
        </w:rPr>
        <w:t>、</w:t>
      </w:r>
      <w:r>
        <w:rPr>
          <w:rFonts w:hint="eastAsia" w:ascii="华文楷体" w:hAnsi="华文楷体" w:eastAsia="华文楷体" w:cs="华文楷体"/>
          <w:color w:val="auto"/>
          <w:sz w:val="32"/>
          <w:szCs w:val="32"/>
          <w:lang w:eastAsia="zh-CN"/>
        </w:rPr>
        <w:t>县自然资源</w:t>
      </w:r>
      <w:r>
        <w:rPr>
          <w:rFonts w:hint="eastAsia" w:ascii="华文楷体" w:hAnsi="华文楷体" w:eastAsia="华文楷体" w:cs="华文楷体"/>
          <w:color w:val="auto"/>
          <w:sz w:val="32"/>
          <w:szCs w:val="32"/>
        </w:rPr>
        <w:t>局</w:t>
      </w:r>
      <w:r>
        <w:rPr>
          <w:rFonts w:hint="eastAsia" w:ascii="华文楷体" w:hAnsi="华文楷体" w:eastAsia="华文楷体" w:cs="华文楷体"/>
          <w:color w:val="auto"/>
          <w:sz w:val="32"/>
          <w:szCs w:val="32"/>
          <w:lang w:eastAsia="zh-CN"/>
        </w:rPr>
        <w:t>等</w:t>
      </w:r>
      <w:r>
        <w:rPr>
          <w:rFonts w:hint="eastAsia" w:ascii="华文楷体" w:hAnsi="华文楷体" w:eastAsia="华文楷体" w:cs="华文楷体"/>
          <w:color w:val="auto"/>
          <w:sz w:val="32"/>
          <w:szCs w:val="32"/>
        </w:rPr>
        <w:t>按职责分工负责)</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六、全力帮扶实体经济</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3" w:firstLineChars="200"/>
        <w:jc w:val="both"/>
        <w:textAlignment w:val="baseline"/>
        <w:rPr>
          <w:rFonts w:hint="eastAsia" w:ascii="华文楷体" w:hAnsi="华文楷体" w:eastAsia="华文楷体" w:cs="华文楷体"/>
          <w:sz w:val="32"/>
          <w:szCs w:val="32"/>
        </w:rPr>
      </w:pPr>
      <w:r>
        <w:rPr>
          <w:rFonts w:hint="eastAsia" w:ascii="华文楷体" w:hAnsi="华文楷体" w:eastAsia="华文楷体" w:cs="华文楷体"/>
          <w:b/>
          <w:bCs/>
          <w:sz w:val="32"/>
          <w:szCs w:val="32"/>
        </w:rPr>
        <w:t>(二十一)落实金融支持政策。</w:t>
      </w:r>
      <w:r>
        <w:rPr>
          <w:rFonts w:hint="eastAsia" w:ascii="仿宋" w:hAnsi="仿宋" w:eastAsia="仿宋" w:cs="仿宋"/>
          <w:sz w:val="32"/>
          <w:szCs w:val="32"/>
          <w:lang w:val="en-US" w:eastAsia="zh-CN"/>
        </w:rPr>
        <w:t>继续加强政银担合作，充分利用岳阳市普惠金融风险补偿基金，撬动更多银行贷款投放到实体经济。推进企业信用融资业务全流程办理，引导银行加大对“信易贷”、“湘易贷”、岳阳“金融港”等融资综合服务平台的推广和应用力度，切实提高中小微企业贷款覆盖率、可得性和便利度。加大设备购置与更新改造贷款、国家制造业中长期贷款和普惠小微贷款投放力度，积极支持科技金融、普惠金融、供应链金融、农村金融、绿色创新金融，为推动经济运行整体好转提供有力有效的金融支持。降低银行账户服务收费，降低人民币转账汇款手续费，取消部分票据业务收费，降低银行卡刷卡手续费</w:t>
      </w:r>
      <w:r>
        <w:rPr>
          <w:rFonts w:hint="eastAsia" w:ascii="仿宋" w:hAnsi="仿宋" w:eastAsia="仿宋" w:cs="仿宋"/>
          <w:sz w:val="32"/>
          <w:szCs w:val="32"/>
        </w:rPr>
        <w:t>。</w:t>
      </w:r>
      <w:r>
        <w:rPr>
          <w:rFonts w:hint="eastAsia" w:ascii="华文楷体" w:hAnsi="华文楷体" w:eastAsia="华文楷体" w:cs="华文楷体"/>
          <w:sz w:val="32"/>
          <w:szCs w:val="32"/>
        </w:rPr>
        <w:t>(</w:t>
      </w:r>
      <w:r>
        <w:rPr>
          <w:rFonts w:hint="eastAsia" w:ascii="华文楷体" w:hAnsi="华文楷体" w:eastAsia="华文楷体" w:cs="华文楷体"/>
          <w:sz w:val="32"/>
          <w:szCs w:val="32"/>
          <w:lang w:eastAsia="zh-CN"/>
        </w:rPr>
        <w:t>县</w:t>
      </w:r>
      <w:r>
        <w:rPr>
          <w:rFonts w:hint="eastAsia" w:ascii="华文楷体" w:hAnsi="华文楷体" w:eastAsia="华文楷体" w:cs="华文楷体"/>
          <w:sz w:val="32"/>
          <w:szCs w:val="32"/>
        </w:rPr>
        <w:t>金融办、</w:t>
      </w:r>
      <w:r>
        <w:rPr>
          <w:rFonts w:hint="eastAsia" w:ascii="华文楷体" w:hAnsi="华文楷体" w:eastAsia="华文楷体" w:cs="华文楷体"/>
          <w:sz w:val="32"/>
          <w:szCs w:val="32"/>
          <w:lang w:eastAsia="zh-CN"/>
        </w:rPr>
        <w:t>县</w:t>
      </w:r>
      <w:r>
        <w:rPr>
          <w:rFonts w:hint="eastAsia" w:ascii="华文楷体" w:hAnsi="华文楷体" w:eastAsia="华文楷体" w:cs="华文楷体"/>
          <w:sz w:val="32"/>
          <w:szCs w:val="32"/>
        </w:rPr>
        <w:t>人民银行、</w:t>
      </w:r>
      <w:r>
        <w:rPr>
          <w:rFonts w:hint="eastAsia" w:ascii="华文楷体" w:hAnsi="华文楷体" w:eastAsia="华文楷体" w:cs="华文楷体"/>
          <w:sz w:val="32"/>
          <w:szCs w:val="32"/>
          <w:lang w:eastAsia="zh-CN"/>
        </w:rPr>
        <w:t>县</w:t>
      </w:r>
      <w:r>
        <w:rPr>
          <w:rFonts w:hint="eastAsia" w:ascii="华文楷体" w:hAnsi="华文楷体" w:eastAsia="华文楷体" w:cs="华文楷体"/>
          <w:sz w:val="32"/>
          <w:szCs w:val="32"/>
        </w:rPr>
        <w:t>财政局、</w:t>
      </w:r>
      <w:r>
        <w:rPr>
          <w:rFonts w:hint="eastAsia" w:ascii="华文楷体" w:hAnsi="华文楷体" w:eastAsia="华文楷体" w:cs="华文楷体"/>
          <w:sz w:val="32"/>
          <w:szCs w:val="32"/>
          <w:lang w:eastAsia="zh-CN"/>
        </w:rPr>
        <w:t>县</w:t>
      </w:r>
      <w:r>
        <w:rPr>
          <w:rFonts w:hint="eastAsia" w:ascii="华文楷体" w:hAnsi="华文楷体" w:eastAsia="华文楷体" w:cs="华文楷体"/>
          <w:sz w:val="32"/>
          <w:szCs w:val="32"/>
        </w:rPr>
        <w:t>发改</w:t>
      </w:r>
      <w:r>
        <w:rPr>
          <w:rFonts w:hint="eastAsia" w:ascii="华文楷体" w:hAnsi="华文楷体" w:eastAsia="华文楷体" w:cs="华文楷体"/>
          <w:sz w:val="32"/>
          <w:szCs w:val="32"/>
          <w:lang w:eastAsia="zh-CN"/>
        </w:rPr>
        <w:t>局</w:t>
      </w:r>
      <w:r>
        <w:rPr>
          <w:rFonts w:hint="eastAsia" w:ascii="华文楷体" w:hAnsi="华文楷体" w:eastAsia="华文楷体" w:cs="华文楷体"/>
          <w:sz w:val="32"/>
          <w:szCs w:val="32"/>
        </w:rPr>
        <w:t>按职责分工负责)</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3" w:firstLineChars="200"/>
        <w:jc w:val="both"/>
        <w:textAlignment w:val="baseline"/>
        <w:rPr>
          <w:rFonts w:hint="eastAsia" w:ascii="仿宋" w:hAnsi="仿宋" w:eastAsia="仿宋" w:cs="仿宋"/>
          <w:sz w:val="32"/>
          <w:szCs w:val="32"/>
        </w:rPr>
      </w:pPr>
      <w:r>
        <w:rPr>
          <w:rFonts w:hint="eastAsia" w:ascii="华文楷体" w:hAnsi="华文楷体" w:eastAsia="华文楷体" w:cs="华文楷体"/>
          <w:b/>
          <w:bCs/>
          <w:sz w:val="32"/>
          <w:szCs w:val="32"/>
        </w:rPr>
        <w:t>(二十二)落实财税支持政策。</w:t>
      </w:r>
      <w:r>
        <w:rPr>
          <w:rFonts w:hint="eastAsia" w:ascii="仿宋" w:hAnsi="仿宋" w:eastAsia="仿宋" w:cs="仿宋"/>
          <w:sz w:val="32"/>
          <w:szCs w:val="32"/>
          <w:lang w:val="en-US" w:eastAsia="zh-CN"/>
        </w:rPr>
        <w:t>2023年1月1日至12月31日，对月销售额10万元以下(含本数)的增值税小规模纳税人免征增值税；增值税小规模纳税人适用3%征收率的应税销售收入，减按1%征收率征收增值税；适用3%预征率的预缴增值税项目，减按1%预征率预缴增值税。对增值税小规模纳税人、小型微利企业和个体工商户，减按50%征收资源税、城市维护建设税、房产税、城镇土地使用税、印花税(不含证券交易印花税)、耕地占用税和教育费附加、地方教育附加，执行期限至2024年12月31日。对缴纳房产税、城镇土地使用税确有困难的纳税人按规定给予减免。对</w:t>
      </w:r>
      <w:r>
        <w:rPr>
          <w:rFonts w:hint="eastAsia" w:ascii="仿宋" w:hAnsi="仿宋" w:eastAsia="仿宋" w:cs="仿宋"/>
          <w:sz w:val="32"/>
          <w:szCs w:val="32"/>
        </w:rPr>
        <w:t>享受制造业中小微企业缓缴税款政策的纳税人，其缓缴税款到期后，因资金困难、不可抗力等不能按时缴税的，可按规定办理延期缴纳税款。延续实施用水用电用气“欠费不停供”政策，允许在一定期限内补缴，并免收滞纳金。通过预留份额、评审优惠等措施，降低中小企业参加政府采购门槛，提高中小企业在政府采购中的份额。</w:t>
      </w:r>
      <w:r>
        <w:rPr>
          <w:rFonts w:hint="eastAsia" w:ascii="华文楷体" w:hAnsi="华文楷体" w:eastAsia="华文楷体" w:cs="华文楷体"/>
          <w:sz w:val="32"/>
          <w:szCs w:val="32"/>
        </w:rPr>
        <w:t>(</w:t>
      </w:r>
      <w:r>
        <w:rPr>
          <w:rFonts w:hint="eastAsia" w:ascii="华文楷体" w:hAnsi="华文楷体" w:eastAsia="华文楷体" w:cs="华文楷体"/>
          <w:sz w:val="32"/>
          <w:szCs w:val="32"/>
          <w:lang w:eastAsia="zh-CN"/>
        </w:rPr>
        <w:t>县</w:t>
      </w:r>
      <w:r>
        <w:rPr>
          <w:rFonts w:hint="eastAsia" w:ascii="华文楷体" w:hAnsi="华文楷体" w:eastAsia="华文楷体" w:cs="华文楷体"/>
          <w:sz w:val="32"/>
          <w:szCs w:val="32"/>
        </w:rPr>
        <w:t>税务局、</w:t>
      </w:r>
      <w:r>
        <w:rPr>
          <w:rFonts w:hint="eastAsia" w:ascii="华文楷体" w:hAnsi="华文楷体" w:eastAsia="华文楷体" w:cs="华文楷体"/>
          <w:sz w:val="32"/>
          <w:szCs w:val="32"/>
          <w:lang w:eastAsia="zh-CN"/>
        </w:rPr>
        <w:t>县</w:t>
      </w:r>
      <w:r>
        <w:rPr>
          <w:rFonts w:hint="eastAsia" w:ascii="华文楷体" w:hAnsi="华文楷体" w:eastAsia="华文楷体" w:cs="华文楷体"/>
          <w:sz w:val="32"/>
          <w:szCs w:val="32"/>
        </w:rPr>
        <w:t>财政局、</w:t>
      </w:r>
      <w:r>
        <w:rPr>
          <w:rFonts w:hint="eastAsia" w:ascii="华文楷体" w:hAnsi="华文楷体" w:eastAsia="华文楷体" w:cs="华文楷体"/>
          <w:sz w:val="32"/>
          <w:szCs w:val="32"/>
          <w:lang w:eastAsia="zh-CN"/>
        </w:rPr>
        <w:t>县</w:t>
      </w:r>
      <w:r>
        <w:rPr>
          <w:rFonts w:hint="eastAsia" w:ascii="华文楷体" w:hAnsi="华文楷体" w:eastAsia="华文楷体" w:cs="华文楷体"/>
          <w:sz w:val="32"/>
          <w:szCs w:val="32"/>
        </w:rPr>
        <w:t>发改</w:t>
      </w:r>
      <w:r>
        <w:rPr>
          <w:rFonts w:hint="eastAsia" w:ascii="华文楷体" w:hAnsi="华文楷体" w:eastAsia="华文楷体" w:cs="华文楷体"/>
          <w:sz w:val="32"/>
          <w:szCs w:val="32"/>
          <w:lang w:eastAsia="zh-CN"/>
        </w:rPr>
        <w:t>局</w:t>
      </w:r>
      <w:r>
        <w:rPr>
          <w:rFonts w:hint="eastAsia" w:ascii="华文楷体" w:hAnsi="华文楷体" w:eastAsia="华文楷体" w:cs="华文楷体"/>
          <w:sz w:val="32"/>
          <w:szCs w:val="32"/>
        </w:rPr>
        <w:t>按职责分工负责)</w:t>
      </w:r>
    </w:p>
    <w:p>
      <w:pPr>
        <w:keepNext w:val="0"/>
        <w:keepLines w:val="0"/>
        <w:pageBreakBefore w:val="0"/>
        <w:widowControl/>
        <w:kinsoku/>
        <w:wordWrap/>
        <w:overflowPunct/>
        <w:topLinePunct w:val="0"/>
        <w:autoSpaceDE w:val="0"/>
        <w:autoSpaceDN w:val="0"/>
        <w:bidi w:val="0"/>
        <w:adjustRightInd w:val="0"/>
        <w:snapToGrid w:val="0"/>
        <w:spacing w:line="580" w:lineRule="exact"/>
        <w:ind w:firstLine="643" w:firstLineChars="200"/>
        <w:jc w:val="both"/>
        <w:textAlignment w:val="baseline"/>
        <w:rPr>
          <w:rFonts w:hint="eastAsia" w:ascii="楷体" w:hAnsi="楷体" w:eastAsia="楷体" w:cs="楷体"/>
          <w:color w:val="auto"/>
          <w:sz w:val="32"/>
          <w:szCs w:val="32"/>
          <w:lang w:eastAsia="zh-CN"/>
        </w:rPr>
      </w:pPr>
      <w:r>
        <w:rPr>
          <w:rFonts w:hint="eastAsia" w:ascii="华文楷体" w:hAnsi="华文楷体" w:eastAsia="华文楷体" w:cs="华文楷体"/>
          <w:b/>
          <w:bCs/>
          <w:color w:val="auto"/>
          <w:sz w:val="32"/>
          <w:szCs w:val="32"/>
        </w:rPr>
        <w:t>(二十三)助力企业稳岗拓岗。</w:t>
      </w:r>
      <w:r>
        <w:rPr>
          <w:rFonts w:hint="eastAsia" w:ascii="仿宋" w:hAnsi="仿宋" w:eastAsia="仿宋" w:cs="仿宋"/>
          <w:color w:val="auto"/>
          <w:sz w:val="32"/>
          <w:szCs w:val="32"/>
          <w:lang w:val="en-US" w:eastAsia="zh-CN"/>
        </w:rPr>
        <w:t>继续落实好阶段性降低失业、工伤等社会保险费率政策和阶段性缓缴社会保险费政策，按原有政策计提工伤预防宣传费、工伤事故调查费、劳动能力鉴定费和工伤康复费。阶段性缓缴社会保险费政策到期后，原规定的6个月内缴清缓缴的社会保险费，延长至2023年12月31日前予以缴清。企业可以根据自身经营状况，采取一次性、分期或逐月等方式补缴缓缴的社会保险费，补缴期间免收滞纳金。推行“就业直补快办”服务，对符合条件的招用就业困难人员的企业、招用离校2年内未就业高校毕业生的小微企业，按相关规定给予社会保险补贴。定期发布短缺岗位(工种)工资指导价位，公布技能岗位紧缺职业(工种)目录，持续开展“春风行动”“金秋招聘月”等就业对接活动，服务企业拓岗用工。逐步实现创业担保贷款线上运行，支持创业就业。</w:t>
      </w:r>
      <w:r>
        <w:rPr>
          <w:rFonts w:hint="eastAsia" w:ascii="楷体" w:hAnsi="楷体" w:eastAsia="楷体" w:cs="楷体"/>
          <w:color w:val="auto"/>
          <w:sz w:val="32"/>
          <w:szCs w:val="32"/>
          <w:lang w:val="en-US" w:eastAsia="zh-CN"/>
        </w:rPr>
        <w:t>（县人社局、县财政局按职责分工负责）</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3" w:firstLineChars="200"/>
        <w:jc w:val="both"/>
        <w:textAlignment w:val="baseline"/>
        <w:rPr>
          <w:rFonts w:hint="eastAsia" w:ascii="仿宋" w:hAnsi="仿宋" w:eastAsia="仿宋" w:cs="仿宋"/>
          <w:sz w:val="32"/>
          <w:szCs w:val="32"/>
        </w:rPr>
      </w:pPr>
      <w:r>
        <w:rPr>
          <w:rFonts w:hint="eastAsia" w:ascii="华文楷体" w:hAnsi="华文楷体" w:eastAsia="华文楷体" w:cs="华文楷体"/>
          <w:b/>
          <w:bCs/>
          <w:sz w:val="32"/>
          <w:szCs w:val="32"/>
        </w:rPr>
        <w:t>(二十四)加强能源电力保供。</w:t>
      </w:r>
      <w:r>
        <w:rPr>
          <w:rFonts w:hint="eastAsia" w:ascii="仿宋" w:hAnsi="仿宋" w:eastAsia="仿宋" w:cs="仿宋"/>
          <w:sz w:val="32"/>
          <w:szCs w:val="32"/>
        </w:rPr>
        <w:t>加快推进国能岳阳电厂、煤炭铁水联运储备基地等重大能源项目建设，实现新增煤电供应能力200万千瓦</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全力对接国家能源局、省发改委（省能源局），</w:t>
      </w:r>
      <w:r>
        <w:rPr>
          <w:rFonts w:hint="eastAsia" w:ascii="仿宋" w:hAnsi="仿宋" w:eastAsia="仿宋" w:cs="仿宋"/>
          <w:kern w:val="2"/>
          <w:sz w:val="32"/>
          <w:szCs w:val="32"/>
          <w:lang w:val="en-US" w:eastAsia="zh-CN" w:bidi="ar-SA"/>
        </w:rPr>
        <w:t>全力以赴</w:t>
      </w:r>
      <w:r>
        <w:rPr>
          <w:rFonts w:hint="eastAsia" w:ascii="仿宋" w:hAnsi="仿宋" w:eastAsia="仿宋" w:cs="仿宋"/>
          <w:sz w:val="32"/>
          <w:szCs w:val="32"/>
          <w:lang w:val="en-US" w:eastAsia="zh-CN"/>
        </w:rPr>
        <w:t>推进电厂上二期</w:t>
      </w:r>
      <w:r>
        <w:rPr>
          <w:rFonts w:hint="eastAsia" w:ascii="仿宋" w:hAnsi="仿宋" w:eastAsia="仿宋" w:cs="仿宋"/>
          <w:sz w:val="32"/>
          <w:szCs w:val="32"/>
        </w:rPr>
        <w:t>。推动国能光伏电站项目尽早竣工投产，实现新增光伏发电</w:t>
      </w:r>
      <w:r>
        <w:rPr>
          <w:rFonts w:hint="eastAsia" w:ascii="仿宋" w:hAnsi="仿宋" w:eastAsia="仿宋" w:cs="仿宋"/>
          <w:sz w:val="32"/>
          <w:szCs w:val="32"/>
          <w:lang w:val="en-US" w:eastAsia="zh-CN"/>
        </w:rPr>
        <w:t>22</w:t>
      </w:r>
      <w:r>
        <w:rPr>
          <w:rFonts w:hint="eastAsia" w:ascii="仿宋" w:hAnsi="仿宋" w:eastAsia="仿宋" w:cs="仿宋"/>
          <w:sz w:val="32"/>
          <w:szCs w:val="32"/>
        </w:rPr>
        <w:t>万千瓦</w:t>
      </w:r>
      <w:r>
        <w:rPr>
          <w:rFonts w:hint="eastAsia" w:ascii="仿宋" w:hAnsi="仿宋" w:eastAsia="仿宋" w:cs="仿宋"/>
          <w:sz w:val="32"/>
          <w:szCs w:val="32"/>
          <w:lang w:eastAsia="zh-CN"/>
        </w:rPr>
        <w:t>。</w:t>
      </w:r>
      <w:r>
        <w:rPr>
          <w:rFonts w:hint="eastAsia" w:ascii="仿宋" w:hAnsi="仿宋" w:eastAsia="仿宋" w:cs="仿宋"/>
          <w:sz w:val="32"/>
          <w:szCs w:val="32"/>
        </w:rPr>
        <w:t>推进湘晨储能电站项目建设，实现新增储能能力10万千瓦</w:t>
      </w:r>
      <w:r>
        <w:rPr>
          <w:rFonts w:hint="eastAsia" w:ascii="仿宋" w:hAnsi="仿宋" w:eastAsia="仿宋" w:cs="仿宋"/>
          <w:sz w:val="32"/>
          <w:szCs w:val="32"/>
          <w:lang w:eastAsia="zh-CN"/>
        </w:rPr>
        <w:t>。</w:t>
      </w:r>
      <w:r>
        <w:rPr>
          <w:rFonts w:hint="eastAsia" w:ascii="仿宋" w:hAnsi="仿宋" w:eastAsia="仿宋" w:cs="仿宋"/>
          <w:sz w:val="32"/>
          <w:szCs w:val="32"/>
        </w:rPr>
        <w:t>加强电力运行调度，做好迎峰度夏、迎峰度冬电力保供工作。积极争取天然气合同量增长</w:t>
      </w:r>
      <w:r>
        <w:rPr>
          <w:rFonts w:hint="eastAsia" w:ascii="仿宋" w:hAnsi="仿宋" w:eastAsia="仿宋" w:cs="仿宋"/>
          <w:sz w:val="32"/>
          <w:szCs w:val="32"/>
          <w:lang w:val="en-US" w:eastAsia="zh-CN"/>
        </w:rPr>
        <w:t>8%</w:t>
      </w:r>
      <w:r>
        <w:rPr>
          <w:rFonts w:hint="eastAsia" w:ascii="仿宋" w:hAnsi="仿宋" w:eastAsia="仿宋" w:cs="仿宋"/>
          <w:sz w:val="32"/>
          <w:szCs w:val="32"/>
        </w:rPr>
        <w:t>以上，完成</w:t>
      </w:r>
      <w:r>
        <w:rPr>
          <w:rFonts w:hint="eastAsia" w:ascii="仿宋" w:hAnsi="仿宋" w:eastAsia="仿宋" w:cs="仿宋"/>
          <w:sz w:val="32"/>
          <w:szCs w:val="32"/>
          <w:lang w:val="en-US" w:eastAsia="zh-CN"/>
        </w:rPr>
        <w:t>54</w:t>
      </w:r>
      <w:r>
        <w:rPr>
          <w:rFonts w:hint="eastAsia" w:ascii="仿宋" w:hAnsi="仿宋" w:eastAsia="仿宋" w:cs="仿宋"/>
          <w:sz w:val="32"/>
          <w:szCs w:val="32"/>
        </w:rPr>
        <w:t>万方储气能力建设。持续深化水电气价改革，降低企业用能成本。</w:t>
      </w:r>
      <w:r>
        <w:rPr>
          <w:rFonts w:hint="eastAsia" w:ascii="华文楷体" w:hAnsi="华文楷体" w:eastAsia="华文楷体" w:cs="华文楷体"/>
          <w:sz w:val="32"/>
          <w:szCs w:val="32"/>
        </w:rPr>
        <w:t>(</w:t>
      </w:r>
      <w:r>
        <w:rPr>
          <w:rFonts w:hint="eastAsia" w:ascii="华文楷体" w:hAnsi="华文楷体" w:eastAsia="华文楷体" w:cs="华文楷体"/>
          <w:sz w:val="32"/>
          <w:szCs w:val="32"/>
          <w:lang w:eastAsia="zh-CN"/>
        </w:rPr>
        <w:t>县</w:t>
      </w:r>
      <w:r>
        <w:rPr>
          <w:rFonts w:hint="eastAsia" w:ascii="华文楷体" w:hAnsi="华文楷体" w:eastAsia="华文楷体" w:cs="华文楷体"/>
          <w:sz w:val="32"/>
          <w:szCs w:val="32"/>
        </w:rPr>
        <w:t>发改</w:t>
      </w:r>
      <w:r>
        <w:rPr>
          <w:rFonts w:hint="eastAsia" w:ascii="华文楷体" w:hAnsi="华文楷体" w:eastAsia="华文楷体" w:cs="华文楷体"/>
          <w:sz w:val="32"/>
          <w:szCs w:val="32"/>
          <w:lang w:eastAsia="zh-CN"/>
        </w:rPr>
        <w:t>局</w:t>
      </w:r>
      <w:r>
        <w:rPr>
          <w:rFonts w:hint="eastAsia" w:ascii="华文楷体" w:hAnsi="华文楷体" w:eastAsia="华文楷体" w:cs="华文楷体"/>
          <w:sz w:val="32"/>
          <w:szCs w:val="32"/>
        </w:rPr>
        <w:t>、</w:t>
      </w:r>
      <w:r>
        <w:rPr>
          <w:rFonts w:hint="eastAsia" w:ascii="华文楷体" w:hAnsi="华文楷体" w:eastAsia="华文楷体" w:cs="华文楷体"/>
          <w:sz w:val="32"/>
          <w:szCs w:val="32"/>
          <w:lang w:eastAsia="zh-CN"/>
        </w:rPr>
        <w:t>县工信局、县</w:t>
      </w:r>
      <w:r>
        <w:rPr>
          <w:rFonts w:hint="eastAsia" w:ascii="华文楷体" w:hAnsi="华文楷体" w:eastAsia="华文楷体" w:cs="华文楷体"/>
          <w:sz w:val="32"/>
          <w:szCs w:val="32"/>
        </w:rPr>
        <w:t>城管局</w:t>
      </w:r>
      <w:r>
        <w:rPr>
          <w:rFonts w:hint="eastAsia" w:ascii="华文楷体" w:hAnsi="华文楷体" w:eastAsia="华文楷体" w:cs="华文楷体"/>
          <w:sz w:val="32"/>
          <w:szCs w:val="32"/>
          <w:lang w:eastAsia="zh-CN"/>
        </w:rPr>
        <w:t>等</w:t>
      </w:r>
      <w:r>
        <w:rPr>
          <w:rFonts w:hint="eastAsia" w:ascii="华文楷体" w:hAnsi="华文楷体" w:eastAsia="华文楷体" w:cs="华文楷体"/>
          <w:sz w:val="32"/>
          <w:szCs w:val="32"/>
        </w:rPr>
        <w:t>按职责分工负责)</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3" w:firstLineChars="200"/>
        <w:jc w:val="both"/>
        <w:textAlignment w:val="baseline"/>
        <w:rPr>
          <w:rFonts w:hint="eastAsia" w:ascii="仿宋" w:hAnsi="仿宋" w:eastAsia="仿宋" w:cs="仿宋"/>
          <w:sz w:val="32"/>
          <w:szCs w:val="32"/>
        </w:rPr>
      </w:pPr>
      <w:r>
        <w:rPr>
          <w:rFonts w:hint="eastAsia" w:ascii="华文楷体" w:hAnsi="华文楷体" w:eastAsia="华文楷体" w:cs="华文楷体"/>
          <w:b/>
          <w:bCs/>
          <w:sz w:val="32"/>
          <w:szCs w:val="32"/>
        </w:rPr>
        <w:t>(二十五)保障物流运行畅通。</w:t>
      </w:r>
      <w:r>
        <w:rPr>
          <w:rFonts w:hint="eastAsia" w:ascii="仿宋" w:hAnsi="仿宋" w:eastAsia="仿宋" w:cs="仿宋"/>
          <w:sz w:val="32"/>
          <w:szCs w:val="32"/>
        </w:rPr>
        <w:t>利用铁公水联运优势，畅通水运航线，发展运输与物流服务产业，谋划推进特色港口物流园建设。加快推进城乡四级物流配送体系建设，支持新型农业经营主体在田间地头开展农产品产地冷藏保鲜设施建设，申报新型经营主体30家，新建农产品产地保鲜设施30座以上。</w:t>
      </w:r>
      <w:r>
        <w:rPr>
          <w:rFonts w:hint="eastAsia" w:ascii="仿宋" w:hAnsi="仿宋" w:eastAsia="仿宋" w:cs="仿宋"/>
          <w:sz w:val="32"/>
          <w:szCs w:val="32"/>
          <w:lang w:eastAsia="zh-CN"/>
        </w:rPr>
        <w:t>积极融入参与全市</w:t>
      </w:r>
      <w:r>
        <w:rPr>
          <w:rFonts w:hint="eastAsia" w:ascii="仿宋" w:hAnsi="仿宋" w:eastAsia="仿宋" w:cs="仿宋"/>
          <w:sz w:val="32"/>
          <w:szCs w:val="32"/>
        </w:rPr>
        <w:t>物流大数据平台建设，推动多信息互通、数据共享，促进网络货运发展，推动物流降本增效。</w:t>
      </w:r>
      <w:r>
        <w:rPr>
          <w:rFonts w:hint="eastAsia" w:ascii="华文楷体" w:hAnsi="华文楷体" w:eastAsia="华文楷体" w:cs="华文楷体"/>
          <w:sz w:val="32"/>
          <w:szCs w:val="32"/>
        </w:rPr>
        <w:t>(</w:t>
      </w:r>
      <w:r>
        <w:rPr>
          <w:rFonts w:hint="eastAsia" w:ascii="华文楷体" w:hAnsi="华文楷体" w:eastAsia="华文楷体" w:cs="华文楷体"/>
          <w:sz w:val="32"/>
          <w:szCs w:val="32"/>
          <w:lang w:eastAsia="zh-CN"/>
        </w:rPr>
        <w:t>县</w:t>
      </w:r>
      <w:r>
        <w:rPr>
          <w:rFonts w:hint="eastAsia" w:ascii="华文楷体" w:hAnsi="华文楷体" w:eastAsia="华文楷体" w:cs="华文楷体"/>
          <w:sz w:val="32"/>
          <w:szCs w:val="32"/>
        </w:rPr>
        <w:t>交通</w:t>
      </w:r>
      <w:r>
        <w:rPr>
          <w:rFonts w:hint="eastAsia" w:ascii="华文楷体" w:hAnsi="华文楷体" w:eastAsia="华文楷体" w:cs="华文楷体"/>
          <w:sz w:val="32"/>
          <w:szCs w:val="32"/>
          <w:lang w:eastAsia="zh-CN"/>
        </w:rPr>
        <w:t>运输</w:t>
      </w:r>
      <w:r>
        <w:rPr>
          <w:rFonts w:hint="eastAsia" w:ascii="华文楷体" w:hAnsi="华文楷体" w:eastAsia="华文楷体" w:cs="华文楷体"/>
          <w:sz w:val="32"/>
          <w:szCs w:val="32"/>
        </w:rPr>
        <w:t>局、</w:t>
      </w:r>
      <w:r>
        <w:rPr>
          <w:rFonts w:hint="eastAsia" w:ascii="华文楷体" w:hAnsi="华文楷体" w:eastAsia="华文楷体" w:cs="华文楷体"/>
          <w:sz w:val="32"/>
          <w:szCs w:val="32"/>
          <w:lang w:eastAsia="zh-CN"/>
        </w:rPr>
        <w:t>县</w:t>
      </w:r>
      <w:r>
        <w:rPr>
          <w:rFonts w:hint="eastAsia" w:ascii="华文楷体" w:hAnsi="华文楷体" w:eastAsia="华文楷体" w:cs="华文楷体"/>
          <w:sz w:val="32"/>
          <w:szCs w:val="32"/>
        </w:rPr>
        <w:t>发改</w:t>
      </w:r>
      <w:r>
        <w:rPr>
          <w:rFonts w:hint="eastAsia" w:ascii="华文楷体" w:hAnsi="华文楷体" w:eastAsia="华文楷体" w:cs="华文楷体"/>
          <w:sz w:val="32"/>
          <w:szCs w:val="32"/>
          <w:lang w:eastAsia="zh-CN"/>
        </w:rPr>
        <w:t>局</w:t>
      </w:r>
      <w:r>
        <w:rPr>
          <w:rFonts w:hint="eastAsia" w:ascii="华文楷体" w:hAnsi="华文楷体" w:eastAsia="华文楷体" w:cs="华文楷体"/>
          <w:sz w:val="32"/>
          <w:szCs w:val="32"/>
        </w:rPr>
        <w:t>、</w:t>
      </w:r>
      <w:r>
        <w:rPr>
          <w:rFonts w:hint="eastAsia" w:ascii="华文楷体" w:hAnsi="华文楷体" w:eastAsia="华文楷体" w:cs="华文楷体"/>
          <w:sz w:val="32"/>
          <w:szCs w:val="32"/>
          <w:lang w:eastAsia="zh-CN"/>
        </w:rPr>
        <w:t>县</w:t>
      </w:r>
      <w:r>
        <w:rPr>
          <w:rFonts w:hint="eastAsia" w:ascii="华文楷体" w:hAnsi="华文楷体" w:eastAsia="华文楷体" w:cs="华文楷体"/>
          <w:sz w:val="32"/>
          <w:szCs w:val="32"/>
        </w:rPr>
        <w:t>商务</w:t>
      </w:r>
      <w:r>
        <w:rPr>
          <w:rFonts w:hint="eastAsia" w:ascii="华文楷体" w:hAnsi="华文楷体" w:eastAsia="华文楷体" w:cs="华文楷体"/>
          <w:sz w:val="32"/>
          <w:szCs w:val="32"/>
          <w:lang w:eastAsia="zh-CN"/>
        </w:rPr>
        <w:t>粮食</w:t>
      </w:r>
      <w:r>
        <w:rPr>
          <w:rFonts w:hint="eastAsia" w:ascii="华文楷体" w:hAnsi="华文楷体" w:eastAsia="华文楷体" w:cs="华文楷体"/>
          <w:sz w:val="32"/>
          <w:szCs w:val="32"/>
        </w:rPr>
        <w:t>局、</w:t>
      </w:r>
      <w:r>
        <w:rPr>
          <w:rFonts w:hint="eastAsia" w:ascii="华文楷体" w:hAnsi="华文楷体" w:eastAsia="华文楷体" w:cs="华文楷体"/>
          <w:sz w:val="32"/>
          <w:szCs w:val="32"/>
          <w:lang w:eastAsia="zh-CN"/>
        </w:rPr>
        <w:t>县</w:t>
      </w:r>
      <w:r>
        <w:rPr>
          <w:rFonts w:hint="eastAsia" w:ascii="华文楷体" w:hAnsi="华文楷体" w:eastAsia="华文楷体" w:cs="华文楷体"/>
          <w:sz w:val="32"/>
          <w:szCs w:val="32"/>
        </w:rPr>
        <w:t>农业农村局、</w:t>
      </w:r>
      <w:r>
        <w:rPr>
          <w:rFonts w:hint="eastAsia" w:ascii="华文楷体" w:hAnsi="华文楷体" w:eastAsia="华文楷体" w:cs="华文楷体"/>
          <w:sz w:val="32"/>
          <w:szCs w:val="32"/>
          <w:lang w:eastAsia="zh-CN"/>
        </w:rPr>
        <w:t>县</w:t>
      </w:r>
      <w:r>
        <w:rPr>
          <w:rFonts w:hint="eastAsia" w:ascii="华文楷体" w:hAnsi="华文楷体" w:eastAsia="华文楷体" w:cs="华文楷体"/>
          <w:sz w:val="32"/>
          <w:szCs w:val="32"/>
        </w:rPr>
        <w:t>邮政</w:t>
      </w:r>
      <w:r>
        <w:rPr>
          <w:rFonts w:hint="eastAsia" w:ascii="华文楷体" w:hAnsi="华文楷体" w:eastAsia="华文楷体" w:cs="华文楷体"/>
          <w:sz w:val="32"/>
          <w:szCs w:val="32"/>
          <w:lang w:eastAsia="zh-CN"/>
        </w:rPr>
        <w:t>公司等</w:t>
      </w:r>
      <w:r>
        <w:rPr>
          <w:rFonts w:hint="eastAsia" w:ascii="华文楷体" w:hAnsi="华文楷体" w:eastAsia="华文楷体" w:cs="华文楷体"/>
          <w:sz w:val="32"/>
          <w:szCs w:val="32"/>
        </w:rPr>
        <w:t>按职责分工负责)</w:t>
      </w:r>
    </w:p>
    <w:p>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本细则自发布之日起实施，除已有明确期限规定外，有效期至2023年12月31日。如国家、省出台同类政策，按照“取高不重复”原则执行。</w:t>
      </w:r>
      <w:r>
        <w:rPr>
          <w:rFonts w:hint="eastAsia" w:ascii="仿宋" w:hAnsi="仿宋" w:eastAsia="仿宋" w:cs="仿宋"/>
          <w:sz w:val="32"/>
          <w:szCs w:val="32"/>
          <w:lang w:eastAsia="zh-CN"/>
        </w:rPr>
        <w:t>县</w:t>
      </w:r>
      <w:r>
        <w:rPr>
          <w:rFonts w:hint="eastAsia" w:ascii="仿宋" w:hAnsi="仿宋" w:eastAsia="仿宋" w:cs="仿宋"/>
          <w:sz w:val="32"/>
          <w:szCs w:val="32"/>
        </w:rPr>
        <w:t>级层面建立联席会议制度</w:t>
      </w:r>
      <w:r>
        <w:rPr>
          <w:rFonts w:hint="eastAsia" w:ascii="仿宋" w:hAnsi="仿宋" w:eastAsia="仿宋" w:cs="仿宋"/>
          <w:sz w:val="32"/>
          <w:szCs w:val="32"/>
          <w:lang w:eastAsia="zh-CN"/>
        </w:rPr>
        <w:t>，县发改局</w:t>
      </w:r>
      <w:r>
        <w:rPr>
          <w:rFonts w:hint="eastAsia" w:ascii="仿宋" w:hAnsi="仿宋" w:eastAsia="仿宋" w:cs="仿宋"/>
          <w:sz w:val="32"/>
          <w:szCs w:val="32"/>
        </w:rPr>
        <w:t>牵头加强统筹协调，</w:t>
      </w:r>
      <w:r>
        <w:rPr>
          <w:rFonts w:hint="eastAsia" w:ascii="仿宋" w:hAnsi="仿宋" w:eastAsia="仿宋" w:cs="仿宋"/>
          <w:sz w:val="32"/>
          <w:szCs w:val="32"/>
          <w:lang w:eastAsia="zh-CN"/>
        </w:rPr>
        <w:t>县</w:t>
      </w:r>
      <w:r>
        <w:rPr>
          <w:rFonts w:hint="eastAsia" w:ascii="仿宋" w:hAnsi="仿宋" w:eastAsia="仿宋" w:cs="仿宋"/>
          <w:sz w:val="32"/>
          <w:szCs w:val="32"/>
        </w:rPr>
        <w:t>政府督查室加强督促检查。各责任部门根据需要制定细化措施，优化提升服务，加强宣传解读，推动各项政策直达基层、直接惠及市场主体。</w:t>
      </w:r>
    </w:p>
    <w:sectPr>
      <w:footerReference r:id="rId3" w:type="default"/>
      <w:pgSz w:w="11910" w:h="16840"/>
      <w:pgMar w:top="1984" w:right="1701" w:bottom="1701" w:left="1701" w:header="0" w:footer="1417" w:gutter="0"/>
      <w:pgNumType w:fmt="numberInDash"/>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jkzZWE0YzY3ZGNkZTBiN2NiZmYzYzM4YmMzZWI5ZDEifQ=="/>
  </w:docVars>
  <w:rsids>
    <w:rsidRoot w:val="00000000"/>
    <w:rsid w:val="00C77BB5"/>
    <w:rsid w:val="00E46AD2"/>
    <w:rsid w:val="0108182C"/>
    <w:rsid w:val="01DB1906"/>
    <w:rsid w:val="02FE1FF9"/>
    <w:rsid w:val="03490E87"/>
    <w:rsid w:val="03B709A5"/>
    <w:rsid w:val="03B71424"/>
    <w:rsid w:val="044C0C16"/>
    <w:rsid w:val="04925711"/>
    <w:rsid w:val="053F1F04"/>
    <w:rsid w:val="07B60678"/>
    <w:rsid w:val="07C528C3"/>
    <w:rsid w:val="08D82BF1"/>
    <w:rsid w:val="08E92ED7"/>
    <w:rsid w:val="09D41703"/>
    <w:rsid w:val="09E10052"/>
    <w:rsid w:val="0A1341F3"/>
    <w:rsid w:val="0B7948E1"/>
    <w:rsid w:val="0E682AF0"/>
    <w:rsid w:val="0E883192"/>
    <w:rsid w:val="0F830D72"/>
    <w:rsid w:val="0F883156"/>
    <w:rsid w:val="0FD83CA6"/>
    <w:rsid w:val="1017209C"/>
    <w:rsid w:val="10BE7834"/>
    <w:rsid w:val="1173042F"/>
    <w:rsid w:val="120C3966"/>
    <w:rsid w:val="121B5D03"/>
    <w:rsid w:val="128E20FC"/>
    <w:rsid w:val="12A63DE9"/>
    <w:rsid w:val="142F15AD"/>
    <w:rsid w:val="14426F48"/>
    <w:rsid w:val="148B578A"/>
    <w:rsid w:val="14C46DE2"/>
    <w:rsid w:val="14E3338B"/>
    <w:rsid w:val="176410EF"/>
    <w:rsid w:val="18510A99"/>
    <w:rsid w:val="1872128F"/>
    <w:rsid w:val="1AC04D29"/>
    <w:rsid w:val="1BA50EE0"/>
    <w:rsid w:val="1C364614"/>
    <w:rsid w:val="1C9D24FF"/>
    <w:rsid w:val="1D1B4B41"/>
    <w:rsid w:val="1D6D3BD2"/>
    <w:rsid w:val="1F071EB1"/>
    <w:rsid w:val="1F3A6E39"/>
    <w:rsid w:val="200D34F7"/>
    <w:rsid w:val="201673B4"/>
    <w:rsid w:val="20580C17"/>
    <w:rsid w:val="206979A8"/>
    <w:rsid w:val="20943C19"/>
    <w:rsid w:val="20C24BB5"/>
    <w:rsid w:val="213F5933"/>
    <w:rsid w:val="21FD2775"/>
    <w:rsid w:val="222D2796"/>
    <w:rsid w:val="2296541A"/>
    <w:rsid w:val="22B17F30"/>
    <w:rsid w:val="23C33F76"/>
    <w:rsid w:val="250269DA"/>
    <w:rsid w:val="266D516E"/>
    <w:rsid w:val="274F4006"/>
    <w:rsid w:val="282F7BEE"/>
    <w:rsid w:val="286A22CA"/>
    <w:rsid w:val="29606AF1"/>
    <w:rsid w:val="29BA5973"/>
    <w:rsid w:val="2A0517FE"/>
    <w:rsid w:val="2B844D1F"/>
    <w:rsid w:val="2C624BCB"/>
    <w:rsid w:val="2CE5639F"/>
    <w:rsid w:val="2DA95DA3"/>
    <w:rsid w:val="2E422F06"/>
    <w:rsid w:val="304D174B"/>
    <w:rsid w:val="305845E3"/>
    <w:rsid w:val="30D70FEF"/>
    <w:rsid w:val="31F761BC"/>
    <w:rsid w:val="32045598"/>
    <w:rsid w:val="322C5A5F"/>
    <w:rsid w:val="323A6E2B"/>
    <w:rsid w:val="32A974A8"/>
    <w:rsid w:val="32AA0452"/>
    <w:rsid w:val="339F0040"/>
    <w:rsid w:val="33A87FEC"/>
    <w:rsid w:val="35202D49"/>
    <w:rsid w:val="364E048D"/>
    <w:rsid w:val="36897924"/>
    <w:rsid w:val="37953CB8"/>
    <w:rsid w:val="37BC5AD7"/>
    <w:rsid w:val="37E02AB9"/>
    <w:rsid w:val="381A14AD"/>
    <w:rsid w:val="38543277"/>
    <w:rsid w:val="39E83767"/>
    <w:rsid w:val="3A46626E"/>
    <w:rsid w:val="3ABD710D"/>
    <w:rsid w:val="3ADE0A40"/>
    <w:rsid w:val="3B286FE0"/>
    <w:rsid w:val="3B607BE0"/>
    <w:rsid w:val="3C2068AD"/>
    <w:rsid w:val="3C6329C5"/>
    <w:rsid w:val="3DB21145"/>
    <w:rsid w:val="3E0569D1"/>
    <w:rsid w:val="3E284DC4"/>
    <w:rsid w:val="3EB63280"/>
    <w:rsid w:val="40336532"/>
    <w:rsid w:val="41582240"/>
    <w:rsid w:val="4224277E"/>
    <w:rsid w:val="428606ED"/>
    <w:rsid w:val="43606485"/>
    <w:rsid w:val="44580936"/>
    <w:rsid w:val="46323738"/>
    <w:rsid w:val="46C11E69"/>
    <w:rsid w:val="46DB13AA"/>
    <w:rsid w:val="47A65581"/>
    <w:rsid w:val="484E3A5B"/>
    <w:rsid w:val="491C63D6"/>
    <w:rsid w:val="4A6106CA"/>
    <w:rsid w:val="4AAC40A2"/>
    <w:rsid w:val="4B3905C7"/>
    <w:rsid w:val="4B4400C0"/>
    <w:rsid w:val="4B914098"/>
    <w:rsid w:val="4B9C5418"/>
    <w:rsid w:val="4B9E0E32"/>
    <w:rsid w:val="4BB5511B"/>
    <w:rsid w:val="4C714E75"/>
    <w:rsid w:val="4CC13B0A"/>
    <w:rsid w:val="4D0A41B2"/>
    <w:rsid w:val="4D7A2A27"/>
    <w:rsid w:val="4D913927"/>
    <w:rsid w:val="4E4E38F0"/>
    <w:rsid w:val="4E853D1C"/>
    <w:rsid w:val="4F05790C"/>
    <w:rsid w:val="4FB216C3"/>
    <w:rsid w:val="502918AA"/>
    <w:rsid w:val="50830AE8"/>
    <w:rsid w:val="516E1AB0"/>
    <w:rsid w:val="51EE5AA9"/>
    <w:rsid w:val="520860F9"/>
    <w:rsid w:val="52B0539E"/>
    <w:rsid w:val="543E21F1"/>
    <w:rsid w:val="5449029B"/>
    <w:rsid w:val="549A28E5"/>
    <w:rsid w:val="54B87E25"/>
    <w:rsid w:val="550D37C5"/>
    <w:rsid w:val="554219EC"/>
    <w:rsid w:val="55B73295"/>
    <w:rsid w:val="55D00F7A"/>
    <w:rsid w:val="57707A82"/>
    <w:rsid w:val="57754F14"/>
    <w:rsid w:val="59B16F5A"/>
    <w:rsid w:val="5AEE022E"/>
    <w:rsid w:val="5B212792"/>
    <w:rsid w:val="5BA54260"/>
    <w:rsid w:val="5DC30B65"/>
    <w:rsid w:val="5E2452A8"/>
    <w:rsid w:val="5EDF66F8"/>
    <w:rsid w:val="60A7051F"/>
    <w:rsid w:val="60B44427"/>
    <w:rsid w:val="60D7271D"/>
    <w:rsid w:val="61231BD0"/>
    <w:rsid w:val="61C176C2"/>
    <w:rsid w:val="61CF0031"/>
    <w:rsid w:val="62800B69"/>
    <w:rsid w:val="62D81AB9"/>
    <w:rsid w:val="62EE63C0"/>
    <w:rsid w:val="62FB07CF"/>
    <w:rsid w:val="63706478"/>
    <w:rsid w:val="64DC5686"/>
    <w:rsid w:val="654C1999"/>
    <w:rsid w:val="65E816C2"/>
    <w:rsid w:val="66372445"/>
    <w:rsid w:val="66502FE9"/>
    <w:rsid w:val="66B009E6"/>
    <w:rsid w:val="66C716A8"/>
    <w:rsid w:val="6777710B"/>
    <w:rsid w:val="69A320DB"/>
    <w:rsid w:val="69E063DB"/>
    <w:rsid w:val="6A2932BE"/>
    <w:rsid w:val="6A6C0F3E"/>
    <w:rsid w:val="6B3377B7"/>
    <w:rsid w:val="6B724E0D"/>
    <w:rsid w:val="6C560591"/>
    <w:rsid w:val="6C754357"/>
    <w:rsid w:val="6CA17546"/>
    <w:rsid w:val="6DF27CFB"/>
    <w:rsid w:val="6E405E13"/>
    <w:rsid w:val="7060454A"/>
    <w:rsid w:val="707A7A6B"/>
    <w:rsid w:val="71CF316A"/>
    <w:rsid w:val="71FE6305"/>
    <w:rsid w:val="722A1769"/>
    <w:rsid w:val="725979D7"/>
    <w:rsid w:val="72B33057"/>
    <w:rsid w:val="73886F6D"/>
    <w:rsid w:val="73BC23E0"/>
    <w:rsid w:val="73DB670B"/>
    <w:rsid w:val="73F039C5"/>
    <w:rsid w:val="74557335"/>
    <w:rsid w:val="746A1689"/>
    <w:rsid w:val="74D07EF1"/>
    <w:rsid w:val="74EB5B7C"/>
    <w:rsid w:val="751C56B1"/>
    <w:rsid w:val="7548217D"/>
    <w:rsid w:val="759F2F7E"/>
    <w:rsid w:val="75D21089"/>
    <w:rsid w:val="76532A50"/>
    <w:rsid w:val="76561E63"/>
    <w:rsid w:val="76887479"/>
    <w:rsid w:val="770E4D00"/>
    <w:rsid w:val="77376AD2"/>
    <w:rsid w:val="77FE0A3B"/>
    <w:rsid w:val="79EC4B59"/>
    <w:rsid w:val="7CE23BA6"/>
    <w:rsid w:val="7D42659E"/>
    <w:rsid w:val="7DBD4A5E"/>
    <w:rsid w:val="7EAD5B17"/>
    <w:rsid w:val="7F075127"/>
    <w:rsid w:val="7FD914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3"/>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样式 正文 首行缩进:  2 字符"/>
    <w:basedOn w:val="1"/>
    <w:qFormat/>
    <w:uiPriority w:val="99"/>
    <w:pPr>
      <w:ind w:firstLine="518" w:firstLineChars="200"/>
    </w:pPr>
    <w:rPr>
      <w:rFonts w:ascii="Times New Roman" w:hAnsi="Times New Roman"/>
    </w:rPr>
  </w:style>
  <w:style w:type="table" w:customStyle="1" w:styleId="9">
    <w:name w:val="Table Normal"/>
    <w:semiHidden/>
    <w:unhideWhenUsed/>
    <w:qFormat/>
    <w:uiPriority w:val="0"/>
    <w:tblPr>
      <w:tblLayout w:type="fixed"/>
      <w:tblCellMar>
        <w:top w:w="0" w:type="dxa"/>
        <w:left w:w="0" w:type="dxa"/>
        <w:bottom w:w="0" w:type="dxa"/>
        <w:right w:w="0" w:type="dxa"/>
      </w:tblCellMar>
    </w:tblPr>
  </w:style>
  <w:style w:type="character" w:customStyle="1" w:styleId="10">
    <w:name w:val="fontstyle31"/>
    <w:basedOn w:val="6"/>
    <w:qFormat/>
    <w:uiPriority w:val="0"/>
    <w:rPr>
      <w:rFonts w:hint="default" w:ascii="仿宋" w:hAnsi="仿宋"/>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6074</Words>
  <Characters>6162</Characters>
  <TotalTime>12</TotalTime>
  <ScaleCrop>false</ScaleCrop>
  <LinksUpToDate>false</LinksUpToDate>
  <CharactersWithSpaces>6210</CharactersWithSpaces>
  <Application>WPS Office_11.8.2.8053_F1E327BC-269C-435d-A152-05C5408002CA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2023-03-03T11:39:00Z</dcterms:created>
  <dc:creator>Kingsoft-PDF</dc:creator>
  <cp:lastModifiedBy>NA娜</cp:lastModifiedBy>
  <cp:lastPrinted>2023-03-29T08:11:00Z</cp:lastPrinted>
  <dcterms:modified xsi:type="dcterms:W3CDTF">2023-04-11T08:22:10Z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2023-03-03T11:39:54Z</vt:filetime>
  </property>
  <property fmtid="{D5CDD505-2E9C-101B-9397-08002B2CF9AE}" pid="4" name="UsrData">
    <vt:lpwstr>64016bfd89183217b8f8cef4</vt:lpwstr>
  </property>
  <property fmtid="{D5CDD505-2E9C-101B-9397-08002B2CF9AE}" pid="5" name="KSOProductBuildVer">
    <vt:lpwstr>2052-11.8.2.8053</vt:lpwstr>
  </property>
  <property fmtid="{D5CDD505-2E9C-101B-9397-08002B2CF9AE}" pid="6" name="ICV">
    <vt:lpwstr>4F6A8305FF014F1AA1A9EC260940EC81</vt:lpwstr>
  </property>
</Properties>
</file>