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仿宋" w:hAnsi="仿宋" w:eastAsia="仿宋" w:cs="仿宋_GB2312"/>
          <w:sz w:val="32"/>
          <w:szCs w:val="32"/>
          <w:u w:val="single"/>
        </w:rPr>
        <w:t>华容县广播电视</w:t>
      </w:r>
      <w:r>
        <w:rPr>
          <w:rFonts w:hint="eastAsia" w:ascii="仿宋" w:hAnsi="仿宋" w:eastAsia="仿宋" w:cs="仿宋_GB2312"/>
          <w:sz w:val="32"/>
          <w:szCs w:val="32"/>
          <w:u w:val="single"/>
          <w:lang w:val="en-US" w:eastAsia="zh-CN"/>
        </w:rPr>
        <w:t>网络传输中心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spacing w:val="20"/>
          <w:sz w:val="36"/>
          <w:szCs w:val="36"/>
          <w:u w:val="single"/>
        </w:rPr>
        <w:t>20700</w:t>
      </w:r>
      <w:r>
        <w:rPr>
          <w:rFonts w:hint="eastAsia"/>
          <w:spacing w:val="20"/>
          <w:sz w:val="36"/>
          <w:szCs w:val="36"/>
          <w:u w:val="single"/>
          <w:lang w:val="en-US" w:eastAsia="zh-CN"/>
        </w:rPr>
        <w:t>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13</w:t>
      </w:r>
      <w:bookmarkStart w:id="0" w:name="_GoBack"/>
      <w:bookmarkEnd w:id="0"/>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唐艳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spacing w:line="320" w:lineRule="exact"/>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4181811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spacing w:line="32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1、承担全县范围内村村响、户户通及应急广播、有线和无线数字电视网络的传输、监测和技术验收工作；</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2、承担中央、省、市、县电视台在本地区的转播发射和发展维护工作；</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3、受委托承担全县智慧城市、旧城改造等重大网络建设或改造项目的具体实施工作。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任务1：</w:t>
            </w:r>
            <w:r>
              <w:rPr>
                <w:rFonts w:hint="eastAsia" w:ascii="仿宋" w:hAnsi="仿宋" w:eastAsia="仿宋" w:cs="仿宋"/>
                <w:color w:val="000000"/>
                <w:sz w:val="24"/>
                <w:szCs w:val="24"/>
                <w:lang w:val="en-US" w:eastAsia="zh-CN"/>
              </w:rPr>
              <w:t>承担全县范围内村村响、户户通及应急广播、有线和无线数字电视网络的传输、监测和技术验收工作；</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任务2：承担中央、省、市、县电视台在本地区的转播发射和发展维护工作；</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受委托承担全县智慧城市、旧城改造等重大网络建设或改造项目的具体实施工作。</w:t>
            </w:r>
          </w:p>
          <w:p>
            <w:pPr>
              <w:pStyle w:val="2"/>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1、承担全县范围内村村响、户户通及应急广播、有线和无线数字电视网络的传输、监测和技术验收工作；</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2、承担中央、省、市、县电视台在本地区的转播发射和发展维护工作；</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3、受委托承担全县智慧城市、旧城改造等重大网络建设或改造项目的具体实施工作。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27.05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27.05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ascii="仿宋" w:hAnsi="仿宋" w:eastAsia="仿宋" w:cs="仿宋"/>
                <w:color w:val="000000"/>
                <w:sz w:val="24"/>
                <w:szCs w:val="24"/>
              </w:rPr>
              <w:t>1</w:t>
            </w:r>
            <w:r>
              <w:rPr>
                <w:rFonts w:hint="eastAsia" w:ascii="仿宋" w:hAnsi="仿宋" w:eastAsia="仿宋" w:cs="仿宋"/>
                <w:color w:val="000000"/>
                <w:sz w:val="24"/>
                <w:szCs w:val="24"/>
                <w:lang w:val="en-US" w:eastAsia="zh-CN"/>
              </w:rPr>
              <w:t>、承担全县范围内村村响、户户通及应急广播、有线和无线数字电视网络的传输、监测和技术验收工作；</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2、承担中央、省、市、县电视台在本地区的转播发射和发展维护工作；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lang w:val="en-US" w:eastAsia="zh-CN"/>
              </w:rPr>
              <w:t>3、受委托承担全县智慧城市、旧城改造等重大网络建设或改造项目的具体实施工作。</w:t>
            </w:r>
          </w:p>
        </w:tc>
        <w:tc>
          <w:tcPr>
            <w:tcW w:w="4585" w:type="dxa"/>
            <w:gridSpan w:val="9"/>
            <w:noWrap w:val="0"/>
            <w:vAlign w:val="center"/>
          </w:tcPr>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center"/>
              <w:textAlignment w:val="center"/>
              <w:rPr>
                <w:rFonts w:ascii="??_GB2312" w:hAnsi="??_GB2312" w:cs="??_GB2312"/>
                <w:color w:val="000000"/>
                <w:sz w:val="24"/>
                <w:szCs w:val="24"/>
              </w:rPr>
            </w:pPr>
          </w:p>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both"/>
              <w:textAlignment w:val="center"/>
              <w:rPr>
                <w:rFonts w:ascii="??_GB2312" w:hAnsi="??_GB2312" w:cs="??_GB2312"/>
                <w:color w:val="000000"/>
                <w:sz w:val="24"/>
                <w:szCs w:val="24"/>
              </w:rPr>
            </w:pPr>
          </w:p>
          <w:p>
            <w:pPr>
              <w:spacing w:line="320" w:lineRule="exact"/>
              <w:jc w:val="center"/>
              <w:textAlignment w:val="center"/>
              <w:rPr>
                <w:rFonts w:hint="eastAsia" w:ascii="仿宋_GB2312" w:hAnsi="仿宋_GB2312" w:eastAsia="仿宋_GB2312" w:cs="仿宋_GB2312"/>
                <w:color w:val="000000"/>
                <w:sz w:val="24"/>
              </w:rPr>
            </w:pPr>
            <w:r>
              <w:rPr>
                <w:rFonts w:ascii="??_GB2312" w:hAnsi="??_GB2312" w:cs="??_GB2312"/>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lang w:val="en-US" w:eastAsia="zh-CN"/>
              </w:rPr>
              <w:t>村村响、户户通及应急广播、有线和无线数字电视网络的传输、监测和技术验收工作；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szCs w:val="24"/>
                <w:lang w:val="en-US" w:eastAsia="zh-CN"/>
              </w:rPr>
              <w:t>承担中央、省、市、县电视台在本地区的转播发射和发展维护工作；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lang w:val="en-US" w:eastAsia="zh-CN"/>
              </w:rPr>
              <w:t>指标3：受委托承担全县智慧城市、旧城改造等重大网络建设或改造项目的具体实施工作。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 w:hAnsi="仿宋" w:eastAsia="仿宋" w:cs="仿宋"/>
                <w:color w:val="000000"/>
                <w:sz w:val="24"/>
                <w:szCs w:val="24"/>
                <w:lang w:val="en-US" w:eastAsia="zh-CN"/>
              </w:rPr>
              <w:t>村村响、户户通及应急广播、有线和无线数字电视网络的传输、监测和技术验收工作；</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2000户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在规定时间内完成相关工作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spacing w:line="320" w:lineRule="exact"/>
              <w:jc w:val="left"/>
              <w:textAlignment w:val="center"/>
              <w:rPr>
                <w:rFonts w:hint="eastAsia" w:ascii="仿宋" w:hAnsi="仿宋" w:eastAsia="仿宋" w:cs="仿宋"/>
                <w:color w:val="000000"/>
                <w:sz w:val="24"/>
                <w:szCs w:val="24"/>
                <w:lang w:eastAsia="zh-CN"/>
              </w:rPr>
            </w:pPr>
            <w:r>
              <w:rPr>
                <w:rFonts w:hint="eastAsia" w:ascii="仿宋_GB2312" w:hAnsi="仿宋_GB2312" w:eastAsia="仿宋_GB2312" w:cs="仿宋_GB2312"/>
                <w:color w:val="000000"/>
                <w:sz w:val="24"/>
              </w:rPr>
              <w:t>指标</w:t>
            </w:r>
            <w:r>
              <w:rPr>
                <w:rFonts w:hint="eastAsia" w:ascii="仿宋" w:hAnsi="仿宋" w:eastAsia="仿宋" w:cs="仿宋"/>
                <w:color w:val="000000"/>
                <w:sz w:val="24"/>
                <w:szCs w:val="24"/>
              </w:rPr>
              <w:t>1：保持广播电视覆盖率达到</w:t>
            </w:r>
            <w:r>
              <w:rPr>
                <w:rFonts w:hint="eastAsia" w:ascii="仿宋_GB2312" w:hAnsi="仿宋_GB2312" w:eastAsia="仿宋_GB2312" w:cs="仿宋_GB2312"/>
                <w:color w:val="000000"/>
                <w:sz w:val="24"/>
              </w:rPr>
              <w:t>98</w:t>
            </w:r>
            <w:r>
              <w:rPr>
                <w:rFonts w:hint="eastAsia" w:ascii="仿宋" w:hAnsi="仿宋" w:eastAsia="仿宋" w:cs="仿宋"/>
                <w:color w:val="000000"/>
                <w:sz w:val="24"/>
                <w:szCs w:val="24"/>
              </w:rPr>
              <w:t>%以上</w:t>
            </w:r>
            <w:r>
              <w:rPr>
                <w:rFonts w:hint="eastAsia" w:ascii="仿宋" w:hAnsi="仿宋" w:eastAsia="仿宋" w:cs="仿宋"/>
                <w:color w:val="000000"/>
                <w:sz w:val="24"/>
                <w:szCs w:val="24"/>
                <w:lang w:eastAsia="zh-CN"/>
              </w:rPr>
              <w:t>。</w:t>
            </w:r>
          </w:p>
          <w:p>
            <w:pPr>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szCs w:val="24"/>
              </w:rPr>
              <w:t>指标2：群众满意率高于90%指标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_GB2312"/>
                <w:color w:val="000000"/>
                <w:sz w:val="24"/>
                <w:szCs w:val="24"/>
                <w:lang w:val="en-US" w:eastAsia="zh-CN"/>
              </w:rPr>
              <w:t>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吴军华</w:t>
            </w:r>
          </w:p>
        </w:tc>
        <w:tc>
          <w:tcPr>
            <w:tcW w:w="3561"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网络传输中心主任</w:t>
            </w: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网络传输中心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贺志宏</w:t>
            </w:r>
          </w:p>
        </w:tc>
        <w:tc>
          <w:tcPr>
            <w:tcW w:w="3561"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网络传输中心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范</w:t>
            </w:r>
            <w:r>
              <w:rPr>
                <w:rFonts w:hint="eastAsia" w:ascii="??_GB2312" w:hAnsi="??_GB2312" w:cs="宋体"/>
                <w:color w:val="000000"/>
                <w:sz w:val="24"/>
                <w:szCs w:val="24"/>
                <w:lang w:val="en-US" w:eastAsia="zh-CN"/>
              </w:rPr>
              <w:t xml:space="preserve">  </w:t>
            </w:r>
            <w:r>
              <w:rPr>
                <w:rFonts w:hint="eastAsia" w:ascii="??_GB2312" w:hAnsi="??_GB2312" w:cs="宋体"/>
                <w:color w:val="000000"/>
                <w:sz w:val="24"/>
                <w:szCs w:val="24"/>
                <w:lang w:eastAsia="zh-CN"/>
              </w:rPr>
              <w:t>纯</w:t>
            </w:r>
          </w:p>
        </w:tc>
        <w:tc>
          <w:tcPr>
            <w:tcW w:w="3561"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网络传输中心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p>
        </w:tc>
        <w:tc>
          <w:tcPr>
            <w:tcW w:w="3561"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4181811</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hint="eastAsia"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根据《华容县财政局关于开展</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财政支出绩效自评工作的通知》（华财</w:t>
            </w:r>
            <w:r>
              <w:rPr>
                <w:rFonts w:hint="eastAsia" w:ascii="仿宋_GB2312" w:eastAsia="仿宋_GB2312" w:cs="仿宋_GB2312"/>
                <w:sz w:val="32"/>
                <w:szCs w:val="32"/>
                <w:lang w:eastAsia="zh-CN"/>
              </w:rPr>
              <w:t>函</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37</w:t>
            </w:r>
            <w:r>
              <w:rPr>
                <w:rFonts w:hint="eastAsia" w:ascii="仿宋_GB2312" w:eastAsia="仿宋_GB2312"/>
                <w:sz w:val="32"/>
                <w:szCs w:val="32"/>
              </w:rPr>
              <w:t>号</w:t>
            </w:r>
            <w:r>
              <w:rPr>
                <w:rFonts w:hint="eastAsia" w:ascii="仿宋_GB2312" w:eastAsia="仿宋_GB2312" w:cs="仿宋_GB2312"/>
                <w:sz w:val="32"/>
                <w:szCs w:val="32"/>
              </w:rPr>
              <w:t>）文件精神，遵循“科学性、规范性、客观性和公正性”的原则，我</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对</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年度部门整体支出绩效进行了合理评价，现将有关情况报告如下。</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一、部门（单位）概况</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（一）部门（单位）基本情况</w:t>
            </w:r>
          </w:p>
          <w:p>
            <w:pPr>
              <w:pStyle w:val="2"/>
              <w:numPr>
                <w:ilvl w:val="0"/>
                <w:numId w:val="0"/>
              </w:numPr>
              <w:ind w:firstLine="640" w:firstLineChars="200"/>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华容县广播电视网络传输中心是华容县融媒体中心（华容县广播电视台）下属二级机构，为经营类事业单位。</w:t>
            </w:r>
            <w:r>
              <w:rPr>
                <w:rFonts w:hint="default" w:ascii="仿宋_GB2312" w:hAnsi="仿宋_GB2312" w:eastAsia="仿宋_GB2312" w:cs="仿宋_GB2312"/>
                <w:b w:val="0"/>
                <w:color w:val="000000"/>
                <w:kern w:val="2"/>
                <w:sz w:val="32"/>
                <w:szCs w:val="32"/>
                <w:lang w:val="en-US" w:eastAsia="zh-CN" w:bidi="ar-SA"/>
              </w:rPr>
              <w:t>20</w:t>
            </w:r>
            <w:r>
              <w:rPr>
                <w:rFonts w:hint="eastAsia" w:ascii="仿宋_GB2312" w:hAnsi="仿宋_GB2312" w:eastAsia="仿宋_GB2312" w:cs="仿宋_GB2312"/>
                <w:b w:val="0"/>
                <w:color w:val="000000"/>
                <w:kern w:val="2"/>
                <w:sz w:val="32"/>
                <w:szCs w:val="32"/>
                <w:lang w:val="en-US" w:eastAsia="zh-CN" w:bidi="ar-SA"/>
              </w:rPr>
              <w:t>21年编制部门核实华容县广播电视网络中心人员编制57人，实有人数为57人，其中差额拨款事业编制20人，自收自支事业编制37人。</w:t>
            </w:r>
          </w:p>
          <w:p>
            <w:pPr>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s="仿宋_GB2312"/>
                <w:color w:val="000000"/>
                <w:sz w:val="32"/>
                <w:szCs w:val="32"/>
              </w:rPr>
              <w:t>（二）部门（单位）整体支出规模、使用方向和主要内容、涉及范围等</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27.05</w:t>
            </w:r>
            <w:r>
              <w:rPr>
                <w:rFonts w:hint="eastAsia" w:ascii="仿宋_GB2312" w:hAnsi="仿宋_GB2312" w:eastAsia="仿宋_GB2312" w:cs="仿宋_GB2312"/>
                <w:color w:val="000000"/>
                <w:sz w:val="32"/>
                <w:szCs w:val="32"/>
              </w:rPr>
              <w:t>万，其中财政拨款收入</w:t>
            </w:r>
            <w:r>
              <w:rPr>
                <w:rFonts w:hint="eastAsia" w:ascii="仿宋_GB2312" w:hAnsi="仿宋_GB2312" w:eastAsia="仿宋_GB2312" w:cs="仿宋_GB2312"/>
                <w:color w:val="000000"/>
                <w:sz w:val="32"/>
                <w:szCs w:val="32"/>
                <w:lang w:val="en-US" w:eastAsia="zh-CN"/>
              </w:rPr>
              <w:t>27.05</w:t>
            </w:r>
            <w:r>
              <w:rPr>
                <w:rFonts w:hint="eastAsia" w:ascii="仿宋_GB2312" w:hAnsi="仿宋_GB2312" w:eastAsia="仿宋_GB2312" w:cs="仿宋_GB2312"/>
                <w:color w:val="000000"/>
                <w:sz w:val="32"/>
                <w:szCs w:val="32"/>
              </w:rPr>
              <w:t>万元。上级补助收入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万元；事业收入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万；附属单位上缴收入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万元；其他收入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w:t>
            </w:r>
          </w:p>
          <w:p>
            <w:pPr>
              <w:spacing w:line="60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27.05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27.05</w:t>
            </w:r>
            <w:r>
              <w:rPr>
                <w:rFonts w:hint="eastAsia" w:ascii="仿宋_GB2312" w:hAnsi="仿宋_GB2312" w:eastAsia="仿宋_GB2312" w:cs="仿宋_GB2312"/>
                <w:color w:val="000000"/>
                <w:sz w:val="32"/>
                <w:szCs w:val="32"/>
              </w:rPr>
              <w:t>万元，主要用于基本工资福利支出、差旅费、办公费等，占本年总支出</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万元；上缴上级支出</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万元；对附属单位补助支出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二、部门（单位）整体支出管理及使用情况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（一）基本支出</w:t>
            </w:r>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27.05</w:t>
            </w:r>
            <w:r>
              <w:rPr>
                <w:rFonts w:hint="eastAsia" w:asci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27.05</w:t>
            </w:r>
            <w:r>
              <w:rPr>
                <w:rFonts w:hint="eastAsia" w:ascii="仿宋_GB2312" w:eastAsia="仿宋_GB2312" w:cs="仿宋_GB2312"/>
                <w:color w:val="000000"/>
                <w:sz w:val="32"/>
                <w:szCs w:val="32"/>
              </w:rPr>
              <w:t>万元，占本年总支出</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_GB2312" w:hAnsi="仿宋_GB2312" w:eastAsia="仿宋_GB2312" w:cs="仿宋_GB2312"/>
                <w:color w:val="000000"/>
                <w:sz w:val="32"/>
                <w:szCs w:val="32"/>
              </w:rPr>
              <w:t>主要用于基本工资福利支出、差旅费、办公费等</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（二）专项支出</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、专项资金安排落实、总投入等情况分析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、专项资金实际使用情况分析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、专项资金管理情况分析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三、部门（单位）专项组织实施情况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（一）专项组织情况分析（</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（二）专项管理情况分析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四、部门（单位）整体支出绩效情况</w:t>
            </w:r>
          </w:p>
          <w:p>
            <w:pPr>
              <w:numPr>
                <w:ilvl w:val="0"/>
                <w:numId w:val="1"/>
              </w:numPr>
              <w:snapToGrid w:val="0"/>
              <w:spacing w:line="520" w:lineRule="exact"/>
              <w:ind w:firstLine="640" w:firstLineChars="200"/>
              <w:rPr>
                <w:rFonts w:hint="default" w:ascii="仿宋" w:hAnsi="仿宋" w:eastAsia="仿宋" w:cs="仿宋"/>
                <w:b w:val="0"/>
                <w:bCs w:val="0"/>
                <w:color w:val="000000"/>
                <w:kern w:val="2"/>
                <w:sz w:val="32"/>
                <w:szCs w:val="32"/>
                <w:lang w:val="en-US" w:eastAsia="zh-CN" w:bidi="ar-SA"/>
              </w:rPr>
            </w:pPr>
            <w:r>
              <w:rPr>
                <w:rFonts w:ascii="仿宋_GB2312" w:hAnsi="Times New Roman" w:eastAsia="仿宋_GB2312" w:cs="仿宋_GB2312"/>
                <w:kern w:val="2"/>
                <w:sz w:val="32"/>
                <w:szCs w:val="32"/>
              </w:rPr>
              <w:t>20</w:t>
            </w:r>
            <w:r>
              <w:rPr>
                <w:rFonts w:hint="eastAsia" w:ascii="仿宋_GB2312" w:hAnsi="Times New Roman" w:eastAsia="仿宋_GB2312" w:cs="仿宋_GB2312"/>
                <w:kern w:val="2"/>
                <w:sz w:val="32"/>
                <w:szCs w:val="32"/>
                <w:lang w:val="en-US" w:eastAsia="zh-CN"/>
              </w:rPr>
              <w:t>21</w:t>
            </w:r>
            <w:r>
              <w:rPr>
                <w:rFonts w:hint="eastAsia" w:ascii="仿宋_GB2312" w:hAnsi="Times New Roman" w:eastAsia="仿宋_GB2312" w:cs="仿宋_GB2312"/>
                <w:kern w:val="2"/>
                <w:sz w:val="32"/>
                <w:szCs w:val="32"/>
              </w:rPr>
              <w:t>年，根据年初工作规划和重点性工作，</w:t>
            </w:r>
            <w:r>
              <w:rPr>
                <w:rFonts w:hint="eastAsia" w:ascii="仿宋" w:hAnsi="仿宋" w:eastAsia="仿宋" w:cs="仿宋"/>
                <w:color w:val="000000"/>
                <w:sz w:val="32"/>
                <w:szCs w:val="32"/>
                <w:lang w:val="en-US" w:eastAsia="zh-CN"/>
              </w:rPr>
              <w:t>对全县境内有线数字电视、无线数字电视网络传输业务和传输质量进行监测，确保全县境内有线数字电视和无线数字电视网络完好；</w:t>
            </w:r>
            <w:r>
              <w:rPr>
                <w:rFonts w:hint="eastAsia" w:ascii="仿宋" w:hAnsi="仿宋" w:eastAsia="仿宋" w:cs="仿宋"/>
                <w:b w:val="0"/>
                <w:bCs w:val="0"/>
                <w:color w:val="000000"/>
                <w:kern w:val="2"/>
                <w:sz w:val="32"/>
                <w:szCs w:val="32"/>
                <w:lang w:val="en-US" w:eastAsia="zh-CN" w:bidi="ar-SA"/>
              </w:rPr>
              <w:t>完成全县智慧城市、旧城改造等重大网络建设80%任务；做好全县范围内村村响、户户通及应急广播的安装和运行维护工作。</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部门整体支出绩效情况如下：</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（一）经济效益评价</w:t>
            </w:r>
          </w:p>
          <w:p>
            <w:pPr>
              <w:spacing w:beforeLines="0" w:afterLines="0" w:line="640" w:lineRule="exact"/>
              <w:ind w:firstLine="640" w:firstLineChars="200"/>
              <w:jc w:val="left"/>
              <w:rPr>
                <w:rFonts w:hint="eastAsia" w:ascii="仿宋_GB2312" w:hAnsi="Arial" w:eastAsia="仿宋_GB2312" w:cs="仿宋_GB2312"/>
                <w:color w:val="auto"/>
                <w:sz w:val="32"/>
                <w:szCs w:val="32"/>
                <w:shd w:val="clear" w:color="auto" w:fill="FFFFFF"/>
                <w:lang w:val="en-US"/>
              </w:rPr>
            </w:pPr>
            <w:r>
              <w:rPr>
                <w:rFonts w:ascii="仿宋_GB2312" w:eastAsia="仿宋_GB2312" w:cs="仿宋_GB2312"/>
                <w:sz w:val="32"/>
                <w:szCs w:val="32"/>
              </w:rPr>
              <w:t xml:space="preserve">1. </w:t>
            </w:r>
            <w:r>
              <w:rPr>
                <w:rFonts w:hint="eastAsia" w:ascii="仿宋_GB2312" w:eastAsia="仿宋_GB2312" w:cs="仿宋_GB2312"/>
                <w:sz w:val="32"/>
                <w:szCs w:val="32"/>
              </w:rPr>
              <w:t>预算执行方面，支出总额控制在预算总额以内；</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年度“三公”经费财政拨款支出预算为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万元，其中，公务接待费</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万元，公务用车购置及运行费</w:t>
            </w:r>
            <w:r>
              <w:rPr>
                <w:rFonts w:ascii="仿宋_GB2312" w:eastAsia="仿宋_GB2312" w:cs="仿宋_GB2312"/>
                <w:sz w:val="32"/>
                <w:szCs w:val="32"/>
              </w:rPr>
              <w:t>0</w:t>
            </w:r>
            <w:r>
              <w:rPr>
                <w:rFonts w:hint="eastAsia" w:ascii="仿宋_GB2312" w:eastAsia="仿宋_GB2312" w:cs="仿宋_GB2312"/>
                <w:sz w:val="32"/>
                <w:szCs w:val="32"/>
              </w:rPr>
              <w:t>万元（其中，公务用车购置费</w:t>
            </w:r>
            <w:r>
              <w:rPr>
                <w:rFonts w:ascii="仿宋_GB2312" w:eastAsia="仿宋_GB2312" w:cs="仿宋_GB2312"/>
                <w:sz w:val="32"/>
                <w:szCs w:val="32"/>
              </w:rPr>
              <w:t>0</w:t>
            </w:r>
            <w:r>
              <w:rPr>
                <w:rFonts w:hint="eastAsia" w:ascii="仿宋_GB2312" w:eastAsia="仿宋_GB2312" w:cs="仿宋_GB2312"/>
                <w:sz w:val="32"/>
                <w:szCs w:val="32"/>
              </w:rPr>
              <w:t>万元，公务用车运行费</w:t>
            </w:r>
            <w:r>
              <w:rPr>
                <w:rFonts w:ascii="仿宋_GB2312" w:eastAsia="仿宋_GB2312" w:cs="仿宋_GB2312"/>
                <w:sz w:val="32"/>
                <w:szCs w:val="32"/>
              </w:rPr>
              <w:t>0</w:t>
            </w:r>
            <w:r>
              <w:rPr>
                <w:rFonts w:hint="eastAsia" w:ascii="仿宋_GB2312" w:eastAsia="仿宋_GB2312" w:cs="仿宋_GB2312"/>
                <w:sz w:val="32"/>
                <w:szCs w:val="32"/>
              </w:rPr>
              <w:t>万元），因公出国（境）费</w:t>
            </w:r>
            <w:r>
              <w:rPr>
                <w:rFonts w:ascii="仿宋_GB2312" w:eastAsia="仿宋_GB2312" w:cs="仿宋_GB2312"/>
                <w:sz w:val="32"/>
                <w:szCs w:val="32"/>
              </w:rPr>
              <w:t>0</w:t>
            </w:r>
            <w:r>
              <w:rPr>
                <w:rFonts w:hint="eastAsia" w:ascii="仿宋_GB2312" w:eastAsia="仿宋_GB2312" w:cs="仿宋_GB2312"/>
                <w:sz w:val="32"/>
                <w:szCs w:val="32"/>
              </w:rPr>
              <w:t>万元。</w:t>
            </w:r>
          </w:p>
          <w:p>
            <w:pPr>
              <w:pStyle w:val="6"/>
              <w:shd w:val="clear" w:color="auto" w:fill="FFFFFF"/>
              <w:spacing w:before="0" w:beforeAutospacing="0" w:after="0" w:afterAutospacing="0" w:line="480" w:lineRule="auto"/>
              <w:ind w:firstLine="640" w:firstLineChars="20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、预算管理方面，制度执行总体较为有效。</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（二）效率性评价和有效性评价</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（三）社会公众满意度评价</w:t>
            </w:r>
          </w:p>
          <w:p>
            <w:pPr>
              <w:pStyle w:val="6"/>
              <w:shd w:val="clear" w:color="auto" w:fill="FFFFFF"/>
              <w:spacing w:before="0" w:beforeAutospacing="0" w:after="0" w:afterAutospacing="0" w:line="480" w:lineRule="auto"/>
              <w:ind w:firstLine="640"/>
              <w:jc w:val="both"/>
              <w:rPr>
                <w:rFonts w:hint="eastAsia" w:ascii="仿宋_GB2312" w:hAnsi="Times New Roman" w:eastAsia="仿宋_GB2312" w:cs="仿宋_GB2312"/>
                <w:kern w:val="2"/>
                <w:sz w:val="32"/>
                <w:szCs w:val="32"/>
                <w:lang w:eastAsia="zh-CN"/>
              </w:rPr>
            </w:pPr>
            <w:r>
              <w:rPr>
                <w:rFonts w:hint="eastAsia" w:ascii="仿宋_GB2312" w:hAnsi="Times New Roman" w:eastAsia="仿宋_GB2312" w:cs="仿宋_GB2312"/>
                <w:kern w:val="2"/>
                <w:sz w:val="32"/>
                <w:szCs w:val="32"/>
                <w:lang w:eastAsia="zh-CN"/>
              </w:rPr>
              <w:t>20</w:t>
            </w:r>
            <w:r>
              <w:rPr>
                <w:rFonts w:hint="eastAsia" w:ascii="仿宋_GB2312" w:hAnsi="Times New Roman" w:eastAsia="仿宋_GB2312" w:cs="仿宋_GB2312"/>
                <w:kern w:val="2"/>
                <w:sz w:val="32"/>
                <w:szCs w:val="32"/>
                <w:lang w:val="en-US" w:eastAsia="zh-CN"/>
              </w:rPr>
              <w:t>21</w:t>
            </w:r>
            <w:r>
              <w:rPr>
                <w:rFonts w:hint="eastAsia" w:ascii="仿宋_GB2312" w:hAnsi="Times New Roman" w:eastAsia="仿宋_GB2312" w:cs="仿宋_GB2312"/>
                <w:kern w:val="2"/>
                <w:sz w:val="32"/>
                <w:szCs w:val="32"/>
                <w:lang w:eastAsia="zh-CN"/>
              </w:rPr>
              <w:t>年我单位认真贯彻落实</w:t>
            </w:r>
            <w:r>
              <w:rPr>
                <w:rFonts w:hint="eastAsia" w:ascii="仿宋_GB2312" w:hAnsi="Times New Roman" w:eastAsia="仿宋_GB2312" w:cs="仿宋_GB2312"/>
                <w:kern w:val="2"/>
                <w:sz w:val="32"/>
                <w:szCs w:val="32"/>
                <w:lang w:val="en-US" w:eastAsia="zh-CN"/>
              </w:rPr>
              <w:t>县委、县政府相关工作要求</w:t>
            </w:r>
            <w:r>
              <w:rPr>
                <w:rFonts w:hint="eastAsia" w:ascii="仿宋_GB2312" w:hAnsi="Times New Roman" w:eastAsia="仿宋_GB2312" w:cs="仿宋_GB2312"/>
                <w:kern w:val="2"/>
                <w:sz w:val="32"/>
                <w:szCs w:val="32"/>
                <w:lang w:eastAsia="zh-CN"/>
              </w:rPr>
              <w:t>，创先争优，通过全年不定期的持续高压整治，</w:t>
            </w:r>
            <w:r>
              <w:rPr>
                <w:rFonts w:hint="eastAsia" w:ascii="仿宋_GB2312" w:hAnsi="Times New Roman" w:eastAsia="仿宋_GB2312" w:cs="仿宋_GB2312"/>
                <w:kern w:val="2"/>
                <w:sz w:val="32"/>
                <w:szCs w:val="32"/>
                <w:lang w:val="en-US" w:eastAsia="zh-CN"/>
              </w:rPr>
              <w:t>村村响、户户通及应急广播、有线和无线数字电视网络的传输、监测</w:t>
            </w:r>
            <w:r>
              <w:rPr>
                <w:rFonts w:hint="eastAsia" w:ascii="仿宋_GB2312" w:hAnsi="Times New Roman" w:eastAsia="仿宋_GB2312" w:cs="仿宋_GB2312"/>
                <w:kern w:val="2"/>
                <w:sz w:val="32"/>
                <w:szCs w:val="32"/>
                <w:lang w:eastAsia="zh-CN"/>
              </w:rPr>
              <w:t>工作取得了较好的效果。</w:t>
            </w:r>
          </w:p>
          <w:p>
            <w:pPr>
              <w:pStyle w:val="6"/>
              <w:shd w:val="clear" w:color="auto" w:fill="FFFFFF"/>
              <w:spacing w:before="0" w:beforeAutospacing="0" w:after="0" w:afterAutospacing="0" w:line="480" w:lineRule="auto"/>
              <w:ind w:firstLine="640"/>
              <w:jc w:val="both"/>
              <w:rPr>
                <w:rFonts w:hint="eastAsia" w:ascii="仿宋_GB2312" w:hAnsi="Times New Roman" w:eastAsia="仿宋_GB2312" w:cs="仿宋_GB2312"/>
                <w:kern w:val="2"/>
                <w:sz w:val="32"/>
                <w:szCs w:val="32"/>
                <w:lang w:eastAsia="zh-CN"/>
              </w:rPr>
            </w:pPr>
            <w:r>
              <w:rPr>
                <w:rFonts w:hint="eastAsia" w:ascii="仿宋_GB2312" w:hAnsi="Times New Roman" w:eastAsia="仿宋_GB2312" w:cs="仿宋_GB2312"/>
                <w:kern w:val="2"/>
                <w:sz w:val="32"/>
                <w:szCs w:val="32"/>
                <w:lang w:eastAsia="zh-CN"/>
              </w:rPr>
              <w:t>五、存在的主要问题</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1</w:t>
            </w:r>
            <w:r>
              <w:rPr>
                <w:rFonts w:hint="eastAsia" w:ascii="仿宋_GB2312" w:hAnsi="Times New Roman" w:eastAsia="仿宋_GB2312" w:cs="仿宋_GB2312"/>
                <w:kern w:val="2"/>
                <w:sz w:val="32"/>
                <w:szCs w:val="32"/>
              </w:rPr>
              <w:t>、行业管理还比较粗放。</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、财务制度执行力有待加强，资金使用计划有待细化。</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、财政预算资金到位比较迟缓。</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六、改进措施和有关建议</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针对上述存在的问题及整体支出管理工作的需要，拟实施的改进措施如下：</w:t>
            </w:r>
          </w:p>
          <w:p>
            <w:pPr>
              <w:pStyle w:val="6"/>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加强财务管理，严格财务审核。在费用报账支付时，按照预算规定的费用项目和用途进行资金使用审核、列报支付、财务核算，杜绝超支现象的发生。</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99.6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40C1A"/>
    <w:multiLevelType w:val="singleLevel"/>
    <w:tmpl w:val="B4340C1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jEwOWNkNWRhZTZiYTU3ZTMyNzgxZWNjZTFiNGQifQ=="/>
  </w:docVars>
  <w:rsids>
    <w:rsidRoot w:val="2CE55C20"/>
    <w:rsid w:val="007B2063"/>
    <w:rsid w:val="083749E7"/>
    <w:rsid w:val="09533A4F"/>
    <w:rsid w:val="0B611B6A"/>
    <w:rsid w:val="0BE67BF4"/>
    <w:rsid w:val="0CB679B8"/>
    <w:rsid w:val="0DE528CD"/>
    <w:rsid w:val="103E1D5B"/>
    <w:rsid w:val="13107253"/>
    <w:rsid w:val="1336279F"/>
    <w:rsid w:val="18725427"/>
    <w:rsid w:val="1A592752"/>
    <w:rsid w:val="1E0647BA"/>
    <w:rsid w:val="1FE704A2"/>
    <w:rsid w:val="254E2FC7"/>
    <w:rsid w:val="25B607B7"/>
    <w:rsid w:val="263C173A"/>
    <w:rsid w:val="26425F23"/>
    <w:rsid w:val="27CD30DB"/>
    <w:rsid w:val="289D055E"/>
    <w:rsid w:val="2C9F197B"/>
    <w:rsid w:val="2CA33441"/>
    <w:rsid w:val="2CE55C20"/>
    <w:rsid w:val="2F287302"/>
    <w:rsid w:val="30426D13"/>
    <w:rsid w:val="37804D91"/>
    <w:rsid w:val="379823A5"/>
    <w:rsid w:val="3A43255A"/>
    <w:rsid w:val="3D6201A1"/>
    <w:rsid w:val="3EC46785"/>
    <w:rsid w:val="3F8A6044"/>
    <w:rsid w:val="43A702D9"/>
    <w:rsid w:val="44592EA4"/>
    <w:rsid w:val="477245B4"/>
    <w:rsid w:val="49617FA5"/>
    <w:rsid w:val="4D171D42"/>
    <w:rsid w:val="4E4F0BB0"/>
    <w:rsid w:val="52540F05"/>
    <w:rsid w:val="53703EF2"/>
    <w:rsid w:val="5BE95901"/>
    <w:rsid w:val="625C0355"/>
    <w:rsid w:val="64417BED"/>
    <w:rsid w:val="68B065B0"/>
    <w:rsid w:val="68F3505D"/>
    <w:rsid w:val="6A0A15CD"/>
    <w:rsid w:val="6B1A5872"/>
    <w:rsid w:val="6D452F22"/>
    <w:rsid w:val="6DF352BD"/>
    <w:rsid w:val="705E3E6D"/>
    <w:rsid w:val="71C1048A"/>
    <w:rsid w:val="7396188C"/>
    <w:rsid w:val="73F35F5B"/>
    <w:rsid w:val="79C04582"/>
    <w:rsid w:val="7D1F0DA2"/>
    <w:rsid w:val="7FAF4BBD"/>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0"/>
    <w:pPr>
      <w:spacing w:before="100" w:beforeLines="0" w:beforeAutospacing="1" w:after="100" w:afterLines="0" w:afterAutospacing="1"/>
      <w:jc w:val="left"/>
      <w:outlineLvl w:val="0"/>
    </w:pPr>
    <w:rPr>
      <w:rFonts w:hint="eastAsia" w:ascii="宋体" w:hAnsi="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4292</Words>
  <Characters>4581</Characters>
  <Lines>0</Lines>
  <Paragraphs>0</Paragraphs>
  <TotalTime>0</TotalTime>
  <ScaleCrop>false</ScaleCrop>
  <LinksUpToDate>false</LinksUpToDate>
  <CharactersWithSpaces>5097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lenovo</cp:lastModifiedBy>
  <cp:lastPrinted>2022-06-14T02:52:00Z</cp:lastPrinted>
  <dcterms:modified xsi:type="dcterms:W3CDTF">2022-10-11T07:44:46Z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AF44B633C86D4E0EBD21C0BCF157E288</vt:lpwstr>
  </property>
</Properties>
</file>