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华容县退役军人事务局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806001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报告日期：2022年6月 13日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毛迪红</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4609208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40</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pStyle w:val="6"/>
              <w:widowControl/>
              <w:spacing w:before="0" w:beforeAutospacing="0" w:after="0" w:afterAutospacing="0" w:line="450" w:lineRule="atLeast"/>
              <w:ind w:firstLine="420" w:firstLineChars="200"/>
              <w:rPr>
                <w:rFonts w:ascii="宋体" w:hAnsi="宋体" w:cs="宋体"/>
                <w:sz w:val="21"/>
                <w:szCs w:val="21"/>
              </w:rPr>
            </w:pPr>
            <w:r>
              <w:rPr>
                <w:rFonts w:hint="eastAsia" w:ascii="宋体" w:hAnsi="宋体" w:cs="宋体"/>
                <w:sz w:val="21"/>
                <w:szCs w:val="21"/>
              </w:rPr>
              <w:t>组织实施关于退役军人思想政治、管理保障和安置优抚等工作的政策措施，褒扬彰显退役军人为党、国家和人民牺牲奉献的精神风范和价值导向。</w:t>
            </w:r>
          </w:p>
          <w:p>
            <w:pPr>
              <w:pStyle w:val="6"/>
              <w:widowControl/>
              <w:spacing w:before="0" w:beforeAutospacing="0" w:after="0" w:afterAutospacing="0" w:line="450" w:lineRule="atLeast"/>
              <w:rPr>
                <w:rFonts w:ascii="宋体" w:hAnsi="宋体" w:cs="宋体"/>
                <w:sz w:val="21"/>
                <w:szCs w:val="21"/>
              </w:rPr>
            </w:pPr>
            <w:r>
              <w:rPr>
                <w:rFonts w:hint="eastAsia" w:ascii="宋体" w:hAnsi="宋体" w:cs="宋体"/>
                <w:sz w:val="21"/>
                <w:szCs w:val="21"/>
              </w:rPr>
              <w:t>　  负责军队转业干部、复员干部、离休退休干部、退役士兵和无军籍退休退职职工的移交安置工作和自主择业、就业退役军人服务管理工作。</w:t>
            </w:r>
          </w:p>
          <w:p>
            <w:pPr>
              <w:pStyle w:val="6"/>
              <w:widowControl/>
              <w:spacing w:before="0" w:beforeAutospacing="0" w:after="0" w:afterAutospacing="0" w:line="450" w:lineRule="atLeast"/>
              <w:rPr>
                <w:rFonts w:ascii="宋体" w:hAnsi="宋体" w:cs="宋体"/>
                <w:sz w:val="21"/>
                <w:szCs w:val="21"/>
              </w:rPr>
            </w:pPr>
            <w:r>
              <w:rPr>
                <w:rFonts w:hint="eastAsia" w:ascii="宋体" w:hAnsi="宋体" w:cs="宋体"/>
                <w:sz w:val="21"/>
                <w:szCs w:val="21"/>
              </w:rPr>
              <w:t>　　组织指导退役军人教育培训工作，协调扶持退役军人和随军随调家属就业创业。</w:t>
            </w:r>
          </w:p>
          <w:p>
            <w:pPr>
              <w:pStyle w:val="6"/>
              <w:widowControl/>
              <w:spacing w:before="0" w:beforeAutospacing="0" w:after="0" w:afterAutospacing="0" w:line="450" w:lineRule="atLeast"/>
              <w:rPr>
                <w:rFonts w:ascii="宋体" w:hAnsi="宋体" w:cs="宋体"/>
                <w:sz w:val="21"/>
                <w:szCs w:val="21"/>
              </w:rPr>
            </w:pPr>
            <w:r>
              <w:rPr>
                <w:rFonts w:hint="eastAsia" w:ascii="宋体" w:hAnsi="宋体" w:cs="宋体"/>
                <w:sz w:val="21"/>
                <w:szCs w:val="21"/>
              </w:rPr>
              <w:t>　　会同有关部门落实退役军人特殊保障政策。</w:t>
            </w:r>
          </w:p>
          <w:p>
            <w:pPr>
              <w:pStyle w:val="6"/>
              <w:widowControl/>
              <w:spacing w:before="0" w:beforeAutospacing="0" w:after="0" w:afterAutospacing="0" w:line="450" w:lineRule="atLeast"/>
              <w:rPr>
                <w:rFonts w:ascii="宋体" w:hAnsi="宋体" w:cs="宋体"/>
                <w:sz w:val="21"/>
                <w:szCs w:val="21"/>
              </w:rPr>
            </w:pPr>
            <w:r>
              <w:rPr>
                <w:rFonts w:hint="eastAsia" w:ascii="宋体" w:hAnsi="宋体" w:cs="宋体"/>
                <w:sz w:val="21"/>
                <w:szCs w:val="21"/>
              </w:rPr>
              <w:t>　　组织协调落实移交地方的离休退休军人，符合条件的其他退役军人和无军籍退休退职职工的住房保障工作，以及退役军人医疗保障、社会保险等待遇保障工作。</w:t>
            </w:r>
          </w:p>
          <w:p>
            <w:pPr>
              <w:pStyle w:val="6"/>
              <w:widowControl/>
              <w:spacing w:before="0" w:beforeAutospacing="0" w:after="0" w:afterAutospacing="0" w:line="450" w:lineRule="atLeast"/>
              <w:rPr>
                <w:rFonts w:ascii="宋体" w:hAnsi="宋体" w:cs="宋体"/>
                <w:sz w:val="21"/>
                <w:szCs w:val="21"/>
              </w:rPr>
            </w:pPr>
            <w:r>
              <w:rPr>
                <w:rFonts w:hint="eastAsia" w:ascii="宋体" w:hAnsi="宋体" w:cs="宋体"/>
                <w:sz w:val="21"/>
                <w:szCs w:val="21"/>
              </w:rPr>
              <w:t>　　组织指导伤病残退役军人服务管理和抚恤工作，拟订退役军人医疗、养老等机构的规划政策并组织实施。承担不适宜继续服役的伤病残军人相关工作。</w:t>
            </w:r>
          </w:p>
          <w:p>
            <w:pPr>
              <w:pStyle w:val="6"/>
              <w:widowControl/>
              <w:spacing w:before="0" w:beforeAutospacing="0" w:after="0" w:afterAutospacing="0" w:line="450" w:lineRule="atLeast"/>
              <w:rPr>
                <w:rFonts w:ascii="宋体" w:hAnsi="宋体" w:cs="宋体"/>
                <w:sz w:val="21"/>
                <w:szCs w:val="21"/>
              </w:rPr>
            </w:pPr>
            <w:r>
              <w:rPr>
                <w:rFonts w:hint="eastAsia" w:ascii="宋体" w:hAnsi="宋体" w:cs="宋体"/>
                <w:sz w:val="21"/>
                <w:szCs w:val="21"/>
              </w:rPr>
              <w:t>　　组织指导全市拥军优属工作。负责现役军人、退役军人、军队文职人员和军属优待、抚恤等工作，落实国家关于国民党抗战老兵等有关人员优待政策。</w:t>
            </w:r>
          </w:p>
          <w:p>
            <w:pPr>
              <w:pStyle w:val="6"/>
              <w:widowControl/>
              <w:spacing w:before="0" w:beforeAutospacing="0" w:after="0" w:afterAutospacing="0" w:line="450" w:lineRule="atLeast"/>
              <w:rPr>
                <w:rFonts w:ascii="宋体" w:hAnsi="宋体" w:cs="宋体"/>
                <w:sz w:val="21"/>
                <w:szCs w:val="21"/>
              </w:rPr>
            </w:pPr>
            <w:r>
              <w:rPr>
                <w:rFonts w:hint="eastAsia" w:ascii="宋体" w:hAnsi="宋体" w:cs="宋体"/>
                <w:sz w:val="21"/>
                <w:szCs w:val="21"/>
              </w:rPr>
              <w:t>　　负责烈士及退役军人荣誉奖励、军人公墓管理维护、纪念活动等工作，依法承担英雄烈士保护相关工作，审核拟列入全市重点保护单位的烈士纪念建筑物名录，承办烈士纪念设施保护事宜，总结表彰和宣扬退役军人、退役军人工作单位和个人先进典型事迹。</w:t>
            </w:r>
          </w:p>
          <w:p>
            <w:pPr>
              <w:pStyle w:val="6"/>
              <w:widowControl/>
              <w:spacing w:before="0" w:beforeAutospacing="0" w:after="0" w:afterAutospacing="0" w:line="450" w:lineRule="atLeast"/>
              <w:rPr>
                <w:rFonts w:ascii="宋体" w:hAnsi="宋体" w:cs="宋体"/>
                <w:sz w:val="21"/>
                <w:szCs w:val="21"/>
              </w:rPr>
            </w:pPr>
            <w:r>
              <w:rPr>
                <w:rFonts w:hint="eastAsia" w:ascii="宋体" w:hAnsi="宋体" w:cs="宋体"/>
                <w:sz w:val="21"/>
                <w:szCs w:val="21"/>
              </w:rPr>
              <w:t>　　指导并监督检查退役军人相关法律法规和政策措施的落实，组织开展退役军人权益维护和有关人员的帮扶援助工作。</w:t>
            </w:r>
          </w:p>
          <w:p>
            <w:pPr>
              <w:pStyle w:val="6"/>
              <w:widowControl/>
              <w:spacing w:before="0" w:beforeAutospacing="0" w:after="0" w:afterAutospacing="0" w:line="450" w:lineRule="atLeast"/>
              <w:rPr>
                <w:rFonts w:ascii="宋体" w:hAnsi="宋体" w:cs="宋体"/>
                <w:sz w:val="21"/>
                <w:szCs w:val="21"/>
              </w:rPr>
            </w:pPr>
            <w:r>
              <w:rPr>
                <w:rFonts w:hint="eastAsia" w:ascii="宋体" w:hAnsi="宋体" w:cs="宋体"/>
                <w:sz w:val="21"/>
                <w:szCs w:val="21"/>
              </w:rPr>
              <w:t>　　承担县双拥工作领导小组和市军队转业干部安置工作领导小组的日常工作。</w:t>
            </w:r>
          </w:p>
          <w:p>
            <w:pPr>
              <w:pStyle w:val="6"/>
              <w:widowControl/>
              <w:spacing w:before="0" w:beforeAutospacing="0" w:after="0" w:afterAutospacing="0" w:line="450" w:lineRule="atLeast"/>
              <w:rPr>
                <w:rFonts w:ascii="宋体" w:hAnsi="宋体" w:cs="宋体"/>
                <w:sz w:val="21"/>
                <w:szCs w:val="21"/>
              </w:rPr>
            </w:pPr>
            <w:r>
              <w:rPr>
                <w:rFonts w:hint="eastAsia" w:ascii="宋体" w:hAnsi="宋体" w:cs="宋体"/>
                <w:sz w:val="21"/>
                <w:szCs w:val="21"/>
              </w:rPr>
              <w:t>　　完成县委、县政府交办的其他任务。</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pStyle w:val="6"/>
              <w:widowControl/>
              <w:spacing w:before="0" w:beforeAutospacing="0" w:after="0" w:afterAutospacing="0" w:line="450" w:lineRule="atLeast"/>
              <w:rPr>
                <w:rFonts w:ascii="宋体" w:hAnsi="宋体" w:cs="宋体"/>
                <w:sz w:val="21"/>
                <w:szCs w:val="21"/>
              </w:rPr>
            </w:pPr>
            <w:r>
              <w:rPr>
                <w:rFonts w:hint="eastAsia" w:ascii="宋体" w:hAnsi="宋体" w:cs="宋体"/>
                <w:sz w:val="21"/>
                <w:szCs w:val="21"/>
              </w:rPr>
              <w:t>任务1：发放各类抚恤对象抚恤补助资金</w:t>
            </w:r>
          </w:p>
          <w:p>
            <w:pPr>
              <w:pStyle w:val="6"/>
              <w:widowControl/>
              <w:spacing w:before="0" w:beforeAutospacing="0" w:after="0" w:afterAutospacing="0" w:line="450" w:lineRule="atLeast"/>
              <w:rPr>
                <w:rFonts w:ascii="宋体" w:hAnsi="宋体" w:cs="宋体"/>
                <w:sz w:val="21"/>
                <w:szCs w:val="21"/>
              </w:rPr>
            </w:pPr>
            <w:r>
              <w:rPr>
                <w:rFonts w:hint="eastAsia" w:ascii="宋体" w:hAnsi="宋体" w:cs="宋体"/>
                <w:sz w:val="21"/>
                <w:szCs w:val="21"/>
              </w:rPr>
              <w:t>任务2：优抚对象办理医疗保障资金</w:t>
            </w:r>
          </w:p>
          <w:p>
            <w:pPr>
              <w:pStyle w:val="6"/>
              <w:widowControl/>
              <w:spacing w:before="0" w:beforeAutospacing="0" w:after="0" w:afterAutospacing="0" w:line="450" w:lineRule="atLeast"/>
              <w:rPr>
                <w:rFonts w:ascii="宋体" w:hAnsi="宋体" w:cs="宋体"/>
                <w:sz w:val="21"/>
                <w:szCs w:val="21"/>
              </w:rPr>
            </w:pPr>
            <w:r>
              <w:rPr>
                <w:rFonts w:hint="eastAsia" w:ascii="宋体" w:hAnsi="宋体" w:cs="宋体"/>
                <w:sz w:val="21"/>
                <w:szCs w:val="21"/>
              </w:rPr>
              <w:t>任务3：散葬烈士墓修缮</w:t>
            </w:r>
          </w:p>
          <w:p>
            <w:pPr>
              <w:pStyle w:val="6"/>
              <w:widowControl/>
              <w:spacing w:before="0" w:beforeAutospacing="0" w:after="0" w:afterAutospacing="0" w:line="450" w:lineRule="atLeast"/>
              <w:rPr>
                <w:rFonts w:ascii="宋体" w:hAnsi="宋体" w:eastAsia="仿宋" w:cs="宋体"/>
                <w:sz w:val="21"/>
                <w:szCs w:val="21"/>
              </w:rPr>
            </w:pPr>
            <w:r>
              <w:rPr>
                <w:rFonts w:hint="eastAsia" w:ascii="宋体" w:hAnsi="宋体" w:cs="宋体"/>
                <w:sz w:val="21"/>
                <w:szCs w:val="21"/>
              </w:rPr>
              <w:t>任务4：维护伤残军人、因公</w:t>
            </w:r>
            <w:r>
              <w:rPr>
                <w:rFonts w:hint="eastAsia" w:ascii="仿宋" w:hAnsi="仿宋" w:eastAsia="仿宋"/>
                <w:szCs w:val="21"/>
              </w:rPr>
              <w:t>牺牲军人和病故军人权益</w:t>
            </w:r>
          </w:p>
          <w:p>
            <w:pPr>
              <w:pStyle w:val="6"/>
              <w:widowControl/>
              <w:spacing w:before="0" w:beforeAutospacing="0" w:after="0" w:afterAutospacing="0" w:line="450" w:lineRule="atLeast"/>
              <w:rPr>
                <w:rFonts w:ascii="仿宋_GB2312" w:hAnsi="仿宋_GB2312" w:eastAsia="仿宋_GB2312" w:cs="仿宋_GB2312"/>
                <w:color w:val="000000"/>
              </w:rPr>
            </w:pPr>
            <w:r>
              <w:rPr>
                <w:rFonts w:hint="eastAsia" w:ascii="宋体" w:hAnsi="宋体" w:cs="宋体"/>
                <w:sz w:val="21"/>
                <w:szCs w:val="21"/>
              </w:rPr>
              <w:t>任务5：落实计划安置军转干部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472"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spacing w:line="540" w:lineRule="exact"/>
              <w:ind w:firstLine="422" w:firstLineChars="200"/>
              <w:rPr>
                <w:rFonts w:ascii="宋体" w:hAnsi="宋体" w:cs="宋体"/>
                <w:kern w:val="0"/>
                <w:szCs w:val="21"/>
              </w:rPr>
            </w:pPr>
            <w:r>
              <w:rPr>
                <w:rFonts w:hint="eastAsia" w:ascii="仿宋" w:hAnsi="仿宋" w:eastAsia="仿宋"/>
                <w:b/>
                <w:szCs w:val="21"/>
              </w:rPr>
              <w:t>一是优待政策落地落细，</w:t>
            </w:r>
            <w:r>
              <w:rPr>
                <w:rFonts w:hint="eastAsia" w:ascii="宋体" w:hAnsi="宋体" w:cs="宋体"/>
                <w:kern w:val="0"/>
                <w:szCs w:val="21"/>
              </w:rPr>
              <w:t>严格落实优抚对象抚恤补助政策，确保优抚资金及时、安全、准确发放到位，全年共发放优抚资金7148.29万元，其中各类优抚对象抚恤补助资金6496.99万元、优抚对象医疗保障资金221万元，散葬烈士墓维修补助81万元、改制企业下岗人员伤残津贴54.8万元、因公牺牲军人一次性抚恤金250.7979万元、病故军人一次性抚恤金39.5万元、随军家属生活补助4.2万元，春节、“八一”期间，为县人武部、武警中队、预备役营、消防大队送去慰问金12万，走访慰问退役军人13000多人，发放慰问金600多万元</w:t>
            </w:r>
            <w:r>
              <w:rPr>
                <w:rFonts w:hint="eastAsia" w:ascii="仿宋" w:hAnsi="仿宋" w:eastAsia="仿宋"/>
                <w:szCs w:val="21"/>
              </w:rPr>
              <w:t>；</w:t>
            </w:r>
            <w:r>
              <w:rPr>
                <w:rFonts w:hint="eastAsia" w:ascii="仿宋" w:hAnsi="仿宋" w:eastAsia="仿宋"/>
                <w:b/>
                <w:szCs w:val="21"/>
              </w:rPr>
              <w:t>二是移交安置阳光高效，</w:t>
            </w:r>
            <w:r>
              <w:rPr>
                <w:rFonts w:hint="eastAsia" w:ascii="宋体" w:hAnsi="宋体" w:cs="宋体"/>
                <w:kern w:val="0"/>
                <w:szCs w:val="21"/>
              </w:rPr>
              <w:t>成立县委退役军人安置工作领导小组，稳步推进移交安置工作，经人武部、编办、公安局、人社局、退役军人事务局资格审查， 30名符合政府安置条件退役士官依照量化评分结果，于11月30日在选岗大会上依次选岗，圆满完成安置任务，高质量完成全县847名以政府安排工作方式社保断档退役军人的社保接续工作，补缴养老保险金1839.91万元</w:t>
            </w:r>
            <w:r>
              <w:rPr>
                <w:rFonts w:hint="eastAsia" w:ascii="仿宋" w:hAnsi="仿宋" w:eastAsia="仿宋"/>
                <w:szCs w:val="21"/>
              </w:rPr>
              <w:t>；</w:t>
            </w:r>
            <w:r>
              <w:rPr>
                <w:rFonts w:hint="eastAsia" w:ascii="仿宋" w:hAnsi="仿宋" w:eastAsia="仿宋"/>
                <w:b/>
                <w:szCs w:val="21"/>
              </w:rPr>
              <w:t>三是军休干部权益保障，</w:t>
            </w:r>
            <w:r>
              <w:rPr>
                <w:rFonts w:hint="eastAsia" w:ascii="宋体" w:hAnsi="宋体" w:cs="宋体"/>
                <w:kern w:val="0"/>
                <w:szCs w:val="21"/>
              </w:rPr>
              <w:t>针对军休干部年老体弱、居住分散的实际，因地制宜制定学习计划，通过上门、微信、邮寄等方式，将学习资料送到军休干部手中。工作人员每月定期到军休干部家中或通过电话了解他们的生活需求，帮助解决生活困难，逢年过节特别是在疫情防控期间，组织工作人员上门看望慰问，送去关怀和温暖。今年累计发放6名军队离退休人员和4名遗属工资及各项待遇金82.8万元，上门走访慰问40余人次，发放慰问金4.5万元；</w:t>
            </w:r>
            <w:r>
              <w:rPr>
                <w:rFonts w:hint="eastAsia" w:ascii="仿宋" w:hAnsi="仿宋" w:eastAsia="仿宋"/>
                <w:b/>
                <w:szCs w:val="21"/>
              </w:rPr>
              <w:t>四是落实帮扶援助政策，</w:t>
            </w:r>
            <w:r>
              <w:rPr>
                <w:rFonts w:hint="eastAsia" w:ascii="宋体" w:hAnsi="宋体" w:cs="宋体"/>
                <w:kern w:val="0"/>
                <w:szCs w:val="21"/>
              </w:rPr>
              <w:t>解决实际困难1285个，为48名1—6级伤残军人解决医疗援助资金20.1万元，为1229名退役军人解决生活援助资金184.37万元，重点为8名患癌症等特殊困难的退役军人解决帮扶援助资金13.31万元。</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7671.74</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122.91</w:t>
            </w: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7548.82</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7671.74</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122.91</w:t>
            </w: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7548.82</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2、退役军人服务中心</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7671.74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628.77</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574.75</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54.02</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7042.96</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7671.74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628.77</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574.75</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54.02</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7042.96</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2、退役军人服务中心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2、退役军人服务中心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43.99</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43.99</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43.99</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43.99</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2、退役军人服务中心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pStyle w:val="6"/>
              <w:widowControl/>
              <w:spacing w:before="0" w:beforeAutospacing="0" w:after="0" w:afterAutospacing="0" w:line="450" w:lineRule="atLeast"/>
              <w:rPr>
                <w:rFonts w:ascii="宋体" w:hAnsi="宋体" w:cs="宋体"/>
                <w:sz w:val="21"/>
                <w:szCs w:val="21"/>
              </w:rPr>
            </w:pPr>
            <w:r>
              <w:rPr>
                <w:rFonts w:hint="eastAsia" w:ascii="宋体" w:hAnsi="宋体" w:cs="宋体"/>
                <w:sz w:val="21"/>
                <w:szCs w:val="21"/>
              </w:rPr>
              <w:t>目标1：发放各类抚恤对象抚恤补助资金</w:t>
            </w:r>
          </w:p>
          <w:p>
            <w:pPr>
              <w:pStyle w:val="6"/>
              <w:widowControl/>
              <w:spacing w:before="0" w:beforeAutospacing="0" w:after="0" w:afterAutospacing="0" w:line="450" w:lineRule="atLeast"/>
              <w:rPr>
                <w:rFonts w:ascii="宋体" w:hAnsi="宋体" w:cs="宋体"/>
                <w:sz w:val="21"/>
                <w:szCs w:val="21"/>
              </w:rPr>
            </w:pPr>
            <w:r>
              <w:rPr>
                <w:rFonts w:hint="eastAsia" w:ascii="宋体" w:hAnsi="宋体" w:cs="宋体"/>
                <w:sz w:val="21"/>
                <w:szCs w:val="21"/>
              </w:rPr>
              <w:t>目标2：优抚对象办理医疗保障资金</w:t>
            </w:r>
          </w:p>
          <w:p>
            <w:pPr>
              <w:pStyle w:val="6"/>
              <w:widowControl/>
              <w:spacing w:before="0" w:beforeAutospacing="0" w:after="0" w:afterAutospacing="0" w:line="450" w:lineRule="atLeast"/>
              <w:rPr>
                <w:rFonts w:ascii="宋体" w:hAnsi="宋体" w:cs="宋体"/>
                <w:sz w:val="21"/>
                <w:szCs w:val="21"/>
              </w:rPr>
            </w:pPr>
            <w:r>
              <w:rPr>
                <w:rFonts w:hint="eastAsia" w:ascii="宋体" w:hAnsi="宋体" w:cs="宋体"/>
                <w:sz w:val="21"/>
                <w:szCs w:val="21"/>
              </w:rPr>
              <w:t>目标3：散葬烈士墓修缮</w:t>
            </w:r>
          </w:p>
          <w:p>
            <w:pPr>
              <w:pStyle w:val="6"/>
              <w:widowControl/>
              <w:spacing w:before="0" w:beforeAutospacing="0" w:after="0" w:afterAutospacing="0" w:line="450" w:lineRule="atLeast"/>
              <w:rPr>
                <w:rFonts w:ascii="宋体" w:hAnsi="宋体" w:eastAsia="仿宋" w:cs="宋体"/>
                <w:sz w:val="21"/>
                <w:szCs w:val="21"/>
              </w:rPr>
            </w:pPr>
            <w:r>
              <w:rPr>
                <w:rFonts w:hint="eastAsia" w:ascii="宋体" w:hAnsi="宋体" w:cs="宋体"/>
                <w:sz w:val="21"/>
                <w:szCs w:val="21"/>
              </w:rPr>
              <w:t>目标4：维护伤残军人、因公</w:t>
            </w:r>
            <w:r>
              <w:rPr>
                <w:rFonts w:hint="eastAsia" w:ascii="仿宋" w:hAnsi="仿宋" w:eastAsia="仿宋"/>
                <w:szCs w:val="21"/>
              </w:rPr>
              <w:t>牺牲军人　　和病故军人权益</w:t>
            </w:r>
          </w:p>
          <w:p>
            <w:pPr>
              <w:autoSpaceDN w:val="0"/>
              <w:spacing w:line="320" w:lineRule="exact"/>
              <w:jc w:val="left"/>
              <w:textAlignment w:val="center"/>
              <w:rPr>
                <w:rFonts w:ascii="仿宋_GB2312" w:hAnsi="仿宋_GB2312" w:cs="仿宋_GB2312"/>
                <w:color w:val="000000"/>
                <w:sz w:val="24"/>
              </w:rPr>
            </w:pPr>
            <w:r>
              <w:rPr>
                <w:rFonts w:hint="eastAsia" w:ascii="宋体" w:hAnsi="宋体" w:cs="宋体"/>
                <w:szCs w:val="21"/>
              </w:rPr>
              <w:t>目标5：落实计划安置退役士官</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cs="宋体"/>
                <w:szCs w:val="21"/>
              </w:rPr>
              <w:t>目</w:t>
            </w:r>
            <w:r>
              <w:rPr>
                <w:rFonts w:hint="eastAsia" w:ascii="仿宋_GB2312" w:hAnsi="仿宋_GB2312" w:eastAsia="仿宋_GB2312" w:cs="仿宋_GB2312"/>
                <w:color w:val="000000"/>
                <w:sz w:val="24"/>
              </w:rPr>
              <w:t>标1：发放各类抚恤对象抚恤补助资金6496.99万元；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目标2：优抚对象办理医疗保障资金221万元；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目标3：散葬烈士墓修缮81万元；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目标4：维护伤残军人、因公牺牲军人和病故军人权益，共发放补助资金349.3万元；</w:t>
            </w:r>
          </w:p>
          <w:p>
            <w:pPr>
              <w:autoSpaceDN w:val="0"/>
              <w:spacing w:line="320" w:lineRule="exact"/>
              <w:jc w:val="left"/>
              <w:textAlignment w:val="center"/>
              <w:rPr>
                <w:rFonts w:ascii="仿宋_GB2312" w:hAnsi="仿宋_GB2312" w:cs="仿宋_GB2312"/>
                <w:color w:val="000000"/>
                <w:sz w:val="24"/>
              </w:rPr>
            </w:pPr>
            <w:r>
              <w:rPr>
                <w:rFonts w:hint="eastAsia" w:ascii="仿宋_GB2312" w:hAnsi="仿宋_GB2312" w:eastAsia="仿宋_GB2312" w:cs="仿宋_GB2312"/>
                <w:color w:val="000000"/>
                <w:sz w:val="24"/>
              </w:rPr>
              <w:t>目标5：落实计划安置退役士官30名。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指标1：落实计划安置退役士官</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安置退役士官30名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pStyle w:val="6"/>
              <w:widowControl/>
              <w:spacing w:before="0" w:beforeAutospacing="0" w:after="0" w:afterAutospacing="0" w:line="450" w:lineRule="atLeast"/>
              <w:rPr>
                <w:rFonts w:ascii="仿宋_GB2312" w:hAnsi="仿宋_GB2312" w:eastAsia="仿宋_GB2312" w:cs="仿宋_GB2312"/>
                <w:color w:val="000000"/>
                <w:kern w:val="2"/>
              </w:rPr>
            </w:pPr>
            <w:r>
              <w:rPr>
                <w:rFonts w:hint="eastAsia" w:ascii="仿宋_GB2312" w:hAnsi="仿宋_GB2312" w:eastAsia="仿宋_GB2312" w:cs="仿宋_GB2312"/>
                <w:color w:val="000000"/>
                <w:kern w:val="2"/>
              </w:rPr>
              <w:t>指标2：散葬烈士墓修缮</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发放散葬烈士墓维修款81万元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9"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指标1：：发放各类抚恤对象抚恤补助资金</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发放各类抚恤对象抚恤补助资金6496.99万元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指标2：优抚对象办理医疗保障资金</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优抚对象办理医疗保障资金221万元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指标3：散葬烈士墓修缮</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散葬烈士墓修缮81万元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6"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指标4：维护伤残军人、因公牺牲军人和病故军人权益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共发放补助资金349.3万元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6"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指标5：落实计划安置退役士官</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落实计划安置退役士官30名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指标1：资金到位率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指标2：资金到位时效</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指标1：各类抚恤对象抚恤补助资金</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6496.99</w:t>
            </w:r>
            <w:r>
              <w:rPr>
                <w:rFonts w:hint="eastAsia" w:ascii="仿宋_GB2312" w:hAnsi="仿宋_GB2312" w:eastAsia="仿宋_GB2312" w:cs="仿宋_GB2312"/>
                <w:bCs/>
                <w:color w:val="000000"/>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指标2：抚对象办理医疗保障资金</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221万元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指标3：散葬烈士墓修缮</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81万元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指标4：维护伤残军人、因公牺牲军人和病故军人权益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349.3万元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维护优抚对象权益和社会稳定</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切实有效的维护广大优抚对象的权益和社会稳定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优抚对象满意度</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rPr>
                <w:rFonts w:eastAsia="仿宋_GB2312"/>
                <w:sz w:val="24"/>
              </w:rPr>
            </w:pPr>
            <w:r>
              <w:rPr>
                <w:rFonts w:hint="eastAsia" w:eastAsia="仿宋_GB2312"/>
                <w:sz w:val="24"/>
              </w:rPr>
              <w:t>毛迪红</w:t>
            </w:r>
          </w:p>
        </w:tc>
        <w:tc>
          <w:tcPr>
            <w:tcW w:w="3561" w:type="dxa"/>
            <w:gridSpan w:val="6"/>
            <w:vAlign w:val="center"/>
          </w:tcPr>
          <w:p>
            <w:pPr>
              <w:rPr>
                <w:rFonts w:eastAsia="仿宋_GB2312"/>
                <w:sz w:val="24"/>
              </w:rPr>
            </w:pPr>
            <w:r>
              <w:rPr>
                <w:rFonts w:hint="eastAsia" w:eastAsia="仿宋_GB2312"/>
                <w:sz w:val="24"/>
              </w:rPr>
              <w:t>财务股长</w:t>
            </w:r>
          </w:p>
        </w:tc>
        <w:tc>
          <w:tcPr>
            <w:tcW w:w="1479" w:type="dxa"/>
          </w:tcPr>
          <w:p>
            <w:pPr>
              <w:rPr>
                <w:rFonts w:hint="eastAsia" w:eastAsia="仿宋_GB2312"/>
                <w:sz w:val="24"/>
              </w:rPr>
            </w:pPr>
          </w:p>
          <w:p>
            <w:r>
              <w:rPr>
                <w:rFonts w:hint="eastAsia" w:eastAsia="仿宋_GB2312"/>
                <w:sz w:val="24"/>
              </w:rPr>
              <w:t>事务局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rPr>
                <w:rFonts w:eastAsia="仿宋_GB2312"/>
                <w:sz w:val="24"/>
              </w:rPr>
            </w:pPr>
            <w:r>
              <w:rPr>
                <w:rFonts w:hint="eastAsia" w:eastAsia="仿宋_GB2312"/>
                <w:sz w:val="24"/>
              </w:rPr>
              <w:t>高佳泉</w:t>
            </w:r>
          </w:p>
        </w:tc>
        <w:tc>
          <w:tcPr>
            <w:tcW w:w="3561" w:type="dxa"/>
            <w:gridSpan w:val="6"/>
            <w:vAlign w:val="center"/>
          </w:tcPr>
          <w:p>
            <w:pPr>
              <w:rPr>
                <w:rFonts w:eastAsia="仿宋_GB2312"/>
                <w:sz w:val="24"/>
              </w:rPr>
            </w:pPr>
            <w:r>
              <w:rPr>
                <w:rFonts w:hint="eastAsia" w:eastAsia="仿宋_GB2312"/>
                <w:sz w:val="24"/>
              </w:rPr>
              <w:t>优抚股长</w:t>
            </w:r>
          </w:p>
        </w:tc>
        <w:tc>
          <w:tcPr>
            <w:tcW w:w="1479" w:type="dxa"/>
            <w:vAlign w:val="center"/>
          </w:tcPr>
          <w:p>
            <w:pPr>
              <w:rPr>
                <w:rFonts w:eastAsia="仿宋_GB2312"/>
                <w:sz w:val="24"/>
              </w:rPr>
            </w:pPr>
            <w:r>
              <w:rPr>
                <w:rFonts w:hint="eastAsia" w:eastAsia="仿宋_GB2312"/>
                <w:sz w:val="24"/>
              </w:rPr>
              <w:t>事务局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rPr>
                <w:rFonts w:eastAsia="仿宋_GB2312"/>
                <w:sz w:val="24"/>
              </w:rPr>
            </w:pPr>
            <w:r>
              <w:rPr>
                <w:rFonts w:hint="eastAsia" w:eastAsia="仿宋_GB2312"/>
                <w:sz w:val="24"/>
              </w:rPr>
              <w:t>周卓</w:t>
            </w:r>
          </w:p>
        </w:tc>
        <w:tc>
          <w:tcPr>
            <w:tcW w:w="3561" w:type="dxa"/>
            <w:gridSpan w:val="6"/>
            <w:vAlign w:val="center"/>
          </w:tcPr>
          <w:p>
            <w:pPr>
              <w:rPr>
                <w:rFonts w:eastAsia="仿宋_GB2312"/>
                <w:sz w:val="24"/>
              </w:rPr>
            </w:pPr>
            <w:r>
              <w:rPr>
                <w:rFonts w:hint="eastAsia" w:eastAsia="仿宋_GB2312"/>
                <w:sz w:val="24"/>
              </w:rPr>
              <w:t>权益维护股长</w:t>
            </w:r>
          </w:p>
        </w:tc>
        <w:tc>
          <w:tcPr>
            <w:tcW w:w="1479" w:type="dxa"/>
          </w:tcPr>
          <w:p>
            <w:r>
              <w:rPr>
                <w:rFonts w:hint="eastAsia" w:eastAsia="仿宋_GB2312"/>
                <w:sz w:val="24"/>
              </w:rPr>
              <w:t>事务局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填报人（签名）：毛迪红               联系电话：13487763591</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pStyle w:val="6"/>
              <w:widowControl/>
              <w:wordWrap w:val="0"/>
              <w:spacing w:line="560" w:lineRule="exact"/>
              <w:ind w:firstLine="602" w:firstLineChars="200"/>
              <w:rPr>
                <w:rFonts w:ascii="仿宋" w:hAnsi="仿宋" w:eastAsia="仿宋"/>
                <w:b/>
                <w:bCs/>
                <w:sz w:val="30"/>
                <w:szCs w:val="30"/>
              </w:rPr>
            </w:pPr>
            <w:r>
              <w:rPr>
                <w:rFonts w:hint="eastAsia" w:ascii="黑体" w:hAnsi="黑体" w:eastAsia="黑体" w:cs="黑体"/>
                <w:b/>
                <w:bCs/>
                <w:color w:val="000000"/>
                <w:sz w:val="30"/>
                <w:szCs w:val="30"/>
              </w:rPr>
              <w:t>一、部门基本情况</w:t>
            </w:r>
          </w:p>
          <w:p>
            <w:pPr>
              <w:spacing w:line="540" w:lineRule="exact"/>
              <w:ind w:firstLine="900" w:firstLineChars="300"/>
              <w:rPr>
                <w:rFonts w:ascii="仿宋" w:hAnsi="仿宋" w:eastAsia="仿宋" w:cs="仿宋"/>
                <w:bCs/>
                <w:sz w:val="30"/>
                <w:szCs w:val="30"/>
              </w:rPr>
            </w:pPr>
            <w:r>
              <w:rPr>
                <w:rFonts w:hint="eastAsia" w:ascii="仿宋" w:hAnsi="仿宋" w:eastAsia="仿宋" w:cs="仿宋"/>
                <w:bCs/>
                <w:sz w:val="30"/>
                <w:szCs w:val="30"/>
              </w:rPr>
              <w:t>华容县退役军人事务局为独立核算单位，其余退役军人服务中心、军队离退休管理所、县光院、东山光荣院、塔市光荣院、洪山头光荣院、南山光荣院、烈士陵园管理所等二级机构属于独立法人非独立核算单位。</w:t>
            </w:r>
          </w:p>
          <w:p>
            <w:pPr>
              <w:pStyle w:val="6"/>
              <w:widowControl/>
              <w:wordWrap w:val="0"/>
              <w:spacing w:line="560" w:lineRule="exact"/>
              <w:ind w:firstLine="600" w:firstLineChars="200"/>
              <w:rPr>
                <w:rFonts w:ascii="仿宋" w:hAnsi="仿宋" w:eastAsia="仿宋"/>
                <w:sz w:val="30"/>
                <w:szCs w:val="30"/>
              </w:rPr>
            </w:pPr>
          </w:p>
          <w:p>
            <w:pPr>
              <w:spacing w:line="560" w:lineRule="exact"/>
              <w:ind w:firstLine="602" w:firstLineChars="200"/>
              <w:rPr>
                <w:rFonts w:ascii="黑体" w:hAnsi="黑体" w:eastAsia="黑体" w:cs="黑体"/>
                <w:b/>
                <w:bCs/>
                <w:color w:val="000000"/>
                <w:sz w:val="30"/>
                <w:szCs w:val="30"/>
              </w:rPr>
            </w:pPr>
            <w:r>
              <w:rPr>
                <w:rFonts w:hint="eastAsia" w:ascii="黑体" w:hAnsi="黑体" w:eastAsia="黑体" w:cs="黑体"/>
                <w:b/>
                <w:bCs/>
                <w:color w:val="000000"/>
                <w:sz w:val="30"/>
                <w:szCs w:val="30"/>
              </w:rPr>
              <w:t>二、</w:t>
            </w:r>
            <w:r>
              <w:rPr>
                <w:rFonts w:hint="eastAsia" w:ascii="黑体" w:hAnsi="黑体" w:eastAsia="黑体" w:cs="黑体"/>
                <w:bCs/>
                <w:sz w:val="30"/>
                <w:szCs w:val="30"/>
              </w:rPr>
              <w:t>部门整体支出管理及使用情况</w:t>
            </w:r>
          </w:p>
          <w:p>
            <w:pPr>
              <w:pStyle w:val="6"/>
              <w:widowControl/>
              <w:wordWrap w:val="0"/>
              <w:spacing w:line="560" w:lineRule="exact"/>
              <w:ind w:firstLine="602" w:firstLineChars="200"/>
              <w:rPr>
                <w:rFonts w:ascii="仿宋" w:hAnsi="仿宋" w:eastAsia="仿宋" w:cs="楷体"/>
                <w:b/>
                <w:bCs/>
                <w:color w:val="000000"/>
                <w:sz w:val="30"/>
                <w:szCs w:val="30"/>
              </w:rPr>
            </w:pPr>
            <w:r>
              <w:rPr>
                <w:rFonts w:hint="eastAsia" w:ascii="仿宋" w:hAnsi="仿宋" w:eastAsia="仿宋" w:cs="楷体"/>
                <w:b/>
                <w:bCs/>
                <w:color w:val="000000"/>
                <w:sz w:val="30"/>
                <w:szCs w:val="30"/>
              </w:rPr>
              <w:t>（一）基本支出</w:t>
            </w:r>
          </w:p>
          <w:p>
            <w:pPr>
              <w:pStyle w:val="6"/>
              <w:widowControl/>
              <w:wordWrap w:val="0"/>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2021年度财政预算行政运行经费</w:t>
            </w:r>
            <w:r>
              <w:rPr>
                <w:rFonts w:hint="eastAsia" w:ascii="仿宋" w:hAnsi="仿宋" w:eastAsia="仿宋" w:cs="仿宋"/>
                <w:color w:val="000000"/>
                <w:sz w:val="30"/>
                <w:szCs w:val="30"/>
                <w:lang w:val="en-US" w:eastAsia="zh-CN"/>
              </w:rPr>
              <w:t>628.77</w:t>
            </w:r>
            <w:r>
              <w:rPr>
                <w:rFonts w:hint="eastAsia" w:ascii="仿宋" w:hAnsi="仿宋" w:eastAsia="仿宋" w:cs="仿宋"/>
                <w:color w:val="000000"/>
                <w:sz w:val="30"/>
                <w:szCs w:val="30"/>
              </w:rPr>
              <w:t>万元，其中：人员支出</w:t>
            </w:r>
          </w:p>
          <w:p>
            <w:pPr>
              <w:rPr>
                <w:rFonts w:ascii="仿宋" w:hAnsi="仿宋" w:eastAsia="仿宋" w:cs="仿宋"/>
                <w:color w:val="000000"/>
                <w:sz w:val="30"/>
                <w:szCs w:val="30"/>
              </w:rPr>
            </w:pPr>
            <w:r>
              <w:rPr>
                <w:rFonts w:hint="eastAsia" w:ascii="仿宋" w:hAnsi="仿宋" w:eastAsia="仿宋" w:cs="仿宋"/>
                <w:color w:val="000000"/>
                <w:sz w:val="30"/>
                <w:szCs w:val="30"/>
                <w:lang w:val="en-US" w:eastAsia="zh-CN"/>
              </w:rPr>
              <w:t>574.75</w:t>
            </w:r>
            <w:r>
              <w:rPr>
                <w:rFonts w:hint="eastAsia" w:ascii="仿宋" w:hAnsi="仿宋" w:eastAsia="仿宋" w:cs="仿宋"/>
                <w:color w:val="000000"/>
                <w:sz w:val="30"/>
                <w:szCs w:val="30"/>
              </w:rPr>
              <w:t>万元，公用支出54.02万元。</w:t>
            </w:r>
          </w:p>
          <w:p>
            <w:pPr>
              <w:pStyle w:val="6"/>
              <w:widowControl/>
              <w:wordWrap w:val="0"/>
              <w:spacing w:line="560" w:lineRule="exact"/>
              <w:ind w:firstLine="602" w:firstLineChars="200"/>
              <w:rPr>
                <w:rFonts w:ascii="仿宋" w:hAnsi="仿宋" w:eastAsia="仿宋" w:cs="仿宋"/>
                <w:color w:val="000000"/>
                <w:sz w:val="30"/>
                <w:szCs w:val="30"/>
              </w:rPr>
            </w:pPr>
            <w:r>
              <w:rPr>
                <w:rFonts w:hint="eastAsia" w:ascii="仿宋" w:hAnsi="仿宋" w:eastAsia="仿宋" w:cs="楷体"/>
                <w:b/>
                <w:bCs/>
                <w:color w:val="000000"/>
                <w:sz w:val="30"/>
                <w:szCs w:val="30"/>
              </w:rPr>
              <w:t>（二）专项支出</w:t>
            </w:r>
          </w:p>
          <w:p>
            <w:pPr>
              <w:spacing w:line="560" w:lineRule="exact"/>
              <w:ind w:firstLine="602" w:firstLineChars="200"/>
              <w:rPr>
                <w:rFonts w:ascii="仿宋_GB2312" w:hAnsi="仿宋_GB2312" w:eastAsia="仿宋_GB2312" w:cs="仿宋_GB2312"/>
                <w:b/>
                <w:sz w:val="30"/>
                <w:szCs w:val="30"/>
              </w:rPr>
            </w:pPr>
            <w:r>
              <w:rPr>
                <w:rFonts w:hint="eastAsia" w:ascii="仿宋_GB2312" w:hAnsi="仿宋_GB2312" w:eastAsia="仿宋_GB2312" w:cs="仿宋_GB2312"/>
                <w:b/>
                <w:sz w:val="30"/>
                <w:szCs w:val="30"/>
              </w:rPr>
              <w:t>1、专项资金安排落实、总投入等情况分析</w:t>
            </w:r>
          </w:p>
          <w:p>
            <w:pPr>
              <w:pStyle w:val="6"/>
              <w:widowControl/>
              <w:wordWrap w:val="0"/>
              <w:spacing w:line="560" w:lineRule="exact"/>
              <w:ind w:firstLine="600" w:firstLineChars="200"/>
              <w:rPr>
                <w:rFonts w:ascii="仿宋" w:hAnsi="仿宋" w:eastAsia="仿宋" w:cs="仿宋"/>
                <w:color w:val="000000"/>
                <w:sz w:val="30"/>
                <w:szCs w:val="30"/>
              </w:rPr>
            </w:pPr>
            <w:r>
              <w:rPr>
                <w:rFonts w:ascii="仿宋" w:hAnsi="仿宋" w:eastAsia="仿宋" w:cs="仿宋"/>
                <w:color w:val="000000"/>
                <w:sz w:val="30"/>
                <w:szCs w:val="30"/>
              </w:rPr>
              <w:t>20</w:t>
            </w:r>
            <w:r>
              <w:rPr>
                <w:rFonts w:hint="eastAsia" w:ascii="仿宋" w:hAnsi="仿宋" w:eastAsia="仿宋" w:cs="仿宋"/>
                <w:color w:val="000000"/>
                <w:sz w:val="30"/>
                <w:szCs w:val="30"/>
              </w:rPr>
              <w:t>21年度，我县退役军人事务局专项资金收入总额704</w:t>
            </w:r>
            <w:r>
              <w:rPr>
                <w:rFonts w:hint="eastAsia" w:ascii="仿宋" w:hAnsi="仿宋" w:eastAsia="仿宋" w:cs="仿宋"/>
                <w:color w:val="000000"/>
                <w:sz w:val="30"/>
                <w:szCs w:val="30"/>
                <w:lang w:val="en-US" w:eastAsia="zh-CN"/>
              </w:rPr>
              <w:t>2.96</w:t>
            </w:r>
            <w:r>
              <w:rPr>
                <w:rFonts w:hint="eastAsia" w:ascii="仿宋" w:hAnsi="仿宋" w:eastAsia="仿宋" w:cs="仿宋"/>
                <w:color w:val="000000"/>
                <w:sz w:val="30"/>
                <w:szCs w:val="30"/>
              </w:rPr>
              <w:t>万元，主要用于抚恤、退役安置、优抚医疗和其他社会保障就业等支出。</w:t>
            </w:r>
          </w:p>
          <w:p>
            <w:pPr>
              <w:spacing w:line="560" w:lineRule="exact"/>
              <w:ind w:firstLine="602" w:firstLineChars="200"/>
              <w:rPr>
                <w:rFonts w:ascii="仿宋_GB2312" w:hAnsi="仿宋_GB2312" w:eastAsia="仿宋_GB2312" w:cs="仿宋_GB2312"/>
                <w:bCs/>
                <w:sz w:val="30"/>
                <w:szCs w:val="30"/>
              </w:rPr>
            </w:pPr>
            <w:r>
              <w:rPr>
                <w:rFonts w:hint="eastAsia" w:ascii="仿宋_GB2312" w:hAnsi="仿宋_GB2312" w:eastAsia="仿宋_GB2312" w:cs="仿宋_GB2312"/>
                <w:b/>
                <w:sz w:val="30"/>
                <w:szCs w:val="30"/>
              </w:rPr>
              <w:t>2、专项资金实际使用情况及管理情况分析</w:t>
            </w:r>
          </w:p>
          <w:p>
            <w:pPr>
              <w:pStyle w:val="6"/>
              <w:widowControl/>
              <w:wordWrap w:val="0"/>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发放各类抚恤对象抚恤补助资金6</w:t>
            </w:r>
            <w:r>
              <w:rPr>
                <w:rFonts w:hint="eastAsia" w:ascii="仿宋" w:hAnsi="仿宋" w:eastAsia="仿宋" w:cs="仿宋"/>
                <w:color w:val="000000"/>
                <w:sz w:val="30"/>
                <w:szCs w:val="30"/>
                <w:lang w:val="en-US" w:eastAsia="zh-CN"/>
              </w:rPr>
              <w:t>472.7</w:t>
            </w:r>
            <w:r>
              <w:rPr>
                <w:rFonts w:hint="eastAsia" w:ascii="仿宋" w:hAnsi="仿宋" w:eastAsia="仿宋" w:cs="仿宋"/>
                <w:color w:val="000000"/>
                <w:sz w:val="30"/>
                <w:szCs w:val="30"/>
              </w:rPr>
              <w:t>万元；优抚对象办理医疗保障资金2</w:t>
            </w:r>
            <w:r>
              <w:rPr>
                <w:rFonts w:hint="eastAsia" w:ascii="仿宋" w:hAnsi="仿宋" w:eastAsia="仿宋" w:cs="仿宋"/>
                <w:color w:val="000000"/>
                <w:sz w:val="30"/>
                <w:szCs w:val="30"/>
                <w:lang w:val="en-US" w:eastAsia="zh-CN"/>
              </w:rPr>
              <w:t>09.4</w:t>
            </w:r>
            <w:r>
              <w:rPr>
                <w:rFonts w:hint="eastAsia" w:ascii="仿宋" w:hAnsi="仿宋" w:eastAsia="仿宋" w:cs="仿宋"/>
                <w:color w:val="000000"/>
                <w:sz w:val="30"/>
                <w:szCs w:val="30"/>
              </w:rPr>
              <w:t>万元；散葬烈士墓修缮</w:t>
            </w:r>
            <w:r>
              <w:rPr>
                <w:rFonts w:hint="eastAsia" w:ascii="仿宋" w:hAnsi="仿宋" w:eastAsia="仿宋" w:cs="仿宋"/>
                <w:color w:val="000000"/>
                <w:sz w:val="30"/>
                <w:szCs w:val="30"/>
                <w:lang w:val="en-US" w:eastAsia="zh-CN"/>
              </w:rPr>
              <w:t>97.65</w:t>
            </w:r>
            <w:r>
              <w:rPr>
                <w:rFonts w:hint="eastAsia" w:ascii="仿宋" w:hAnsi="仿宋" w:eastAsia="仿宋" w:cs="仿宋"/>
                <w:color w:val="000000"/>
                <w:sz w:val="30"/>
                <w:szCs w:val="30"/>
              </w:rPr>
              <w:t>万元；共发放伤残军人、因公牺牲军人和病故军人补助资金</w:t>
            </w:r>
            <w:r>
              <w:rPr>
                <w:rFonts w:hint="eastAsia" w:ascii="仿宋" w:hAnsi="仿宋" w:eastAsia="仿宋" w:cs="仿宋"/>
                <w:color w:val="000000"/>
                <w:sz w:val="30"/>
                <w:szCs w:val="30"/>
                <w:lang w:val="en-US" w:eastAsia="zh-CN"/>
              </w:rPr>
              <w:t>263.21</w:t>
            </w:r>
            <w:r>
              <w:rPr>
                <w:rFonts w:hint="eastAsia" w:ascii="仿宋" w:hAnsi="仿宋" w:eastAsia="仿宋" w:cs="仿宋"/>
                <w:color w:val="000000"/>
                <w:sz w:val="30"/>
                <w:szCs w:val="30"/>
              </w:rPr>
              <w:t>万元.</w:t>
            </w:r>
          </w:p>
          <w:p>
            <w:pPr>
              <w:pStyle w:val="6"/>
              <w:widowControl/>
              <w:numPr>
                <w:ilvl w:val="0"/>
                <w:numId w:val="1"/>
              </w:numPr>
              <w:wordWrap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spacing w:line="540" w:lineRule="exact"/>
              <w:ind w:firstLine="900" w:firstLineChars="300"/>
              <w:rPr>
                <w:rFonts w:ascii="仿宋" w:hAnsi="仿宋" w:eastAsia="仿宋" w:cs="仿宋"/>
                <w:bCs/>
                <w:sz w:val="30"/>
                <w:szCs w:val="30"/>
              </w:rPr>
            </w:pPr>
            <w:r>
              <w:rPr>
                <w:rFonts w:hint="eastAsia" w:ascii="仿宋" w:hAnsi="仿宋" w:eastAsia="仿宋" w:cs="仿宋"/>
                <w:bCs/>
                <w:sz w:val="30"/>
                <w:szCs w:val="30"/>
              </w:rPr>
              <w:t>①加大对民政专项资金使用的监管力度，提高专项资金运行的安全性、规范性和有效性，最大限度地实现好、维护好人民群众的根本利益。</w:t>
            </w:r>
          </w:p>
          <w:p>
            <w:pPr>
              <w:spacing w:line="540" w:lineRule="exact"/>
              <w:ind w:firstLine="900" w:firstLineChars="300"/>
              <w:rPr>
                <w:rFonts w:ascii="仿宋" w:hAnsi="仿宋" w:eastAsia="仿宋" w:cs="仿宋"/>
                <w:bCs/>
                <w:sz w:val="30"/>
                <w:szCs w:val="30"/>
              </w:rPr>
            </w:pPr>
            <w:r>
              <w:rPr>
                <w:rFonts w:hint="eastAsia" w:ascii="仿宋" w:hAnsi="仿宋" w:eastAsia="仿宋" w:cs="仿宋"/>
                <w:bCs/>
                <w:sz w:val="30"/>
                <w:szCs w:val="30"/>
              </w:rPr>
              <w:t>②加强专项资金的使用管理，应遵循公开、公平、公正的原则；确保专项资金专款专用的原则；日常监督与专项检查相结合的原则；制度预防与教育惩处相结合的原则。</w:t>
            </w:r>
          </w:p>
          <w:p>
            <w:pPr>
              <w:pStyle w:val="6"/>
              <w:widowControl/>
              <w:wordWrap w:val="0"/>
              <w:spacing w:line="560" w:lineRule="exact"/>
              <w:ind w:firstLine="900" w:firstLineChars="300"/>
              <w:rPr>
                <w:rFonts w:ascii="仿宋" w:hAnsi="仿宋" w:eastAsia="仿宋" w:cs="仿宋"/>
                <w:bCs/>
                <w:sz w:val="30"/>
                <w:szCs w:val="30"/>
              </w:rPr>
            </w:pPr>
            <w:r>
              <w:rPr>
                <w:rFonts w:hint="eastAsia" w:ascii="仿宋" w:hAnsi="仿宋" w:eastAsia="仿宋" w:cs="仿宋"/>
                <w:bCs/>
                <w:sz w:val="30"/>
                <w:szCs w:val="30"/>
              </w:rPr>
              <w:t>③发放到人的专项资金应严格按惠农“一卡通”发放程序办理。</w:t>
            </w:r>
          </w:p>
          <w:p>
            <w:pPr>
              <w:numPr>
                <w:ilvl w:val="0"/>
                <w:numId w:val="2"/>
              </w:numPr>
              <w:spacing w:line="560" w:lineRule="exact"/>
              <w:ind w:firstLine="600" w:firstLineChars="200"/>
              <w:rPr>
                <w:rFonts w:ascii="黑体" w:hAnsi="黑体" w:eastAsia="黑体" w:cs="黑体"/>
                <w:bCs/>
                <w:sz w:val="30"/>
                <w:szCs w:val="30"/>
              </w:rPr>
            </w:pPr>
            <w:r>
              <w:rPr>
                <w:rFonts w:hint="eastAsia" w:ascii="黑体" w:hAnsi="黑体" w:eastAsia="黑体" w:cs="黑体"/>
                <w:bCs/>
                <w:sz w:val="30"/>
                <w:szCs w:val="30"/>
              </w:rPr>
              <w:t>部门专项组织实施情况</w:t>
            </w:r>
          </w:p>
          <w:p>
            <w:pPr>
              <w:spacing w:line="56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（一）专项组织情况分析</w:t>
            </w:r>
          </w:p>
          <w:p>
            <w:pPr>
              <w:spacing w:line="540" w:lineRule="exact"/>
              <w:ind w:firstLine="560" w:firstLineChars="200"/>
              <w:rPr>
                <w:rFonts w:ascii="仿宋" w:hAnsi="仿宋" w:eastAsia="仿宋" w:cs="仿宋"/>
                <w:bCs/>
                <w:color w:val="000000" w:themeColor="text1"/>
                <w:sz w:val="28"/>
                <w:szCs w:val="28"/>
              </w:rPr>
            </w:pPr>
            <w:r>
              <w:rPr>
                <w:rFonts w:hint="eastAsia" w:ascii="仿宋" w:hAnsi="仿宋" w:eastAsia="仿宋" w:cs="仿宋"/>
                <w:bCs/>
                <w:color w:val="000000" w:themeColor="text1"/>
                <w:sz w:val="28"/>
                <w:szCs w:val="28"/>
              </w:rPr>
              <w:t>专项资金支出由局长统筹管理，各专项资金由相关业务股室依据政策和工作实际拟定拨付资金方案，并经分管负责人审核、值班负责人审批，最后报局长审签，财务股按财政国库集中支付相关规定予以支付。资金下达到相关单位后，业务股室完整做好专项台账，确保资金足额及时到对象到项目，并切实加强跟踪督查。</w:t>
            </w:r>
          </w:p>
          <w:p>
            <w:pPr>
              <w:spacing w:line="56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（二）专项管理情况分析</w:t>
            </w:r>
          </w:p>
          <w:p>
            <w:pPr>
              <w:pStyle w:val="6"/>
              <w:widowControl/>
              <w:wordWrap w:val="0"/>
              <w:spacing w:line="560" w:lineRule="exact"/>
              <w:ind w:firstLine="600" w:firstLineChars="200"/>
              <w:rPr>
                <w:rFonts w:ascii="仿宋" w:hAnsi="仿宋" w:eastAsia="仿宋" w:cs="仿宋"/>
                <w:sz w:val="30"/>
                <w:szCs w:val="30"/>
              </w:rPr>
            </w:pPr>
            <w:r>
              <w:rPr>
                <w:rFonts w:hint="eastAsia" w:ascii="仿宋" w:hAnsi="仿宋" w:eastAsia="仿宋" w:cs="仿宋"/>
                <w:bCs/>
                <w:sz w:val="30"/>
                <w:szCs w:val="30"/>
              </w:rPr>
              <w:t>在专项预算方面实行分类管理，绩效优先，基本民生支出项目优先预算，资金优先安排，其他专项资金根据绩效评价结果预算安排。</w:t>
            </w:r>
          </w:p>
          <w:p>
            <w:pPr>
              <w:numPr>
                <w:ilvl w:val="0"/>
                <w:numId w:val="2"/>
              </w:numPr>
              <w:spacing w:line="560" w:lineRule="exact"/>
              <w:ind w:firstLine="600" w:firstLineChars="200"/>
              <w:rPr>
                <w:rFonts w:ascii="黑体" w:hAnsi="黑体" w:eastAsia="黑体" w:cs="黑体"/>
                <w:bCs/>
                <w:sz w:val="30"/>
                <w:szCs w:val="30"/>
              </w:rPr>
            </w:pPr>
            <w:r>
              <w:rPr>
                <w:rFonts w:hint="eastAsia" w:ascii="黑体" w:hAnsi="黑体" w:eastAsia="黑体" w:cs="黑体"/>
                <w:bCs/>
                <w:sz w:val="30"/>
                <w:szCs w:val="30"/>
              </w:rPr>
              <w:t>部门整体支出绩效情况</w:t>
            </w:r>
          </w:p>
          <w:p>
            <w:pPr>
              <w:snapToGrid w:val="0"/>
              <w:spacing w:line="520" w:lineRule="exact"/>
              <w:ind w:firstLine="600" w:firstLineChars="200"/>
              <w:rPr>
                <w:rFonts w:ascii="仿宋_GB2312" w:hAnsi="宋体" w:eastAsia="仿宋_GB2312"/>
                <w:color w:val="333333"/>
                <w:kern w:val="0"/>
                <w:sz w:val="30"/>
                <w:szCs w:val="30"/>
                <w:shd w:val="clear" w:color="auto" w:fill="FFFFFF"/>
              </w:rPr>
            </w:pPr>
            <w:r>
              <w:rPr>
                <w:rFonts w:hint="eastAsia" w:ascii="仿宋_GB2312" w:hAnsi="宋体" w:eastAsia="仿宋_GB2312"/>
                <w:color w:val="333333"/>
                <w:kern w:val="0"/>
                <w:sz w:val="30"/>
                <w:szCs w:val="30"/>
              </w:rPr>
              <w:t>为贯彻执行国家预算法，加强预算绩效管理，我局严格按预算绩效管理的相关要求开展预算工作，我局</w:t>
            </w:r>
            <w:r>
              <w:rPr>
                <w:rFonts w:ascii="仿宋_GB2312" w:hAnsi="宋体" w:eastAsia="仿宋_GB2312"/>
                <w:color w:val="333333"/>
                <w:kern w:val="0"/>
                <w:sz w:val="30"/>
                <w:szCs w:val="30"/>
              </w:rPr>
              <w:t>20</w:t>
            </w:r>
            <w:r>
              <w:rPr>
                <w:rFonts w:hint="eastAsia" w:ascii="仿宋_GB2312" w:hAnsi="宋体" w:eastAsia="仿宋_GB2312"/>
                <w:color w:val="333333"/>
                <w:kern w:val="0"/>
                <w:sz w:val="30"/>
                <w:szCs w:val="30"/>
              </w:rPr>
              <w:t>21年总支出为</w:t>
            </w:r>
            <w:r>
              <w:rPr>
                <w:rFonts w:hint="eastAsia" w:ascii="仿宋_GB2312" w:hAnsi="仿宋_GB2312" w:eastAsia="仿宋_GB2312" w:cs="仿宋_GB2312"/>
                <w:color w:val="000000"/>
                <w:sz w:val="24"/>
                <w:lang w:val="en-US" w:eastAsia="zh-CN"/>
              </w:rPr>
              <w:t>7671.74</w:t>
            </w:r>
            <w:r>
              <w:rPr>
                <w:rFonts w:hint="eastAsia" w:ascii="仿宋_GB2312" w:hAnsi="宋体" w:eastAsia="仿宋_GB2312"/>
                <w:color w:val="333333"/>
                <w:kern w:val="0"/>
                <w:sz w:val="30"/>
                <w:szCs w:val="30"/>
              </w:rPr>
              <w:t>万元。其中：基本支出6</w:t>
            </w:r>
            <w:r>
              <w:rPr>
                <w:rFonts w:hint="eastAsia" w:ascii="仿宋_GB2312" w:hAnsi="宋体" w:eastAsia="仿宋_GB2312"/>
                <w:color w:val="333333"/>
                <w:kern w:val="0"/>
                <w:sz w:val="30"/>
                <w:szCs w:val="30"/>
                <w:lang w:val="en-US" w:eastAsia="zh-CN"/>
              </w:rPr>
              <w:t>28.77</w:t>
            </w:r>
            <w:r>
              <w:rPr>
                <w:rFonts w:hint="eastAsia" w:ascii="仿宋_GB2312" w:hAnsi="宋体" w:eastAsia="仿宋_GB2312"/>
                <w:color w:val="333333"/>
                <w:kern w:val="0"/>
                <w:sz w:val="30"/>
                <w:szCs w:val="30"/>
              </w:rPr>
              <w:t>万元</w:t>
            </w:r>
            <w:r>
              <w:rPr>
                <w:rFonts w:ascii="仿宋_GB2312" w:hAnsi="宋体" w:eastAsia="仿宋_GB2312"/>
                <w:color w:val="333333"/>
                <w:kern w:val="0"/>
                <w:sz w:val="30"/>
                <w:szCs w:val="30"/>
              </w:rPr>
              <w:t>,</w:t>
            </w:r>
            <w:r>
              <w:rPr>
                <w:rFonts w:hint="eastAsia" w:ascii="仿宋_GB2312" w:hAnsi="宋体" w:eastAsia="仿宋_GB2312"/>
                <w:color w:val="333333"/>
                <w:kern w:val="0"/>
                <w:sz w:val="30"/>
                <w:szCs w:val="30"/>
              </w:rPr>
              <w:t>占总支出的8.</w:t>
            </w:r>
            <w:r>
              <w:rPr>
                <w:rFonts w:hint="eastAsia" w:ascii="仿宋_GB2312" w:hAnsi="宋体" w:eastAsia="仿宋_GB2312"/>
                <w:color w:val="333333"/>
                <w:kern w:val="0"/>
                <w:sz w:val="30"/>
                <w:szCs w:val="30"/>
                <w:lang w:val="en-US" w:eastAsia="zh-CN"/>
              </w:rPr>
              <w:t>2</w:t>
            </w:r>
            <w:r>
              <w:rPr>
                <w:rFonts w:ascii="仿宋_GB2312" w:hAnsi="宋体" w:eastAsia="仿宋_GB2312"/>
                <w:color w:val="333333"/>
                <w:kern w:val="0"/>
                <w:sz w:val="30"/>
                <w:szCs w:val="30"/>
              </w:rPr>
              <w:t>%;</w:t>
            </w:r>
            <w:r>
              <w:rPr>
                <w:rFonts w:hint="eastAsia" w:ascii="仿宋_GB2312" w:hAnsi="宋体" w:eastAsia="仿宋_GB2312"/>
                <w:color w:val="333333"/>
                <w:kern w:val="0"/>
                <w:sz w:val="30"/>
                <w:szCs w:val="30"/>
              </w:rPr>
              <w:t>项目支出7</w:t>
            </w:r>
            <w:r>
              <w:rPr>
                <w:rFonts w:hint="eastAsia" w:ascii="仿宋_GB2312" w:hAnsi="宋体" w:eastAsia="仿宋_GB2312"/>
                <w:color w:val="333333"/>
                <w:kern w:val="0"/>
                <w:sz w:val="30"/>
                <w:szCs w:val="30"/>
                <w:lang w:val="en-US" w:eastAsia="zh-CN"/>
              </w:rPr>
              <w:t>042.96</w:t>
            </w:r>
            <w:r>
              <w:rPr>
                <w:rFonts w:hint="eastAsia" w:ascii="仿宋_GB2312" w:hAnsi="宋体" w:eastAsia="仿宋_GB2312"/>
                <w:color w:val="333333"/>
                <w:kern w:val="0"/>
                <w:sz w:val="30"/>
                <w:szCs w:val="30"/>
              </w:rPr>
              <w:t>万元</w:t>
            </w:r>
            <w:r>
              <w:rPr>
                <w:rFonts w:ascii="仿宋_GB2312" w:hAnsi="宋体" w:eastAsia="仿宋_GB2312"/>
                <w:color w:val="333333"/>
                <w:kern w:val="0"/>
                <w:sz w:val="30"/>
                <w:szCs w:val="30"/>
              </w:rPr>
              <w:t>,</w:t>
            </w:r>
            <w:r>
              <w:rPr>
                <w:rFonts w:hint="eastAsia" w:ascii="仿宋_GB2312" w:hAnsi="宋体" w:eastAsia="仿宋_GB2312"/>
                <w:color w:val="333333"/>
                <w:kern w:val="0"/>
                <w:sz w:val="30"/>
                <w:szCs w:val="30"/>
              </w:rPr>
              <w:t>占总支出的</w:t>
            </w:r>
            <w:r>
              <w:rPr>
                <w:rFonts w:ascii="仿宋_GB2312" w:hAnsi="宋体" w:eastAsia="仿宋_GB2312"/>
                <w:color w:val="333333"/>
                <w:kern w:val="0"/>
                <w:sz w:val="30"/>
                <w:szCs w:val="30"/>
              </w:rPr>
              <w:t>9</w:t>
            </w:r>
            <w:r>
              <w:rPr>
                <w:rFonts w:hint="eastAsia" w:ascii="仿宋_GB2312" w:hAnsi="宋体" w:eastAsia="仿宋_GB2312"/>
                <w:color w:val="333333"/>
                <w:kern w:val="0"/>
                <w:sz w:val="30"/>
                <w:szCs w:val="30"/>
              </w:rPr>
              <w:t>1.</w:t>
            </w:r>
            <w:r>
              <w:rPr>
                <w:rFonts w:hint="eastAsia" w:ascii="仿宋_GB2312" w:hAnsi="宋体" w:eastAsia="仿宋_GB2312"/>
                <w:color w:val="333333"/>
                <w:kern w:val="0"/>
                <w:sz w:val="30"/>
                <w:szCs w:val="30"/>
                <w:lang w:val="en-US" w:eastAsia="zh-CN"/>
              </w:rPr>
              <w:t>8</w:t>
            </w:r>
            <w:r>
              <w:rPr>
                <w:rFonts w:ascii="仿宋_GB2312" w:hAnsi="宋体" w:eastAsia="仿宋_GB2312"/>
                <w:color w:val="333333"/>
                <w:kern w:val="0"/>
                <w:sz w:val="30"/>
                <w:szCs w:val="30"/>
              </w:rPr>
              <w:t>%</w:t>
            </w:r>
            <w:r>
              <w:rPr>
                <w:rFonts w:hint="eastAsia" w:ascii="仿宋_GB2312" w:hAnsi="宋体" w:eastAsia="仿宋_GB2312"/>
                <w:color w:val="333333"/>
                <w:kern w:val="0"/>
                <w:sz w:val="30"/>
                <w:szCs w:val="30"/>
              </w:rPr>
              <w:t>。</w:t>
            </w:r>
            <w:r>
              <w:rPr>
                <w:rFonts w:hint="eastAsia" w:ascii="仿宋_GB2312" w:hAnsi="宋体" w:eastAsia="仿宋_GB2312"/>
                <w:color w:val="333333"/>
                <w:kern w:val="0"/>
                <w:sz w:val="30"/>
                <w:szCs w:val="30"/>
                <w:shd w:val="clear" w:color="auto" w:fill="FFFFFF"/>
              </w:rPr>
              <w:t>我局切实以绩效管理为目标，健全单位绩效管理工作机制，明确责任，努力提高绩效管理工作水平；加强单位制度建设，提升预算管理质量。</w:t>
            </w:r>
          </w:p>
          <w:p>
            <w:pPr>
              <w:spacing w:line="560" w:lineRule="exact"/>
              <w:ind w:firstLine="900" w:firstLineChars="300"/>
              <w:rPr>
                <w:rFonts w:ascii="黑体" w:hAnsi="黑体" w:eastAsia="黑体" w:cs="黑体"/>
                <w:bCs/>
                <w:sz w:val="30"/>
                <w:szCs w:val="30"/>
              </w:rPr>
            </w:pPr>
            <w:bookmarkStart w:id="0" w:name="_GoBack"/>
            <w:bookmarkEnd w:id="0"/>
          </w:p>
          <w:p>
            <w:pPr>
              <w:spacing w:line="560" w:lineRule="exact"/>
              <w:ind w:firstLine="900" w:firstLineChars="300"/>
              <w:rPr>
                <w:rFonts w:ascii="黑体" w:hAnsi="黑体" w:eastAsia="黑体" w:cs="黑体"/>
                <w:bCs/>
                <w:sz w:val="30"/>
                <w:szCs w:val="30"/>
              </w:rPr>
            </w:pPr>
            <w:r>
              <w:rPr>
                <w:rFonts w:hint="eastAsia" w:ascii="黑体" w:hAnsi="黑体" w:eastAsia="黑体" w:cs="黑体"/>
                <w:bCs/>
                <w:sz w:val="30"/>
                <w:szCs w:val="30"/>
              </w:rPr>
              <w:t>五、存在的主要问题</w:t>
            </w:r>
          </w:p>
          <w:p>
            <w:pPr>
              <w:widowControl/>
              <w:adjustRightInd w:val="0"/>
              <w:spacing w:before="300" w:afterAutospacing="1" w:line="600" w:lineRule="exact"/>
              <w:ind w:firstLine="987" w:firstLineChars="329"/>
              <w:jc w:val="left"/>
              <w:rPr>
                <w:rFonts w:ascii="仿宋" w:hAnsi="仿宋" w:eastAsia="仿宋" w:cs="仿宋"/>
                <w:sz w:val="30"/>
                <w:szCs w:val="30"/>
              </w:rPr>
            </w:pPr>
            <w:r>
              <w:rPr>
                <w:rFonts w:hint="eastAsia" w:ascii="仿宋" w:hAnsi="仿宋" w:eastAsia="仿宋" w:cs="仿宋"/>
                <w:sz w:val="30"/>
                <w:szCs w:val="30"/>
              </w:rPr>
              <w:t>1、资金预算刚性不够，预算编制与实际支出项目有的存在差异</w:t>
            </w:r>
          </w:p>
          <w:p>
            <w:pPr>
              <w:pStyle w:val="2"/>
              <w:ind w:firstLine="1200" w:firstLineChars="400"/>
              <w:rPr>
                <w:rFonts w:ascii="仿宋" w:hAnsi="仿宋" w:eastAsia="仿宋" w:cs="仿宋"/>
                <w:kern w:val="2"/>
                <w:sz w:val="30"/>
                <w:szCs w:val="30"/>
              </w:rPr>
            </w:pPr>
            <w:r>
              <w:rPr>
                <w:rFonts w:hint="eastAsia" w:ascii="仿宋" w:hAnsi="仿宋" w:eastAsia="仿宋" w:cs="仿宋"/>
                <w:kern w:val="2"/>
                <w:sz w:val="30"/>
                <w:szCs w:val="30"/>
              </w:rPr>
              <w:t>2、资金预算与退役军人事务工作发展需求增加存在矛盾</w:t>
            </w:r>
          </w:p>
          <w:p>
            <w:pPr>
              <w:spacing w:line="560" w:lineRule="exact"/>
              <w:ind w:firstLine="600" w:firstLineChars="200"/>
              <w:rPr>
                <w:rFonts w:ascii="黑体" w:hAnsi="黑体" w:eastAsia="黑体" w:cs="黑体"/>
                <w:bCs/>
                <w:sz w:val="30"/>
                <w:szCs w:val="30"/>
              </w:rPr>
            </w:pPr>
            <w:r>
              <w:rPr>
                <w:rFonts w:hint="eastAsia" w:ascii="黑体" w:hAnsi="黑体" w:eastAsia="黑体" w:cs="黑体"/>
                <w:bCs/>
                <w:sz w:val="30"/>
                <w:szCs w:val="30"/>
              </w:rPr>
              <w:t>六、改进措施和有关建议</w:t>
            </w:r>
          </w:p>
          <w:p>
            <w:pPr>
              <w:pStyle w:val="2"/>
              <w:ind w:firstLine="1200" w:firstLineChars="400"/>
              <w:rPr>
                <w:rFonts w:ascii="仿宋" w:hAnsi="仿宋" w:eastAsia="仿宋" w:cs="仿宋"/>
                <w:kern w:val="2"/>
                <w:sz w:val="30"/>
                <w:szCs w:val="30"/>
              </w:rPr>
            </w:pPr>
            <w:r>
              <w:rPr>
                <w:rFonts w:hint="eastAsia" w:ascii="仿宋" w:hAnsi="仿宋" w:eastAsia="仿宋" w:cs="仿宋"/>
                <w:kern w:val="2"/>
                <w:sz w:val="30"/>
                <w:szCs w:val="30"/>
              </w:rPr>
              <w:t>1、严格按预算安排支出，压缩非必要的机构运行经费.</w:t>
            </w:r>
          </w:p>
          <w:p>
            <w:pPr>
              <w:pStyle w:val="2"/>
              <w:ind w:firstLine="1200" w:firstLineChars="400"/>
              <w:rPr>
                <w:rFonts w:ascii="仿宋" w:hAnsi="仿宋" w:eastAsia="仿宋" w:cs="仿宋"/>
                <w:kern w:val="2"/>
                <w:sz w:val="30"/>
                <w:szCs w:val="30"/>
              </w:rPr>
            </w:pPr>
            <w:r>
              <w:rPr>
                <w:rFonts w:hint="eastAsia" w:ascii="仿宋" w:hAnsi="仿宋" w:eastAsia="仿宋" w:cs="仿宋"/>
                <w:kern w:val="2"/>
                <w:sz w:val="30"/>
                <w:szCs w:val="30"/>
              </w:rPr>
              <w:t>2、有效运用绩效评价结果，逐步增加预算资金，缓解资金不足与工作发展需求的矛盾。</w:t>
            </w:r>
          </w:p>
          <w:p>
            <w:pPr>
              <w:pStyle w:val="6"/>
              <w:widowControl/>
              <w:wordWrap w:val="0"/>
              <w:spacing w:line="560" w:lineRule="exact"/>
              <w:ind w:firstLine="602" w:firstLineChars="200"/>
              <w:rPr>
                <w:rFonts w:ascii="黑体" w:hAnsi="黑体" w:eastAsia="黑体" w:cs="黑体"/>
                <w:b/>
                <w:bCs/>
                <w:sz w:val="30"/>
                <w:szCs w:val="30"/>
              </w:rPr>
            </w:pPr>
          </w:p>
          <w:p>
            <w:pPr>
              <w:rPr>
                <w:rFonts w:eastAsia="楷体_GB2312"/>
                <w:bCs/>
                <w:sz w:val="28"/>
                <w:szCs w:val="28"/>
              </w:rPr>
            </w:pPr>
            <w:r>
              <w:rPr>
                <w:rFonts w:hint="eastAsia" w:ascii="仿宋_GB2312" w:hAnsi="宋体" w:eastAsia="仿宋_GB2312" w:cs="仿宋_GB2312"/>
                <w:color w:val="000000"/>
                <w:kern w:val="0"/>
                <w:sz w:val="30"/>
                <w:szCs w:val="30"/>
                <w:shd w:val="clear" w:color="auto" w:fill="FFFFFF"/>
              </w:rPr>
              <w:t>　　　　　　　　　　　　　　　　　　二0二二年六月十三日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line="200" w:lineRule="exact"/>
        <w:contextualSpacing/>
        <w:rPr>
          <w:rFonts w:ascii="仿宋_GB2312" w:eastAsia="仿宋_GB231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6</w:t>
    </w:r>
    <w:r>
      <w:rPr>
        <w:sz w:val="24"/>
        <w:szCs w:val="24"/>
      </w:rPr>
      <w:fldChar w:fldCharType="end"/>
    </w:r>
    <w:r>
      <w:rPr>
        <w:rStyle w:val="9"/>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253047"/>
    <w:multiLevelType w:val="singleLevel"/>
    <w:tmpl w:val="E1253047"/>
    <w:lvl w:ilvl="0" w:tentative="0">
      <w:start w:val="3"/>
      <w:numFmt w:val="decimal"/>
      <w:suff w:val="nothing"/>
      <w:lvlText w:val="%1、"/>
      <w:lvlJc w:val="left"/>
    </w:lvl>
  </w:abstractNum>
  <w:abstractNum w:abstractNumId="1">
    <w:nsid w:val="45D63104"/>
    <w:multiLevelType w:val="singleLevel"/>
    <w:tmpl w:val="45D63104"/>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QzZjc5NTllMGFiYmY5NmVhMTllZTJlYTQ3YTVjMjgifQ=="/>
  </w:docVars>
  <w:rsids>
    <w:rsidRoot w:val="2CE55C20"/>
    <w:rsid w:val="00086870"/>
    <w:rsid w:val="000A43AF"/>
    <w:rsid w:val="000D7B8E"/>
    <w:rsid w:val="0017012D"/>
    <w:rsid w:val="004A2A15"/>
    <w:rsid w:val="004E04E7"/>
    <w:rsid w:val="004E3D10"/>
    <w:rsid w:val="00530B3F"/>
    <w:rsid w:val="00596A1B"/>
    <w:rsid w:val="0066603A"/>
    <w:rsid w:val="00673C37"/>
    <w:rsid w:val="006B6E14"/>
    <w:rsid w:val="007606A9"/>
    <w:rsid w:val="007B2063"/>
    <w:rsid w:val="00853AE5"/>
    <w:rsid w:val="008F3DDD"/>
    <w:rsid w:val="00A82D5B"/>
    <w:rsid w:val="00C96454"/>
    <w:rsid w:val="00CA4A41"/>
    <w:rsid w:val="00CE4E57"/>
    <w:rsid w:val="00E874EC"/>
    <w:rsid w:val="00EC0E13"/>
    <w:rsid w:val="00F01DEB"/>
    <w:rsid w:val="00F97856"/>
    <w:rsid w:val="01832521"/>
    <w:rsid w:val="083749E7"/>
    <w:rsid w:val="0CB679B8"/>
    <w:rsid w:val="0DE528CD"/>
    <w:rsid w:val="0E161BCE"/>
    <w:rsid w:val="1336279F"/>
    <w:rsid w:val="18725427"/>
    <w:rsid w:val="1EF42CD4"/>
    <w:rsid w:val="254E2FC7"/>
    <w:rsid w:val="25B607B7"/>
    <w:rsid w:val="263C173A"/>
    <w:rsid w:val="289D055E"/>
    <w:rsid w:val="2964173D"/>
    <w:rsid w:val="2C9F197B"/>
    <w:rsid w:val="2CA33441"/>
    <w:rsid w:val="2CE55C20"/>
    <w:rsid w:val="2E1A606E"/>
    <w:rsid w:val="2F287302"/>
    <w:rsid w:val="30426D13"/>
    <w:rsid w:val="36933856"/>
    <w:rsid w:val="3A43255A"/>
    <w:rsid w:val="3C5F60EE"/>
    <w:rsid w:val="3D3142D8"/>
    <w:rsid w:val="3D6201A1"/>
    <w:rsid w:val="3EC46785"/>
    <w:rsid w:val="3F8A6044"/>
    <w:rsid w:val="43A702D9"/>
    <w:rsid w:val="44592EA4"/>
    <w:rsid w:val="454478BC"/>
    <w:rsid w:val="469715D1"/>
    <w:rsid w:val="477245B4"/>
    <w:rsid w:val="49617FA5"/>
    <w:rsid w:val="4D171D42"/>
    <w:rsid w:val="4E4F0BB0"/>
    <w:rsid w:val="506661C5"/>
    <w:rsid w:val="51DE32BB"/>
    <w:rsid w:val="52611FC2"/>
    <w:rsid w:val="5BE95901"/>
    <w:rsid w:val="62677F92"/>
    <w:rsid w:val="6A0A15CD"/>
    <w:rsid w:val="6D452F22"/>
    <w:rsid w:val="6DF352BD"/>
    <w:rsid w:val="6E112A60"/>
    <w:rsid w:val="705E3E6D"/>
    <w:rsid w:val="71C1048A"/>
    <w:rsid w:val="728C5899"/>
    <w:rsid w:val="7396188C"/>
    <w:rsid w:val="73F35F5B"/>
    <w:rsid w:val="79733892"/>
    <w:rsid w:val="79966818"/>
    <w:rsid w:val="79C04582"/>
    <w:rsid w:val="7C2E3A3E"/>
    <w:rsid w:val="7D1F0DA2"/>
    <w:rsid w:val="7E784C34"/>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page number"/>
    <w:qFormat/>
    <w:uiPriority w:val="0"/>
  </w:style>
  <w:style w:type="character" w:customStyle="1" w:styleId="10">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5223</Words>
  <Characters>5681</Characters>
  <Lines>50</Lines>
  <Paragraphs>14</Paragraphs>
  <TotalTime>10</TotalTime>
  <ScaleCrop>false</ScaleCrop>
  <LinksUpToDate>false</LinksUpToDate>
  <CharactersWithSpaces>6226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2022-06-13T07:09:00Z</dcterms:created>
  <dc:creator>Administrator</dc:creator>
  <cp:lastModifiedBy>戴</cp:lastModifiedBy>
  <cp:lastPrinted>2021-07-12T08:27:00Z</cp:lastPrinted>
  <dcterms:modified xsi:type="dcterms:W3CDTF">2022-11-30T00:53:28Z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377A56B318954603893BD5B869B7BB42</vt:lpwstr>
  </property>
</Properties>
</file>