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ascii="宋体" w:hAnsi="宋体" w:cs="宋体"/>
          <w:sz w:val="32"/>
          <w:szCs w:val="32"/>
          <w:u w:val="single"/>
        </w:rPr>
        <w:t>华容县梅田湖镇人民政府</w:t>
      </w:r>
      <w:r>
        <w:rPr>
          <w:rFonts w:hint="eastAsia" w:eastAsia="仿宋_GB2312"/>
          <w:sz w:val="32"/>
          <w:szCs w:val="32"/>
          <w:u w:val="single"/>
        </w:rPr>
        <w:t xml:space="preserve">                  </w:t>
      </w:r>
    </w:p>
    <w:p>
      <w:pPr>
        <w:spacing w:beforeLines="50" w:line="348" w:lineRule="auto"/>
        <w:ind w:firstLine="476" w:firstLineChars="150"/>
        <w:rPr>
          <w:rFonts w:hint="default" w:eastAsia="仿宋_GB2312"/>
          <w:color w:val="000000" w:themeColor="text1"/>
          <w:spacing w:val="20"/>
          <w:sz w:val="32"/>
          <w:szCs w:val="32"/>
          <w:lang w:val="en-US" w:eastAsia="zh-CN"/>
        </w:rPr>
      </w:pPr>
      <w:r>
        <w:rPr>
          <w:rFonts w:hint="eastAsia" w:eastAsia="仿宋_GB2312"/>
          <w:color w:val="000000" w:themeColor="text1"/>
          <w:sz w:val="32"/>
          <w:szCs w:val="32"/>
        </w:rPr>
        <w:t>预</w:t>
      </w:r>
      <w:r>
        <w:rPr>
          <w:rFonts w:hint="eastAsia" w:eastAsia="仿宋_GB2312"/>
          <w:color w:val="000000" w:themeColor="text1"/>
          <w:spacing w:val="30"/>
          <w:sz w:val="32"/>
          <w:szCs w:val="32"/>
        </w:rPr>
        <w:t xml:space="preserve"> 算 编 码：</w:t>
      </w:r>
      <w:r>
        <w:rPr>
          <w:rFonts w:hint="eastAsia" w:eastAsia="仿宋_GB2312"/>
          <w:color w:val="000000" w:themeColor="text1"/>
          <w:spacing w:val="20"/>
          <w:sz w:val="32"/>
          <w:szCs w:val="32"/>
          <w:u w:val="single"/>
          <w:lang w:val="en-US" w:eastAsia="zh-CN"/>
        </w:rPr>
        <w:t>009001</w:t>
      </w:r>
      <w:r>
        <w:rPr>
          <w:rFonts w:hint="eastAsia" w:eastAsia="仿宋_GB2312"/>
          <w:color w:val="000000" w:themeColor="text1"/>
          <w:spacing w:val="20"/>
          <w:sz w:val="32"/>
          <w:szCs w:val="32"/>
          <w:u w:val="single"/>
        </w:rPr>
        <w:t xml:space="preserve">                 </w:t>
      </w:r>
      <w:r>
        <w:rPr>
          <w:rFonts w:hint="eastAsia" w:eastAsia="仿宋_GB2312"/>
          <w:color w:val="000000" w:themeColor="text1"/>
          <w:spacing w:val="20"/>
          <w:sz w:val="32"/>
          <w:szCs w:val="32"/>
          <w:u w:val="single"/>
          <w:lang w:val="en-US" w:eastAsia="zh-CN"/>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报告日期：2022年6月25日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吴丽娟</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13874577526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1479" w:type="dxa"/>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镇退役军人服务站：负责退役军人就业创业、优抚帮扶、权益保障、数据信息采集、走访慰问等事务性工作。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年度主要</w:t>
            </w:r>
          </w:p>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rPr>
              <w:t>工作内容</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rPr>
              <w:t>任务1：</w:t>
            </w:r>
            <w:r>
              <w:rPr>
                <w:rFonts w:hint="eastAsia" w:ascii="仿宋_GB2312" w:hAnsi="仿宋_GB2312" w:eastAsia="仿宋_GB2312" w:cs="仿宋_GB2312"/>
                <w:color w:val="000000" w:themeColor="text1"/>
                <w:sz w:val="24"/>
                <w:lang w:eastAsia="zh-CN"/>
              </w:rPr>
              <w:t>突出党建引领抓队伍建设。</w:t>
            </w:r>
            <w:r>
              <w:rPr>
                <w:rFonts w:hint="eastAsia" w:ascii="仿宋_GB2312" w:hAnsi="仿宋_GB2312" w:eastAsia="仿宋_GB2312" w:cs="仿宋_GB2312"/>
                <w:color w:val="000000" w:themeColor="text1"/>
                <w:sz w:val="24"/>
                <w:lang w:val="en-US" w:eastAsia="zh-CN"/>
              </w:rPr>
              <w:t>换届选举工作①村（社区）两委换届，②镇党委换届，</w:t>
            </w:r>
            <w:r>
              <w:rPr>
                <w:rFonts w:hint="default" w:ascii="仿宋_GB2312" w:hAnsi="仿宋_GB2312" w:eastAsia="仿宋_GB2312" w:cs="仿宋_GB2312"/>
                <w:color w:val="000000" w:themeColor="text1"/>
                <w:sz w:val="24"/>
                <w:lang w:val="en-US" w:eastAsia="zh-CN"/>
              </w:rPr>
              <w:t>③</w:t>
            </w:r>
            <w:r>
              <w:rPr>
                <w:rFonts w:hint="eastAsia" w:ascii="仿宋_GB2312" w:hAnsi="仿宋_GB2312" w:eastAsia="仿宋_GB2312" w:cs="仿宋_GB2312"/>
                <w:color w:val="000000" w:themeColor="text1"/>
                <w:sz w:val="24"/>
                <w:lang w:val="en-US" w:eastAsia="zh-CN"/>
              </w:rPr>
              <w:t>人大政府换届。</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rPr>
              <w:t>任务2：</w:t>
            </w:r>
            <w:r>
              <w:rPr>
                <w:rFonts w:hint="eastAsia" w:ascii="仿宋_GB2312" w:hAnsi="仿宋_GB2312" w:eastAsia="仿宋_GB2312" w:cs="仿宋_GB2312"/>
                <w:color w:val="000000" w:themeColor="text1"/>
                <w:sz w:val="24"/>
                <w:lang w:val="en-US" w:eastAsia="zh-CN"/>
              </w:rPr>
              <w:t>全面推进乡村振兴工作，完善基础设施建设，促进产业和生产发展。任务3：突出文明乡风抓治理。</w:t>
            </w:r>
          </w:p>
          <w:p>
            <w:pPr>
              <w:autoSpaceDN w:val="0"/>
              <w:spacing w:line="320" w:lineRule="exact"/>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任务</w:t>
            </w:r>
            <w:r>
              <w:rPr>
                <w:rFonts w:hint="eastAsia" w:ascii="仿宋_GB2312" w:hAnsi="仿宋_GB2312" w:eastAsia="仿宋_GB2312" w:cs="仿宋_GB2312"/>
                <w:color w:val="000000" w:themeColor="text1"/>
                <w:sz w:val="24"/>
                <w:lang w:val="en-US" w:eastAsia="zh-CN"/>
              </w:rPr>
              <w:t>4</w:t>
            </w:r>
            <w:r>
              <w:rPr>
                <w:rFonts w:hint="eastAsia" w:ascii="仿宋_GB2312" w:hAnsi="仿宋_GB2312" w:eastAsia="仿宋_GB2312" w:cs="仿宋_GB2312"/>
                <w:color w:val="000000" w:themeColor="text1"/>
                <w:sz w:val="24"/>
              </w:rPr>
              <w:t>：</w:t>
            </w:r>
            <w:r>
              <w:rPr>
                <w:rFonts w:hint="eastAsia" w:ascii="仿宋_GB2312" w:hAnsi="仿宋_GB2312" w:eastAsia="仿宋_GB2312" w:cs="仿宋_GB2312"/>
                <w:color w:val="000000" w:themeColor="text1"/>
                <w:sz w:val="24"/>
                <w:lang w:eastAsia="zh-CN"/>
              </w:rPr>
              <w:t>切实兜牢“三保”底线，</w:t>
            </w:r>
            <w:r>
              <w:rPr>
                <w:rFonts w:hint="eastAsia" w:ascii="仿宋_GB2312" w:hAnsi="仿宋_GB2312" w:eastAsia="仿宋_GB2312" w:cs="仿宋_GB2312"/>
                <w:color w:val="000000" w:themeColor="text1"/>
                <w:sz w:val="24"/>
              </w:rPr>
              <w:t>足额发放在职人员工资和保障单位正常运行。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FF0000"/>
                <w:spacing w:val="-6"/>
                <w:sz w:val="24"/>
              </w:rPr>
            </w:pPr>
            <w:r>
              <w:rPr>
                <w:rFonts w:hint="eastAsia" w:ascii="仿宋_GB2312" w:hAnsi="仿宋_GB2312" w:eastAsia="仿宋_GB2312" w:cs="仿宋_GB2312"/>
                <w:color w:val="000000" w:themeColor="text1"/>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（一）坚持党建统揽，基层组织建设全面加强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一是换届选举圆满顺利。二是党史学习教育走深走实。三是重点工作落实落细。四是人才培养多措并举。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（二）坚持统筹兼顾，乡村振兴全面推进</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产业发展新突破。一是抓好粮食生产。推行早稻集中育秧，落实粮食作物播种面积7.6万亩，新增早稻集中育秧面积850亩，高档优质稻种植面积达30000亩，抛荒耕地复耕复种66亩，建好了曙辉粮监点。二是着力培育新型农业经营主体。全年新增专业合作社、家庭农场等新型农业经营主体9家，完成8家县市级示范家庭农场申报。三是大力</w:t>
            </w:r>
            <w:r>
              <w:rPr>
                <w:rFonts w:hint="eastAsia" w:ascii="仿宋_GB2312" w:hAnsi="仿宋_GB2312" w:eastAsia="仿宋_GB2312" w:cs="仿宋_GB2312"/>
                <w:color w:val="000000"/>
                <w:sz w:val="24"/>
                <w:lang w:eastAsia="zh-CN"/>
              </w:rPr>
              <w:t>培养示范基地。</w:t>
            </w:r>
            <w:r>
              <w:rPr>
                <w:rFonts w:hint="eastAsia" w:ascii="仿宋_GB2312" w:hAnsi="仿宋_GB2312" w:eastAsia="仿宋_GB2312" w:cs="仿宋_GB2312"/>
                <w:color w:val="000000"/>
                <w:sz w:val="24"/>
                <w:lang w:val="en-US" w:eastAsia="zh-CN"/>
              </w:rPr>
              <w:t>采用“合作社+农户”方式，打造X081、X082沿线“千亩稻虾综合种养”基地、华顺蔬菜种植专业合作社“3000亩红白菜薹产业园”、保合、西来、曙辉“2000亩稻油轮作示范基地”、金鸡村200亩“棉油轮作示范基地”、曙辉、三合村“500亩双季稻轮作示范基地”，初步形成“产业园+示范基地”的农业产业集群。四是创新销售渠道。通过“兴盛优选”的平台优势，华顺蔬菜种植专业合作社开展“蔬菜产品+电商”的零售销售模式，在互利互惠中实现合作双赢。</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二是基础设施新完善。梅田湖大桥建设稳步推进，主桥桩基础已全部完成。完成危桥改造6座、农网改造15个台区，新建公厕一座。投资3700万元完成易涝区治理9处泵站更新改造。投入资金550万元有序推进告丰灌区项目建设，新建升降机埠一座、硬化渠道共计7000多米。沙河水库综合治理项目前期工作已完成，将尽快开工建设。</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三是生态环境新面貌。深入推进农村垃圾治理、污水治理、厕所改造“三大革命”，将卫生费收取纳入村规民约。 全镇共拆除垃圾池6683座，垃圾围78座，新配备移动式垃圾桶7239个。坚持</w:t>
            </w:r>
            <w:r>
              <w:rPr>
                <w:rFonts w:hint="eastAsia" w:ascii="仿宋_GB2312" w:hAnsi="仿宋_GB2312" w:eastAsia="仿宋_GB2312" w:cs="仿宋_GB2312"/>
                <w:color w:val="000000"/>
                <w:sz w:val="24"/>
                <w:lang w:eastAsia="zh-CN"/>
              </w:rPr>
              <w:t>一手抓“宣传”，</w:t>
            </w:r>
            <w:r>
              <w:rPr>
                <w:rFonts w:hint="eastAsia" w:ascii="仿宋_GB2312" w:hAnsi="仿宋_GB2312" w:eastAsia="仿宋_GB2312" w:cs="仿宋_GB2312"/>
                <w:color w:val="000000"/>
                <w:sz w:val="24"/>
                <w:lang w:val="en-US" w:eastAsia="zh-CN"/>
              </w:rPr>
              <w:t>一手抓“整治”，全镇拆除违法建设和安全隐患房屋30栋，违规棚亭46处。完成改厕387户、危房改造26户、改造垃圾压缩站2座、植树造林450亩。严格落实河湖长制，加强禁捕退捕监管。通过“以奖代投”，打造完成小微水体整治示范渠20条，样板河2条，实现“三无一畅一美”目标。强化秸秆禁烧宣传引导，提高群众禁烧秸秆自觉性。扎实推进</w:t>
            </w:r>
            <w:r>
              <w:rPr>
                <w:rFonts w:hint="default" w:ascii="仿宋_GB2312" w:hAnsi="仿宋_GB2312" w:eastAsia="仿宋_GB2312" w:cs="仿宋_GB2312"/>
                <w:color w:val="000000"/>
                <w:sz w:val="24"/>
                <w:lang w:val="en-US" w:eastAsia="zh-CN"/>
              </w:rPr>
              <w:t>农业面源污染防治</w:t>
            </w:r>
            <w:r>
              <w:rPr>
                <w:rFonts w:hint="eastAsia" w:ascii="仿宋_GB2312" w:hAnsi="仿宋_GB2312" w:eastAsia="仿宋_GB2312" w:cs="仿宋_GB2312"/>
                <w:color w:val="000000"/>
                <w:sz w:val="24"/>
                <w:lang w:val="en-US" w:eastAsia="zh-CN"/>
              </w:rPr>
              <w:t>，实现化肥减量增效3万亩。完成梅田、永吉水厂“千吨万人”饮用水水源地环境问题整改，生活污水得到收集处置。规范农村宅基地审批流程，完成65户宅基地审批。</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是民生事业新发展。疫苗接种应接必接，3-11周岁人群已接种934人，加强针接种5627人。全镇共完成不动产登记8820户，切实增强群众获得感。严格落实“四个不摘”要求，推行结对联系全覆盖。低保评定实施动态管理，全力做到“应保尽保”、“应退尽退”，今年新增低保户55户69人，清理77户177人。认真开展养老保险待遇核查工作，核定多领养老待遇金人员257人，追回资金24万元。投资210万元用于梅田敬老院升级改造，新建2栋、改造2栋，为五保人员提供更周到的服务和更舒适的环境。梅田湖镇惠民水厂南北分供工程于12月11日正式开工建设，即将解决河东村民安全饮水问题。</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（三）坚持底线思维，社会大局持续向好</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一是抓实信访维稳。对精神病患者、涉军群体、禁捕退捕渔民群体等重点群体，严格落实“五包一”责任。全年接待群众来访42 起，处理网上舆情12起，走村入户化解矛盾32次。二是抓严安全生产。坚持领导干部带队开展安全生产检查，突出抓好渡口、校车、经营门店等重点领域的整治。今年领导干部带队安全生产大检查12次，组织企业单位培训4次，收缴鞭炮60挂、各类烟花9箱，排查安全生产隐患80个。同时，深刻吸取湖北十堰燃气爆炸事故教训，对全镇5处液化气经营网点开展大检查。扎实开展防溺水教育等宣传活动，发放安全生产知识宣传手册1300余份，悬挂宣传横幅30幅</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三是抓好治陋习树新风。运用“红黑榜”等载体，</w:t>
            </w:r>
            <w:r>
              <w:rPr>
                <w:rFonts w:hint="eastAsia" w:ascii="仿宋_GB2312" w:hAnsi="仿宋_GB2312" w:eastAsia="仿宋_GB2312" w:cs="仿宋_GB2312"/>
                <w:color w:val="000000"/>
                <w:sz w:val="24"/>
                <w:lang w:eastAsia="zh-CN"/>
              </w:rPr>
              <w:t>加大正、反面典型曝光力度，引导群众改陋习、树新风，</w:t>
            </w:r>
            <w:r>
              <w:rPr>
                <w:rFonts w:hint="eastAsia" w:ascii="仿宋_GB2312" w:hAnsi="仿宋_GB2312" w:eastAsia="仿宋_GB2312" w:cs="仿宋_GB2312"/>
                <w:color w:val="000000"/>
                <w:sz w:val="24"/>
                <w:lang w:val="en-US" w:eastAsia="zh-CN"/>
              </w:rPr>
              <w:t>劝导简办喜事、丧事62起，其他不办18起。</w:t>
            </w:r>
          </w:p>
          <w:p>
            <w:pPr>
              <w:autoSpaceDN w:val="0"/>
              <w:spacing w:line="320" w:lineRule="exact"/>
              <w:ind w:firstLine="480" w:firstLineChars="200"/>
              <w:jc w:val="left"/>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2552.6</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2223.6</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329</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2552.6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747.5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224.5</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1580.6</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124.56</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124.56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FF0000"/>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目标1：围绕项目建设，突出发展农业经济；</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目标2：全力推动社会各项事业，促进经济社会协调发展；</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目标3：巩固农村环境整治工作成果，建设美丽、宜居新镇；</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en-US" w:eastAsia="zh-CN"/>
              </w:rPr>
              <w:t>目标4：全力推进精准扶贫工作的开展。</w:t>
            </w:r>
          </w:p>
        </w:tc>
        <w:tc>
          <w:tcPr>
            <w:tcW w:w="4585" w:type="dxa"/>
            <w:gridSpan w:val="9"/>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抓好粮食生产。推行早稻集中育秧，落实粮食作物播种面积二是着力培育新型农业经营主体。</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梅田湖大桥建设稳步推进，主桥桩基础已全部完成沙河水库综合治理项目前期工作已完成，将尽快开工建设。</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深入推进农村垃圾治理、污水治理、厕所改造“三大革命”，</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民生事业新发展。疫苗接种应接必接，严格落实“四个不摘”要求，推行结对联系全覆盖。认真开展养老保险待遇核查工作。</w:t>
            </w:r>
          </w:p>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000000" w:themeColor="text1"/>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w:t>
            </w:r>
            <w:r>
              <w:rPr>
                <w:rFonts w:hint="eastAsia" w:ascii="仿宋" w:hAnsi="仿宋" w:eastAsia="仿宋" w:cs="仿宋"/>
                <w:color w:val="000000" w:themeColor="text1"/>
                <w:sz w:val="24"/>
              </w:rPr>
              <w:t>公共财政支出进度</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b/>
                <w:color w:val="FF0000"/>
                <w:sz w:val="24"/>
                <w:lang w:val="en-US" w:eastAsia="zh-CN"/>
              </w:rPr>
            </w:pPr>
            <w:r>
              <w:rPr>
                <w:rFonts w:hint="eastAsia" w:ascii="仿宋_GB2312" w:hAnsi="仿宋_GB2312" w:eastAsia="仿宋_GB2312" w:cs="仿宋_GB2312"/>
                <w:b/>
                <w:color w:val="000000" w:themeColor="text1"/>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指标2：产业发展效益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产业发展新突破；抓好粮食生产；着力培育新型农业经营主体；大力培养示范基地；创新销售渠道。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color w:val="FF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3：基础设施建设情况</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themeColor="text1"/>
                <w:sz w:val="24"/>
                <w:lang w:val="en-US" w:eastAsia="zh-CN"/>
              </w:rPr>
              <w:t>梅田湖大桥建设推进；危桥改造6座、农网改造15个台区，新建公厕一座。易涝区治理9处泵站更新改造。灌区项目建设，新建升降机埠一座、硬化渠道共计7000多米。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FF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完成经济建设主要工作任务数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产业发展新突破：抓好粮食生产；着力培育新型农业经营主体；大力培养示范基地；创新销售渠道四个方面全部完成。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FF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完成社会建设主要工作任务数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信访维稳、安全生产、治陋习树新风3个方面全部完成。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FF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3：完成主要党政工作任务数</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FF0000"/>
                <w:sz w:val="24"/>
              </w:rPr>
            </w:pPr>
            <w:r>
              <w:rPr>
                <w:rFonts w:hint="eastAsia" w:ascii="仿宋_GB2312" w:hAnsi="仿宋_GB2312" w:eastAsia="仿宋_GB2312" w:cs="仿宋_GB2312"/>
                <w:color w:val="000000"/>
                <w:sz w:val="24"/>
                <w:lang w:val="en-US" w:eastAsia="zh-CN"/>
              </w:rPr>
              <w:t>换届选举、党史学习教育、重点工作、人才培养、“一岗双责”5个方面全部完成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时效指标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成本指标</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指标1：城镇新增就业实名制登记人数</w:t>
            </w:r>
          </w:p>
          <w:p>
            <w:pPr>
              <w:autoSpaceDN w:val="0"/>
              <w:spacing w:line="320" w:lineRule="exact"/>
              <w:jc w:val="left"/>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指标2：城乡居民养老、医疗保险参保率</w:t>
            </w:r>
          </w:p>
          <w:p>
            <w:pPr>
              <w:autoSpaceDN w:val="0"/>
              <w:spacing w:line="320" w:lineRule="exact"/>
              <w:jc w:val="left"/>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3：乡镇居民疫苗接种数</w:t>
            </w:r>
          </w:p>
          <w:p>
            <w:pPr>
              <w:autoSpaceDN w:val="0"/>
              <w:spacing w:line="320" w:lineRule="exact"/>
              <w:jc w:val="left"/>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指标4：养老保险待遇核查资金</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经济效益</w:t>
            </w:r>
          </w:p>
        </w:tc>
        <w:tc>
          <w:tcPr>
            <w:tcW w:w="2709" w:type="dxa"/>
            <w:gridSpan w:val="4"/>
            <w:vAlign w:val="center"/>
          </w:tcPr>
          <w:p>
            <w:pPr>
              <w:autoSpaceDN w:val="0"/>
              <w:spacing w:line="320" w:lineRule="exact"/>
              <w:jc w:val="both"/>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指标1：农民人均纯收人</w:t>
            </w:r>
          </w:p>
          <w:p>
            <w:pPr>
              <w:autoSpaceDN w:val="0"/>
              <w:spacing w:line="320" w:lineRule="exact"/>
              <w:jc w:val="both"/>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rPr>
              <w:t>指标2：</w:t>
            </w:r>
            <w:r>
              <w:rPr>
                <w:rFonts w:hint="eastAsia" w:ascii="仿宋_GB2312" w:hAnsi="仿宋_GB2312" w:eastAsia="仿宋_GB2312" w:cs="仿宋_GB2312"/>
                <w:color w:val="000000" w:themeColor="text1"/>
                <w:sz w:val="24"/>
                <w:lang w:eastAsia="zh-CN"/>
              </w:rPr>
              <w:t>粮食生产</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3：产业发展</w:t>
            </w:r>
          </w:p>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指标4：新型农业经营主体</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生态效益</w:t>
            </w:r>
          </w:p>
        </w:tc>
        <w:tc>
          <w:tcPr>
            <w:tcW w:w="2709" w:type="dxa"/>
            <w:gridSpan w:val="4"/>
            <w:vAlign w:val="center"/>
          </w:tcPr>
          <w:p>
            <w:pPr>
              <w:autoSpaceDN w:val="0"/>
              <w:spacing w:line="320" w:lineRule="exact"/>
              <w:jc w:val="both"/>
              <w:textAlignment w:val="center"/>
              <w:rPr>
                <w:rFonts w:hint="eastAsia"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w:t>
            </w:r>
            <w:r>
              <w:rPr>
                <w:rFonts w:hint="eastAsia" w:ascii="仿宋_GB2312" w:hAnsi="仿宋_GB2312" w:eastAsia="仿宋_GB2312" w:cs="仿宋_GB2312"/>
                <w:color w:val="000000" w:themeColor="text1"/>
                <w:sz w:val="24"/>
                <w:lang w:eastAsia="zh-CN"/>
              </w:rPr>
              <w:t>人居环境</w:t>
            </w:r>
            <w:r>
              <w:rPr>
                <w:rFonts w:hint="eastAsia" w:ascii="仿宋_GB2312" w:hAnsi="仿宋_GB2312" w:eastAsia="仿宋_GB2312" w:cs="仿宋_GB2312"/>
                <w:color w:val="000000" w:themeColor="text1"/>
                <w:sz w:val="24"/>
              </w:rPr>
              <w:t>整治</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eastAsia="zh-CN"/>
              </w:rPr>
              <w:t>指标</w:t>
            </w:r>
            <w:r>
              <w:rPr>
                <w:rFonts w:hint="eastAsia" w:ascii="仿宋_GB2312" w:hAnsi="仿宋_GB2312" w:eastAsia="仿宋_GB2312" w:cs="仿宋_GB2312"/>
                <w:color w:val="000000" w:themeColor="text1"/>
                <w:sz w:val="24"/>
                <w:lang w:val="en-US" w:eastAsia="zh-CN"/>
              </w:rPr>
              <w:t>2：农村垃圾治理</w:t>
            </w:r>
          </w:p>
          <w:p>
            <w:pPr>
              <w:autoSpaceDN w:val="0"/>
              <w:spacing w:line="320" w:lineRule="exact"/>
              <w:jc w:val="both"/>
              <w:textAlignment w:val="center"/>
              <w:rPr>
                <w:rFonts w:hint="eastAsia"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指标3：厕所改造</w:t>
            </w:r>
          </w:p>
          <w:p>
            <w:pPr>
              <w:autoSpaceDN w:val="0"/>
              <w:spacing w:line="320" w:lineRule="exact"/>
              <w:jc w:val="both"/>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指标4：污水治理</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000000" w:themeColor="text1"/>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000000" w:themeColor="text1"/>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指标1：社会公众或服务对象满意度大于95%。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themeColor="text1"/>
                <w:sz w:val="24"/>
              </w:rPr>
            </w:pPr>
            <w:r>
              <w:rPr>
                <w:rFonts w:hint="eastAsia" w:ascii="仿宋_GB2312" w:hAnsi="仿宋_GB2312" w:eastAsia="仿宋_GB2312" w:cs="仿宋_GB2312"/>
                <w:b/>
                <w:color w:val="000000" w:themeColor="text1"/>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绩效自评综合得分</w:t>
            </w:r>
          </w:p>
        </w:tc>
        <w:tc>
          <w:tcPr>
            <w:tcW w:w="8146" w:type="dxa"/>
            <w:gridSpan w:val="15"/>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rPr>
            </w:pPr>
            <w:r>
              <w:rPr>
                <w:rFonts w:hint="eastAsia" w:ascii="仿宋_GB2312" w:hAnsi="仿宋_GB2312" w:eastAsia="仿宋_GB2312" w:cs="仿宋_GB2312"/>
                <w:color w:val="000000" w:themeColor="text1"/>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评价等次</w:t>
            </w:r>
          </w:p>
        </w:tc>
        <w:tc>
          <w:tcPr>
            <w:tcW w:w="8146" w:type="dxa"/>
            <w:gridSpan w:val="15"/>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黑体" w:hAnsi="黑体" w:eastAsia="黑体" w:cs="黑体"/>
                <w:color w:val="000000" w:themeColor="text1"/>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陈传军</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分管财政负责人</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梅田湖镇人民政府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color w:val="000000" w:themeColor="text1"/>
                <w:lang w:eastAsia="zh-CN"/>
              </w:rPr>
            </w:pPr>
            <w:r>
              <w:rPr>
                <w:rFonts w:hint="eastAsia" w:ascii="仿宋_GB2312" w:hAnsi="仿宋_GB2312" w:eastAsia="仿宋_GB2312" w:cs="仿宋_GB2312"/>
                <w:color w:val="000000" w:themeColor="text1"/>
                <w:sz w:val="24"/>
                <w:lang w:eastAsia="zh-CN"/>
              </w:rPr>
              <w:t>杨本浩</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党政办秘书</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梅田湖镇人民政府</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严肃</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财政所所长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吴丽娟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机关会计</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eastAsia="zh-CN"/>
              </w:rPr>
            </w:pPr>
            <w:r>
              <w:rPr>
                <w:rFonts w:hint="eastAsia" w:ascii="仿宋_GB2312" w:hAnsi="仿宋_GB2312" w:eastAsia="仿宋_GB2312" w:cs="仿宋_GB2312"/>
                <w:color w:val="000000" w:themeColor="text1"/>
                <w:sz w:val="24"/>
                <w:lang w:eastAsia="zh-CN"/>
              </w:rPr>
              <w:t>梅田湖镇财政所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评价组组长（签字）：</w:t>
            </w: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部门（单位）意见：</w:t>
            </w: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spacing w:line="560" w:lineRule="exact"/>
              <w:ind w:firstLine="560" w:firstLineChars="200"/>
              <w:rPr>
                <w:rFonts w:ascii="宋体" w:hAnsi="宋体" w:cs="宋体"/>
                <w:bCs/>
                <w:sz w:val="28"/>
                <w:szCs w:val="28"/>
              </w:rPr>
            </w:pPr>
            <w:r>
              <w:rPr>
                <w:rFonts w:hint="eastAsia" w:ascii="宋体" w:hAnsi="宋体" w:cs="宋体"/>
                <w:bCs/>
                <w:sz w:val="28"/>
                <w:szCs w:val="28"/>
              </w:rPr>
              <w:t>五、评价报告综述（文字部分）</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一、部门（单位）概况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（一）部门（单位）基本情况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单位为财政全额预算拨款单位，核定人员编制80人，实有人数为80人。</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、职责职能：</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人民政府：全民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pPr>
              <w:spacing w:line="560" w:lineRule="exact"/>
              <w:ind w:firstLine="560" w:firstLineChars="200"/>
              <w:rPr>
                <w:rFonts w:ascii="宋体" w:hAnsi="宋体" w:cs="宋体"/>
                <w:bCs/>
                <w:sz w:val="28"/>
                <w:szCs w:val="28"/>
              </w:rPr>
            </w:pPr>
            <w:r>
              <w:rPr>
                <w:rFonts w:hint="eastAsia" w:ascii="宋体" w:hAnsi="宋体" w:cs="宋体"/>
                <w:bCs/>
                <w:sz w:val="28"/>
                <w:szCs w:val="28"/>
              </w:rPr>
              <w:t>财政所：负责贯彻执行有关财政、预算、财务、会计等方面的法律法规和政策；编制本镇财政预决算、管理和监督全镇各项财政收支，资金调度和拨款；指导全镇的会计工作，加强对农村财务工作的指导和监督；加强对国家专项资金的监督、将惠民政策落到实处；完成上级财政和乡镇安排的其他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农业综合服务中心：负责种植业、养殖业、林业、水产业、农业机械新技术的引进、试验示范、培训推广、技术服务和农业林业病虫害预测预报及防治指导工作；负责国家强制免疫的动物疫病免疫接种以及相关工作；负责农产品质量安全检测监督服务工作；承办农村经济统计、农民专业合作组织管理等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社会事业综合服务中心：协助社会事务办公室的工作，具体承办科技、教育体育、文化旅游广电、卫生健康与计划生育、人力资源和社会保障、民政、社区建设、医疗保障、住房和城乡建设、村镇规划、村镇建设、住房保障、交通运输、生态环境保护、残疾人事业、慈善等方面的公益服务性、技术性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镇退役军人服务站：负责退役军人就业创业、优抚帮扶、权益保障、数据信息采集、走访慰问等事务性工作。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综合行政执法大队：负责本辖区内综合行政执法工作；依法依规相对集中行使乡村集镇管理、住房建设、自然资源、生态环境保护、市场监管、交通运输、应急管理、安全生产、农业农村、文化旅游等方面的行政执法权；负责执法信息报送；配合县级执法部门开展联合执法、专业执法，负责日常巡查、综合检查、接受投诉举报、协助调查取证等工作。</w:t>
            </w:r>
          </w:p>
          <w:p>
            <w:pPr>
              <w:spacing w:line="560" w:lineRule="exact"/>
              <w:ind w:firstLine="560" w:firstLineChars="200"/>
              <w:rPr>
                <w:rFonts w:ascii="宋体" w:hAnsi="宋体" w:cs="宋体"/>
                <w:bCs/>
                <w:sz w:val="28"/>
                <w:szCs w:val="28"/>
              </w:rPr>
            </w:pPr>
            <w:r>
              <w:rPr>
                <w:rFonts w:hint="eastAsia" w:ascii="宋体" w:hAnsi="宋体" w:cs="宋体"/>
                <w:bCs/>
                <w:sz w:val="28"/>
                <w:szCs w:val="28"/>
              </w:rPr>
              <w:t>水利管理服务站：负责宣传防汛、水土保持、水资源等法律法规的宣传；负责农田水利规划、堤防建设与管理及防汛救灾工作；辖区内农村供水工程的规划、质量监督和安全运营；乡镇党委政府及其他业务部门安排的其他事项。</w:t>
            </w:r>
          </w:p>
          <w:p>
            <w:pPr>
              <w:spacing w:line="560" w:lineRule="exact"/>
              <w:ind w:firstLine="560" w:firstLineChars="200"/>
              <w:rPr>
                <w:rFonts w:ascii="宋体" w:hAnsi="宋体" w:cs="宋体"/>
                <w:bCs/>
                <w:sz w:val="28"/>
                <w:szCs w:val="28"/>
              </w:rPr>
            </w:pPr>
            <w:r>
              <w:rPr>
                <w:rFonts w:hint="eastAsia" w:ascii="宋体" w:hAnsi="宋体" w:cs="宋体"/>
                <w:bCs/>
                <w:sz w:val="28"/>
                <w:szCs w:val="28"/>
              </w:rPr>
              <w:t>2、机构设置：</w:t>
            </w:r>
          </w:p>
          <w:p>
            <w:pPr>
              <w:spacing w:line="560" w:lineRule="exact"/>
              <w:ind w:firstLine="560" w:firstLineChars="200"/>
              <w:rPr>
                <w:rFonts w:ascii="宋体" w:hAnsi="宋体" w:cs="宋体"/>
                <w:bCs/>
                <w:sz w:val="28"/>
                <w:szCs w:val="28"/>
              </w:rPr>
            </w:pPr>
            <w:r>
              <w:rPr>
                <w:rFonts w:hint="eastAsia" w:ascii="宋体" w:hAnsi="宋体" w:cs="宋体"/>
                <w:bCs/>
                <w:sz w:val="28"/>
                <w:szCs w:val="28"/>
              </w:rPr>
              <w:t>镇政府机关、镇财政所、镇农业综合服务中心、镇社会事业综合服务中心、镇退役军人服务站、镇综合行政执法大队、镇水利服务站。</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（二）部门（单位）整体支出规模</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、收入情况：全年收入2552.6万元，其中：财政拨款收入2223.6万元，政府基金拨款329万元。</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、支出情况</w:t>
            </w:r>
            <w:r>
              <w:rPr>
                <w:rFonts w:ascii="宋体" w:hAnsi="宋体" w:cs="宋体"/>
                <w:bCs/>
                <w:sz w:val="28"/>
                <w:szCs w:val="28"/>
              </w:rPr>
              <w:t>:</w:t>
            </w:r>
            <w:r>
              <w:rPr>
                <w:rFonts w:hint="eastAsia" w:ascii="宋体" w:hAnsi="宋体" w:cs="宋体"/>
                <w:bCs/>
                <w:sz w:val="28"/>
                <w:szCs w:val="28"/>
              </w:rPr>
              <w:t>全年支出2552.6万元，其中：基本支出972万元（人员支出747.5万元，公用支出224.5万元）；项目支出1580.6万元。</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二、部门（单位）整体支出管理及使用情况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（一）基本支出</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、部门整体支出情况分析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2021年整体支出2552.6万元，其中基本支出972万元，人员支出747.5万元，占基本支出77</w:t>
            </w:r>
            <w:r>
              <w:rPr>
                <w:rFonts w:ascii="宋体" w:hAnsi="宋体" w:cs="宋体"/>
                <w:bCs/>
                <w:sz w:val="28"/>
                <w:szCs w:val="28"/>
              </w:rPr>
              <w:t>%</w:t>
            </w:r>
            <w:r>
              <w:rPr>
                <w:rFonts w:hint="eastAsia" w:ascii="宋体" w:hAnsi="宋体" w:cs="宋体"/>
                <w:bCs/>
                <w:sz w:val="28"/>
                <w:szCs w:val="28"/>
              </w:rPr>
              <w:t>，公用支出224.5万元，占基本支出23</w:t>
            </w:r>
            <w:r>
              <w:rPr>
                <w:rFonts w:ascii="宋体" w:hAnsi="宋体" w:cs="宋体"/>
                <w:bCs/>
                <w:sz w:val="28"/>
                <w:szCs w:val="28"/>
              </w:rPr>
              <w:t>%</w:t>
            </w:r>
            <w:r>
              <w:rPr>
                <w:rFonts w:hint="eastAsia" w:ascii="宋体" w:hAnsi="宋体" w:cs="宋体"/>
                <w:bCs/>
                <w:sz w:val="28"/>
                <w:szCs w:val="28"/>
              </w:rPr>
              <w:t>，项目支出1580.6万元。单位足额发放在职人员工资和保障单位正常运行。</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、“三公经费”支出情况分析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2021年“三公经费”预算15.9万元，实际开支4.06万元，“三公经费”控制在预算成本之内。</w:t>
            </w:r>
          </w:p>
          <w:p>
            <w:pPr>
              <w:spacing w:line="560" w:lineRule="exact"/>
              <w:ind w:firstLine="560" w:firstLineChars="200"/>
              <w:rPr>
                <w:rFonts w:ascii="宋体" w:hAnsi="宋体" w:cs="宋体"/>
                <w:bCs/>
                <w:sz w:val="28"/>
                <w:szCs w:val="28"/>
              </w:rPr>
            </w:pPr>
            <w:r>
              <w:rPr>
                <w:rFonts w:ascii="宋体" w:hAnsi="宋体" w:cs="宋体"/>
                <w:bCs/>
                <w:sz w:val="28"/>
                <w:szCs w:val="28"/>
              </w:rPr>
              <w:t>3</w:t>
            </w:r>
            <w:r>
              <w:rPr>
                <w:rFonts w:hint="eastAsia" w:ascii="宋体" w:hAnsi="宋体" w:cs="宋体"/>
                <w:bCs/>
                <w:sz w:val="28"/>
                <w:szCs w:val="28"/>
              </w:rPr>
              <w:t>、固定资产管理情况分析</w:t>
            </w:r>
          </w:p>
          <w:p>
            <w:pPr>
              <w:spacing w:line="560" w:lineRule="exact"/>
              <w:ind w:firstLine="560" w:firstLineChars="200"/>
              <w:rPr>
                <w:rFonts w:ascii="宋体" w:hAnsi="宋体" w:cs="宋体"/>
                <w:bCs/>
                <w:sz w:val="28"/>
                <w:szCs w:val="28"/>
              </w:rPr>
            </w:pPr>
            <w:r>
              <w:rPr>
                <w:rFonts w:hint="eastAsia" w:ascii="宋体" w:hAnsi="宋体" w:cs="宋体"/>
                <w:bCs/>
                <w:sz w:val="28"/>
                <w:szCs w:val="28"/>
              </w:rPr>
              <w:t>按照例行节约，物尽其用的原则，资产管理采取统一建账，统一核算管理，对每件固定资产使用明确保管职责，闲置的资产，由办公室统一调整，合理流动，发挥其效益；至</w:t>
            </w:r>
            <w:r>
              <w:rPr>
                <w:rFonts w:ascii="宋体" w:hAnsi="宋体" w:cs="宋体"/>
                <w:bCs/>
                <w:sz w:val="28"/>
                <w:szCs w:val="28"/>
              </w:rPr>
              <w:t>20</w:t>
            </w:r>
            <w:r>
              <w:rPr>
                <w:rFonts w:hint="eastAsia" w:ascii="宋体" w:hAnsi="宋体" w:cs="宋体"/>
                <w:bCs/>
                <w:sz w:val="28"/>
                <w:szCs w:val="28"/>
              </w:rPr>
              <w:t>21年</w:t>
            </w:r>
            <w:r>
              <w:rPr>
                <w:rFonts w:ascii="宋体" w:hAnsi="宋体" w:cs="宋体"/>
                <w:bCs/>
                <w:sz w:val="28"/>
                <w:szCs w:val="28"/>
              </w:rPr>
              <w:t>12</w:t>
            </w:r>
            <w:r>
              <w:rPr>
                <w:rFonts w:hint="eastAsia" w:ascii="宋体" w:hAnsi="宋体" w:cs="宋体"/>
                <w:bCs/>
                <w:sz w:val="28"/>
                <w:szCs w:val="28"/>
              </w:rPr>
              <w:t>月末固定资产</w:t>
            </w:r>
            <w:r>
              <w:rPr>
                <w:rFonts w:hint="eastAsia" w:ascii="仿宋_GB2312" w:hAnsi="仿宋_GB2312" w:eastAsia="仿宋_GB2312" w:cs="仿宋_GB2312"/>
                <w:color w:val="000000"/>
                <w:sz w:val="24"/>
                <w:lang w:val="en-US" w:eastAsia="zh-CN"/>
              </w:rPr>
              <w:t>124.56</w:t>
            </w:r>
            <w:r>
              <w:rPr>
                <w:rFonts w:hint="eastAsia" w:ascii="宋体" w:hAnsi="宋体" w:cs="宋体"/>
                <w:bCs/>
                <w:sz w:val="28"/>
                <w:szCs w:val="28"/>
              </w:rPr>
              <w:t>万元。</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（二）专项支出</w:t>
            </w:r>
          </w:p>
          <w:p>
            <w:pPr>
              <w:spacing w:line="560" w:lineRule="exact"/>
              <w:ind w:firstLine="560" w:firstLineChars="200"/>
              <w:rPr>
                <w:rFonts w:ascii="宋体" w:hAnsi="宋体" w:cs="宋体"/>
                <w:bCs/>
                <w:sz w:val="28"/>
                <w:szCs w:val="28"/>
              </w:rPr>
            </w:pPr>
            <w:r>
              <w:rPr>
                <w:rFonts w:hint="eastAsia" w:ascii="宋体" w:hAnsi="宋体" w:cs="宋体"/>
                <w:bCs/>
                <w:sz w:val="28"/>
                <w:szCs w:val="28"/>
              </w:rPr>
              <w:t>1、专项资金安排落实、总投入等情况分析</w:t>
            </w:r>
            <w:bookmarkStart w:id="0" w:name="_GoBack"/>
            <w:bookmarkEnd w:id="0"/>
          </w:p>
          <w:p>
            <w:pPr>
              <w:spacing w:line="560" w:lineRule="exact"/>
              <w:ind w:firstLine="560" w:firstLineChars="200"/>
              <w:rPr>
                <w:rFonts w:ascii="宋体" w:hAnsi="宋体" w:cs="宋体"/>
                <w:bCs/>
                <w:sz w:val="28"/>
                <w:szCs w:val="28"/>
              </w:rPr>
            </w:pPr>
            <w:r>
              <w:rPr>
                <w:rFonts w:hint="eastAsia" w:ascii="宋体" w:hAnsi="宋体" w:cs="宋体"/>
                <w:bCs/>
                <w:sz w:val="28"/>
                <w:szCs w:val="28"/>
              </w:rPr>
              <w:t>项目支出1580.6万元，涉及一般公共预算项目支出1251.6万元，政府性基金预算项目支出329万元，国有资本经营预算项目支出0万元。主要用于发展农业经济，推动社会各项事业，促进经济社会协调发展，提升乡村社会文化发展，巩固农村环境整治成果，巩固精准扶贫成果，推进乡村振兴等。主要目标：保障镇政府的基本运转，不断提升镇政府服务水平；促进经济、社会和文化发展；加强农村建设，建设美丽、宜居新镇等。2021年度项目绩效目标完成情况较好。</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三、部门（单位）专项组织实施情况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宋体" w:hAnsi="宋体" w:cs="宋体"/>
                <w:bCs/>
                <w:sz w:val="28"/>
                <w:szCs w:val="28"/>
              </w:rPr>
            </w:pPr>
            <w:r>
              <w:rPr>
                <w:rFonts w:hint="eastAsia" w:ascii="宋体" w:hAnsi="宋体" w:cs="宋体"/>
                <w:bCs/>
                <w:sz w:val="28"/>
                <w:szCs w:val="28"/>
              </w:rPr>
              <w:t>四、部门（单位）整体支出绩效情况</w:t>
            </w:r>
          </w:p>
          <w:p>
            <w:pPr>
              <w:spacing w:line="560" w:lineRule="exact"/>
              <w:ind w:firstLine="560" w:firstLineChars="200"/>
              <w:rPr>
                <w:rFonts w:ascii="宋体" w:hAnsi="宋体" w:cs="宋体"/>
                <w:bCs/>
                <w:sz w:val="28"/>
                <w:szCs w:val="28"/>
              </w:rPr>
            </w:pPr>
            <w:r>
              <w:rPr>
                <w:rFonts w:hint="eastAsia" w:ascii="宋体" w:hAnsi="宋体" w:cs="宋体"/>
                <w:bCs/>
                <w:sz w:val="28"/>
                <w:szCs w:val="28"/>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宋体" w:hAnsi="宋体" w:cs="宋体"/>
                <w:bCs/>
                <w:sz w:val="28"/>
                <w:szCs w:val="28"/>
              </w:rPr>
            </w:pPr>
            <w:r>
              <w:rPr>
                <w:rFonts w:ascii="宋体" w:hAnsi="宋体" w:cs="宋体"/>
                <w:bCs/>
                <w:sz w:val="28"/>
                <w:szCs w:val="28"/>
              </w:rPr>
              <w:t>2.</w:t>
            </w:r>
            <w:r>
              <w:rPr>
                <w:rFonts w:hint="eastAsia" w:ascii="宋体" w:hAnsi="宋体" w:cs="宋体"/>
                <w:bCs/>
                <w:sz w:val="28"/>
                <w:szCs w:val="28"/>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宋体" w:hAnsi="宋体" w:cs="宋体"/>
                <w:bCs/>
                <w:sz w:val="28"/>
                <w:szCs w:val="28"/>
              </w:rPr>
            </w:pPr>
            <w:r>
              <w:rPr>
                <w:rFonts w:hint="eastAsia" w:ascii="宋体" w:hAnsi="宋体" w:cs="宋体"/>
                <w:bCs/>
                <w:sz w:val="28"/>
                <w:szCs w:val="28"/>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五、存在的主要问题</w:t>
            </w:r>
          </w:p>
          <w:p>
            <w:pPr>
              <w:spacing w:line="560" w:lineRule="exact"/>
              <w:ind w:firstLine="560" w:firstLineChars="200"/>
              <w:rPr>
                <w:rFonts w:ascii="宋体" w:hAnsi="宋体" w:cs="宋体"/>
                <w:bCs/>
                <w:sz w:val="28"/>
                <w:szCs w:val="28"/>
              </w:rPr>
            </w:pPr>
            <w:r>
              <w:rPr>
                <w:rFonts w:hint="eastAsia" w:ascii="宋体" w:hAnsi="宋体" w:cs="宋体"/>
                <w:bCs/>
                <w:sz w:val="28"/>
                <w:szCs w:val="28"/>
              </w:rPr>
              <w:t>预算编制与实际支出项目有的存在差异，有待进一步优化预算，提高预算编制的准确性。</w:t>
            </w:r>
          </w:p>
          <w:p>
            <w:pPr>
              <w:spacing w:line="560" w:lineRule="exact"/>
              <w:ind w:firstLine="560" w:firstLineChars="200"/>
              <w:rPr>
                <w:rFonts w:ascii="宋体" w:hAnsi="宋体" w:cs="宋体"/>
                <w:bCs/>
                <w:sz w:val="28"/>
                <w:szCs w:val="28"/>
              </w:rPr>
            </w:pPr>
            <w:r>
              <w:rPr>
                <w:rFonts w:hint="eastAsia" w:ascii="宋体" w:hAnsi="宋体" w:cs="宋体"/>
                <w:bCs/>
                <w:sz w:val="28"/>
                <w:szCs w:val="28"/>
              </w:rPr>
              <w:t>六、改进措施和有关建议</w:t>
            </w:r>
          </w:p>
          <w:p>
            <w:pPr>
              <w:spacing w:line="560" w:lineRule="exact"/>
              <w:ind w:firstLine="560" w:firstLineChars="200"/>
              <w:rPr>
                <w:rFonts w:ascii="宋体" w:hAnsi="宋体" w:cs="宋体"/>
                <w:bCs/>
                <w:sz w:val="28"/>
                <w:szCs w:val="28"/>
              </w:rPr>
            </w:pPr>
            <w:r>
              <w:rPr>
                <w:rFonts w:hint="eastAsia" w:ascii="宋体" w:hAnsi="宋体" w:cs="宋体"/>
                <w:bCs/>
                <w:sz w:val="28"/>
                <w:szCs w:val="28"/>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宋体" w:hAnsi="宋体" w:cs="宋体"/>
                <w:bCs/>
                <w:sz w:val="28"/>
                <w:szCs w:val="28"/>
              </w:rPr>
            </w:pPr>
            <w:r>
              <w:rPr>
                <w:rFonts w:hint="eastAsia" w:ascii="宋体" w:hAnsi="宋体" w:cs="宋体"/>
                <w:bCs/>
                <w:sz w:val="28"/>
                <w:szCs w:val="28"/>
              </w:rPr>
              <w:t>二是预算财务分析常态化，定期做好预算支出财务分析，做好部门整体支出预算评价工作。</w:t>
            </w:r>
          </w:p>
          <w:p>
            <w:pPr>
              <w:spacing w:line="560" w:lineRule="exact"/>
              <w:ind w:firstLine="560" w:firstLineChars="200"/>
              <w:rPr>
                <w:rFonts w:ascii="宋体" w:hAnsi="宋体" w:cs="宋体"/>
                <w:bCs/>
                <w:sz w:val="28"/>
                <w:szCs w:val="28"/>
              </w:rPr>
            </w:pPr>
          </w:p>
        </w:tc>
      </w:tr>
    </w:tbl>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3</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QzZjc5NTllMGFiYmY5NmVhMTllZTJlYTQ3YTVjMjgifQ=="/>
  </w:docVars>
  <w:rsids>
    <w:rsidRoot w:val="2CE55C20"/>
    <w:rsid w:val="00043909"/>
    <w:rsid w:val="00083750"/>
    <w:rsid w:val="000C2A6C"/>
    <w:rsid w:val="000F3A82"/>
    <w:rsid w:val="001A2F77"/>
    <w:rsid w:val="001C07A8"/>
    <w:rsid w:val="002B4A71"/>
    <w:rsid w:val="003933CD"/>
    <w:rsid w:val="003E7B95"/>
    <w:rsid w:val="0044003B"/>
    <w:rsid w:val="00445A10"/>
    <w:rsid w:val="004C71BA"/>
    <w:rsid w:val="004E7ECC"/>
    <w:rsid w:val="005C4C99"/>
    <w:rsid w:val="006939E4"/>
    <w:rsid w:val="007210FF"/>
    <w:rsid w:val="007B2063"/>
    <w:rsid w:val="007C410E"/>
    <w:rsid w:val="007F310F"/>
    <w:rsid w:val="008B4F9F"/>
    <w:rsid w:val="008F45AE"/>
    <w:rsid w:val="009519A9"/>
    <w:rsid w:val="009F6A60"/>
    <w:rsid w:val="00C03056"/>
    <w:rsid w:val="00C51C9A"/>
    <w:rsid w:val="00CD0BCA"/>
    <w:rsid w:val="00CE277B"/>
    <w:rsid w:val="00D316C9"/>
    <w:rsid w:val="00DA47BA"/>
    <w:rsid w:val="02832A46"/>
    <w:rsid w:val="083749E7"/>
    <w:rsid w:val="08EC64B1"/>
    <w:rsid w:val="0B223ED3"/>
    <w:rsid w:val="0CB679B8"/>
    <w:rsid w:val="0DE528CD"/>
    <w:rsid w:val="123856E5"/>
    <w:rsid w:val="1336279F"/>
    <w:rsid w:val="18725427"/>
    <w:rsid w:val="254E2FC7"/>
    <w:rsid w:val="25B607B7"/>
    <w:rsid w:val="263C173A"/>
    <w:rsid w:val="289D055E"/>
    <w:rsid w:val="2C9F197B"/>
    <w:rsid w:val="2CA33441"/>
    <w:rsid w:val="2CE55C20"/>
    <w:rsid w:val="2F287302"/>
    <w:rsid w:val="30426D13"/>
    <w:rsid w:val="3728158B"/>
    <w:rsid w:val="3A43255A"/>
    <w:rsid w:val="3D6201A1"/>
    <w:rsid w:val="3EC46785"/>
    <w:rsid w:val="3F8A6044"/>
    <w:rsid w:val="43A702D9"/>
    <w:rsid w:val="44592EA4"/>
    <w:rsid w:val="477245B4"/>
    <w:rsid w:val="49061F5C"/>
    <w:rsid w:val="49617FA5"/>
    <w:rsid w:val="4D171D42"/>
    <w:rsid w:val="4E4F0BB0"/>
    <w:rsid w:val="501F7E50"/>
    <w:rsid w:val="53932FAA"/>
    <w:rsid w:val="57D04F5B"/>
    <w:rsid w:val="5BE95901"/>
    <w:rsid w:val="6A0A15CD"/>
    <w:rsid w:val="6D452F22"/>
    <w:rsid w:val="6DF352BD"/>
    <w:rsid w:val="705E3E6D"/>
    <w:rsid w:val="71C1048A"/>
    <w:rsid w:val="73636360"/>
    <w:rsid w:val="7396188C"/>
    <w:rsid w:val="73F35F5B"/>
    <w:rsid w:val="75A650F5"/>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7762</Words>
  <Characters>8146</Characters>
  <Lines>76</Lines>
  <Paragraphs>21</Paragraphs>
  <TotalTime>0</TotalTime>
  <ScaleCrop>false</ScaleCrop>
  <LinksUpToDate>false</LinksUpToDate>
  <CharactersWithSpaces>8662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2022-10-14T01:01:00Z</cp:lastPrinted>
  <dcterms:modified xsi:type="dcterms:W3CDTF">2022-11-04T02:54:23Z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