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华容县北景港镇人民政府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430623103</w:t>
      </w:r>
      <w:r>
        <w:rPr>
          <w:rFonts w:hint="eastAsia"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 10月14日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11"/>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386"/>
        <w:gridCol w:w="1394"/>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829"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易相国</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13974083132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829"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63</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414" w:type="dxa"/>
            <w:gridSpan w:val="14"/>
            <w:vAlign w:val="center"/>
          </w:tcPr>
          <w:p>
            <w:pPr>
              <w:pStyle w:val="10"/>
              <w:widowControl/>
              <w:shd w:val="clear" w:color="auto" w:fill="FFFFFF"/>
              <w:spacing w:beforeAutospacing="0" w:afterAutospacing="0" w:line="33" w:lineRule="atLeast"/>
              <w:ind w:firstLine="320" w:firstLineChars="100"/>
              <w:jc w:val="both"/>
              <w:rPr>
                <w:rFonts w:ascii="仿宋_GB2312" w:eastAsia="仿宋_GB2312" w:cs="仿宋_GB2312"/>
                <w:sz w:val="32"/>
                <w:szCs w:val="32"/>
              </w:rPr>
            </w:pPr>
            <w:r>
              <w:rPr>
                <w:rFonts w:hint="eastAsia" w:ascii="仿宋_GB2312" w:eastAsia="仿宋_GB2312" w:cs="仿宋_GB2312"/>
                <w:sz w:val="32"/>
                <w:szCs w:val="32"/>
              </w:rPr>
              <w:t>（1）乡镇党委主要职责：</w:t>
            </w:r>
          </w:p>
          <w:p>
            <w:pPr>
              <w:pStyle w:val="10"/>
              <w:widowControl/>
              <w:shd w:val="clear" w:color="auto" w:fill="FFFFFF"/>
              <w:spacing w:beforeAutospacing="0" w:afterAutospacing="0" w:line="33" w:lineRule="atLeast"/>
              <w:ind w:firstLine="420"/>
              <w:jc w:val="both"/>
              <w:rPr>
                <w:rFonts w:ascii="仿宋_GB2312" w:eastAsia="仿宋_GB2312" w:cs="仿宋_GB2312"/>
                <w:sz w:val="32"/>
                <w:szCs w:val="32"/>
              </w:rPr>
            </w:pPr>
            <w:r>
              <w:rPr>
                <w:rFonts w:hint="eastAsia" w:ascii="仿宋_GB2312" w:eastAsia="仿宋_GB2312" w:cs="仿宋_GB2312"/>
                <w:sz w:val="32"/>
                <w:szCs w:val="32"/>
              </w:rPr>
              <w:t>1、贯彻执行党的路线方针政策和上级党组织及本乡党员代表大会（党员大会）的决议。</w:t>
            </w:r>
          </w:p>
          <w:p>
            <w:pPr>
              <w:pStyle w:val="10"/>
              <w:widowControl/>
              <w:shd w:val="clear" w:color="auto" w:fill="FFFFFF"/>
              <w:spacing w:beforeAutospacing="0" w:afterAutospacing="0" w:line="33" w:lineRule="atLeast"/>
              <w:ind w:firstLine="420"/>
              <w:jc w:val="both"/>
              <w:rPr>
                <w:rFonts w:ascii="仿宋_GB2312" w:eastAsia="仿宋_GB2312" w:cs="仿宋_GB2312"/>
                <w:sz w:val="32"/>
                <w:szCs w:val="32"/>
              </w:rPr>
            </w:pPr>
            <w:r>
              <w:rPr>
                <w:rFonts w:hint="eastAsia" w:ascii="仿宋_GB2312" w:eastAsia="仿宋_GB2312" w:cs="仿宋_GB2312"/>
                <w:sz w:val="32"/>
                <w:szCs w:val="32"/>
              </w:rPr>
              <w:t>2、讨论决定本镇经济建设和社会发展中的重大问题。需由乡镇政权机关或集体经济组织决定的问题，由乡镇政权机关或集体经济组织依照法律和有关规定作出决定。</w:t>
            </w:r>
          </w:p>
          <w:p>
            <w:pPr>
              <w:pStyle w:val="10"/>
              <w:widowControl/>
              <w:shd w:val="clear" w:color="auto" w:fill="FFFFFF"/>
              <w:spacing w:beforeAutospacing="0" w:afterAutospacing="0" w:line="33" w:lineRule="atLeast"/>
              <w:ind w:firstLine="420"/>
              <w:jc w:val="both"/>
              <w:rPr>
                <w:rFonts w:ascii="仿宋_GB2312" w:eastAsia="仿宋_GB2312" w:cs="仿宋_GB2312"/>
                <w:sz w:val="32"/>
                <w:szCs w:val="32"/>
              </w:rPr>
            </w:pPr>
            <w:r>
              <w:rPr>
                <w:rFonts w:hint="eastAsia" w:ascii="仿宋_GB2312" w:eastAsia="仿宋_GB2312" w:cs="仿宋_GB2312"/>
                <w:sz w:val="32"/>
                <w:szCs w:val="32"/>
              </w:rPr>
              <w:t>3、领导乡镇政权机关和群众组织，支持和保证乡镇政权机关和群众组织依照国家法律及各自章程充分行使职权。</w:t>
            </w:r>
          </w:p>
          <w:p>
            <w:pPr>
              <w:pStyle w:val="10"/>
              <w:widowControl/>
              <w:shd w:val="clear" w:color="auto" w:fill="FFFFFF"/>
              <w:spacing w:beforeAutospacing="0" w:afterAutospacing="0" w:line="33" w:lineRule="atLeast"/>
              <w:ind w:firstLine="420"/>
              <w:jc w:val="both"/>
              <w:rPr>
                <w:rFonts w:ascii="仿宋_GB2312" w:eastAsia="仿宋_GB2312" w:cs="仿宋_GB2312"/>
                <w:sz w:val="32"/>
                <w:szCs w:val="32"/>
              </w:rPr>
            </w:pPr>
            <w:r>
              <w:rPr>
                <w:rFonts w:hint="eastAsia" w:ascii="仿宋_GB2312" w:eastAsia="仿宋_GB2312" w:cs="仿宋_GB2312"/>
                <w:sz w:val="32"/>
                <w:szCs w:val="32"/>
              </w:rPr>
              <w:t>4、加强镇自身建设和以党支部为核心的村级组织建设。</w:t>
            </w:r>
          </w:p>
          <w:p>
            <w:pPr>
              <w:pStyle w:val="10"/>
              <w:widowControl/>
              <w:shd w:val="clear" w:color="auto" w:fill="FFFFFF"/>
              <w:spacing w:beforeAutospacing="0" w:afterAutospacing="0" w:line="33" w:lineRule="atLeast"/>
              <w:ind w:firstLine="420"/>
              <w:jc w:val="both"/>
              <w:rPr>
                <w:rFonts w:ascii="仿宋_GB2312" w:eastAsia="仿宋_GB2312" w:cs="仿宋_GB2312"/>
                <w:sz w:val="32"/>
                <w:szCs w:val="32"/>
              </w:rPr>
            </w:pPr>
            <w:r>
              <w:rPr>
                <w:rFonts w:hint="eastAsia" w:ascii="仿宋_GB2312" w:eastAsia="仿宋_GB2312" w:cs="仿宋_GB2312"/>
                <w:sz w:val="32"/>
                <w:szCs w:val="32"/>
              </w:rPr>
              <w:t>5、按照干部管理权限，负责本乡镇干部的教育、培养、选拔和监督工作。协助管理上级有关部门驻乡镇单位的干部。</w:t>
            </w:r>
          </w:p>
          <w:p>
            <w:pPr>
              <w:pStyle w:val="10"/>
              <w:widowControl/>
              <w:shd w:val="clear" w:color="auto" w:fill="FFFFFF"/>
              <w:spacing w:beforeAutospacing="0" w:afterAutospacing="0" w:line="33" w:lineRule="atLeast"/>
              <w:ind w:firstLine="420"/>
              <w:jc w:val="both"/>
              <w:rPr>
                <w:rFonts w:ascii="仿宋_GB2312" w:eastAsia="仿宋_GB2312" w:cs="仿宋_GB2312"/>
                <w:sz w:val="32"/>
                <w:szCs w:val="32"/>
              </w:rPr>
            </w:pPr>
            <w:r>
              <w:rPr>
                <w:rFonts w:hint="eastAsia" w:ascii="仿宋_GB2312" w:eastAsia="仿宋_GB2312" w:cs="仿宋_GB2312"/>
                <w:sz w:val="32"/>
                <w:szCs w:val="32"/>
              </w:rPr>
              <w:t>6、领导本乡镇社会主义民主法治建设和精神文明建设，做好社会治安综合治理及计划生育工作。</w:t>
            </w:r>
          </w:p>
          <w:p>
            <w:pPr>
              <w:pStyle w:val="10"/>
              <w:widowControl/>
              <w:shd w:val="clear" w:color="auto" w:fill="FFFFFF"/>
              <w:spacing w:beforeAutospacing="0" w:afterAutospacing="0" w:line="33" w:lineRule="atLeast"/>
              <w:ind w:firstLine="320" w:firstLineChars="100"/>
              <w:jc w:val="both"/>
              <w:rPr>
                <w:rFonts w:ascii="仿宋_GB2312" w:eastAsia="仿宋_GB2312" w:cs="仿宋_GB2312"/>
                <w:sz w:val="32"/>
                <w:szCs w:val="32"/>
              </w:rPr>
            </w:pPr>
            <w:r>
              <w:rPr>
                <w:rFonts w:hint="eastAsia" w:ascii="仿宋_GB2312" w:eastAsia="仿宋_GB2312" w:cs="仿宋_GB2312"/>
                <w:sz w:val="32"/>
                <w:szCs w:val="32"/>
              </w:rPr>
              <w:t>（2）乡镇政府主要职责：</w:t>
            </w:r>
          </w:p>
          <w:p>
            <w:pPr>
              <w:pStyle w:val="10"/>
              <w:widowControl/>
              <w:shd w:val="clear" w:color="auto" w:fill="FFFFFF"/>
              <w:spacing w:beforeAutospacing="0" w:afterAutospacing="0" w:line="33" w:lineRule="atLeast"/>
              <w:ind w:firstLine="420"/>
              <w:jc w:val="both"/>
              <w:rPr>
                <w:rFonts w:ascii="仿宋_GB2312" w:eastAsia="仿宋_GB2312" w:cs="仿宋_GB2312"/>
                <w:sz w:val="32"/>
                <w:szCs w:val="32"/>
              </w:rPr>
            </w:pPr>
            <w:r>
              <w:rPr>
                <w:rFonts w:hint="eastAsia" w:ascii="仿宋_GB2312" w:eastAsia="仿宋_GB2312" w:cs="仿宋_GB2312"/>
                <w:sz w:val="32"/>
                <w:szCs w:val="32"/>
              </w:rPr>
              <w:t>执行本级人民代表大会的决议和上级国家行政机关的决定和命令，发布决定和命令。</w:t>
            </w:r>
          </w:p>
          <w:p>
            <w:pPr>
              <w:pStyle w:val="10"/>
              <w:widowControl/>
              <w:shd w:val="clear" w:color="auto" w:fill="FFFFFF"/>
              <w:spacing w:beforeAutospacing="0" w:afterAutospacing="0" w:line="33" w:lineRule="atLeast"/>
              <w:ind w:firstLine="420"/>
              <w:jc w:val="both"/>
              <w:rPr>
                <w:rFonts w:ascii="仿宋_GB2312" w:eastAsia="仿宋_GB2312" w:cs="仿宋_GB2312"/>
                <w:sz w:val="32"/>
                <w:szCs w:val="32"/>
              </w:rPr>
            </w:pPr>
            <w:r>
              <w:rPr>
                <w:rFonts w:hint="eastAsia" w:ascii="仿宋_GB2312" w:eastAsia="仿宋_GB2312" w:cs="仿宋_GB2312"/>
                <w:sz w:val="32"/>
                <w:szCs w:val="32"/>
              </w:rPr>
              <w:t>执行本行政区域内的经济和社会发展计划，加强公共设施的建设和管理，发展各项服务事业。</w:t>
            </w:r>
          </w:p>
          <w:p>
            <w:pPr>
              <w:pStyle w:val="10"/>
              <w:widowControl/>
              <w:shd w:val="clear" w:color="auto" w:fill="FFFFFF"/>
              <w:spacing w:beforeAutospacing="0" w:afterAutospacing="0" w:line="33" w:lineRule="atLeast"/>
              <w:ind w:firstLine="420"/>
              <w:jc w:val="both"/>
              <w:rPr>
                <w:rFonts w:ascii="仿宋_GB2312" w:eastAsia="仿宋_GB2312" w:cs="仿宋_GB2312"/>
                <w:sz w:val="32"/>
                <w:szCs w:val="32"/>
              </w:rPr>
            </w:pPr>
            <w:r>
              <w:rPr>
                <w:rFonts w:hint="eastAsia" w:ascii="仿宋_GB2312" w:eastAsia="仿宋_GB2312" w:cs="仿宋_GB2312"/>
                <w:sz w:val="32"/>
                <w:szCs w:val="32"/>
              </w:rPr>
              <w:t>依法管理本级财政、执行本级预算。</w:t>
            </w:r>
          </w:p>
          <w:p>
            <w:pPr>
              <w:pStyle w:val="10"/>
              <w:widowControl/>
              <w:shd w:val="clear" w:color="auto" w:fill="FFFFFF"/>
              <w:spacing w:beforeAutospacing="0" w:afterAutospacing="0" w:line="33" w:lineRule="atLeast"/>
              <w:ind w:firstLine="420"/>
              <w:jc w:val="both"/>
              <w:rPr>
                <w:rFonts w:ascii="仿宋_GB2312" w:eastAsia="仿宋_GB2312" w:cs="仿宋_GB2312"/>
                <w:sz w:val="32"/>
                <w:szCs w:val="32"/>
              </w:rPr>
            </w:pPr>
            <w:r>
              <w:rPr>
                <w:rFonts w:hint="eastAsia" w:ascii="仿宋_GB2312" w:eastAsia="仿宋_GB2312" w:cs="仿宋_GB2312"/>
                <w:sz w:val="32"/>
                <w:szCs w:val="32"/>
              </w:rPr>
              <w:t>为群众提供有效的科技、教育、文化、信息、卫生、体育、医疗、劳动就业、安全生产等方面的服务。</w:t>
            </w:r>
          </w:p>
          <w:p>
            <w:pPr>
              <w:pStyle w:val="10"/>
              <w:widowControl/>
              <w:shd w:val="clear" w:color="auto" w:fill="FFFFFF"/>
              <w:spacing w:beforeAutospacing="0" w:afterAutospacing="0" w:line="33" w:lineRule="atLeast"/>
              <w:ind w:firstLine="420"/>
              <w:jc w:val="both"/>
              <w:rPr>
                <w:rFonts w:ascii="仿宋_GB2312" w:eastAsia="仿宋_GB2312" w:cs="仿宋_GB2312"/>
                <w:sz w:val="32"/>
                <w:szCs w:val="32"/>
              </w:rPr>
            </w:pPr>
            <w:r>
              <w:rPr>
                <w:rFonts w:hint="eastAsia" w:ascii="仿宋_GB2312" w:eastAsia="仿宋_GB2312" w:cs="仿宋_GB2312"/>
                <w:sz w:val="32"/>
                <w:szCs w:val="32"/>
              </w:rPr>
              <w:t>保护国有资产和集体所有的财产，保护公民私人所有的合法财产、保障公民的人身权利、民主权利和其他权利，保护各种组织的合法权益。</w:t>
            </w:r>
          </w:p>
          <w:p>
            <w:pPr>
              <w:pStyle w:val="10"/>
              <w:widowControl/>
              <w:shd w:val="clear" w:color="auto" w:fill="FFFFFF"/>
              <w:spacing w:beforeAutospacing="0" w:afterAutospacing="0" w:line="33" w:lineRule="atLeast"/>
              <w:ind w:firstLine="420"/>
              <w:jc w:val="both"/>
              <w:rPr>
                <w:rFonts w:ascii="仿宋_GB2312" w:eastAsia="仿宋_GB2312" w:cs="仿宋_GB2312"/>
                <w:sz w:val="32"/>
                <w:szCs w:val="32"/>
              </w:rPr>
            </w:pPr>
            <w:r>
              <w:rPr>
                <w:rFonts w:hint="eastAsia" w:ascii="仿宋_GB2312" w:eastAsia="仿宋_GB2312" w:cs="仿宋_GB2312"/>
                <w:sz w:val="32"/>
                <w:szCs w:val="32"/>
              </w:rPr>
              <w:t>开展社会主义与法治教育，加强社会法治综合治理，调解民事纠纷，维护社会秩序。</w:t>
            </w:r>
          </w:p>
          <w:p>
            <w:pPr>
              <w:pStyle w:val="10"/>
              <w:widowControl/>
              <w:shd w:val="clear" w:color="auto" w:fill="FFFFFF"/>
              <w:spacing w:beforeAutospacing="0" w:afterAutospacing="0" w:line="33" w:lineRule="atLeast"/>
              <w:ind w:firstLine="420"/>
              <w:jc w:val="both"/>
              <w:rPr>
                <w:rFonts w:ascii="仿宋_GB2312" w:eastAsia="仿宋_GB2312" w:cs="仿宋_GB2312"/>
                <w:sz w:val="32"/>
                <w:szCs w:val="32"/>
              </w:rPr>
            </w:pPr>
            <w:r>
              <w:rPr>
                <w:rFonts w:hint="eastAsia" w:ascii="仿宋_GB2312" w:eastAsia="仿宋_GB2312" w:cs="仿宋_GB2312"/>
                <w:sz w:val="32"/>
                <w:szCs w:val="32"/>
              </w:rPr>
              <w:t>负责民政工作，发展社会福利事业，做好社会保障工作，办理兵役事项。</w:t>
            </w:r>
          </w:p>
          <w:p>
            <w:pPr>
              <w:pStyle w:val="10"/>
              <w:widowControl/>
              <w:shd w:val="clear" w:color="auto" w:fill="FFFFFF"/>
              <w:spacing w:beforeAutospacing="0" w:afterAutospacing="0" w:line="33" w:lineRule="atLeast"/>
              <w:ind w:firstLine="420"/>
              <w:jc w:val="both"/>
              <w:rPr>
                <w:rFonts w:ascii="仿宋_GB2312" w:eastAsia="仿宋_GB2312" w:cs="仿宋_GB2312"/>
                <w:sz w:val="32"/>
                <w:szCs w:val="32"/>
              </w:rPr>
            </w:pPr>
            <w:r>
              <w:rPr>
                <w:rFonts w:hint="eastAsia" w:ascii="仿宋_GB2312" w:eastAsia="仿宋_GB2312" w:cs="仿宋_GB2312"/>
                <w:sz w:val="32"/>
                <w:szCs w:val="32"/>
              </w:rPr>
              <w:t>承办上级人民政府交办的其他事项。</w:t>
            </w:r>
          </w:p>
          <w:p>
            <w:pPr>
              <w:pStyle w:val="10"/>
              <w:widowControl/>
              <w:shd w:val="clear" w:color="auto" w:fill="FFFFFF"/>
              <w:spacing w:beforeAutospacing="0" w:afterAutospacing="0" w:line="33" w:lineRule="atLeast"/>
              <w:ind w:firstLine="420"/>
              <w:jc w:val="both"/>
              <w:rPr>
                <w:rFonts w:ascii="仿宋_GB2312" w:eastAsia="仿宋_GB2312" w:cs="仿宋_GB2312"/>
                <w:sz w:val="32"/>
                <w:szCs w:val="32"/>
              </w:rPr>
            </w:pPr>
            <w:r>
              <w:rPr>
                <w:rFonts w:hint="eastAsia" w:ascii="仿宋_GB2312" w:eastAsia="仿宋_GB2312" w:cs="仿宋_GB2312"/>
                <w:sz w:val="32"/>
                <w:szCs w:val="32"/>
              </w:rPr>
              <w:t>设立人民武装部，依法履行国防动员、民兵训练、预备役管理等职能。</w:t>
            </w:r>
          </w:p>
          <w:p>
            <w:pPr>
              <w:keepNext/>
              <w:keepLines/>
              <w:shd w:val="clear" w:color="auto" w:fill="FFFFFF"/>
              <w:autoSpaceDE w:val="0"/>
              <w:autoSpaceDN w:val="0"/>
              <w:adjustRightInd w:val="0"/>
              <w:ind w:firstLine="640" w:firstLineChars="200"/>
              <w:jc w:val="left"/>
              <w:rPr>
                <w:rFonts w:ascii="仿宋_GB2312" w:eastAsia="仿宋_GB2312" w:cs="仿宋_GB2312"/>
                <w:kern w:val="0"/>
                <w:sz w:val="32"/>
                <w:szCs w:val="32"/>
              </w:rPr>
            </w:pP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414" w:type="dxa"/>
            <w:gridSpan w:val="14"/>
            <w:vAlign w:val="center"/>
          </w:tcPr>
          <w:p>
            <w:pPr>
              <w:pStyle w:val="10"/>
              <w:widowControl/>
              <w:shd w:val="clear" w:color="auto" w:fill="FFFFFF"/>
              <w:spacing w:beforeAutospacing="0" w:afterAutospacing="0" w:line="33" w:lineRule="atLeast"/>
              <w:jc w:val="both"/>
              <w:rPr>
                <w:rFonts w:ascii="仿宋_GB2312" w:eastAsia="仿宋_GB2312" w:cs="仿宋_GB2312"/>
                <w:sz w:val="32"/>
                <w:szCs w:val="32"/>
              </w:rPr>
            </w:pPr>
            <w:r>
              <w:rPr>
                <w:rFonts w:hint="eastAsia" w:ascii="仿宋_GB2312" w:eastAsia="仿宋_GB2312" w:cs="仿宋_GB2312"/>
                <w:sz w:val="32"/>
                <w:szCs w:val="32"/>
              </w:rPr>
              <w:t>1、完成13公里新景公路重建，硬化（拓宽）组级道路68公里；</w:t>
            </w:r>
          </w:p>
          <w:p>
            <w:pPr>
              <w:pStyle w:val="10"/>
              <w:widowControl/>
              <w:shd w:val="clear" w:color="auto" w:fill="FFFFFF"/>
              <w:spacing w:beforeAutospacing="0" w:afterAutospacing="0" w:line="33" w:lineRule="atLeast"/>
              <w:jc w:val="both"/>
              <w:rPr>
                <w:rFonts w:eastAsia="仿宋_GB2312"/>
                <w:kern w:val="2"/>
                <w:sz w:val="32"/>
                <w:szCs w:val="32"/>
              </w:rPr>
            </w:pPr>
            <w:r>
              <w:rPr>
                <w:rFonts w:hint="eastAsia" w:ascii="仿宋_GB2312" w:eastAsia="仿宋_GB2312" w:cs="仿宋_GB2312"/>
                <w:sz w:val="32"/>
                <w:szCs w:val="32"/>
              </w:rPr>
              <w:t>2、南下路维修改造，康乐桥、育婴一桥等7座危桥维修、重建项目先后实施；</w:t>
            </w:r>
          </w:p>
          <w:p>
            <w:pPr>
              <w:pStyle w:val="10"/>
              <w:widowControl/>
              <w:shd w:val="clear" w:color="auto" w:fill="FFFFFF"/>
              <w:spacing w:beforeAutospacing="0" w:afterAutospacing="0" w:line="33" w:lineRule="atLeast"/>
              <w:jc w:val="both"/>
              <w:rPr>
                <w:rFonts w:eastAsia="仿宋_GB2312"/>
                <w:kern w:val="2"/>
                <w:sz w:val="32"/>
                <w:szCs w:val="32"/>
              </w:rPr>
            </w:pPr>
            <w:r>
              <w:rPr>
                <w:rFonts w:hint="eastAsia" w:ascii="仿宋_GB2312" w:eastAsia="仿宋_GB2312" w:cs="仿宋_GB2312"/>
                <w:sz w:val="32"/>
                <w:szCs w:val="32"/>
              </w:rPr>
              <w:t>3、完成沙金、联华等7个村1.1万亩“旱改水”，沙金、协和、南顶等5个村高标准农田建设；</w:t>
            </w:r>
          </w:p>
          <w:p>
            <w:pPr>
              <w:pStyle w:val="10"/>
              <w:widowControl/>
              <w:shd w:val="clear" w:color="auto" w:fill="FFFFFF"/>
              <w:spacing w:beforeAutospacing="0" w:afterAutospacing="0" w:line="33" w:lineRule="atLeast"/>
              <w:jc w:val="both"/>
              <w:rPr>
                <w:rFonts w:eastAsia="仿宋_GB2312"/>
                <w:kern w:val="2"/>
                <w:sz w:val="32"/>
                <w:szCs w:val="32"/>
              </w:rPr>
            </w:pPr>
            <w:r>
              <w:rPr>
                <w:rFonts w:hint="eastAsia" w:ascii="仿宋_GB2312" w:eastAsia="仿宋_GB2312" w:cs="仿宋_GB2312"/>
                <w:sz w:val="32"/>
                <w:szCs w:val="32"/>
              </w:rPr>
              <w:t>4、推进厕所革命;</w:t>
            </w:r>
          </w:p>
          <w:p>
            <w:pPr>
              <w:pStyle w:val="10"/>
              <w:widowControl/>
              <w:shd w:val="clear" w:color="auto" w:fill="FFFFFF"/>
              <w:spacing w:beforeAutospacing="0" w:afterAutospacing="0" w:line="33" w:lineRule="atLeast"/>
              <w:jc w:val="both"/>
              <w:rPr>
                <w:rFonts w:eastAsia="仿宋_GB2312"/>
                <w:kern w:val="2"/>
                <w:sz w:val="32"/>
                <w:szCs w:val="32"/>
              </w:rPr>
            </w:pPr>
            <w:r>
              <w:rPr>
                <w:rFonts w:hint="eastAsia" w:ascii="仿宋_GB2312" w:eastAsia="仿宋_GB2312" w:cs="仿宋_GB2312"/>
                <w:sz w:val="32"/>
                <w:szCs w:val="32"/>
              </w:rPr>
              <w:t>5、全面推广湘莲、稻虾套养，签订生态养殖合同，封停投肥船只，收取水质保证金，严格禁止投肥投饵行为，有效杜绝源头污染;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414" w:type="dxa"/>
            <w:gridSpan w:val="14"/>
            <w:vAlign w:val="center"/>
          </w:tcPr>
          <w:p>
            <w:pPr>
              <w:pStyle w:val="10"/>
              <w:spacing w:beforeAutospacing="0" w:afterAutospacing="0"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北景港镇人民政府坚持以习近平新时代中国特色社会主义思想为指导，在县委和镇党委的坚强领导下，团结和依靠全镇人民，全面贯彻新发展理念，坚决落实高质量发展要求，紧紧围绕“工业兴镇、农业强镇、文化建镇、生态立镇”四大战略，狠抓民生实事落实落地，全镇经济社会呈现总体平稳、稳中向好的态势。</w:t>
            </w:r>
          </w:p>
          <w:p>
            <w:pPr>
              <w:keepNext/>
              <w:keepLines/>
              <w:shd w:val="clear" w:color="auto" w:fill="FFFFFF"/>
              <w:autoSpaceDE w:val="0"/>
              <w:autoSpaceDN w:val="0"/>
              <w:adjustRightInd w:val="0"/>
              <w:jc w:val="left"/>
              <w:rPr>
                <w:rFonts w:ascii="仿宋_GB2312" w:hAnsi="仿宋_GB2312" w:eastAsia="仿宋_GB2312" w:cs="仿宋_GB2312"/>
                <w:color w:val="00000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394"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386" w:type="dxa"/>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94"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国有资本经营预算财政拨款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机关及二级机构汇总</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2336.10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1907.10</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429.00</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1、机关</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2336.10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1907.10</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429.00</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394"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394"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394"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Merge w:val="continue"/>
            <w:vAlign w:val="center"/>
          </w:tcPr>
          <w:p>
            <w:pPr>
              <w:spacing w:line="320" w:lineRule="exact"/>
              <w:jc w:val="center"/>
              <w:rPr>
                <w:rFonts w:ascii="仿宋_GB2312" w:hAnsi="仿宋_GB2312" w:eastAsia="仿宋_GB2312" w:cs="仿宋_GB2312"/>
                <w:sz w:val="24"/>
              </w:rPr>
            </w:pPr>
          </w:p>
        </w:tc>
        <w:tc>
          <w:tcPr>
            <w:tcW w:w="1394"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Merge w:val="continue"/>
            <w:vAlign w:val="center"/>
          </w:tcPr>
          <w:p>
            <w:pPr>
              <w:spacing w:line="320" w:lineRule="exact"/>
              <w:jc w:val="center"/>
              <w:rPr>
                <w:rFonts w:ascii="仿宋_GB2312" w:hAnsi="仿宋_GB2312" w:eastAsia="仿宋_GB2312" w:cs="仿宋_GB2312"/>
                <w:sz w:val="24"/>
              </w:rPr>
            </w:pPr>
          </w:p>
        </w:tc>
        <w:tc>
          <w:tcPr>
            <w:tcW w:w="1394"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2336.10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928.71</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634.95</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293.76</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1407.39</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1、机关</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2336.10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928.71</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634.95</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293.76</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1407.39</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394"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Merge w:val="continue"/>
            <w:vAlign w:val="center"/>
          </w:tcPr>
          <w:p>
            <w:pPr>
              <w:spacing w:line="320" w:lineRule="exact"/>
              <w:jc w:val="center"/>
              <w:rPr>
                <w:rFonts w:ascii="仿宋_GB2312" w:hAnsi="仿宋_GB2312" w:eastAsia="仿宋_GB2312" w:cs="仿宋_GB2312"/>
                <w:sz w:val="24"/>
              </w:rPr>
            </w:pPr>
          </w:p>
        </w:tc>
        <w:tc>
          <w:tcPr>
            <w:tcW w:w="1394"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2.60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2.60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1、机关</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2.60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2.60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394"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Merge w:val="continue"/>
            <w:vAlign w:val="center"/>
          </w:tcPr>
          <w:p>
            <w:pPr>
              <w:spacing w:line="320" w:lineRule="exact"/>
              <w:jc w:val="center"/>
              <w:rPr>
                <w:rFonts w:ascii="仿宋_GB2312" w:hAnsi="仿宋_GB2312" w:eastAsia="仿宋_GB2312" w:cs="仿宋_GB2312"/>
                <w:sz w:val="24"/>
              </w:rPr>
            </w:pPr>
          </w:p>
        </w:tc>
        <w:tc>
          <w:tcPr>
            <w:tcW w:w="1394"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90.15</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90.15</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1、机关</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90.15</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90.15</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829"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3829" w:type="dxa"/>
            <w:gridSpan w:val="5"/>
            <w:vAlign w:val="center"/>
          </w:tcPr>
          <w:p>
            <w:pPr>
              <w:pStyle w:val="10"/>
              <w:widowControl/>
              <w:shd w:val="clear" w:color="auto" w:fill="FFFFFF"/>
              <w:spacing w:beforeAutospacing="0" w:afterAutospacing="0" w:line="33" w:lineRule="atLeast"/>
              <w:rPr>
                <w:rFonts w:ascii="仿宋_GB2312" w:eastAsia="仿宋_GB2312" w:cs="仿宋_GB2312"/>
              </w:rPr>
            </w:pPr>
            <w:r>
              <w:rPr>
                <w:rFonts w:hint="eastAsia" w:ascii="仿宋_GB2312" w:eastAsia="仿宋_GB2312" w:cs="仿宋_GB2312"/>
              </w:rPr>
              <w:t>1、完成13公里新景公路重建，硬化（拓宽）组级道路68公里；</w:t>
            </w:r>
          </w:p>
          <w:p>
            <w:pPr>
              <w:pStyle w:val="10"/>
              <w:widowControl/>
              <w:shd w:val="clear" w:color="auto" w:fill="FFFFFF"/>
              <w:spacing w:beforeAutospacing="0" w:afterAutospacing="0" w:line="33" w:lineRule="atLeast"/>
              <w:rPr>
                <w:rFonts w:eastAsia="仿宋_GB2312"/>
                <w:kern w:val="2"/>
              </w:rPr>
            </w:pPr>
            <w:r>
              <w:rPr>
                <w:rFonts w:hint="eastAsia" w:ascii="仿宋_GB2312" w:eastAsia="仿宋_GB2312" w:cs="仿宋_GB2312"/>
              </w:rPr>
              <w:t>2、南下路维修改造，康乐桥、育婴一桥等7座危桥维修、重建项目先后实施；</w:t>
            </w:r>
          </w:p>
          <w:p>
            <w:pPr>
              <w:pStyle w:val="10"/>
              <w:widowControl/>
              <w:shd w:val="clear" w:color="auto" w:fill="FFFFFF"/>
              <w:spacing w:beforeAutospacing="0" w:afterAutospacing="0" w:line="33" w:lineRule="atLeast"/>
              <w:rPr>
                <w:rFonts w:eastAsia="仿宋_GB2312"/>
                <w:kern w:val="2"/>
              </w:rPr>
            </w:pPr>
            <w:r>
              <w:rPr>
                <w:rFonts w:hint="eastAsia" w:ascii="仿宋_GB2312" w:eastAsia="仿宋_GB2312" w:cs="仿宋_GB2312"/>
              </w:rPr>
              <w:t>3、完成沙金、联华等7个村1.1万亩“旱改水”，沙金、协和、南顶等5个村高标准农田建设；</w:t>
            </w:r>
          </w:p>
          <w:p>
            <w:pPr>
              <w:autoSpaceDN w:val="0"/>
              <w:spacing w:line="320" w:lineRule="exact"/>
              <w:jc w:val="left"/>
              <w:textAlignment w:val="center"/>
            </w:pP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 w:hAnsi="仿宋" w:eastAsia="仿宋" w:cs="仿宋"/>
                <w:color w:val="000000"/>
                <w:sz w:val="24"/>
              </w:rPr>
              <w:t>按要求已完成。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3021"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eastAsia="仿宋_GB2312" w:cs="仿宋_GB2312"/>
                <w:sz w:val="24"/>
              </w:rPr>
              <w:t>完成沙金、联华等7个村1.1万亩“旱改水”，沙金、协和、南顶等5个村高标准农田建设；</w:t>
            </w:r>
          </w:p>
        </w:tc>
        <w:tc>
          <w:tcPr>
            <w:tcW w:w="2684" w:type="dxa"/>
            <w:gridSpan w:val="6"/>
            <w:vAlign w:val="center"/>
          </w:tcPr>
          <w:p>
            <w:pPr>
              <w:autoSpaceDN w:val="0"/>
              <w:spacing w:line="520" w:lineRule="exact"/>
              <w:jc w:val="center"/>
              <w:textAlignment w:val="center"/>
              <w:rPr>
                <w:rFonts w:ascii="仿宋_GB2312" w:hAnsi="仿宋_GB2312" w:eastAsia="仿宋_GB2312" w:cs="仿宋_GB2312"/>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pStyle w:val="10"/>
              <w:widowControl/>
              <w:shd w:val="clear" w:color="auto" w:fill="FFFFFF"/>
              <w:spacing w:beforeAutospacing="0" w:afterAutospacing="0" w:line="33" w:lineRule="atLeast"/>
              <w:rPr>
                <w:rFonts w:eastAsia="仿宋_GB2312"/>
                <w:kern w:val="2"/>
              </w:rPr>
            </w:pPr>
            <w:r>
              <w:rPr>
                <w:rFonts w:hint="eastAsia" w:ascii="仿宋_GB2312" w:eastAsia="仿宋_GB2312" w:cs="仿宋_GB2312"/>
              </w:rPr>
              <w:t>南下路维修改造，康乐桥、育婴一桥等7座危桥维修、重建项目先后实施；</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eastAsia="仿宋_GB2312" w:cs="仿宋_GB2312"/>
                <w:sz w:val="24"/>
              </w:rPr>
              <w:t>完成13公里新景公路重建，硬化（拓宽）组级道路68公里；</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Cs/>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eastAsia="仿宋_GB2312" w:cs="仿宋_GB2312"/>
                <w:sz w:val="24"/>
              </w:rPr>
              <w:t>推进厕所革命，累计新建三格式化粪池3322口；</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Cs/>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2021年年底前</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5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财政补助收入</w:t>
            </w:r>
          </w:p>
        </w:tc>
        <w:tc>
          <w:tcPr>
            <w:tcW w:w="2684" w:type="dxa"/>
            <w:gridSpan w:val="6"/>
          </w:tcPr>
          <w:p>
            <w:pPr>
              <w:jc w:val="center"/>
              <w:rPr>
                <w:rFonts w:ascii="仿宋_GB2312" w:hAnsi="仿宋_GB2312" w:eastAsia="仿宋_GB2312" w:cs="仿宋_GB2312"/>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5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上级补助收入</w:t>
            </w:r>
          </w:p>
        </w:tc>
        <w:tc>
          <w:tcPr>
            <w:tcW w:w="2684" w:type="dxa"/>
            <w:gridSpan w:val="6"/>
          </w:tcPr>
          <w:p>
            <w:pPr>
              <w:jc w:val="center"/>
              <w:rPr>
                <w:rFonts w:ascii="仿宋_GB2312" w:hAnsi="仿宋_GB2312" w:eastAsia="仿宋_GB2312" w:cs="仿宋_GB2312"/>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bCs/>
                <w:color w:val="000000"/>
                <w:sz w:val="24"/>
              </w:rPr>
            </w:pPr>
            <w:r>
              <w:rPr>
                <w:rFonts w:hint="eastAsia" w:ascii="仿宋_GB2312" w:eastAsia="仿宋_GB2312" w:cs="仿宋_GB2312"/>
                <w:sz w:val="24"/>
              </w:rPr>
              <w:t>全面落实渔民上岸政策，组织渔民再就业培训，落实危改、低保等保障措施，完成29户渔民上岸；</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 w:hAnsi="仿宋" w:eastAsia="仿宋" w:cs="仿宋"/>
                <w:color w:val="000000"/>
                <w:sz w:val="24"/>
              </w:rPr>
            </w:pPr>
            <w:r>
              <w:rPr>
                <w:rFonts w:hint="eastAsia" w:ascii="仿宋_GB2312" w:eastAsia="仿宋_GB2312" w:cs="仿宋_GB2312"/>
                <w:sz w:val="24"/>
              </w:rPr>
              <w:t>加强电商推广，打通农村综合服务“最后一公里”；</w:t>
            </w:r>
          </w:p>
        </w:tc>
        <w:tc>
          <w:tcPr>
            <w:tcW w:w="2684" w:type="dxa"/>
            <w:gridSpan w:val="6"/>
            <w:vAlign w:val="center"/>
          </w:tcPr>
          <w:p>
            <w:pPr>
              <w:jc w:val="center"/>
              <w:rPr>
                <w:rFonts w:ascii="仿宋" w:hAnsi="仿宋" w:eastAsia="仿宋" w:cs="仿宋"/>
                <w:color w:val="000000"/>
                <w:sz w:val="24"/>
              </w:rPr>
            </w:pPr>
            <w:r>
              <w:rPr>
                <w:rFonts w:hint="eastAsia" w:ascii="仿宋" w:hAnsi="仿宋" w:eastAsia="仿宋" w:cs="仿宋"/>
                <w:color w:val="000000"/>
                <w:sz w:val="24"/>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pStyle w:val="10"/>
              <w:widowControl/>
              <w:shd w:val="clear" w:color="auto" w:fill="FFFFFF"/>
              <w:spacing w:beforeAutospacing="0" w:afterAutospacing="0" w:line="33" w:lineRule="atLeast"/>
              <w:jc w:val="both"/>
              <w:rPr>
                <w:rFonts w:ascii="仿宋_GB2312" w:hAnsi="仿宋_GB2312" w:eastAsia="仿宋_GB2312" w:cs="仿宋_GB2312"/>
                <w:color w:val="000000"/>
              </w:rPr>
            </w:pPr>
            <w:r>
              <w:rPr>
                <w:rFonts w:hint="eastAsia" w:ascii="仿宋_GB2312" w:eastAsia="仿宋_GB2312" w:cs="仿宋_GB2312"/>
              </w:rPr>
              <w:t>种植500亩莲藕和100亩黑叶轮藻，增强大湖水质自身调节能力，确保水质持续稳定在Ⅲ类标准以上；</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群众满意</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
                <w:color w:val="000000"/>
                <w:sz w:val="24"/>
              </w:rPr>
              <w:t>较好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829"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386"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吴仁贵</w:t>
            </w:r>
          </w:p>
        </w:tc>
        <w:tc>
          <w:tcPr>
            <w:tcW w:w="3829"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纪委书记</w:t>
            </w:r>
          </w:p>
        </w:tc>
        <w:tc>
          <w:tcPr>
            <w:tcW w:w="1479"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镇机关</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386"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文作友</w:t>
            </w:r>
          </w:p>
        </w:tc>
        <w:tc>
          <w:tcPr>
            <w:tcW w:w="3829"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党委秘书</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镇机关</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386"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曾鑫</w:t>
            </w:r>
          </w:p>
        </w:tc>
        <w:tc>
          <w:tcPr>
            <w:tcW w:w="3829"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政府秘书</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镇机关</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386"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易相国</w:t>
            </w:r>
          </w:p>
        </w:tc>
        <w:tc>
          <w:tcPr>
            <w:tcW w:w="3829"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机关会计</w:t>
            </w:r>
          </w:p>
        </w:tc>
        <w:tc>
          <w:tcPr>
            <w:tcW w:w="1479"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财政所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5"/>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                          联系电话：</w:t>
      </w:r>
      <w:r>
        <w:rPr>
          <w:rFonts w:hint="eastAsia" w:eastAsia="仿宋_GB2312" w:cs="仿宋_GB2312"/>
          <w:bCs/>
          <w:sz w:val="28"/>
          <w:szCs w:val="28"/>
          <w:lang w:val="en-US" w:eastAsia="zh-CN"/>
        </w:rPr>
        <w:t>13974083132</w:t>
      </w:r>
    </w:p>
    <w:tbl>
      <w:tblPr>
        <w:tblStyle w:val="11"/>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华容县北景港镇人民政府</w:t>
            </w:r>
          </w:p>
          <w:p>
            <w:pPr>
              <w:spacing w:line="560" w:lineRule="exact"/>
              <w:jc w:val="center"/>
              <w:rPr>
                <w:rFonts w:ascii="仿宋" w:hAnsi="仿宋" w:eastAsia="仿宋" w:cs="仿宋_GB2312"/>
                <w:b/>
                <w:sz w:val="36"/>
                <w:szCs w:val="36"/>
              </w:rPr>
            </w:pPr>
            <w:r>
              <w:rPr>
                <w:rFonts w:ascii="仿宋" w:hAnsi="仿宋" w:eastAsia="仿宋" w:cs="仿宋_GB2312"/>
                <w:b/>
                <w:sz w:val="36"/>
                <w:szCs w:val="36"/>
              </w:rPr>
              <w:t>20</w:t>
            </w:r>
            <w:r>
              <w:rPr>
                <w:rFonts w:hint="eastAsia" w:ascii="仿宋" w:hAnsi="仿宋" w:eastAsia="仿宋" w:cs="仿宋_GB2312"/>
                <w:b/>
                <w:sz w:val="36"/>
                <w:szCs w:val="36"/>
              </w:rPr>
              <w:t>21年部门整体支出绩效评价报告</w:t>
            </w:r>
          </w:p>
          <w:p>
            <w:pPr>
              <w:spacing w:line="540" w:lineRule="exact"/>
              <w:ind w:firstLine="640" w:firstLineChars="200"/>
              <w:rPr>
                <w:rFonts w:ascii="仿宋_GB2312" w:eastAsia="仿宋_GB2312" w:cs="仿宋_GB2312"/>
                <w:sz w:val="32"/>
                <w:szCs w:val="32"/>
              </w:rPr>
            </w:pPr>
          </w:p>
          <w:p>
            <w:pPr>
              <w:spacing w:line="54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根据《华容县财政局关于开展2021年度部门整体支出绩效自评工作的通知》（华财函〔2022〕37号）的相关规定和要求，现对我部门2021年度整体支出开展绩效自评，现将情况汇报如下：</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一、部门概况</w:t>
            </w:r>
          </w:p>
          <w:p>
            <w:pPr>
              <w:spacing w:line="560" w:lineRule="exact"/>
              <w:ind w:firstLine="320" w:firstLineChars="100"/>
              <w:rPr>
                <w:rFonts w:ascii="仿宋_GB2312" w:eastAsia="仿宋_GB2312" w:cs="仿宋_GB2312"/>
                <w:sz w:val="32"/>
                <w:szCs w:val="32"/>
              </w:rPr>
            </w:pPr>
            <w:r>
              <w:rPr>
                <w:rFonts w:hint="eastAsia" w:ascii="仿宋_GB2312" w:eastAsia="仿宋_GB2312" w:cs="仿宋_GB2312"/>
                <w:sz w:val="32"/>
                <w:szCs w:val="32"/>
              </w:rPr>
              <w:t>（一）部门基本情况</w:t>
            </w:r>
          </w:p>
          <w:p>
            <w:pPr>
              <w:spacing w:line="540" w:lineRule="exact"/>
              <w:ind w:firstLine="480" w:firstLineChars="150"/>
              <w:rPr>
                <w:rFonts w:ascii="仿宋_GB2312" w:eastAsia="仿宋_GB2312" w:cs="仿宋_GB2312"/>
                <w:sz w:val="32"/>
                <w:szCs w:val="32"/>
              </w:rPr>
            </w:pPr>
            <w:r>
              <w:rPr>
                <w:rFonts w:hint="eastAsia" w:ascii="仿宋_GB2312" w:eastAsia="仿宋_GB2312" w:cs="仿宋_GB2312"/>
                <w:sz w:val="32"/>
                <w:szCs w:val="32"/>
              </w:rPr>
              <w:t>华容县北景港镇人民政府共有镇政府机关、镇财政所、镇农业综合服务中心、镇社会事业综合服务中心、镇退役军人服务站、镇综合行政执法大队、镇水利服务站7个独立核算工作机构。现有人员编制63名（其中：行政编制31名，事业全额编制32名），实有在职干部、职工63人。</w:t>
            </w:r>
          </w:p>
          <w:p>
            <w:pPr>
              <w:numPr>
                <w:ilvl w:val="0"/>
                <w:numId w:val="1"/>
              </w:numPr>
              <w:spacing w:line="560" w:lineRule="exact"/>
              <w:ind w:firstLine="640"/>
              <w:rPr>
                <w:rFonts w:ascii="仿宋_GB2312" w:eastAsia="仿宋_GB2312" w:cs="仿宋_GB2312"/>
                <w:sz w:val="32"/>
                <w:szCs w:val="32"/>
              </w:rPr>
            </w:pPr>
            <w:r>
              <w:rPr>
                <w:rFonts w:hint="eastAsia" w:ascii="仿宋_GB2312" w:eastAsia="仿宋_GB2312" w:cs="仿宋_GB2312"/>
                <w:sz w:val="32"/>
                <w:szCs w:val="32"/>
              </w:rPr>
              <w:t>部门整体支出规模、使用方向和主要内容、涉及范围等</w:t>
            </w:r>
          </w:p>
          <w:p>
            <w:pPr>
              <w:spacing w:line="560" w:lineRule="exact"/>
              <w:ind w:firstLine="480" w:firstLineChars="150"/>
              <w:rPr>
                <w:rFonts w:ascii="仿宋_GB2312" w:eastAsia="仿宋_GB2312" w:cs="仿宋_GB2312"/>
                <w:sz w:val="32"/>
                <w:szCs w:val="32"/>
              </w:rPr>
            </w:pPr>
            <w:r>
              <w:rPr>
                <w:rFonts w:hint="eastAsia" w:ascii="仿宋_GB2312" w:eastAsia="仿宋_GB2312" w:cs="仿宋_GB2312"/>
                <w:kern w:val="0"/>
                <w:sz w:val="32"/>
                <w:szCs w:val="32"/>
              </w:rPr>
              <w:t>2021年，县财政下达我单位预算总收入2336.10万元，其中：一般公共预算财政拨款收入1907.10万元，政府性基金收入429.00万元；预算总支出2336.10万元；年末无结余，预算收支平衡。预算拨款总额比2020年增加603.12万元，增加的主要原因政府加大了对农村的投入，项目增加。其中工资福利支出634.95万元，一般商品和服务支出293.76万元，项目支出1407.39万元。资金主要用于：完成13公里新景公路重建，硬化（拓宽）组级道路68公里；南下路维修改造，康乐桥、育婴一桥等7座危桥维修、重建项目先后实施；完成沙金、联华等7个村1.1万亩“旱改水”，沙金、协和、南顶等5个村高标准农田建设；鲤鱼鳃村集中建房示范点项目、</w:t>
            </w:r>
            <w:r>
              <w:rPr>
                <w:rFonts w:hint="eastAsia" w:ascii="仿宋_GB2312" w:eastAsia="仿宋_GB2312" w:cs="仿宋_GB2312"/>
                <w:sz w:val="32"/>
                <w:szCs w:val="32"/>
              </w:rPr>
              <w:t>两湖渍堤整险工程、集镇棚改项目、敬老院维修改造项目、派出所办公大楼维修改造项目、污水处理厂建设项目等相继完工。</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二、部门整体支出管理及使用情况</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（一）基本支出</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w:t>
            </w:r>
            <w:r>
              <w:rPr>
                <w:rFonts w:hint="eastAsia" w:ascii="仿宋_GB2312" w:eastAsia="仿宋_GB2312" w:cs="仿宋_GB2312"/>
                <w:b/>
                <w:sz w:val="32"/>
                <w:szCs w:val="32"/>
              </w:rPr>
              <w:t>收入情况</w:t>
            </w:r>
            <w:r>
              <w:rPr>
                <w:rFonts w:hint="eastAsia" w:ascii="仿宋_GB2312" w:eastAsia="仿宋_GB2312" w:cs="仿宋_GB2312"/>
                <w:sz w:val="32"/>
                <w:szCs w:val="32"/>
              </w:rPr>
              <w:t>：2021年预算总收入2336.10万元。其中：经费拨款2336.10万元。预算总支出2336.10万元。预算收支平衡。</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w:t>
            </w:r>
            <w:r>
              <w:rPr>
                <w:rFonts w:hint="eastAsia" w:ascii="仿宋_GB2312" w:eastAsia="仿宋_GB2312" w:cs="仿宋_GB2312"/>
                <w:b/>
                <w:sz w:val="32"/>
                <w:szCs w:val="32"/>
              </w:rPr>
              <w:t>支出情况</w:t>
            </w:r>
            <w:r>
              <w:rPr>
                <w:rFonts w:hint="eastAsia" w:ascii="仿宋_GB2312" w:eastAsia="仿宋_GB2312" w:cs="仿宋_GB2312"/>
                <w:sz w:val="32"/>
                <w:szCs w:val="32"/>
              </w:rPr>
              <w:t>：2021年预算总支出2336.10万元。其中：工资福利支出634.95万元，一般商品和服务支出293.76万元，项目支出1407.39万元。</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w:t>
            </w:r>
            <w:r>
              <w:rPr>
                <w:rFonts w:hint="eastAsia" w:ascii="仿宋_GB2312" w:eastAsia="仿宋_GB2312" w:cs="仿宋_GB2312"/>
                <w:b/>
                <w:sz w:val="32"/>
                <w:szCs w:val="32"/>
              </w:rPr>
              <w:t>“三公经费”支出情况分析</w:t>
            </w:r>
            <w:r>
              <w:rPr>
                <w:rFonts w:hint="eastAsia" w:ascii="仿宋_GB2312" w:eastAsia="仿宋_GB2312" w:cs="仿宋_GB2312"/>
                <w:sz w:val="32"/>
                <w:szCs w:val="32"/>
              </w:rPr>
              <w:t>：2021年华容县北景港镇人民政府“三公经费”实际开支2.60万元。其中公</w:t>
            </w:r>
            <w:bookmarkStart w:id="0" w:name="_GoBack"/>
            <w:bookmarkEnd w:id="0"/>
            <w:r>
              <w:rPr>
                <w:rFonts w:hint="eastAsia" w:ascii="仿宋_GB2312" w:eastAsia="仿宋_GB2312" w:cs="仿宋_GB2312"/>
                <w:sz w:val="32"/>
                <w:szCs w:val="32"/>
              </w:rPr>
              <w:t>务接待费2.60万元。</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w:t>
            </w:r>
            <w:r>
              <w:rPr>
                <w:rFonts w:hint="eastAsia" w:ascii="仿宋_GB2312" w:eastAsia="仿宋_GB2312" w:cs="仿宋_GB2312"/>
                <w:b/>
                <w:sz w:val="32"/>
                <w:szCs w:val="32"/>
              </w:rPr>
              <w:t>固定资产管理情况分析</w:t>
            </w:r>
            <w:r>
              <w:rPr>
                <w:rFonts w:hint="eastAsia" w:ascii="仿宋_GB2312" w:eastAsia="仿宋_GB2312" w:cs="仿宋_GB2312"/>
                <w:sz w:val="32"/>
                <w:szCs w:val="32"/>
              </w:rPr>
              <w:t>：按照例行节约，物尽其用的原则，华容县北景港镇人民政府资产管理采取统一建账，统一核算管理，对每件固定资产使用明确保管职责，闲置的资产，由办公室统一调整，合理流动，发挥其效益；至2021年12月有固定资产</w:t>
            </w:r>
            <w:r>
              <w:rPr>
                <w:rFonts w:hint="eastAsia" w:ascii="仿宋_GB2312" w:eastAsia="仿宋_GB2312" w:cs="仿宋_GB2312"/>
                <w:sz w:val="32"/>
                <w:szCs w:val="32"/>
                <w:lang w:val="en-US" w:eastAsia="zh-CN"/>
              </w:rPr>
              <w:t>90.15</w:t>
            </w:r>
            <w:r>
              <w:rPr>
                <w:rFonts w:hint="eastAsia" w:ascii="仿宋_GB2312" w:eastAsia="仿宋_GB2312" w:cs="仿宋_GB2312"/>
                <w:sz w:val="32"/>
                <w:szCs w:val="32"/>
              </w:rPr>
              <w:t>万元，全部在用，保证了资产的安全高效，防止资产流失。</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（二）专项支出</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w:t>
            </w:r>
            <w:r>
              <w:rPr>
                <w:rFonts w:hint="eastAsia" w:ascii="仿宋_GB2312" w:eastAsia="仿宋_GB2312" w:cs="仿宋_GB2312"/>
                <w:b/>
                <w:sz w:val="32"/>
                <w:szCs w:val="32"/>
              </w:rPr>
              <w:t>专项资金安排落实、总投入等情况分析</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2021年项目支出为1407.39万元，占总支出的60.25%，主要是项目建设支付的办公费、印刷费、差旅费、会议费、培训费、劳务费、基础设施建设、大型修缮等商品和服务支出。其中商品和服务支出1407.39万元。</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w:t>
            </w:r>
            <w:r>
              <w:rPr>
                <w:rFonts w:hint="eastAsia" w:ascii="仿宋_GB2312" w:eastAsia="仿宋_GB2312" w:cs="仿宋_GB2312"/>
                <w:b/>
                <w:sz w:val="32"/>
                <w:szCs w:val="32"/>
              </w:rPr>
              <w:t>专项资金实际使用情况分析</w:t>
            </w:r>
          </w:p>
          <w:p>
            <w:pPr>
              <w:spacing w:line="560" w:lineRule="exact"/>
              <w:ind w:firstLine="588" w:firstLineChars="184"/>
              <w:rPr>
                <w:rFonts w:ascii="仿宋_GB2312" w:eastAsia="仿宋_GB2312" w:cs="仿宋_GB2312"/>
                <w:sz w:val="32"/>
                <w:szCs w:val="32"/>
              </w:rPr>
            </w:pPr>
            <w:r>
              <w:rPr>
                <w:rFonts w:hint="eastAsia" w:ascii="仿宋_GB2312" w:eastAsia="仿宋_GB2312" w:cs="仿宋_GB2312"/>
                <w:sz w:val="32"/>
                <w:szCs w:val="32"/>
              </w:rPr>
              <w:t>2021年专项总收入1407.39万元，专项总支出1407.39万元，收支平衡，无资金结余。</w:t>
            </w:r>
          </w:p>
          <w:p>
            <w:pPr>
              <w:spacing w:line="560" w:lineRule="exact"/>
              <w:ind w:firstLine="640" w:firstLineChars="200"/>
              <w:rPr>
                <w:rFonts w:ascii="仿宋_GB2312" w:eastAsia="仿宋_GB2312" w:cs="仿宋_GB2312"/>
                <w:b/>
                <w:sz w:val="32"/>
                <w:szCs w:val="32"/>
              </w:rPr>
            </w:pPr>
            <w:r>
              <w:rPr>
                <w:rFonts w:hint="eastAsia" w:ascii="仿宋_GB2312" w:eastAsia="仿宋_GB2312" w:cs="仿宋_GB2312"/>
                <w:sz w:val="32"/>
                <w:szCs w:val="32"/>
              </w:rPr>
              <w:t>3.</w:t>
            </w:r>
            <w:r>
              <w:rPr>
                <w:rFonts w:hint="eastAsia" w:ascii="仿宋_GB2312" w:eastAsia="仿宋_GB2312" w:cs="仿宋_GB2312"/>
                <w:b/>
                <w:sz w:val="32"/>
                <w:szCs w:val="32"/>
              </w:rPr>
              <w:t>专项资金管理情况分析</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为加强项目资金管理，规范项目资金管理行为，提高项目管理水平及项目资金使用效益，本部门制定了财务管理制度、项目资金管理制度、专项资金管理办法等，对项目管理职责、申报与组织实施、项目资金的管理、监督检查与验收等进行了规定，成立了工作领导小组、明确工作职责、确定责任单位、制定工作方案、项目实施细则、考核办法等。项目资金严格按指定用途专款专用，实行专项报告制度，并接受财政部门或上级部门的检查、验收。2021年本部门项目支出，基本能够严格按照相关制度规定等进行。</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 xml:space="preserve"> 三、部门专项组织实施情况</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（一）专项组织情况分析，主要包括项目招投标、调整、竣工验收等情况</w:t>
            </w:r>
          </w:p>
          <w:p>
            <w:pPr>
              <w:pStyle w:val="10"/>
              <w:widowControl/>
              <w:shd w:val="clear" w:color="auto" w:fill="FFFFFF"/>
              <w:spacing w:beforeAutospacing="0" w:afterAutospacing="0" w:line="510"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项目招投标方面，凡是单个货物项目采购金额达到40万元的，单个服务项目采购金额达到50万元的，单个工程项目采购金额达到60万元的，均依法采用公开招投标方式组织项目实施；一般情况下，不进行项目调整，确需要调整的，均依照财政部门规定，按照程序报批后方予以调整；所有项目竣工验收等工作，均由业务科室按照规定程序进行，验收完成后财务方开展报账和支付工作。</w:t>
            </w:r>
          </w:p>
          <w:p>
            <w:pPr>
              <w:pStyle w:val="10"/>
              <w:widowControl/>
              <w:shd w:val="clear" w:color="auto" w:fill="FFFFFF"/>
              <w:spacing w:beforeAutospacing="0" w:afterAutospacing="0" w:line="510"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（二）专项管理情况分析，主要包括项目管理制度建设、日常检查监督管理等情况</w:t>
            </w:r>
          </w:p>
          <w:p>
            <w:pPr>
              <w:pStyle w:val="10"/>
              <w:widowControl/>
              <w:shd w:val="clear" w:color="auto" w:fill="FFFFFF"/>
              <w:spacing w:beforeAutospacing="0" w:afterAutospacing="0" w:line="510"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为确保专项有效实施，提高专项资金的使用效率，根据省市级财政部门的专项项目和资金管理办法，我部门制定了《财务管理制度》；项目资金下达我单位后，合理编制项目预算并按照程序报批，加强项目实施前、实施中、实施后的监督管理，提高项目资金使用效益。</w:t>
            </w:r>
          </w:p>
          <w:p>
            <w:pPr>
              <w:numPr>
                <w:ilvl w:val="0"/>
                <w:numId w:val="2"/>
              </w:num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部门整体支出绩效情况</w:t>
            </w:r>
          </w:p>
          <w:p>
            <w:pPr>
              <w:shd w:val="clear" w:color="auto" w:fill="FFFFFF"/>
              <w:spacing w:line="64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 xml:space="preserve">    乡村面貌有新改善。农村环境更加宜居。持续开展农村人居环境集中整治行动，清理垃圾池8000多口，疏浚沟渠560多条。累计种植树木3.1万株，绿化沟渠56.3公里；完成小广场建设9处；治理黑臭水体6处，清退畜禽养殖污染户1户；同步推进厕所革命，累计新建三格式化粪池3322口；实现畜禽粪污资源化利用；深入推进河长制工作，育婴西渠样板河打造被湖南省红网频道作为先进典型大力推介。“两湖”水质更加清澈。大力推进“两湖”周边精养鱼池和耕地种植转型，全面推广湘莲、稻虾套养，签订生态养殖合同，封停投肥船只，收取水质保证金，严格禁止投肥投饵行为，有效杜绝源头污染。种植500亩莲藕和100亩黑叶轮藻，增强大湖水质自身调节能力，确保水质持续稳定在Ⅲ类标准以上。全面落实渔民上岸政策，组织渔民再就业培训，落实危改、低保等保障措施，完成29户渔民上岸。农村建房更加规范。累计拆除“四房”587栋，约5.8万平方米，偏杂房1475间，约3.2万平方米，违建棚亭320处，村容村貌明显改善。按照“新增违建零容忍、存量违建拆除零补偿”的原则，建立健全审批机制，依法办证建房成效明显。加大农村违法建设集中整治力度，共拆除违法建筑9处1240平米，起到了较好的警示作用。</w:t>
            </w:r>
          </w:p>
          <w:p>
            <w:pPr>
              <w:spacing w:line="64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社会事业有新进步。贫困人口全面“清零”。完成易地扶贫搬迁84户，落实危房改造171户；发放教育补助资金102万元；755名贫困人口全部享受医疗一站式结算；产业扶贫资金202.05万元全部到位，实现贫困户全覆盖；提供公益岗位180人次，解决就业138人。全镇贫困人口人均年纯收入从2014年的1582.77元增加到2020年的10797.63元，实现贫困人口全面“清零”。项目建设全面加速。努力克服经济持续下行，政府投资项目持续压减的不利因素，全力争项争资。完成13公里新景公路重建，硬化（拓宽）组级道路68公里；南下路维修改造，康乐桥、育婴一桥等7座危桥维修、重建项目先后实施；完成沙金、联华等7个村1.1万亩“旱改水”，沙金、协和、南顶等5个村高标准农田建设；鲤鱼鳃村集中建房示范点项目、两湖渍堤整险工程、集镇棚改项目、敬老院维修改造项目、派出所办公大楼维修改造项目、污水处理厂建设项目等相继完工。移风易俗全面深入。广泛开展“星级文明户”“最美庭院”“好媳妇好婆婆”等评选活动，广大群众</w:t>
            </w:r>
            <w:r>
              <w:rPr>
                <w:rFonts w:ascii="仿宋_GB2312" w:eastAsia="仿宋_GB2312" w:cs="仿宋_GB2312"/>
                <w:sz w:val="32"/>
                <w:szCs w:val="32"/>
              </w:rPr>
              <w:t>“争做文明户、学习文明户”的良好氛围</w:t>
            </w:r>
            <w:r>
              <w:rPr>
                <w:rFonts w:hint="eastAsia" w:ascii="仿宋_GB2312" w:eastAsia="仿宋_GB2312" w:cs="仿宋_GB2312"/>
                <w:sz w:val="32"/>
                <w:szCs w:val="32"/>
              </w:rPr>
              <w:t>逐步形成</w:t>
            </w:r>
            <w:r>
              <w:rPr>
                <w:rFonts w:ascii="仿宋_GB2312" w:eastAsia="仿宋_GB2312" w:cs="仿宋_GB2312"/>
                <w:sz w:val="32"/>
                <w:szCs w:val="32"/>
              </w:rPr>
              <w:t>。</w:t>
            </w:r>
            <w:r>
              <w:rPr>
                <w:rFonts w:hint="eastAsia" w:ascii="仿宋_GB2312" w:eastAsia="仿宋_GB2312" w:cs="仿宋_GB2312"/>
                <w:sz w:val="32"/>
                <w:szCs w:val="32"/>
              </w:rPr>
              <w:t>大力倡导“鲜花上祭、集体送学、送兵、生态安葬”等文明新风，表彰正面典型，曝光反面案例，加强宣传教育，加大巡察劝导，“婚事新办、丧事简办、其他不办”的文明理念深入人心。</w:t>
            </w:r>
          </w:p>
          <w:p>
            <w:pPr>
              <w:pStyle w:val="2"/>
              <w:ind w:firstLine="320"/>
              <w:rPr>
                <w:rFonts w:ascii="仿宋_GB2312" w:eastAsia="仿宋_GB2312" w:cs="仿宋_GB2312"/>
                <w:sz w:val="32"/>
                <w:szCs w:val="32"/>
              </w:rPr>
            </w:pPr>
            <w:r>
              <w:rPr>
                <w:rFonts w:hint="eastAsia" w:ascii="仿宋_GB2312" w:eastAsia="仿宋_GB2312" w:cs="仿宋_GB2312"/>
                <w:sz w:val="32"/>
                <w:szCs w:val="32"/>
              </w:rPr>
              <w:t xml:space="preserve">  五、存在的主要问题</w:t>
            </w:r>
          </w:p>
          <w:p>
            <w:pPr>
              <w:pStyle w:val="10"/>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 xml:space="preserve"> 1、预算编制工作有待细化。预算编制不够明确和细化，预算编制的合理性需要提高，预算执行力度还要进一步加强。</w:t>
            </w:r>
          </w:p>
          <w:p>
            <w:pPr>
              <w:pStyle w:val="10"/>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2、公用经费控制有一定难度，基本为刚性支出。</w:t>
            </w:r>
          </w:p>
          <w:p>
            <w:pPr>
              <w:pStyle w:val="10"/>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3、财务管理和财务规范有待进一步加强。在实施内部监督制度和内部控制制度时，还未能完全达到新《会计法》规定要求。需要进一步修订财务管理制度和各项财务规章制度，加强财务监督。</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六、改进措施和有关建议</w:t>
            </w:r>
          </w:p>
          <w:p>
            <w:pPr>
              <w:pStyle w:val="10"/>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针对上述存在的问题及对外整体支出管理工作的需要，拟实施的改进措施如下：</w:t>
            </w:r>
          </w:p>
          <w:p>
            <w:pPr>
              <w:pStyle w:val="10"/>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1、细化预算编制工作，认真做好预算的编制。进一步加强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pStyle w:val="10"/>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pStyle w:val="10"/>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pStyle w:val="10"/>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4、对相关人员加强培训，特别是针对《预算法》、《行政事业单位会计制度》等学习培训，规范部门预算收支核算，切实提高部门预算收支管理水平。 </w:t>
            </w:r>
          </w:p>
          <w:p>
            <w:pPr>
              <w:pStyle w:val="10"/>
              <w:widowControl/>
              <w:shd w:val="clear" w:color="auto" w:fill="FFFFFF"/>
              <w:spacing w:beforeAutospacing="0" w:afterAutospacing="0" w:line="33" w:lineRule="atLeast"/>
              <w:jc w:val="both"/>
              <w:rPr>
                <w:rFonts w:ascii="仿宋_GB2312" w:eastAsia="仿宋_GB2312" w:cs="仿宋_GB2312"/>
                <w:kern w:val="2"/>
                <w:sz w:val="32"/>
                <w:szCs w:val="32"/>
              </w:rPr>
            </w:pPr>
          </w:p>
        </w:tc>
      </w:tr>
    </w:tbl>
    <w:p>
      <w:pPr>
        <w:spacing w:line="348" w:lineRule="auto"/>
        <w:rPr>
          <w:rFonts w:ascii="仿宋_GB2312" w:eastAsia="仿宋_GB2312" w:cs="仿宋_GB2312"/>
          <w:sz w:val="32"/>
          <w:szCs w:val="32"/>
        </w:rPr>
      </w:pPr>
    </w:p>
    <w:p>
      <w:pPr>
        <w:spacing w:beforeLines="50" w:line="760" w:lineRule="exact"/>
        <w:rPr>
          <w:rFonts w:ascii="黑体" w:hAnsi="黑体" w:eastAsia="黑体"/>
          <w:sz w:val="32"/>
          <w:szCs w:val="32"/>
        </w:rPr>
      </w:pP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11"/>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11"/>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94</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Lines="50"/>
        <w:ind w:firstLine="960" w:firstLineChars="300"/>
        <w:contextualSpacing/>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sz w:val="24"/>
        <w:szCs w:val="24"/>
      </w:rPr>
    </w:pPr>
    <w:r>
      <w:rPr>
        <w:rStyle w:val="13"/>
        <w:rFonts w:hint="eastAsia"/>
        <w:sz w:val="24"/>
        <w:szCs w:val="24"/>
      </w:rPr>
      <w:t xml:space="preserve">— </w:t>
    </w:r>
    <w:r>
      <w:rPr>
        <w:sz w:val="24"/>
        <w:szCs w:val="24"/>
      </w:rPr>
      <w:fldChar w:fldCharType="begin"/>
    </w:r>
    <w:r>
      <w:rPr>
        <w:rStyle w:val="13"/>
        <w:sz w:val="24"/>
        <w:szCs w:val="24"/>
      </w:rPr>
      <w:instrText xml:space="preserve">PAGE  </w:instrText>
    </w:r>
    <w:r>
      <w:rPr>
        <w:sz w:val="24"/>
        <w:szCs w:val="24"/>
      </w:rPr>
      <w:fldChar w:fldCharType="separate"/>
    </w:r>
    <w:r>
      <w:rPr>
        <w:rStyle w:val="13"/>
        <w:sz w:val="24"/>
        <w:szCs w:val="24"/>
      </w:rPr>
      <w:t>1</w:t>
    </w:r>
    <w:r>
      <w:rPr>
        <w:sz w:val="24"/>
        <w:szCs w:val="24"/>
      </w:rPr>
      <w:fldChar w:fldCharType="end"/>
    </w:r>
    <w:r>
      <w:rPr>
        <w:rStyle w:val="13"/>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sz w:val="24"/>
        <w:szCs w:val="24"/>
      </w:rPr>
    </w:pPr>
    <w:r>
      <w:rPr>
        <w:rStyle w:val="13"/>
        <w:rFonts w:hint="eastAsia"/>
        <w:sz w:val="24"/>
        <w:szCs w:val="24"/>
      </w:rPr>
      <w:t xml:space="preserve">— </w:t>
    </w:r>
    <w:r>
      <w:rPr>
        <w:sz w:val="24"/>
        <w:szCs w:val="24"/>
      </w:rPr>
      <w:fldChar w:fldCharType="begin"/>
    </w:r>
    <w:r>
      <w:rPr>
        <w:rStyle w:val="13"/>
        <w:sz w:val="24"/>
        <w:szCs w:val="24"/>
      </w:rPr>
      <w:instrText xml:space="preserve">PAGE  </w:instrText>
    </w:r>
    <w:r>
      <w:rPr>
        <w:sz w:val="24"/>
        <w:szCs w:val="24"/>
      </w:rPr>
      <w:fldChar w:fldCharType="separate"/>
    </w:r>
    <w:r>
      <w:rPr>
        <w:rStyle w:val="13"/>
        <w:sz w:val="24"/>
        <w:szCs w:val="24"/>
      </w:rPr>
      <w:t>17</w:t>
    </w:r>
    <w:r>
      <w:rPr>
        <w:sz w:val="24"/>
        <w:szCs w:val="24"/>
      </w:rPr>
      <w:fldChar w:fldCharType="end"/>
    </w:r>
    <w:r>
      <w:rPr>
        <w:rStyle w:val="13"/>
        <w:rFonts w:hint="eastAsia"/>
        <w:sz w:val="24"/>
        <w:szCs w:val="24"/>
      </w:rPr>
      <w:t xml:space="preserve"> —</w:t>
    </w:r>
  </w:p>
  <w:p>
    <w:pPr>
      <w:pStyle w:val="7"/>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r>
      <w:fldChar w:fldCharType="begin"/>
    </w:r>
    <w:r>
      <w:rPr>
        <w:rStyle w:val="13"/>
      </w:rPr>
      <w:instrText xml:space="preserve">PAGE  </w:instrText>
    </w:r>
    <w:r>
      <w:fldChar w:fldCharType="end"/>
    </w:r>
  </w:p>
  <w:p>
    <w:pPr>
      <w:pStyle w:val="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06FBDD"/>
    <w:multiLevelType w:val="singleLevel"/>
    <w:tmpl w:val="F606FBDD"/>
    <w:lvl w:ilvl="0" w:tentative="0">
      <w:start w:val="2"/>
      <w:numFmt w:val="chineseCounting"/>
      <w:suff w:val="nothing"/>
      <w:lvlText w:val="（%1）"/>
      <w:lvlJc w:val="left"/>
      <w:pPr>
        <w:ind w:left="-430"/>
      </w:pPr>
      <w:rPr>
        <w:rFonts w:hint="eastAsia"/>
      </w:rPr>
    </w:lvl>
  </w:abstractNum>
  <w:abstractNum w:abstractNumId="1">
    <w:nsid w:val="7A2B9B5A"/>
    <w:multiLevelType w:val="singleLevel"/>
    <w:tmpl w:val="7A2B9B5A"/>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QzZjc5NTllMGFiYmY5NmVhMTllZTJlYTQ3YTVjMjgifQ=="/>
  </w:docVars>
  <w:rsids>
    <w:rsidRoot w:val="2CE55C20"/>
    <w:rsid w:val="00030413"/>
    <w:rsid w:val="00245D4A"/>
    <w:rsid w:val="002B6D1D"/>
    <w:rsid w:val="00347106"/>
    <w:rsid w:val="00426ECF"/>
    <w:rsid w:val="004836F9"/>
    <w:rsid w:val="00773F76"/>
    <w:rsid w:val="007B2063"/>
    <w:rsid w:val="008006DF"/>
    <w:rsid w:val="008137C2"/>
    <w:rsid w:val="00845553"/>
    <w:rsid w:val="00A455CA"/>
    <w:rsid w:val="00BA7BA8"/>
    <w:rsid w:val="00C67DA1"/>
    <w:rsid w:val="00C9566A"/>
    <w:rsid w:val="00DC46D3"/>
    <w:rsid w:val="00DF0B13"/>
    <w:rsid w:val="00EA5B0B"/>
    <w:rsid w:val="00F04BFA"/>
    <w:rsid w:val="00FF7E99"/>
    <w:rsid w:val="01C12073"/>
    <w:rsid w:val="07BA4BBC"/>
    <w:rsid w:val="083749E7"/>
    <w:rsid w:val="0C5C3A6E"/>
    <w:rsid w:val="0CB679B8"/>
    <w:rsid w:val="0DE528CD"/>
    <w:rsid w:val="0FD100BD"/>
    <w:rsid w:val="10054735"/>
    <w:rsid w:val="12E73478"/>
    <w:rsid w:val="1336279F"/>
    <w:rsid w:val="164906D3"/>
    <w:rsid w:val="16D12757"/>
    <w:rsid w:val="18591495"/>
    <w:rsid w:val="18725427"/>
    <w:rsid w:val="1F3C6017"/>
    <w:rsid w:val="1F4A2055"/>
    <w:rsid w:val="21D538D8"/>
    <w:rsid w:val="2527620E"/>
    <w:rsid w:val="254E2FC7"/>
    <w:rsid w:val="25B607B7"/>
    <w:rsid w:val="263C173A"/>
    <w:rsid w:val="289D055E"/>
    <w:rsid w:val="2A770606"/>
    <w:rsid w:val="2C0B2FE1"/>
    <w:rsid w:val="2C9F197B"/>
    <w:rsid w:val="2CA33441"/>
    <w:rsid w:val="2CE55C20"/>
    <w:rsid w:val="2F287302"/>
    <w:rsid w:val="30426D13"/>
    <w:rsid w:val="37020C57"/>
    <w:rsid w:val="3A43255A"/>
    <w:rsid w:val="3A6A0AB2"/>
    <w:rsid w:val="3C5140AE"/>
    <w:rsid w:val="3D6201A1"/>
    <w:rsid w:val="3EC46785"/>
    <w:rsid w:val="3F8A6044"/>
    <w:rsid w:val="42AC2663"/>
    <w:rsid w:val="43A702D9"/>
    <w:rsid w:val="44592EA4"/>
    <w:rsid w:val="45A60C70"/>
    <w:rsid w:val="472B7292"/>
    <w:rsid w:val="477245B4"/>
    <w:rsid w:val="49617FA5"/>
    <w:rsid w:val="4B384C42"/>
    <w:rsid w:val="4BAD6FBB"/>
    <w:rsid w:val="4C2E0FB2"/>
    <w:rsid w:val="4D171D42"/>
    <w:rsid w:val="4E4F0BB0"/>
    <w:rsid w:val="534E714B"/>
    <w:rsid w:val="53C75F39"/>
    <w:rsid w:val="561F7B55"/>
    <w:rsid w:val="59A43D8B"/>
    <w:rsid w:val="5AFE0027"/>
    <w:rsid w:val="5BE95901"/>
    <w:rsid w:val="68071BA7"/>
    <w:rsid w:val="6A0A15CD"/>
    <w:rsid w:val="6D452F22"/>
    <w:rsid w:val="6DC85BA0"/>
    <w:rsid w:val="6DF352BD"/>
    <w:rsid w:val="6F306E05"/>
    <w:rsid w:val="705E3E6D"/>
    <w:rsid w:val="71C1048A"/>
    <w:rsid w:val="7396188C"/>
    <w:rsid w:val="73A6715E"/>
    <w:rsid w:val="73F35F5B"/>
    <w:rsid w:val="74275169"/>
    <w:rsid w:val="79C04582"/>
    <w:rsid w:val="79E7401E"/>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before="100" w:beforeAutospacing="1" w:after="120"/>
    </w:pPr>
  </w:style>
  <w:style w:type="paragraph" w:customStyle="1" w:styleId="4">
    <w:name w:val="正文首行缩进1"/>
    <w:basedOn w:val="1"/>
    <w:qFormat/>
    <w:uiPriority w:val="0"/>
    <w:pPr>
      <w:spacing w:after="120"/>
      <w:ind w:firstLine="420" w:firstLineChars="100"/>
    </w:pPr>
  </w:style>
  <w:style w:type="paragraph" w:styleId="5">
    <w:name w:val="Normal Indent"/>
    <w:basedOn w:val="1"/>
    <w:unhideWhenUsed/>
    <w:qFormat/>
    <w:uiPriority w:val="0"/>
    <w:pPr>
      <w:ind w:firstLine="420" w:firstLineChars="200"/>
    </w:pPr>
    <w:rPr>
      <w:rFonts w:hint="eastAsia"/>
    </w:rPr>
  </w:style>
  <w:style w:type="paragraph" w:styleId="6">
    <w:name w:val="Body Text Indent 2"/>
    <w:basedOn w:val="1"/>
    <w:unhideWhenUsed/>
    <w:qFormat/>
    <w:uiPriority w:val="0"/>
    <w:pPr>
      <w:ind w:firstLine="588" w:firstLineChars="200"/>
    </w:pPr>
    <w:rPr>
      <w:rFonts w:ascii="仿宋_GB2312" w:hAnsi="Calibri" w:eastAsia="仿宋_GB2312"/>
      <w:sz w:val="32"/>
    </w:rPr>
  </w:style>
  <w:style w:type="paragraph" w:styleId="7">
    <w:name w:val="footer"/>
    <w:basedOn w:val="1"/>
    <w:qFormat/>
    <w:uiPriority w:val="0"/>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Normal (Web)"/>
    <w:basedOn w:val="1"/>
    <w:qFormat/>
    <w:uiPriority w:val="0"/>
    <w:pPr>
      <w:spacing w:beforeAutospacing="1" w:afterAutospacing="1"/>
      <w:jc w:val="left"/>
    </w:pPr>
    <w:rPr>
      <w:kern w:val="0"/>
      <w:sz w:val="24"/>
    </w:rPr>
  </w:style>
  <w:style w:type="character" w:styleId="13">
    <w:name w:val="page number"/>
    <w:qFormat/>
    <w:uiPriority w:val="0"/>
  </w:style>
  <w:style w:type="character" w:styleId="14">
    <w:name w:val="Hyperlink"/>
    <w:basedOn w:val="12"/>
    <w:qFormat/>
    <w:uiPriority w:val="0"/>
    <w:rPr>
      <w:color w:val="0000FF"/>
      <w:u w:val="single"/>
    </w:rPr>
  </w:style>
  <w:style w:type="paragraph" w:customStyle="1" w:styleId="15">
    <w:name w:val="BodyText"/>
    <w:basedOn w:val="1"/>
    <w:next w:val="1"/>
    <w:qFormat/>
    <w:uiPriority w:val="0"/>
    <w:pPr>
      <w:widowControl/>
      <w:spacing w:before="100" w:beforeAutospacing="1" w:after="120" w:line="560" w:lineRule="exact"/>
      <w:ind w:firstLine="640" w:firstLineChars="200"/>
      <w:textAlignment w:val="baseline"/>
    </w:pPr>
    <w:rPr>
      <w:rFonts w:eastAsia="仿宋_GB2312" w:asciiTheme="minorHAnsi" w:hAnsiTheme="minorHAnsi"/>
      <w:sz w:val="32"/>
      <w:szCs w:val="32"/>
    </w:rPr>
  </w:style>
  <w:style w:type="paragraph" w:customStyle="1" w:styleId="16">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character" w:customStyle="1" w:styleId="17">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6998</Words>
  <Characters>7542</Characters>
  <Lines>62</Lines>
  <Paragraphs>17</Paragraphs>
  <TotalTime>0</TotalTime>
  <ScaleCrop>false</ScaleCrop>
  <LinksUpToDate>false</LinksUpToDate>
  <CharactersWithSpaces>8081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2021-07-12T08:27:00Z</cp:lastPrinted>
  <dcterms:modified xsi:type="dcterms:W3CDTF">2022-11-04T01:49:56Z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377A56B318954603893BD5B869B7BB42</vt:lpwstr>
  </property>
</Properties>
</file>