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华容县疾病预防控制中心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800002</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705"/>
        <w:gridCol w:w="196"/>
        <w:gridCol w:w="164"/>
        <w:gridCol w:w="95"/>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苏玲</w:t>
            </w:r>
          </w:p>
        </w:tc>
        <w:tc>
          <w:tcPr>
            <w:tcW w:w="206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联络电话</w:t>
            </w:r>
          </w:p>
        </w:tc>
        <w:tc>
          <w:tcPr>
            <w:tcW w:w="2520"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0730-3209409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w:t>
            </w:r>
          </w:p>
        </w:tc>
        <w:tc>
          <w:tcPr>
            <w:tcW w:w="2065"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520" w:type="dxa"/>
            <w:gridSpan w:val="6"/>
            <w:noWrap w:val="0"/>
            <w:vAlign w:val="center"/>
          </w:tcPr>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承担基本公共卫生服务项目中传染病及突发公共卫生事件报告和处理服务工作。</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承担基本公共卫生服务项目中传染病及突发公共卫生事件报告和处理服务工作</w:t>
            </w:r>
            <w:r>
              <w:rPr>
                <w:rFonts w:hint="eastAsia" w:ascii="仿宋_GB2312" w:hAnsi="仿宋_GB2312" w:eastAsia="仿宋_GB2312" w:cs="仿宋_GB2312"/>
                <w:color w:val="000000"/>
                <w:sz w:val="24"/>
                <w:lang w:eastAsia="zh-CN"/>
              </w:rPr>
              <w:t>。</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承担基本公共卫生服务项目中预防接种工作</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全县免疫规划和非免疫规划疫苗的计划、采购、接收、分发和使用管理。</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承担基本公共卫生服务项目中高血压患者健康管理、</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承担结核病患者健康管理工作。</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负责全县艾滋病防治知识宣传教育、培训，开展高危人群行为干预，自愿咨询检测。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1：负责全县医疗单位传染病疫情报告的审核与管理</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开展医疗单位传染病漏报调查</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疾病预防控制信息系统的运转及维护</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救灾防病技术指导、培训做好卫生重大项目推进工作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2：组织开展应急演练及突发公共卫生事件调查处置，应急物资储备和规范管理。任务3：做好基本公共卫生服务工作。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开</w:t>
            </w:r>
            <w:r>
              <w:rPr>
                <w:rFonts w:hint="eastAsia" w:ascii="仿宋_GB2312" w:hAnsi="仿宋_GB2312" w:eastAsia="仿宋_GB2312" w:cs="仿宋_GB2312"/>
                <w:color w:val="000000"/>
                <w:sz w:val="24"/>
              </w:rPr>
              <w:t>展常规免疫接种监测，开展AFP、麻疹、流脑、乙脑等免疫规划针对性疾病的监测，任务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：做好健康县城创建工作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4: </w:t>
            </w:r>
            <w:r>
              <w:rPr>
                <w:rFonts w:hint="eastAsia" w:ascii="仿宋_GB2312" w:hAnsi="仿宋_GB2312" w:eastAsia="仿宋_GB2312" w:cs="仿宋_GB2312"/>
                <w:color w:val="000000"/>
                <w:sz w:val="24"/>
              </w:rPr>
              <w:t>开展慢性非传染性疾病相关业务培训、技术指导、组织管理及督导评估工作。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负责制定我县结核病防控规划和技术规范，并协助组织实施，开展相关业务培训、技术指导、组织管理及督导评估工作。</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做好艾滋病疫情统计分析及病人随访管理工作，督导医疗机构做好梅毒规范化诊疗服务。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1、以新冠防控为重点，奋力彰显使命担当。开展流行病学个案调查、开展核酸检测工作、重点抓好进口冷链物品及重点行业从业人员的监测工作。</w:t>
            </w:r>
          </w:p>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2、抓好重点传染病监测工作、抓紧免疫规划工作、抓实卫生监测工作、抓细慢性病防治工作。</w:t>
            </w:r>
          </w:p>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3、水质检测能力提升：能够进行省级部门要求的常规水质检测项目，检测时间缩短30%，检测限达到国家标准要求，为全县水质卫生安全提供技术保障。</w:t>
            </w:r>
          </w:p>
          <w:p>
            <w:pPr>
              <w:autoSpaceDN w:val="0"/>
              <w:spacing w:line="40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1319.78</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1319.78</w:t>
            </w: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both"/>
              <w:textAlignment w:val="center"/>
              <w:rPr>
                <w:rFonts w:hint="eastAsia" w:ascii="仿宋_GB2312" w:hAnsi="仿宋_GB2312" w:eastAsia="仿宋_GB2312" w:cs="仿宋_GB2312"/>
                <w:color w:val="000000"/>
                <w:sz w:val="24"/>
                <w:lang w:val="en-US" w:eastAsia="zh-CN"/>
              </w:rPr>
            </w:pPr>
          </w:p>
          <w:p>
            <w:pPr>
              <w:autoSpaceDN w:val="0"/>
              <w:spacing w:line="320" w:lineRule="exact"/>
              <w:jc w:val="both"/>
              <w:textAlignment w:val="center"/>
              <w:rPr>
                <w:rFonts w:hint="eastAsia" w:ascii="仿宋_GB2312" w:hAnsi="仿宋_GB2312" w:eastAsia="仿宋_GB2312" w:cs="仿宋_GB2312"/>
                <w:color w:val="000000"/>
                <w:sz w:val="24"/>
                <w:lang w:val="en-US" w:eastAsia="zh-CN"/>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1319.78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802</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696.19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106.41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517.18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3.07</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614.45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614.45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切实抓好结核病、艾滋病防治工作卫生监测、职业病防治、食品安全风险监测等工作职能履行到位，</w:t>
            </w:r>
            <w:r>
              <w:rPr>
                <w:rFonts w:hint="default" w:ascii="仿宋_GB2312" w:hAnsi="仿宋_GB2312" w:eastAsia="仿宋_GB2312" w:cs="仿宋_GB2312"/>
                <w:color w:val="000000"/>
                <w:sz w:val="24"/>
                <w:lang w:val="en-US" w:eastAsia="zh-CN"/>
              </w:rPr>
              <w:t>有效控制各种疾病的发生，确保儿童身心健康。</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儿童基础免疫报告接种剂次及接种率均在98%以上。</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全县共开展HIV抗体检测163296人次。</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免费检查可疑患者1252人，确诊肺结核患者数330人，年初治涂阳192人。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全县在册管理严重精神障碍患者3288人，在管3272人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549" w:type="dxa"/>
            <w:gridSpan w:val="4"/>
            <w:vMerge w:val="restart"/>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产出目标</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（部门工作实绩，包含上级部门和县委县政府布置的重点工作、实事任务等，根据部门实际进行调整细化）</w:t>
            </w:r>
          </w:p>
        </w:tc>
        <w:tc>
          <w:tcPr>
            <w:tcW w:w="1417" w:type="dxa"/>
            <w:gridSpan w:val="2"/>
            <w:vMerge w:val="restart"/>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质量指标</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三公经费控制</w:t>
            </w:r>
          </w:p>
        </w:tc>
        <w:tc>
          <w:tcPr>
            <w:tcW w:w="268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549" w:type="dxa"/>
            <w:gridSpan w:val="4"/>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417" w:type="dxa"/>
            <w:gridSpan w:val="2"/>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2709"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政府采购执行率100%</w:t>
            </w:r>
          </w:p>
        </w:tc>
        <w:tc>
          <w:tcPr>
            <w:tcW w:w="268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549" w:type="dxa"/>
            <w:gridSpan w:val="4"/>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41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数量指标</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三公经费比上年小于10%</w:t>
            </w:r>
          </w:p>
        </w:tc>
        <w:tc>
          <w:tcPr>
            <w:tcW w:w="268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549" w:type="dxa"/>
            <w:gridSpan w:val="4"/>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41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时效指标</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2021年年底完成</w:t>
            </w:r>
          </w:p>
        </w:tc>
        <w:tc>
          <w:tcPr>
            <w:tcW w:w="268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2021年年底完成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549" w:type="dxa"/>
            <w:gridSpan w:val="4"/>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41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成本指标</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指标1：成本控制在50%以内</w:t>
            </w:r>
          </w:p>
        </w:tc>
        <w:tc>
          <w:tcPr>
            <w:tcW w:w="268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成本控制在50%以内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549" w:type="dxa"/>
            <w:gridSpan w:val="4"/>
            <w:vMerge w:val="restart"/>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效益目标</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（预期实现的效益）</w:t>
            </w:r>
          </w:p>
        </w:tc>
        <w:tc>
          <w:tcPr>
            <w:tcW w:w="141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社会效益</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传播防控知识，提高预防意识</w:t>
            </w:r>
          </w:p>
        </w:tc>
        <w:tc>
          <w:tcPr>
            <w:tcW w:w="268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传播防控知识，提高预防意识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549" w:type="dxa"/>
            <w:gridSpan w:val="4"/>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41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经济效益</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有效降低传染病发病率</w:t>
            </w:r>
          </w:p>
        </w:tc>
        <w:tc>
          <w:tcPr>
            <w:tcW w:w="2684" w:type="dxa"/>
            <w:gridSpan w:val="7"/>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有效降低传染病发病率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549" w:type="dxa"/>
            <w:gridSpan w:val="4"/>
            <w:vMerge w:val="continue"/>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417"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社会公众或服务对象满意度</w:t>
            </w:r>
          </w:p>
        </w:tc>
        <w:tc>
          <w:tcPr>
            <w:tcW w:w="2709"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满意度90%以上</w:t>
            </w:r>
          </w:p>
        </w:tc>
        <w:tc>
          <w:tcPr>
            <w:tcW w:w="268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满意度90%以上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绩效自评综合得分</w:t>
            </w:r>
          </w:p>
        </w:tc>
        <w:tc>
          <w:tcPr>
            <w:tcW w:w="6810" w:type="dxa"/>
            <w:gridSpan w:val="1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评价等次</w:t>
            </w:r>
          </w:p>
        </w:tc>
        <w:tc>
          <w:tcPr>
            <w:tcW w:w="6810" w:type="dxa"/>
            <w:gridSpan w:val="1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姓  名</w:t>
            </w:r>
          </w:p>
        </w:tc>
        <w:tc>
          <w:tcPr>
            <w:tcW w:w="3561"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职务/职称</w:t>
            </w:r>
          </w:p>
        </w:tc>
        <w:tc>
          <w:tcPr>
            <w:tcW w:w="20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单  位</w:t>
            </w:r>
          </w:p>
        </w:tc>
        <w:tc>
          <w:tcPr>
            <w:tcW w:w="252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张志华</w:t>
            </w:r>
          </w:p>
        </w:tc>
        <w:tc>
          <w:tcPr>
            <w:tcW w:w="3561"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20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华容县疾病预防控制中心</w:t>
            </w:r>
          </w:p>
        </w:tc>
        <w:tc>
          <w:tcPr>
            <w:tcW w:w="252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孙贤兵</w:t>
            </w:r>
          </w:p>
        </w:tc>
        <w:tc>
          <w:tcPr>
            <w:tcW w:w="3561"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20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华容县疾病预防控制中心</w:t>
            </w:r>
          </w:p>
        </w:tc>
        <w:tc>
          <w:tcPr>
            <w:tcW w:w="252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南广升</w:t>
            </w:r>
          </w:p>
        </w:tc>
        <w:tc>
          <w:tcPr>
            <w:tcW w:w="3561"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慢性非传染性疾病预防控制科主任</w:t>
            </w:r>
          </w:p>
        </w:tc>
        <w:tc>
          <w:tcPr>
            <w:tcW w:w="20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华容县疾病预防控制中心</w:t>
            </w:r>
          </w:p>
        </w:tc>
        <w:tc>
          <w:tcPr>
            <w:tcW w:w="252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刘杰</w:t>
            </w:r>
          </w:p>
        </w:tc>
        <w:tc>
          <w:tcPr>
            <w:tcW w:w="3561"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艾滋病与性病预防控制科主任</w:t>
            </w:r>
          </w:p>
        </w:tc>
        <w:tc>
          <w:tcPr>
            <w:tcW w:w="20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华容县疾病预防控制中心</w:t>
            </w:r>
          </w:p>
        </w:tc>
        <w:tc>
          <w:tcPr>
            <w:tcW w:w="2520"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苏玲</w:t>
            </w:r>
          </w:p>
        </w:tc>
        <w:tc>
          <w:tcPr>
            <w:tcW w:w="3561"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财务科主任</w:t>
            </w:r>
          </w:p>
        </w:tc>
        <w:tc>
          <w:tcPr>
            <w:tcW w:w="2065"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华容县疾病预防控制中心</w:t>
            </w:r>
          </w:p>
        </w:tc>
        <w:tc>
          <w:tcPr>
            <w:tcW w:w="2520" w:type="dxa"/>
            <w:gridSpan w:val="6"/>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评价组组长（签字）：</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p>
            <w:pPr>
              <w:autoSpaceDN w:val="0"/>
              <w:spacing w:line="320" w:lineRule="exact"/>
              <w:ind w:firstLine="3360" w:firstLineChars="14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张志华</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2022 年10  月14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lang w:eastAsia="zh-CN"/>
              </w:rPr>
              <w:t>施恩</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 xml:space="preserve"> 月</w:t>
            </w:r>
            <w:r>
              <w:rPr>
                <w:rFonts w:hint="eastAsia" w:ascii="仿宋_GB2312" w:hAnsi="仿宋_GB2312" w:eastAsia="仿宋_GB2312" w:cs="仿宋_GB2312"/>
                <w:color w:val="000000"/>
                <w:sz w:val="24"/>
                <w:lang w:val="en-US" w:eastAsia="zh-CN"/>
              </w:rPr>
              <w:t>14</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苏玲</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15074031568</w:t>
      </w:r>
    </w:p>
    <w:p>
      <w:pPr>
        <w:spacing w:line="348" w:lineRule="auto"/>
        <w:rPr>
          <w:rFonts w:eastAsia="楷体_GB2312"/>
          <w:bCs/>
          <w:sz w:val="28"/>
          <w:szCs w:val="28"/>
        </w:rPr>
      </w:pPr>
    </w:p>
    <w:p>
      <w:pPr>
        <w:spacing w:beforeLines="50" w:line="348" w:lineRule="auto"/>
        <w:jc w:val="center"/>
        <w:rPr>
          <w:rFonts w:eastAsia="楷体_GB2312"/>
          <w:bCs/>
          <w:sz w:val="28"/>
          <w:szCs w:val="28"/>
        </w:rPr>
      </w:pPr>
    </w:p>
    <w:p>
      <w:pPr>
        <w:spacing w:beforeLines="50" w:line="348" w:lineRule="auto"/>
        <w:jc w:val="center"/>
        <w:rPr>
          <w:rFonts w:eastAsia="楷体_GB2312"/>
          <w:bCs/>
          <w:sz w:val="28"/>
          <w:szCs w:val="28"/>
        </w:rPr>
      </w:pPr>
    </w:p>
    <w:p>
      <w:pPr>
        <w:spacing w:beforeLines="50" w:line="348" w:lineRule="auto"/>
        <w:jc w:val="center"/>
        <w:rPr>
          <w:rFonts w:eastAsia="楷体_GB2312"/>
          <w:bCs/>
          <w:sz w:val="28"/>
          <w:szCs w:val="28"/>
        </w:rPr>
      </w:pPr>
    </w:p>
    <w:p>
      <w:pPr>
        <w:spacing w:beforeLines="50" w:line="348" w:lineRule="auto"/>
        <w:jc w:val="center"/>
        <w:rPr>
          <w:rFonts w:eastAsia="楷体_GB2312"/>
          <w:bCs/>
          <w:sz w:val="28"/>
          <w:szCs w:val="28"/>
        </w:rPr>
      </w:pPr>
    </w:p>
    <w:p>
      <w:pPr>
        <w:spacing w:beforeLines="50" w:line="348" w:lineRule="auto"/>
        <w:jc w:val="center"/>
        <w:rPr>
          <w:rFonts w:eastAsia="楷体_GB2312"/>
          <w:bCs/>
          <w:sz w:val="28"/>
          <w:szCs w:val="28"/>
        </w:rPr>
      </w:pPr>
    </w:p>
    <w:p>
      <w:pPr>
        <w:spacing w:beforeLines="50" w:line="348" w:lineRule="auto"/>
        <w:jc w:val="center"/>
        <w:rPr>
          <w:rFonts w:eastAsia="楷体_GB2312"/>
          <w:bCs/>
          <w:sz w:val="28"/>
          <w:szCs w:val="28"/>
        </w:rPr>
      </w:pPr>
    </w:p>
    <w:p>
      <w:pPr>
        <w:spacing w:beforeLines="50" w:line="348" w:lineRule="auto"/>
        <w:jc w:val="center"/>
        <w:rPr>
          <w:rFonts w:eastAsia="楷体_GB2312"/>
          <w:bCs/>
          <w:sz w:val="28"/>
          <w:szCs w:val="28"/>
        </w:rPr>
      </w:pPr>
    </w:p>
    <w:p>
      <w:pPr>
        <w:spacing w:beforeLines="50" w:line="348" w:lineRule="auto"/>
        <w:jc w:val="center"/>
        <w:rPr>
          <w:rFonts w:eastAsia="楷体_GB2312"/>
          <w:bCs/>
          <w:sz w:val="28"/>
          <w:szCs w:val="28"/>
        </w:rPr>
      </w:pPr>
    </w:p>
    <w:p>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 xml:space="preserve">            </w:t>
      </w: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eastAsia="zh-CN"/>
        </w:rPr>
        <w:t>疾病预防控制中心</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640" w:firstLineChars="200"/>
        <w:jc w:val="left"/>
        <w:rPr>
          <w:rFonts w:hint="eastAsia" w:eastAsia="仿宋_GB2312"/>
          <w:sz w:val="32"/>
          <w:szCs w:val="32"/>
        </w:rPr>
      </w:pPr>
    </w:p>
    <w:p>
      <w:pPr>
        <w:keepNext w:val="0"/>
        <w:keepLines w:val="0"/>
        <w:pageBreakBefore w:val="0"/>
        <w:kinsoku/>
        <w:wordWrap/>
        <w:overflowPunct/>
        <w:topLinePunct w:val="0"/>
        <w:autoSpaceDE/>
        <w:bidi w:val="0"/>
        <w:spacing w:line="600" w:lineRule="exact"/>
        <w:ind w:left="0" w:leftChars="0" w:firstLine="640" w:firstLineChars="200"/>
        <w:jc w:val="left"/>
        <w:textAlignment w:val="auto"/>
        <w:rPr>
          <w:rFonts w:hint="eastAsia" w:ascii="仿宋_GB2312" w:hAnsi="仿宋_GB2312" w:eastAsia="仿宋_GB2312" w:cs="仿宋_GB2312"/>
          <w:color w:val="auto"/>
          <w:sz w:val="32"/>
          <w:szCs w:val="28"/>
        </w:rPr>
      </w:pPr>
      <w:r>
        <w:rPr>
          <w:rFonts w:hint="eastAsia" w:eastAsia="仿宋_GB2312"/>
          <w:sz w:val="32"/>
          <w:szCs w:val="32"/>
        </w:rPr>
        <w:t>为贯彻落实《中共中央</w:t>
      </w:r>
      <w:r>
        <w:rPr>
          <w:rFonts w:hint="eastAsia" w:eastAsia="仿宋_GB2312"/>
          <w:sz w:val="32"/>
          <w:szCs w:val="32"/>
          <w:lang w:val="en-US" w:eastAsia="zh-CN"/>
        </w:rPr>
        <w:t xml:space="preserve"> </w:t>
      </w:r>
      <w:r>
        <w:rPr>
          <w:rFonts w:hint="eastAsia" w:eastAsia="仿宋_GB2312"/>
          <w:sz w:val="32"/>
          <w:szCs w:val="32"/>
        </w:rPr>
        <w:t>国务院关于全面实施预算绩效管理的意见》精神</w:t>
      </w:r>
      <w:r>
        <w:rPr>
          <w:rFonts w:hint="eastAsia" w:eastAsia="仿宋_GB2312"/>
          <w:sz w:val="32"/>
          <w:szCs w:val="32"/>
          <w:lang w:eastAsia="zh-CN"/>
        </w:rPr>
        <w:t>，</w:t>
      </w: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，华容县</w:t>
      </w:r>
      <w:r>
        <w:rPr>
          <w:rFonts w:hint="eastAsia" w:ascii="仿宋_GB2312" w:hAnsi="仿宋_GB2312" w:eastAsia="仿宋_GB2312" w:cs="仿宋_GB2312"/>
          <w:color w:val="auto"/>
          <w:sz w:val="32"/>
          <w:szCs w:val="28"/>
          <w:lang w:eastAsia="zh-CN"/>
        </w:rPr>
        <w:t>疾病预防控制中心20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一、部门概况</w:t>
      </w:r>
    </w:p>
    <w:p>
      <w:pPr>
        <w:keepNext w:val="0"/>
        <w:keepLines w:val="0"/>
        <w:pageBreakBefore w:val="0"/>
        <w:numPr>
          <w:ilvl w:val="0"/>
          <w:numId w:val="0"/>
        </w:numPr>
        <w:kinsoku/>
        <w:wordWrap/>
        <w:overflowPunct/>
        <w:topLinePunct w:val="0"/>
        <w:autoSpaceDE/>
        <w:bidi w:val="0"/>
        <w:spacing w:line="600" w:lineRule="exact"/>
        <w:ind w:left="0" w:leftChars="0" w:firstLine="643" w:firstLineChars="200"/>
        <w:jc w:val="left"/>
        <w:textAlignment w:val="auto"/>
        <w:rPr>
          <w:rFonts w:hint="default" w:ascii="楷体" w:hAnsi="楷体" w:eastAsia="楷体" w:cs="楷体"/>
          <w:b/>
          <w:bCs/>
          <w:sz w:val="36"/>
          <w:szCs w:val="36"/>
          <w:lang w:val="en-US" w:eastAsia="zh-CN"/>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我中心是由政府举办的实施疾病预防控制与公共卫生技术管理和指导的全额拨款事业单位，成立于2004年2月，其前身为华容县卫生防疫站。我们承担着全县疾病预防与控制、突发公共卫生事件应急处置、健康危害因素监测与干预、健康教育与健康促进、实验室检测检验与评价等职责，负责国家基本公共卫生服务中的居民健康档案管理等8类服务项目的技术指导、培训、督导及考核等工作。</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中心占地面积1482</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color w:val="000000"/>
          <w:sz w:val="32"/>
          <w:szCs w:val="32"/>
          <w:lang w:val="en-US" w:eastAsia="zh-CN"/>
        </w:rPr>
        <w:t>，建筑面积4960</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color w:val="000000"/>
          <w:sz w:val="32"/>
          <w:szCs w:val="32"/>
          <w:lang w:val="en-US" w:eastAsia="zh-CN"/>
        </w:rPr>
        <w:t>，其中检验用房1189</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color w:val="000000"/>
          <w:sz w:val="32"/>
          <w:szCs w:val="32"/>
          <w:lang w:val="en-US" w:eastAsia="zh-CN"/>
        </w:rPr>
        <w:t>。我中心设有17个科室：</w:t>
      </w:r>
      <w:r>
        <w:rPr>
          <w:rFonts w:hint="eastAsia" w:ascii="仿宋_GB2312" w:hAnsi="宋体" w:eastAsia="仿宋_GB2312" w:cs="宋体"/>
          <w:sz w:val="32"/>
          <w:szCs w:val="32"/>
        </w:rPr>
        <w:t>传染病预防与控制科</w:t>
      </w:r>
      <w:r>
        <w:rPr>
          <w:rFonts w:hint="eastAsia" w:ascii="仿宋_GB2312" w:hAnsi="宋体" w:eastAsia="仿宋_GB2312" w:cs="宋体"/>
          <w:sz w:val="32"/>
          <w:szCs w:val="32"/>
          <w:lang w:eastAsia="zh-CN"/>
        </w:rPr>
        <w:t>、</w:t>
      </w:r>
      <w:r>
        <w:rPr>
          <w:rFonts w:hint="eastAsia" w:ascii="仿宋_GB2312" w:eastAsia="仿宋_GB2312"/>
          <w:sz w:val="32"/>
          <w:szCs w:val="32"/>
        </w:rPr>
        <w:t>突发公共卫生事件应急处置办公室</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免疫规划科</w:t>
      </w:r>
      <w:r>
        <w:rPr>
          <w:rFonts w:hint="eastAsia" w:ascii="仿宋_GB2312" w:eastAsia="仿宋_GB2312"/>
          <w:sz w:val="32"/>
          <w:szCs w:val="32"/>
          <w:lang w:eastAsia="zh-CN"/>
        </w:rPr>
        <w:t>、</w:t>
      </w:r>
      <w:r>
        <w:rPr>
          <w:rFonts w:hint="eastAsia" w:ascii="仿宋_GB2312" w:hAnsi="宋体" w:eastAsia="仿宋_GB2312" w:cs="宋体"/>
          <w:sz w:val="32"/>
          <w:szCs w:val="32"/>
        </w:rPr>
        <w:t>慢性非传染性疾病预防控制科</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结核病预防控制科</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艾滋病与性病预防控制科</w:t>
      </w:r>
      <w:r>
        <w:rPr>
          <w:rFonts w:hint="eastAsia" w:ascii="仿宋_GB2312" w:hAnsi="宋体" w:eastAsia="仿宋_GB2312" w:cs="宋体"/>
          <w:sz w:val="32"/>
          <w:szCs w:val="32"/>
          <w:lang w:eastAsia="zh-CN"/>
        </w:rPr>
        <w:t>、</w:t>
      </w:r>
      <w:r>
        <w:rPr>
          <w:rFonts w:hint="eastAsia" w:ascii="仿宋_GB2312" w:eastAsia="仿宋_GB2312"/>
          <w:sz w:val="32"/>
          <w:szCs w:val="32"/>
        </w:rPr>
        <w:t>公共卫生监测科</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健康教育与健康促进科</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检验科</w:t>
      </w:r>
      <w:r>
        <w:rPr>
          <w:rFonts w:hint="eastAsia" w:ascii="仿宋_GB2312" w:hAnsi="宋体" w:eastAsia="仿宋_GB2312" w:cs="宋体"/>
          <w:sz w:val="32"/>
          <w:szCs w:val="32"/>
          <w:lang w:eastAsia="zh-CN"/>
        </w:rPr>
        <w:t>、</w:t>
      </w:r>
      <w:r>
        <w:rPr>
          <w:rFonts w:hint="eastAsia" w:ascii="仿宋_GB2312" w:eastAsia="仿宋_GB2312"/>
          <w:sz w:val="32"/>
          <w:szCs w:val="32"/>
        </w:rPr>
        <w:t>劳动卫生与</w:t>
      </w:r>
      <w:r>
        <w:rPr>
          <w:rFonts w:hint="eastAsia" w:ascii="仿宋_GB2312" w:hAnsi="宋体" w:eastAsia="仿宋_GB2312" w:cs="宋体"/>
          <w:sz w:val="32"/>
          <w:szCs w:val="32"/>
        </w:rPr>
        <w:t>职业病预防控制科</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质量管理科</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财务科；</w:t>
      </w:r>
      <w:r>
        <w:rPr>
          <w:rFonts w:hint="eastAsia" w:ascii="仿宋_GB2312" w:hAnsi="宋体" w:eastAsia="仿宋_GB2312" w:cs="宋体"/>
          <w:sz w:val="32"/>
          <w:szCs w:val="32"/>
          <w:lang w:eastAsia="zh-CN"/>
        </w:rPr>
        <w:t>办公室、</w:t>
      </w:r>
      <w:r>
        <w:rPr>
          <w:rFonts w:hint="eastAsia" w:ascii="仿宋_GB2312" w:hAnsi="宋体" w:eastAsia="仿宋_GB2312" w:cs="宋体"/>
          <w:sz w:val="32"/>
          <w:szCs w:val="32"/>
        </w:rPr>
        <w:t>后勤保障管理科</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党建办</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疫苗临床研究项目管理办公室</w:t>
      </w:r>
      <w:r>
        <w:rPr>
          <w:rFonts w:hint="eastAsia" w:ascii="仿宋_GB2312" w:eastAsia="仿宋_GB2312" w:cs="??_GB2312"/>
          <w:sz w:val="32"/>
          <w:szCs w:val="32"/>
          <w:lang w:eastAsia="zh-CN"/>
        </w:rPr>
        <w:t>、</w:t>
      </w:r>
      <w:r>
        <w:rPr>
          <w:rFonts w:hint="eastAsia" w:ascii="仿宋_GB2312" w:eastAsia="仿宋_GB2312" w:cs="??_GB2312"/>
          <w:sz w:val="32"/>
          <w:szCs w:val="32"/>
        </w:rPr>
        <w:t>基本公共卫生服务管理办公室</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单位现有在岗职工81人</w:t>
      </w:r>
      <w:r>
        <w:rPr>
          <w:rFonts w:hint="eastAsia" w:ascii="仿宋_GB2312" w:hAnsi="仿宋_GB2312" w:eastAsia="仿宋_GB2312" w:cs="仿宋_GB2312"/>
          <w:color w:val="000000"/>
          <w:sz w:val="32"/>
          <w:szCs w:val="32"/>
          <w:lang w:val="en-US" w:eastAsia="zh-CN"/>
        </w:rPr>
        <w:t>（其中在编75人，临聘6人）</w:t>
      </w:r>
      <w:r>
        <w:rPr>
          <w:rFonts w:hint="eastAsia" w:ascii="仿宋_GB2312" w:hAnsi="仿宋_GB2312" w:eastAsia="仿宋_GB2312" w:cs="仿宋_GB2312"/>
          <w:sz w:val="32"/>
          <w:szCs w:val="32"/>
          <w:lang w:val="en-US" w:eastAsia="zh-CN"/>
        </w:rPr>
        <w:t>，退休职工36人。</w:t>
      </w:r>
      <w:r>
        <w:rPr>
          <w:rFonts w:hint="eastAsia" w:ascii="仿宋_GB2312" w:hAnsi="仿宋_GB2312" w:eastAsia="仿宋_GB2312" w:cs="仿宋_GB2312"/>
          <w:color w:val="000000"/>
          <w:sz w:val="32"/>
          <w:szCs w:val="32"/>
          <w:lang w:val="en-US" w:eastAsia="zh-CN"/>
        </w:rPr>
        <w:t>现有专业技术人员58人，</w:t>
      </w:r>
      <w:r>
        <w:rPr>
          <w:rFonts w:hint="eastAsia" w:ascii="仿宋_GB2312" w:hAnsi="仿宋_GB2312" w:eastAsia="仿宋_GB2312" w:cs="仿宋_GB2312"/>
          <w:sz w:val="32"/>
          <w:szCs w:val="32"/>
          <w:lang w:val="en-US" w:eastAsia="zh-CN"/>
        </w:rPr>
        <w:t>高级职称9人，中级职称21人，初级职称28人。</w:t>
      </w:r>
    </w:p>
    <w:p>
      <w:pPr>
        <w:keepNext w:val="0"/>
        <w:keepLines w:val="0"/>
        <w:pageBreakBefore w:val="0"/>
        <w:numPr>
          <w:ilvl w:val="0"/>
          <w:numId w:val="1"/>
        </w:numPr>
        <w:shd w:val="solid" w:color="FFFFFF" w:fill="auto"/>
        <w:kinsoku/>
        <w:wordWrap/>
        <w:overflowPunct/>
        <w:topLinePunct w:val="0"/>
        <w:autoSpaceDE/>
        <w:autoSpaceDN w:val="0"/>
        <w:bidi w:val="0"/>
        <w:spacing w:line="600" w:lineRule="exact"/>
        <w:ind w:left="0" w:leftChars="0" w:firstLine="643" w:firstLineChars="200"/>
        <w:jc w:val="left"/>
        <w:textAlignment w:val="auto"/>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numPr>
          <w:ilvl w:val="0"/>
          <w:numId w:val="2"/>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rPr>
        <w:t>承担基本公共卫生服务项目中传染病及突发公共卫生事件报告和处理服务工作。开展全县传染病疫情的调查处置，重点传染病的监测，负责全县医疗单位传染病疫情报告的审核与管理</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开展医疗单位传染病漏报调查</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疾病预防控制信息系统的运转及维护</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救灾防病技术指导、培训。寄生虫病防控、麻风病防治、土源线虫病监测工作</w:t>
      </w:r>
      <w:r>
        <w:rPr>
          <w:rFonts w:hint="eastAsia" w:ascii="仿宋_GB2312" w:hAnsi="宋体" w:eastAsia="仿宋_GB2312" w:cs="宋体"/>
          <w:sz w:val="32"/>
          <w:szCs w:val="32"/>
          <w:lang w:eastAsia="zh-CN"/>
        </w:rPr>
        <w:t>。</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承担基本公共卫生服务项目中传染病及突发公共卫生事件报告和处理服务工作。组织开展应急演练及突发公共卫生事件调查处置，应急物资储备和规范管理。负责收集、审核、分析、上报突发公共卫生事件信息，撰写日常风险评估及专题风险评估报告。组织突发公共卫生事件应急处置业务培</w:t>
      </w:r>
      <w:r>
        <w:rPr>
          <w:rFonts w:hint="eastAsia" w:ascii="仿宋_GB2312" w:hAnsi="宋体" w:eastAsia="仿宋_GB2312" w:cs="宋体"/>
          <w:sz w:val="32"/>
          <w:szCs w:val="32"/>
          <w:lang w:eastAsia="zh-CN"/>
        </w:rPr>
        <w:t>。</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仿宋_GB2312" w:eastAsia="仿宋_GB2312" w:cs="仿宋_GB2312"/>
          <w:sz w:val="32"/>
          <w:szCs w:val="40"/>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承担基本公共卫生服务项目中预防接种工作</w:t>
      </w:r>
      <w:r>
        <w:rPr>
          <w:rFonts w:hint="eastAsia" w:ascii="仿宋_GB2312" w:hAnsi="宋体" w:eastAsia="仿宋_GB2312" w:cs="宋体"/>
          <w:sz w:val="32"/>
          <w:szCs w:val="32"/>
          <w:lang w:eastAsia="zh-CN"/>
        </w:rPr>
        <w:t>，</w:t>
      </w:r>
      <w:r>
        <w:rPr>
          <w:rFonts w:hint="eastAsia" w:ascii="仿宋_GB2312" w:hAnsi="仿宋_GB2312" w:eastAsia="仿宋_GB2312" w:cs="仿宋_GB2312"/>
          <w:sz w:val="32"/>
          <w:szCs w:val="40"/>
        </w:rPr>
        <w:t>全县免疫规划和非免疫规划疫苗的计划、采购、接收、分发和使用管理。负责辖区疫苗冷链监测管理和温度监测工作。开展常规免疫接种监测，开展AFP、麻疹、流脑、乙脑等免疫规划针对性疾病的监测，开展疫苗可预防疾病监测、流行病学调查、疫情控制，开展预防接种异常反应监测，对疑似预防接种异常反应进行调查诊断。</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承担基本公共卫生服务项目中高血压患者健康管理、</w:t>
      </w:r>
      <w:r>
        <w:rPr>
          <w:rFonts w:ascii="仿宋_GB2312" w:eastAsia="仿宋_GB2312" w:cs="??_GB2312"/>
          <w:sz w:val="32"/>
          <w:szCs w:val="32"/>
        </w:rPr>
        <w:t>2</w:t>
      </w:r>
      <w:r>
        <w:rPr>
          <w:rFonts w:hint="eastAsia" w:ascii="仿宋_GB2312" w:hAnsi="宋体" w:eastAsia="仿宋_GB2312" w:cs="宋体"/>
          <w:sz w:val="32"/>
          <w:szCs w:val="32"/>
        </w:rPr>
        <w:t>型糖尿病患者健康管理、严重精神障碍患者健康管理工作，制定我县慢性非传染性疾病防控规划和技术规范，并协助组织实施。开展慢性非传染性疾病相关业务培训、技术指导、组织管理及督导评估工作。全县死因监测</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恶性肿瘤、农村癫痫患者防治管理</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心脑血管事件报告、监测数据的收集、录入、上报、总结。负责全民健康生活方式行动工作，开展健康咨询、健康相关行为干预和矫正，指导开展全民控烟活动，并及时将信息收集、上报</w:t>
      </w:r>
      <w:r>
        <w:rPr>
          <w:rFonts w:hint="eastAsia" w:ascii="仿宋_GB2312" w:hAnsi="宋体" w:eastAsia="仿宋_GB2312" w:cs="宋体"/>
          <w:sz w:val="32"/>
          <w:szCs w:val="32"/>
          <w:lang w:eastAsia="zh-CN"/>
        </w:rPr>
        <w:t>。</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承担结核病患者健康管理工作。负责制定我县结核病防控规划和技术规范，并协助组织实施，开展相关业务培训、技术指导、组织管理及督导评估工作。负责监测辖区内肺结核疫情，及时准确报告、收集、分析和通报疫情及相关信息</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组织开展网报肺结核或疑似肺结核患者及密切接触者的追踪工作</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新生入学结核病筛查和学校结核病密切接触者筛查处置等工作。负责组织落实肺结核患者出院后的规范管理，组织开展结核病防治健康促进工作。</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负责全县艾滋病防治知识宣传教育、培训，开展高危人群行为干预，自愿咨询检测。指导全县基层医疗卫生机构设置艾滋病检测点，逐步实现艾滋病快检全覆盖，对艾滋病病人及感染者提供免费检测。做好艾滋病疫情统计分析及病人随访管理工作，督导医疗机构做好梅毒规范化诊疗服务。负责美沙酮替代海洛因维持治疗工作</w:t>
      </w:r>
      <w:r>
        <w:rPr>
          <w:rFonts w:hint="eastAsia" w:ascii="仿宋_GB2312" w:hAnsi="宋体" w:eastAsia="仿宋_GB2312" w:cs="宋体"/>
          <w:sz w:val="32"/>
          <w:szCs w:val="32"/>
          <w:lang w:eastAsia="zh-CN"/>
        </w:rPr>
        <w:t>。</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7、</w:t>
      </w:r>
      <w:r>
        <w:rPr>
          <w:rFonts w:hint="eastAsia" w:ascii="仿宋_GB2312" w:hAnsi="宋体" w:eastAsia="仿宋_GB2312" w:cs="宋体"/>
          <w:color w:val="000000" w:themeColor="text1"/>
          <w:sz w:val="32"/>
          <w:szCs w:val="32"/>
          <w14:textFill>
            <w14:solidFill>
              <w14:schemeClr w14:val="tx1"/>
            </w14:solidFill>
          </w14:textFill>
        </w:rPr>
        <w:t>负责碘缺乏病监测</w:t>
      </w:r>
      <w:r>
        <w:rPr>
          <w:rFonts w:hint="eastAsia" w:ascii="仿宋_GB2312" w:hAnsi="宋体" w:eastAsia="仿宋_GB2312" w:cs="宋体"/>
          <w:sz w:val="32"/>
          <w:szCs w:val="32"/>
        </w:rPr>
        <w:t>、农村饮用水监测、农村环境卫生监测、食品安全风险监测和食源性疾病报告等工作，对各类检测报告进行卫生学评价。负责开展食源性疾病（食物中毒）事件调查处理。协助相关部门和科室开展食品、公共场所、饮用水（含二次供水）、学校卫生等监测工作。负责开展从业人员预防性体检工</w:t>
      </w:r>
      <w:r>
        <w:rPr>
          <w:rFonts w:hint="eastAsia" w:ascii="仿宋_GB2312" w:hAnsi="宋体" w:eastAsia="仿宋_GB2312" w:cs="宋体"/>
          <w:sz w:val="32"/>
          <w:szCs w:val="32"/>
          <w:lang w:eastAsia="zh-CN"/>
        </w:rPr>
        <w:t>作。</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宋体" w:eastAsia="仿宋_GB2312" w:cs="宋体"/>
          <w:sz w:val="32"/>
          <w:szCs w:val="32"/>
          <w:lang w:val="en-US" w:eastAsia="zh-CN"/>
        </w:rPr>
        <w:t>8、</w:t>
      </w:r>
      <w:r>
        <w:rPr>
          <w:rFonts w:hint="eastAsia" w:ascii="仿宋_GB2312" w:hAnsi="仿宋_GB2312" w:eastAsia="仿宋_GB2312" w:cs="仿宋_GB2312"/>
          <w:sz w:val="32"/>
          <w:szCs w:val="32"/>
        </w:rPr>
        <w:t>承担基本公共卫生服务项目中健康教育工作。负责全县中小学生的健康体检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全县儿童青少年近视筛查，掌握和评价本地区学生生长发育水平和健康状况。</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宋体" w:eastAsia="仿宋_GB2312" w:cs="宋体"/>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宋体" w:eastAsia="仿宋_GB2312" w:cs="宋体"/>
          <w:sz w:val="32"/>
          <w:szCs w:val="32"/>
        </w:rPr>
        <w:t>按照《检验检测机构资质认定管理方法》（总局令163号）及《检验检测机构资质认定评审准则》（国认字[2016]33号）要求，承担食物中毒、职业中毒、环境污染等突发公共卫生事件的检验检测工作并及时发放检验报告。配合各职能科室开展相关检验检测工作</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卫生计生综合监督执法局和市场监督管理局所管辖的公共场所及食品生产加工从业人员预防性体检检验检测工作</w:t>
      </w:r>
      <w:r>
        <w:rPr>
          <w:rFonts w:hint="eastAsia" w:ascii="仿宋_GB2312" w:hAnsi="宋体" w:eastAsia="仿宋_GB2312" w:cs="宋体"/>
          <w:sz w:val="32"/>
          <w:szCs w:val="32"/>
          <w:lang w:eastAsia="zh-CN"/>
        </w:rPr>
        <w:t>。</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负责开展全县厂矿企业的职业病危害因素检测及从业人员上岗前、在岗期间及离岗时的健康监管，开展职业病危害因素接触人员（包括放射人员）的防护知识培训，组织实施全县职业病防治法律法规和职业病防治知识的宣传，指导企业搞好从业人员的个人防护，参与职业病危害</w:t>
      </w:r>
      <w:r>
        <w:rPr>
          <w:rFonts w:hint="eastAsia" w:ascii="仿宋_GB2312" w:hAnsi="宋体" w:eastAsia="仿宋_GB2312" w:cs="宋体"/>
          <w:sz w:val="32"/>
          <w:szCs w:val="32"/>
          <w:lang w:eastAsia="zh-CN"/>
        </w:rPr>
        <w:t>评价。</w:t>
      </w:r>
      <w:r>
        <w:rPr>
          <w:rFonts w:hint="eastAsia" w:ascii="仿宋_GB2312" w:hAnsi="宋体" w:eastAsia="仿宋_GB2312" w:cs="宋体"/>
          <w:sz w:val="32"/>
          <w:szCs w:val="32"/>
        </w:rPr>
        <w:t>负责职业病网络直报</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开展病媒生物监测</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全县消毒卫生的技术指导和消毒监测（含重点行业：医疗机构、托幼机构、敬老院等）工作。</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11、</w:t>
      </w:r>
      <w:r>
        <w:rPr>
          <w:rFonts w:hint="eastAsia" w:ascii="仿宋_GB2312" w:hAnsi="宋体" w:eastAsia="仿宋_GB2312" w:cs="宋体"/>
          <w:sz w:val="32"/>
          <w:szCs w:val="32"/>
        </w:rPr>
        <w:t>负责综合质量管理，组织实施质量控制计划。负责牵头完成中心实验室计量认证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质量体系运行中的检查、监督、记录和相关人员的培训考核。负责检测工作对外许可的审核，</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审核检验检测报告结果发放</w:t>
      </w:r>
      <w:r>
        <w:rPr>
          <w:rFonts w:hint="eastAsia" w:ascii="仿宋_GB2312" w:hAnsi="宋体" w:eastAsia="仿宋_GB2312" w:cs="宋体"/>
          <w:sz w:val="32"/>
          <w:szCs w:val="32"/>
          <w:lang w:eastAsia="zh-CN"/>
        </w:rPr>
        <w:t>。</w:t>
      </w:r>
    </w:p>
    <w:p>
      <w:pPr>
        <w:keepNext w:val="0"/>
        <w:keepLines w:val="0"/>
        <w:pageBreakBefore w:val="0"/>
        <w:numPr>
          <w:ilvl w:val="0"/>
          <w:numId w:val="0"/>
        </w:numPr>
        <w:shd w:val="solid" w:color="FFFFFF" w:fill="auto"/>
        <w:kinsoku/>
        <w:wordWrap/>
        <w:overflowPunct/>
        <w:topLinePunct w:val="0"/>
        <w:autoSpaceDE/>
        <w:autoSpaceDN w:val="0"/>
        <w:bidi w:val="0"/>
        <w:spacing w:line="600" w:lineRule="exact"/>
        <w:ind w:left="0" w:leftChars="0" w:firstLine="640" w:firstLineChars="200"/>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lang w:val="en-US" w:eastAsia="zh-CN"/>
        </w:rPr>
        <w:t>12、</w:t>
      </w:r>
      <w:r>
        <w:rPr>
          <w:rFonts w:hint="eastAsia" w:ascii="仿宋_GB2312" w:hAnsi="宋体" w:eastAsia="仿宋_GB2312" w:cs="宋体"/>
          <w:sz w:val="32"/>
          <w:szCs w:val="32"/>
        </w:rPr>
        <w:t>负责对接县卫健局基层卫生股，协调相关项目负责人完成基本公共卫生服务9个项目工作。</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二、部门整体支出管理及使用情况</w:t>
      </w:r>
    </w:p>
    <w:p>
      <w:pPr>
        <w:keepNext w:val="0"/>
        <w:keepLines w:val="0"/>
        <w:pageBreakBefore w:val="0"/>
        <w:kinsoku/>
        <w:wordWrap/>
        <w:overflowPunct/>
        <w:topLinePunct w:val="0"/>
        <w:autoSpaceDE/>
        <w:bidi w:val="0"/>
        <w:spacing w:line="600" w:lineRule="exact"/>
        <w:ind w:left="0" w:leftChars="0" w:firstLine="643" w:firstLineChars="200"/>
        <w:jc w:val="left"/>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keepNext w:val="0"/>
        <w:keepLines w:val="0"/>
        <w:pageBreakBefore w:val="0"/>
        <w:kinsoku/>
        <w:wordWrap/>
        <w:overflowPunct/>
        <w:topLinePunct w:val="0"/>
        <w:autoSpaceDE/>
        <w:bidi w:val="0"/>
        <w:spacing w:line="600" w:lineRule="exact"/>
        <w:ind w:left="0" w:leftChars="0" w:firstLine="640" w:firstLineChars="200"/>
        <w:textAlignment w:val="auto"/>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2021年华容县疾病预防控制中心整体基本支出合计</w:t>
      </w:r>
      <w:r>
        <w:rPr>
          <w:rFonts w:hint="eastAsia" w:ascii="宋体" w:hAnsi="宋体"/>
          <w:sz w:val="28"/>
          <w:szCs w:val="28"/>
          <w:lang w:val="en-US" w:eastAsia="zh-CN"/>
        </w:rPr>
        <w:t>802.61</w:t>
      </w:r>
      <w:r>
        <w:rPr>
          <w:rFonts w:hint="eastAsia" w:ascii="宋体" w:hAnsi="宋体"/>
          <w:sz w:val="28"/>
          <w:szCs w:val="28"/>
        </w:rPr>
        <w:t>万元</w:t>
      </w:r>
      <w:r>
        <w:rPr>
          <w:rFonts w:hint="eastAsia" w:ascii="宋体" w:hAnsi="宋体"/>
          <w:sz w:val="28"/>
          <w:szCs w:val="28"/>
          <w:lang w:eastAsia="zh-CN"/>
        </w:rPr>
        <w:t>，</w:t>
      </w:r>
      <w:r>
        <w:rPr>
          <w:rFonts w:hint="eastAsia" w:ascii="仿宋_GB2312" w:hAnsi="仿宋_GB2312" w:eastAsia="仿宋_GB2312" w:cs="仿宋_GB2312"/>
          <w:sz w:val="32"/>
          <w:szCs w:val="28"/>
          <w:lang w:val="en-US" w:eastAsia="zh-CN"/>
        </w:rPr>
        <w:t>主要是用于人员工资、社会保障缴费、临时工工资以及为中心正常运转、完成日常工作任务而发生的商品和服务支出。其中：</w:t>
      </w:r>
      <w:r>
        <w:rPr>
          <w:rFonts w:hint="eastAsia" w:ascii="仿宋_GB2312" w:hAnsi="仿宋_GB2312" w:eastAsia="仿宋_GB2312" w:cs="仿宋_GB2312"/>
          <w:sz w:val="32"/>
          <w:szCs w:val="28"/>
          <w:lang w:eastAsia="zh-CN"/>
        </w:rPr>
        <w:t>工资福利支出</w:t>
      </w:r>
      <w:r>
        <w:rPr>
          <w:rFonts w:hint="eastAsia" w:ascii="宋体" w:hAnsi="宋体"/>
          <w:sz w:val="28"/>
          <w:szCs w:val="28"/>
          <w:lang w:val="en-US" w:eastAsia="zh-CN"/>
        </w:rPr>
        <w:t>690.36</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宋体" w:hAnsi="宋体"/>
          <w:sz w:val="28"/>
          <w:szCs w:val="28"/>
          <w:lang w:val="en-US" w:eastAsia="zh-CN"/>
        </w:rPr>
        <w:t>105.4</w:t>
      </w:r>
      <w:r>
        <w:rPr>
          <w:rFonts w:hint="eastAsia" w:ascii="仿宋_GB2312" w:hAnsi="仿宋_GB2312" w:eastAsia="仿宋_GB2312" w:cs="仿宋_GB2312"/>
          <w:sz w:val="32"/>
          <w:szCs w:val="28"/>
          <w:lang w:val="en-US" w:eastAsia="zh-CN"/>
        </w:rPr>
        <w:t>万元，对个人和家庭的补助支出</w:t>
      </w:r>
      <w:r>
        <w:rPr>
          <w:rFonts w:hint="eastAsia" w:ascii="宋体" w:hAnsi="宋体"/>
          <w:sz w:val="28"/>
          <w:szCs w:val="28"/>
          <w:lang w:val="en-US" w:eastAsia="zh-CN"/>
        </w:rPr>
        <w:t>5.83</w:t>
      </w:r>
      <w:r>
        <w:rPr>
          <w:rFonts w:hint="eastAsia" w:ascii="仿宋_GB2312" w:hAnsi="仿宋_GB2312" w:eastAsia="仿宋_GB2312" w:cs="仿宋_GB2312"/>
          <w:sz w:val="32"/>
          <w:szCs w:val="28"/>
          <w:lang w:val="en-US" w:eastAsia="zh-CN"/>
        </w:rPr>
        <w:t>万元，</w:t>
      </w:r>
      <w:r>
        <w:rPr>
          <w:rFonts w:hint="eastAsia" w:ascii="仿宋_GB2312" w:hAnsi="宋体" w:eastAsia="仿宋_GB2312" w:cs="宋体"/>
          <w:sz w:val="32"/>
          <w:szCs w:val="28"/>
          <w:lang w:val="en-US" w:eastAsia="zh-CN"/>
        </w:rPr>
        <w:t>资本性支出</w:t>
      </w:r>
      <w:r>
        <w:rPr>
          <w:rFonts w:hint="eastAsia" w:ascii="宋体" w:hAnsi="宋体"/>
          <w:sz w:val="28"/>
          <w:szCs w:val="28"/>
          <w:lang w:val="en-US" w:eastAsia="zh-CN"/>
        </w:rPr>
        <w:t>1.02</w:t>
      </w:r>
      <w:r>
        <w:rPr>
          <w:rFonts w:hint="eastAsia" w:ascii="仿宋_GB2312" w:hAnsi="宋体" w:eastAsia="仿宋_GB2312" w:cs="宋体"/>
          <w:sz w:val="32"/>
          <w:szCs w:val="28"/>
          <w:lang w:val="en-US" w:eastAsia="zh-CN"/>
        </w:rPr>
        <w:t>万元。</w:t>
      </w:r>
    </w:p>
    <w:p>
      <w:pPr>
        <w:keepNext w:val="0"/>
        <w:keepLines w:val="0"/>
        <w:pageBreakBefore w:val="0"/>
        <w:numPr>
          <w:ilvl w:val="0"/>
          <w:numId w:val="0"/>
        </w:numPr>
        <w:kinsoku/>
        <w:wordWrap/>
        <w:overflowPunct/>
        <w:topLinePunct w:val="0"/>
        <w:autoSpaceDE/>
        <w:bidi w:val="0"/>
        <w:spacing w:line="600" w:lineRule="exact"/>
        <w:ind w:left="0" w:leftChars="0" w:firstLine="643" w:firstLineChars="200"/>
        <w:jc w:val="left"/>
        <w:textAlignment w:val="auto"/>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keepNext w:val="0"/>
        <w:keepLines w:val="0"/>
        <w:pageBreakBefore w:val="0"/>
        <w:kinsoku/>
        <w:wordWrap/>
        <w:overflowPunct/>
        <w:topLinePunct w:val="0"/>
        <w:autoSpaceDE/>
        <w:bidi w:val="0"/>
        <w:spacing w:line="600" w:lineRule="exact"/>
        <w:ind w:left="0" w:leftChars="0" w:firstLine="640" w:firstLineChars="200"/>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1、项目资金安排落实、总投入等情况分析</w:t>
      </w:r>
    </w:p>
    <w:p>
      <w:pPr>
        <w:keepNext w:val="0"/>
        <w:keepLines w:val="0"/>
        <w:pageBreakBefore w:val="0"/>
        <w:kinsoku/>
        <w:wordWrap/>
        <w:overflowPunct/>
        <w:topLinePunct w:val="0"/>
        <w:autoSpaceDE/>
        <w:bidi w:val="0"/>
        <w:spacing w:line="600" w:lineRule="exact"/>
        <w:ind w:left="0" w:leftChars="0" w:firstLine="640" w:firstLineChars="200"/>
        <w:textAlignment w:val="auto"/>
        <w:rPr>
          <w:rFonts w:hint="eastAsia" w:ascii="仿宋_GB2312" w:hAnsi="宋体" w:eastAsia="仿宋_GB2312" w:cs="宋体"/>
          <w:color w:val="000000" w:themeColor="text1"/>
          <w:sz w:val="32"/>
          <w:szCs w:val="28"/>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我中心项目资金按照年初预算517.19万元的安排，按照月度资金落实，重大公共卫生服务、突发公共卫生事件应急处理、其他公共卫生支出、应急物质储备、其他支出等方面的支出</w:t>
      </w:r>
      <w:r>
        <w:rPr>
          <w:rFonts w:hint="eastAsia" w:ascii="仿宋_GB2312" w:hAnsi="宋体" w:eastAsia="仿宋_GB2312" w:cs="宋体"/>
          <w:color w:val="000000" w:themeColor="text1"/>
          <w:sz w:val="32"/>
          <w:szCs w:val="28"/>
          <w:lang w:val="en-US" w:eastAsia="zh-CN"/>
          <w14:textFill>
            <w14:solidFill>
              <w14:schemeClr w14:val="tx1"/>
            </w14:solidFill>
          </w14:textFill>
        </w:rPr>
        <w:t>。</w:t>
      </w:r>
    </w:p>
    <w:p>
      <w:pPr>
        <w:keepNext w:val="0"/>
        <w:keepLines w:val="0"/>
        <w:pageBreakBefore w:val="0"/>
        <w:kinsoku/>
        <w:wordWrap/>
        <w:overflowPunct/>
        <w:topLinePunct w:val="0"/>
        <w:autoSpaceDE/>
        <w:bidi w:val="0"/>
        <w:spacing w:line="600" w:lineRule="exact"/>
        <w:ind w:left="0" w:leftChars="0" w:firstLine="643" w:firstLineChars="200"/>
        <w:textAlignment w:val="auto"/>
        <w:rPr>
          <w:rFonts w:hint="eastAsia" w:ascii="Times New Roman" w:hAnsi="Times New Roman" w:eastAsia="仿宋_GB2312" w:cs="Times New Roman"/>
          <w:b/>
          <w:bCs/>
          <w:color w:val="000000" w:themeColor="text1"/>
          <w:kern w:val="2"/>
          <w:sz w:val="32"/>
          <w:szCs w:val="32"/>
          <w:shd w:val="clear" w:color="auto" w:fill="FFFFFF"/>
          <w:lang w:val="en-US"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shd w:val="clear" w:color="auto" w:fill="FFFFFF"/>
          <w:lang w:val="en-US" w:eastAsia="zh-CN" w:bidi="ar-SA"/>
          <w14:textFill>
            <w14:solidFill>
              <w14:schemeClr w14:val="tx1"/>
            </w14:solidFill>
          </w14:textFill>
        </w:rPr>
        <w:t>2.专项资金实际使用情况分析</w:t>
      </w:r>
    </w:p>
    <w:p>
      <w:pPr>
        <w:keepNext w:val="0"/>
        <w:keepLines w:val="0"/>
        <w:pageBreakBefore w:val="0"/>
        <w:kinsoku/>
        <w:wordWrap/>
        <w:overflowPunct/>
        <w:topLinePunct w:val="0"/>
        <w:autoSpaceDE/>
        <w:bidi w:val="0"/>
        <w:spacing w:line="600" w:lineRule="exact"/>
        <w:ind w:left="0" w:leftChars="0" w:firstLine="640" w:firstLineChars="200"/>
        <w:textAlignment w:val="auto"/>
        <w:rPr>
          <w:rFonts w:hint="eastAsia" w:ascii="仿宋_GB2312" w:hAnsi="仿宋_GB2312" w:eastAsia="仿宋_GB2312" w:cs="仿宋_GB2312"/>
          <w:bCs/>
          <w:color w:val="0070C0"/>
          <w:sz w:val="28"/>
          <w:szCs w:val="28"/>
        </w:rPr>
      </w:pP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2021年我中心整体项目支出合计517.18万元，其中：</w:t>
      </w:r>
      <w:r>
        <w:rPr>
          <w:rFonts w:hint="eastAsia" w:ascii="仿宋_GB2312" w:hAnsi="仿宋_GB2312" w:eastAsia="仿宋_GB2312" w:cs="仿宋_GB2312"/>
          <w:color w:val="000000" w:themeColor="text1"/>
          <w:sz w:val="32"/>
          <w:szCs w:val="28"/>
          <w:lang w:eastAsia="zh-CN"/>
          <w14:textFill>
            <w14:solidFill>
              <w14:schemeClr w14:val="tx1"/>
            </w14:solidFill>
          </w14:textFill>
        </w:rPr>
        <w:t>商品和服务支出</w:t>
      </w:r>
      <w:r>
        <w:rPr>
          <w:rFonts w:hint="eastAsia" w:ascii="仿宋_GB2312" w:hAnsi="仿宋_GB2312" w:eastAsia="仿宋_GB2312" w:cs="仿宋_GB2312"/>
          <w:color w:val="000000" w:themeColor="text1"/>
          <w:sz w:val="32"/>
          <w:szCs w:val="28"/>
          <w:lang w:val="en-US" w:eastAsia="zh-CN"/>
          <w14:textFill>
            <w14:solidFill>
              <w14:schemeClr w14:val="tx1"/>
            </w14:solidFill>
          </w14:textFill>
        </w:rPr>
        <w:t>427.53万元，</w:t>
      </w:r>
      <w:r>
        <w:rPr>
          <w:rFonts w:hint="eastAsia" w:ascii="仿宋_GB2312" w:hAnsi="宋体" w:eastAsia="仿宋_GB2312" w:cs="宋体"/>
          <w:color w:val="000000" w:themeColor="text1"/>
          <w:sz w:val="32"/>
          <w:szCs w:val="28"/>
          <w:lang w:val="en-US" w:eastAsia="zh-CN"/>
          <w14:textFill>
            <w14:solidFill>
              <w14:schemeClr w14:val="tx1"/>
            </w14:solidFill>
          </w14:textFill>
        </w:rPr>
        <w:t>资本性支出89.65万元</w:t>
      </w:r>
      <w:r>
        <w:rPr>
          <w:rFonts w:hint="eastAsia" w:ascii="仿宋_GB2312" w:hAnsi="宋体" w:eastAsia="仿宋_GB2312" w:cs="宋体"/>
          <w:color w:val="0070C0"/>
          <w:sz w:val="32"/>
          <w:szCs w:val="28"/>
          <w:lang w:val="en-US" w:eastAsia="zh-CN"/>
        </w:rPr>
        <w:t>。</w:t>
      </w:r>
    </w:p>
    <w:p>
      <w:pPr>
        <w:keepNext w:val="0"/>
        <w:keepLines w:val="0"/>
        <w:pageBreakBefore w:val="0"/>
        <w:kinsoku/>
        <w:wordWrap/>
        <w:overflowPunct/>
        <w:topLinePunct w:val="0"/>
        <w:autoSpaceDE/>
        <w:bidi w:val="0"/>
        <w:spacing w:line="600" w:lineRule="exact"/>
        <w:ind w:left="0" w:leftChars="0" w:firstLine="643" w:firstLineChars="200"/>
        <w:textAlignment w:val="auto"/>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实行项目绩效考核，加强项目资金专款专用管理，设立专账核算，单位财务加强项目资金日常使用监督。</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三、部门专项组织实施情况</w:t>
      </w:r>
    </w:p>
    <w:p>
      <w:pPr>
        <w:keepNext w:val="0"/>
        <w:keepLines w:val="0"/>
        <w:pageBreakBefore w:val="0"/>
        <w:kinsoku/>
        <w:wordWrap/>
        <w:overflowPunct/>
        <w:topLinePunct w:val="0"/>
        <w:autoSpaceDE/>
        <w:bidi w:val="0"/>
        <w:adjustRightInd w:val="0"/>
        <w:snapToGrid w:val="0"/>
        <w:spacing w:line="600" w:lineRule="exact"/>
        <w:ind w:left="0" w:leftChars="0" w:firstLine="640" w:firstLineChars="200"/>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1、组织实施：为使绩效评价工作顺利开展，成立了以中心主任蔡建湘同志为组长、张志华、孙贤兵、陈克红为副组长、各科室负责人为成员的预算绩效管理工作领导小组，负责绩效评价的组织管理和实施工作，填制基础表格、收集资料、汇总数据，按照年初上级部门下达的工作目标，结合部门预算支出情况进行绩效评价并撰写绩效评价报告。</w:t>
      </w:r>
    </w:p>
    <w:p>
      <w:pPr>
        <w:pStyle w:val="5"/>
        <w:keepNext w:val="0"/>
        <w:keepLines w:val="0"/>
        <w:pageBreakBefore w:val="0"/>
        <w:kinsoku/>
        <w:wordWrap/>
        <w:overflowPunct/>
        <w:topLinePunct w:val="0"/>
        <w:autoSpaceDE/>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2、项目资金管理情况分析：严格按项目资金进行管理，执行相关财务支出管理制度，资金管理制度。</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四、部门整体支出绩效情况</w:t>
      </w:r>
    </w:p>
    <w:p>
      <w:pPr>
        <w:keepNext w:val="0"/>
        <w:keepLines w:val="0"/>
        <w:pageBreakBefore w:val="0"/>
        <w:kinsoku/>
        <w:wordWrap/>
        <w:overflowPunct/>
        <w:topLinePunct w:val="0"/>
        <w:autoSpaceDE/>
        <w:bidi w:val="0"/>
        <w:adjustRightInd w:val="0"/>
        <w:snapToGrid w:val="0"/>
        <w:spacing w:line="600" w:lineRule="exact"/>
        <w:ind w:left="0" w:leftChars="0" w:firstLine="643" w:firstLineChars="200"/>
        <w:jc w:val="lef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keepNext w:val="0"/>
        <w:keepLines w:val="0"/>
        <w:pageBreakBefore w:val="0"/>
        <w:kinsoku/>
        <w:wordWrap/>
        <w:overflowPunct/>
        <w:topLinePunct w:val="0"/>
        <w:autoSpaceDE/>
        <w:bidi w:val="0"/>
        <w:adjustRightInd w:val="0"/>
        <w:snapToGrid w:val="0"/>
        <w:spacing w:line="600" w:lineRule="exact"/>
        <w:ind w:left="0" w:leftChars="0" w:firstLine="640" w:firstLineChars="200"/>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（1）收入情况：全年收入合计1332.57万元，：财政补助收入1319.79万元，非税收入12.78万元。</w:t>
      </w:r>
    </w:p>
    <w:p>
      <w:pPr>
        <w:keepNext w:val="0"/>
        <w:keepLines w:val="0"/>
        <w:pageBreakBefore w:val="0"/>
        <w:kinsoku/>
        <w:wordWrap/>
        <w:overflowPunct/>
        <w:topLinePunct w:val="0"/>
        <w:autoSpaceDE/>
        <w:bidi w:val="0"/>
        <w:adjustRightInd w:val="0"/>
        <w:snapToGrid w:val="0"/>
        <w:spacing w:line="600" w:lineRule="exact"/>
        <w:ind w:left="0" w:leftChars="0" w:firstLine="640" w:firstLineChars="200"/>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2）支出情况:一般公共预算支出1319.79万元。基本支出802.61万元，其中：工资福利支出690.36万元，商品和服务支出105.4万元，对个人和家庭的补助支出5.83万元，资本性支出1.02万元；项目支出517.18万元，其中：商品和服务支出427.53万元，资本性支出89.65万元。</w:t>
      </w:r>
    </w:p>
    <w:p>
      <w:pPr>
        <w:keepNext w:val="0"/>
        <w:keepLines w:val="0"/>
        <w:pageBreakBefore w:val="0"/>
        <w:kinsoku/>
        <w:wordWrap/>
        <w:overflowPunct/>
        <w:topLinePunct w:val="0"/>
        <w:autoSpaceDE/>
        <w:bidi w:val="0"/>
        <w:adjustRightInd w:val="0"/>
        <w:snapToGrid w:val="0"/>
        <w:spacing w:line="600" w:lineRule="exact"/>
        <w:ind w:left="0" w:leftChars="0" w:firstLine="640" w:firstLineChars="200"/>
        <w:textAlignment w:val="auto"/>
        <w:rPr>
          <w:rFonts w:hint="eastAsia" w:ascii="仿宋_GB2312" w:hAnsi="宋体" w:eastAsia="仿宋_GB2312" w:cs="宋体"/>
          <w:color w:val="000000"/>
          <w:sz w:val="32"/>
          <w:szCs w:val="28"/>
        </w:rPr>
      </w:pPr>
      <w:r>
        <w:rPr>
          <w:rFonts w:hint="eastAsia" w:ascii="Times New Roman" w:hAnsi="Times New Roman" w:eastAsia="仿宋" w:cs="Times New Roman"/>
          <w:color w:val="auto"/>
          <w:kern w:val="0"/>
          <w:sz w:val="32"/>
          <w:szCs w:val="32"/>
          <w:lang w:val="en-US" w:eastAsia="zh-CN" w:bidi="ar"/>
        </w:rPr>
        <w:t>2.三公经费支出情况：2021年“三公”经费” 支出</w:t>
      </w:r>
      <w:r>
        <w:rPr>
          <w:rFonts w:hint="eastAsia" w:eastAsia="仿宋" w:cs="Times New Roman"/>
          <w:color w:val="auto"/>
          <w:kern w:val="0"/>
          <w:sz w:val="32"/>
          <w:szCs w:val="32"/>
          <w:lang w:val="en-US" w:eastAsia="zh-CN" w:bidi="ar"/>
        </w:rPr>
        <w:t>4.93</w:t>
      </w:r>
      <w:r>
        <w:rPr>
          <w:rFonts w:hint="eastAsia" w:ascii="Times New Roman" w:hAnsi="Times New Roman" w:eastAsia="仿宋" w:cs="Times New Roman"/>
          <w:color w:val="auto"/>
          <w:kern w:val="0"/>
          <w:sz w:val="32"/>
          <w:szCs w:val="32"/>
          <w:lang w:val="en-US" w:eastAsia="zh-CN" w:bidi="ar"/>
        </w:rPr>
        <w:t>万元。其中：公务用车运行维护费</w:t>
      </w:r>
      <w:r>
        <w:rPr>
          <w:rFonts w:hint="eastAsia" w:eastAsia="仿宋" w:cs="Times New Roman"/>
          <w:color w:val="auto"/>
          <w:kern w:val="0"/>
          <w:sz w:val="32"/>
          <w:szCs w:val="32"/>
          <w:lang w:val="en-US" w:eastAsia="zh-CN" w:bidi="ar"/>
        </w:rPr>
        <w:t>3</w:t>
      </w:r>
      <w:r>
        <w:rPr>
          <w:rFonts w:hint="eastAsia" w:ascii="Times New Roman" w:hAnsi="Times New Roman" w:eastAsia="仿宋" w:cs="Times New Roman"/>
          <w:color w:val="auto"/>
          <w:kern w:val="0"/>
          <w:sz w:val="32"/>
          <w:szCs w:val="32"/>
          <w:lang w:val="en-US" w:eastAsia="zh-CN" w:bidi="ar"/>
        </w:rPr>
        <w:t>.07万元，公务接待费</w:t>
      </w:r>
      <w:r>
        <w:rPr>
          <w:rFonts w:hint="eastAsia" w:eastAsia="仿宋" w:cs="Times New Roman"/>
          <w:color w:val="auto"/>
          <w:kern w:val="0"/>
          <w:sz w:val="32"/>
          <w:szCs w:val="32"/>
          <w:lang w:val="en-US" w:eastAsia="zh-CN" w:bidi="ar"/>
        </w:rPr>
        <w:t>1.86</w:t>
      </w:r>
      <w:r>
        <w:rPr>
          <w:rFonts w:hint="eastAsia" w:ascii="Times New Roman" w:hAnsi="Times New Roman" w:eastAsia="仿宋" w:cs="Times New Roman"/>
          <w:color w:val="auto"/>
          <w:kern w:val="0"/>
          <w:sz w:val="32"/>
          <w:szCs w:val="32"/>
          <w:lang w:val="en-US" w:eastAsia="zh-CN" w:bidi="ar"/>
        </w:rPr>
        <w:t>万元。</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我中心没有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3"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仿宋_GB2312" w:eastAsia="仿宋_GB2312"/>
          <w:b/>
          <w:bCs/>
          <w:sz w:val="32"/>
          <w:szCs w:val="32"/>
          <w:lang w:val="en-US" w:eastAsia="zh-CN"/>
        </w:rPr>
        <w:t>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Times New Roman" w:hAnsi="Times New Roman" w:eastAsia="仿宋" w:cs="Times New Roman"/>
          <w:color w:val="auto"/>
          <w:kern w:val="0"/>
          <w:sz w:val="32"/>
          <w:szCs w:val="32"/>
          <w:lang w:val="en-US" w:eastAsia="zh-CN" w:bidi="ar"/>
        </w:rPr>
        <w:t>为进一步规范我县医疗机构免疫规划疫苗针对性传染病监测和管理工作，全县累计报告疑似麻疹15例；AFP3例；AEFI 30例。每月对全县各哨点医院开展了麻疹、风疹、AFP、流脑、乙脑及其他免疫规划疫苗针对传染病的主动监测。发现疑似病例及时上报，调查处置。儿童基础免疫报告接种剂次及接种率均在98%以上。8月-11月在全县85所小学和90所幼儿园展开入托、入学查验预防接种证工作，查验覆盖率为100％，入托入学应查验儿童15177人，实际查验儿童15014人，查验率为98.93%，应补种12879人，实际补种12794人，补种率为99.34%。</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 xml:space="preserve">2021年全县共开展HIV抗体检测163296人次，检测比例22%（指标要求21%）；VCT门诊全年筛查980人次（指标要求905人次）；艾滋病治疗率96%、病毒载量检测率100%、治疗成功率93%（指标要求90%）；CD4检测率、配偶检测比例、结核检测比例均为100%（指标要求95%）。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2021年免费检查可疑患者1252人，确诊肺结核患者数330人，年初治涂阳192人。管理率100%(要求90%)，规范管理率98.48%(90%)，规律服药率96.97%(要求90%)，病原学阳率58.18%(要求50%),病原学阳耐药者筛查率100%(要求90%)，耐药可疑者筛查率100%(要求90%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2021年在册管理严重精神障碍患者3288人，在管3272人，管理率99.51%(要求95%)，规范管理率99.24(80%)，服药率95.89%(要求80%)，规律服药率86.36%(要求50%),面访率98.28%(要求90%),各指标较去年均有上升。累计上报死亡信息人数3355例，恶性肿瘤上报558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eastAsia="仿宋_GB2312" w:cs="仿宋_GB2312"/>
          <w:sz w:val="32"/>
          <w:szCs w:val="32"/>
          <w:lang w:val="en-US" w:eastAsia="zh-CN"/>
        </w:rPr>
        <w:t>开展公共场所、餐饮单位、食品生产企业、从业人员及外出务工人员的预防性健康体检常规工作13629人次。农村饮用水监测14个乡镇的26家自来水厂样190份，市政供水每个季度监测一次，检测水质常规指标34项加氨氮，检测结果在政府网站进行公示。食源性疾病监测工作共核查病例信息234条，检测食品样的菌落总数、大肠菌群、金黄色葡萄球菌、腊样芽胞杆菌（定量）、沙门氏菌共120份，其中大米和稻谷样中各有一份镉超标。按国家职业病防治项目的要求完成了我县20家企业的职业危害因素现场监测，督促并指导38家企业进行了职业危害因素的申报。医院消毒样品监测1105份，合格1043份，合格率为94.4%。托幼机构的消毒监测采样44份，合格38份，合格率为86.4%。敬老院消毒监测采样44份样品，合格34份，合格率77.3%。</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全年累计开展新冠肺炎相关疫情流调33起，排查密切接触者10人，次密298人，全县无确诊病例、无症状感染者、疑似病例报告。每日及时收集、上报各类新冠报表，对集中隔离点采样结果及时进行反馈（包括集中隔离对象和解除对象）。对各大农贸市场，超市（生鲜水产品区域、冷冻水产品、肉品区域）、海鲜加工门店及餐饮店共采样11554份，其中水产品、肉类4241份，外环境6244份，从业人员1069份，监测场所共1917家，结果均为阴性。全县累计报告接种新冠病毒疫苗778127剂次，其中第一剂382098剂次、第二剂347712剂次、第三剂48316剂次；18岁以上加强针累计接种11831剂次；3-11岁儿童第一剂累计接种42392剂次。</w:t>
      </w:r>
    </w:p>
    <w:p>
      <w:pPr>
        <w:spacing w:line="600" w:lineRule="exact"/>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为有效推进疾控各项主题宣传活动，紧跟时代发展需求，我们和移动公司签订宣传展示包业务，负责推送疾控公众号主题内容到移动手机客户端46万条。开展了“3.24”结核病日职业病防治宣传日、世界无烟日、全民营养周、全国儿童预防接种宣传日、全国疟疾日、全国碘缺乏病日等宣传活动，更换健康教育宣传栏4期，推送微信公众号38期。开展华容县2021年学生近视及影响因素监测和干预现场监测，收集整理家长知情同意书及学生近视干预试卷，完成了数据审核及上传等工作。</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五、存在的主要问题</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存在专技人员比例不足、人员年龄、性别比例不合理，人才留不住等问题。近年来我们想尽办法从各大高校招聘引进专业技术人员，给他们免费解决食宿问题，但由于薪酬待遇低、激励机制不健全、发展空间小等原因，很难留住人才，近年我中心先后有14名年轻专业技术骨干辞职或调出。目前中心人才断层、专业技术人员缺乏等问题日益严重，现有的专业技术队伍远远不能满足新形势下疾控工作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2、项目经费拨付不够及时，导致有些工作无法开展。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3、项目文件没有明细经费开支范围，财务无依据监督。</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六、改进措施和有关建议</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对绩效评价工作“谁使用、谁评价”的原则执行不够到位。  今后我中心将更加细致地制定绩效目标，进一步严肃财经纪律，让项目资金按计划落实到实处。</w:t>
      </w:r>
    </w:p>
    <w:p>
      <w:pPr>
        <w:keepNext w:val="0"/>
        <w:keepLines w:val="0"/>
        <w:pageBreakBefore w:val="0"/>
        <w:widowControl w:val="0"/>
        <w:numPr>
          <w:ilvl w:val="0"/>
          <w:numId w:val="0"/>
        </w:numPr>
        <w:kinsoku/>
        <w:wordWrap/>
        <w:overflowPunct/>
        <w:topLinePunct w:val="0"/>
        <w:autoSpaceDE/>
        <w:autoSpaceDN/>
        <w:bidi w:val="0"/>
        <w:spacing w:line="600" w:lineRule="exact"/>
        <w:ind w:leftChars="200" w:firstLine="640" w:firstLineChars="200"/>
        <w:jc w:val="left"/>
        <w:textAlignment w:val="auto"/>
        <w:rPr>
          <w:rFonts w:hint="eastAsia"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1、保障职工待遇，提高职工工作积极性；加强疾控人员队伍建设，增加人员编制。</w:t>
      </w:r>
    </w:p>
    <w:p>
      <w:pPr>
        <w:keepNext w:val="0"/>
        <w:keepLines w:val="0"/>
        <w:pageBreakBefore w:val="0"/>
        <w:widowControl w:val="0"/>
        <w:numPr>
          <w:ilvl w:val="0"/>
          <w:numId w:val="0"/>
        </w:numPr>
        <w:kinsoku/>
        <w:wordWrap/>
        <w:overflowPunct/>
        <w:topLinePunct w:val="0"/>
        <w:autoSpaceDE/>
        <w:autoSpaceDN/>
        <w:bidi w:val="0"/>
        <w:spacing w:line="600" w:lineRule="exact"/>
        <w:ind w:leftChars="200" w:firstLine="640" w:firstLineChars="200"/>
        <w:jc w:val="left"/>
        <w:textAlignment w:val="auto"/>
        <w:rPr>
          <w:rFonts w:hint="default"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2、加强项目经费拨付的及时性</w:t>
      </w:r>
      <w:r>
        <w:rPr>
          <w:rFonts w:ascii="仿宋" w:hAnsi="仿宋" w:eastAsia="仿宋" w:cs="仿宋"/>
          <w:i w:val="0"/>
          <w:iCs w:val="0"/>
          <w:caps w:val="0"/>
          <w:color w:val="3D3D3D"/>
          <w:spacing w:val="0"/>
          <w:sz w:val="25"/>
          <w:szCs w:val="25"/>
          <w:shd w:val="clear" w:fill="FFFFFF"/>
        </w:rPr>
        <w:t>；</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eastAsia" w:ascii="Times New Roman" w:hAnsi="Times New Roman" w:eastAsia="仿宋" w:cs="Times New Roman"/>
          <w:color w:val="auto"/>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0" w:firstLineChars="200"/>
        <w:jc w:val="left"/>
        <w:textAlignment w:val="auto"/>
        <w:rPr>
          <w:rFonts w:hint="default" w:ascii="Times New Roman" w:hAnsi="Times New Roman" w:eastAsia="仿宋" w:cs="Times New Roman"/>
          <w:color w:val="auto"/>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仿宋" w:cs="Times New Roman"/>
          <w:color w:val="auto"/>
          <w:kern w:val="0"/>
          <w:sz w:val="32"/>
          <w:szCs w:val="32"/>
          <w:lang w:val="en-US" w:eastAsia="zh-CN" w:bidi="ar"/>
        </w:rPr>
      </w:pPr>
    </w:p>
    <w:p>
      <w:pPr>
        <w:keepNext w:val="0"/>
        <w:keepLines w:val="0"/>
        <w:pageBreakBefore w:val="0"/>
        <w:widowControl w:val="0"/>
        <w:numPr>
          <w:ilvl w:val="0"/>
          <w:numId w:val="0"/>
        </w:numPr>
        <w:kinsoku/>
        <w:wordWrap/>
        <w:overflowPunct/>
        <w:topLinePunct w:val="0"/>
        <w:autoSpaceDE/>
        <w:autoSpaceDN/>
        <w:bidi w:val="0"/>
        <w:spacing w:line="560" w:lineRule="exact"/>
        <w:ind w:left="0" w:firstLine="640" w:firstLineChars="200"/>
        <w:jc w:val="left"/>
        <w:textAlignment w:val="auto"/>
        <w:rPr>
          <w:rFonts w:hint="default" w:ascii="Times New Roman" w:hAnsi="Times New Roman" w:eastAsia="仿宋" w:cs="Times New Roman"/>
          <w:color w:val="auto"/>
          <w:kern w:val="0"/>
          <w:sz w:val="32"/>
          <w:szCs w:val="32"/>
          <w:lang w:val="en-US" w:eastAsia="zh-CN" w:bidi="ar"/>
        </w:rPr>
      </w:pPr>
      <w:r>
        <w:rPr>
          <w:rFonts w:hint="eastAsia" w:ascii="Times New Roman" w:hAnsi="Times New Roman" w:eastAsia="仿宋" w:cs="Times New Roman"/>
          <w:color w:val="auto"/>
          <w:kern w:val="0"/>
          <w:sz w:val="32"/>
          <w:szCs w:val="32"/>
          <w:lang w:val="en-US" w:eastAsia="zh-CN" w:bidi="ar"/>
        </w:rPr>
        <w:t xml:space="preserve">                          华容县疾病预防控制中心 </w:t>
      </w:r>
    </w:p>
    <w:p>
      <w:pPr>
        <w:spacing w:line="600" w:lineRule="exact"/>
        <w:ind w:firstLine="640" w:firstLineChars="200"/>
        <w:jc w:val="left"/>
        <w:rPr>
          <w:rFonts w:hint="eastAsia" w:ascii="宋体" w:hAnsi="宋体" w:eastAsia="宋体" w:cs="宋体"/>
          <w:b/>
          <w:bCs/>
          <w:sz w:val="44"/>
          <w:szCs w:val="44"/>
        </w:rPr>
      </w:pPr>
      <w:r>
        <w:rPr>
          <w:rFonts w:hint="eastAsia" w:ascii="Times New Roman" w:hAnsi="Times New Roman" w:eastAsia="仿宋" w:cs="Times New Roman"/>
          <w:color w:val="auto"/>
          <w:kern w:val="0"/>
          <w:sz w:val="32"/>
          <w:szCs w:val="32"/>
          <w:lang w:val="en-US" w:eastAsia="zh-CN" w:bidi="ar"/>
        </w:rPr>
        <w:t xml:space="preserve">                             2022年10月9日 </w:t>
      </w:r>
    </w:p>
    <w:p>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Times New Roman" w:hAnsi="Times New Roman" w:eastAsia="仿宋" w:cs="Times New Roman"/>
          <w:color w:val="auto"/>
          <w:kern w:val="0"/>
          <w:sz w:val="32"/>
          <w:szCs w:val="32"/>
          <w:lang w:val="en-US" w:eastAsia="zh-CN" w:bidi="ar"/>
        </w:rPr>
      </w:pPr>
    </w:p>
    <w:p>
      <w:pPr>
        <w:spacing w:beforeLines="50" w:line="348" w:lineRule="auto"/>
        <w:ind w:firstLine="1900" w:firstLineChars="500"/>
        <w:jc w:val="both"/>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bidi="ar-SA"/>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332"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62"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both"/>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 xml:space="preserve">  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95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ED709"/>
    <w:multiLevelType w:val="singleLevel"/>
    <w:tmpl w:val="1FAED709"/>
    <w:lvl w:ilvl="0" w:tentative="0">
      <w:start w:val="1"/>
      <w:numFmt w:val="decimal"/>
      <w:suff w:val="nothing"/>
      <w:lvlText w:val="%1、"/>
      <w:lvlJc w:val="left"/>
      <w:pPr>
        <w:ind w:left="-223"/>
      </w:pPr>
    </w:lvl>
  </w:abstractNum>
  <w:abstractNum w:abstractNumId="1">
    <w:nsid w:val="272DD861"/>
    <w:multiLevelType w:val="singleLevel"/>
    <w:tmpl w:val="272DD861"/>
    <w:lvl w:ilvl="0" w:tentative="0">
      <w:start w:val="1"/>
      <w:numFmt w:val="decimal"/>
      <w:lvlText w:val="%1."/>
      <w:lvlJc w:val="left"/>
      <w:pPr>
        <w:tabs>
          <w:tab w:val="left" w:pos="312"/>
        </w:tabs>
      </w:pPr>
    </w:lvl>
  </w:abstractNum>
  <w:abstractNum w:abstractNumId="2">
    <w:nsid w:val="7915D365"/>
    <w:multiLevelType w:val="singleLevel"/>
    <w:tmpl w:val="7915D365"/>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NWZjZmZhMTE3MDI4ZjY1OWFkZTNjOGM2OTJmM2YifQ=="/>
  </w:docVars>
  <w:rsids>
    <w:rsidRoot w:val="2CE55C20"/>
    <w:rsid w:val="007B2063"/>
    <w:rsid w:val="02300221"/>
    <w:rsid w:val="03457CFC"/>
    <w:rsid w:val="0346733A"/>
    <w:rsid w:val="037E3F00"/>
    <w:rsid w:val="05C141CF"/>
    <w:rsid w:val="06705C3B"/>
    <w:rsid w:val="083749E7"/>
    <w:rsid w:val="083D3697"/>
    <w:rsid w:val="08C92D5A"/>
    <w:rsid w:val="08D15B8E"/>
    <w:rsid w:val="09B8515F"/>
    <w:rsid w:val="0B7C6285"/>
    <w:rsid w:val="0C4D19CF"/>
    <w:rsid w:val="0CEC31C7"/>
    <w:rsid w:val="0D38039C"/>
    <w:rsid w:val="0DE528CD"/>
    <w:rsid w:val="0E8A5970"/>
    <w:rsid w:val="0F9860A6"/>
    <w:rsid w:val="11F34DC7"/>
    <w:rsid w:val="12D01F40"/>
    <w:rsid w:val="13233A81"/>
    <w:rsid w:val="13DD5D2E"/>
    <w:rsid w:val="14C173FE"/>
    <w:rsid w:val="15736213"/>
    <w:rsid w:val="175C6F6A"/>
    <w:rsid w:val="177D576C"/>
    <w:rsid w:val="18725427"/>
    <w:rsid w:val="19F4792E"/>
    <w:rsid w:val="1B9D2F2A"/>
    <w:rsid w:val="1BD16179"/>
    <w:rsid w:val="1CFA4CF4"/>
    <w:rsid w:val="1E4A2212"/>
    <w:rsid w:val="1FCF0C21"/>
    <w:rsid w:val="20D34741"/>
    <w:rsid w:val="211F34E2"/>
    <w:rsid w:val="232E7F72"/>
    <w:rsid w:val="247C6E9E"/>
    <w:rsid w:val="254E2FC7"/>
    <w:rsid w:val="263C173A"/>
    <w:rsid w:val="264D5236"/>
    <w:rsid w:val="26D77FBC"/>
    <w:rsid w:val="2A4B10AB"/>
    <w:rsid w:val="2ADE440E"/>
    <w:rsid w:val="2B3672CC"/>
    <w:rsid w:val="2B626DED"/>
    <w:rsid w:val="2CA33441"/>
    <w:rsid w:val="2CAA45B4"/>
    <w:rsid w:val="2CE55C20"/>
    <w:rsid w:val="2DF864BF"/>
    <w:rsid w:val="2EC735CB"/>
    <w:rsid w:val="2F287302"/>
    <w:rsid w:val="2F2B399A"/>
    <w:rsid w:val="2F936BF3"/>
    <w:rsid w:val="30426D13"/>
    <w:rsid w:val="308105ED"/>
    <w:rsid w:val="32BC3F4F"/>
    <w:rsid w:val="339935C8"/>
    <w:rsid w:val="34433534"/>
    <w:rsid w:val="344C23E9"/>
    <w:rsid w:val="355E0625"/>
    <w:rsid w:val="35C208F7"/>
    <w:rsid w:val="35C45B55"/>
    <w:rsid w:val="38370EE3"/>
    <w:rsid w:val="38A26A7B"/>
    <w:rsid w:val="393C288A"/>
    <w:rsid w:val="3A43255A"/>
    <w:rsid w:val="3AC16934"/>
    <w:rsid w:val="3ACF167E"/>
    <w:rsid w:val="3C0637C5"/>
    <w:rsid w:val="3C8F7316"/>
    <w:rsid w:val="3D6201A1"/>
    <w:rsid w:val="3DDF7E2A"/>
    <w:rsid w:val="3EC46785"/>
    <w:rsid w:val="3EE873E3"/>
    <w:rsid w:val="3F8A6044"/>
    <w:rsid w:val="412672A0"/>
    <w:rsid w:val="42DF08CC"/>
    <w:rsid w:val="43776CBA"/>
    <w:rsid w:val="453A6802"/>
    <w:rsid w:val="477245B4"/>
    <w:rsid w:val="47873856"/>
    <w:rsid w:val="492B486B"/>
    <w:rsid w:val="493F3E72"/>
    <w:rsid w:val="4A4D3C7B"/>
    <w:rsid w:val="4D7F706A"/>
    <w:rsid w:val="4E4F0BB0"/>
    <w:rsid w:val="516E1136"/>
    <w:rsid w:val="535B7AFB"/>
    <w:rsid w:val="541505F1"/>
    <w:rsid w:val="559E0172"/>
    <w:rsid w:val="569150F4"/>
    <w:rsid w:val="56C8194B"/>
    <w:rsid w:val="58353010"/>
    <w:rsid w:val="5A47527D"/>
    <w:rsid w:val="5A5E05D0"/>
    <w:rsid w:val="5BE95901"/>
    <w:rsid w:val="5ED21A63"/>
    <w:rsid w:val="5F117C07"/>
    <w:rsid w:val="5FDE5066"/>
    <w:rsid w:val="60BA2A15"/>
    <w:rsid w:val="61B908D7"/>
    <w:rsid w:val="61E27CA0"/>
    <w:rsid w:val="63B868A3"/>
    <w:rsid w:val="644F0FB6"/>
    <w:rsid w:val="64EA5182"/>
    <w:rsid w:val="65091AAC"/>
    <w:rsid w:val="658C0A0F"/>
    <w:rsid w:val="66493F32"/>
    <w:rsid w:val="666176C6"/>
    <w:rsid w:val="67FC2F18"/>
    <w:rsid w:val="6A0A15CD"/>
    <w:rsid w:val="6A244C92"/>
    <w:rsid w:val="6DF352BD"/>
    <w:rsid w:val="6FDC2991"/>
    <w:rsid w:val="7050044F"/>
    <w:rsid w:val="705E3E6D"/>
    <w:rsid w:val="70E138DD"/>
    <w:rsid w:val="71C1048A"/>
    <w:rsid w:val="735A1725"/>
    <w:rsid w:val="73F35F5B"/>
    <w:rsid w:val="75D623E2"/>
    <w:rsid w:val="781E5417"/>
    <w:rsid w:val="79C04582"/>
    <w:rsid w:val="7C9A6CDC"/>
    <w:rsid w:val="7D1F0DA2"/>
    <w:rsid w:val="7F531E4A"/>
    <w:rsid w:val="7F960ECF"/>
    <w:rsid w:val="7FCE327F"/>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FollowedHyperlink"/>
    <w:basedOn w:val="7"/>
    <w:qFormat/>
    <w:uiPriority w:val="0"/>
    <w:rPr>
      <w:color w:val="333333"/>
      <w:u w:val="none"/>
    </w:rPr>
  </w:style>
  <w:style w:type="character" w:styleId="10">
    <w:name w:val="Emphasis"/>
    <w:basedOn w:val="7"/>
    <w:qFormat/>
    <w:uiPriority w:val="0"/>
    <w:rPr>
      <w:rFonts w:ascii="微软雅黑" w:hAnsi="微软雅黑" w:eastAsia="微软雅黑" w:cs="微软雅黑"/>
    </w:rPr>
  </w:style>
  <w:style w:type="character" w:styleId="11">
    <w:name w:val="Hyperlink"/>
    <w:basedOn w:val="7"/>
    <w:qFormat/>
    <w:uiPriority w:val="0"/>
    <w:rPr>
      <w:color w:val="333333"/>
      <w:u w:val="none"/>
    </w:rPr>
  </w:style>
  <w:style w:type="character" w:customStyle="1" w:styleId="12">
    <w:name w:val="标题 3 Char Char"/>
    <w:qFormat/>
    <w:uiPriority w:val="0"/>
    <w:rPr>
      <w:rFonts w:eastAsia="楷体_GB2312"/>
      <w:b/>
      <w:kern w:val="2"/>
      <w:sz w:val="32"/>
      <w:szCs w:val="24"/>
      <w:lang w:val="en-US" w:eastAsia="zh-CN" w:bidi="ar-SA"/>
    </w:rPr>
  </w:style>
  <w:style w:type="paragraph" w:customStyle="1" w:styleId="13">
    <w:name w:val="Normal (Web)"/>
    <w:basedOn w:val="1"/>
    <w:qFormat/>
    <w:uiPriority w:val="0"/>
    <w:pPr>
      <w:spacing w:before="100" w:beforeAutospacing="1" w:after="100" w:afterAutospacing="1"/>
      <w:ind w:left="0" w:right="0"/>
      <w:jc w:val="left"/>
    </w:pPr>
    <w:rPr>
      <w:kern w:val="0"/>
      <w:sz w:val="24"/>
      <w:lang w:val="en-US" w:eastAsia="zh-CN"/>
    </w:rPr>
  </w:style>
  <w:style w:type="character" w:customStyle="1" w:styleId="14">
    <w:name w:val="n5"/>
    <w:basedOn w:val="7"/>
    <w:qFormat/>
    <w:uiPriority w:val="0"/>
  </w:style>
  <w:style w:type="character" w:customStyle="1" w:styleId="15">
    <w:name w:val="wx-space"/>
    <w:basedOn w:val="7"/>
    <w:qFormat/>
    <w:uiPriority w:val="0"/>
  </w:style>
  <w:style w:type="character" w:customStyle="1" w:styleId="16">
    <w:name w:val="a1"/>
    <w:basedOn w:val="7"/>
    <w:qFormat/>
    <w:uiPriority w:val="0"/>
  </w:style>
  <w:style w:type="character" w:customStyle="1" w:styleId="17">
    <w:name w:val="n4"/>
    <w:basedOn w:val="7"/>
    <w:qFormat/>
    <w:uiPriority w:val="0"/>
  </w:style>
  <w:style w:type="character" w:customStyle="1" w:styleId="18">
    <w:name w:val="a3"/>
    <w:basedOn w:val="7"/>
    <w:qFormat/>
    <w:uiPriority w:val="0"/>
  </w:style>
  <w:style w:type="character" w:customStyle="1" w:styleId="19">
    <w:name w:val="a4"/>
    <w:basedOn w:val="7"/>
    <w:qFormat/>
    <w:uiPriority w:val="0"/>
  </w:style>
  <w:style w:type="character" w:customStyle="1" w:styleId="20">
    <w:name w:val="n2"/>
    <w:basedOn w:val="7"/>
    <w:qFormat/>
    <w:uiPriority w:val="0"/>
  </w:style>
  <w:style w:type="character" w:customStyle="1" w:styleId="21">
    <w:name w:val="a2"/>
    <w:basedOn w:val="7"/>
    <w:qFormat/>
    <w:uiPriority w:val="0"/>
  </w:style>
  <w:style w:type="character" w:customStyle="1" w:styleId="22">
    <w:name w:val="bsharetext"/>
    <w:basedOn w:val="7"/>
    <w:qFormat/>
    <w:uiPriority w:val="0"/>
  </w:style>
  <w:style w:type="character" w:customStyle="1" w:styleId="23">
    <w:name w:val="n3"/>
    <w:basedOn w:val="7"/>
    <w:qFormat/>
    <w:uiPriority w:val="0"/>
  </w:style>
  <w:style w:type="character" w:customStyle="1" w:styleId="24">
    <w:name w:val="n1"/>
    <w:basedOn w:val="7"/>
    <w:qFormat/>
    <w:uiPriority w:val="0"/>
  </w:style>
  <w:style w:type="character" w:customStyle="1" w:styleId="25">
    <w:name w:val="line"/>
    <w:basedOn w:val="7"/>
    <w:qFormat/>
    <w:uiPriority w:val="0"/>
  </w:style>
  <w:style w:type="character" w:customStyle="1" w:styleId="26">
    <w:name w:val="line1"/>
    <w:basedOn w:val="7"/>
    <w:qFormat/>
    <w:uiPriority w:val="0"/>
  </w:style>
  <w:style w:type="character" w:customStyle="1" w:styleId="27">
    <w:name w:val="hover29"/>
    <w:basedOn w:val="7"/>
    <w:qFormat/>
    <w:uiPriority w:val="0"/>
    <w:rPr>
      <w:color w:val="00000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8191</Words>
  <Characters>8911</Characters>
  <Lines>0</Lines>
  <Paragraphs>0</Paragraphs>
  <TotalTime>10</TotalTime>
  <ScaleCrop>false</ScaleCrop>
  <LinksUpToDate>false</LinksUpToDate>
  <CharactersWithSpaces>9512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2022-10-14T07:02:59Z</cp:lastPrinted>
  <dcterms:modified xsi:type="dcterms:W3CDTF">2022-10-14T07:04:16Z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2E97CB41EB324948B47D4AE442574795</vt:lpwstr>
  </property>
</Properties>
</file>