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华容县自然资源局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蔡 圆</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0730-4268528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283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依法履行全民所有土地、矿产、森林、草原、湿地、水等自然资源资产所有者职责和国有空间用途管制职责；2、负责自然资源调查监测评价；3、负责自然资源统一确权登记工作；4、负责自然资源资产有偿使用工作；5、负责自然资源的合理开发利用；6、负责建立国土空间规划体系并监督实施；7、负责统筹国土空间生态修复；8、负责组织实施最严格的耕地保护制度；9、负责管理地质勘查行业和全县地质工作；10、负责地质灾害预防和治理；11、负责矿产资源管理工作；12、推动自然资源领域科技发展；13、负责测绘地理信息管理工作；14、负责自然资源领域安全生产和应急管理工作；15、根据授权，对各乡镇人民政府、县工业集中区管理会、县田家湖生态新区管委会及相关部门落实县委、县政府关于自然资源、国土空间规划重大政策、决策部署及法规规章执行情况进行督察；16、统一领导和管理县林业局；17、完成县委、县政府交办的其他事项；18、职能转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任务1：耕地保护开发并重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任务2：要素保障能力不断增强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任务3：项目建设成效显著</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：依法执法监察成效明显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：重点工作有序推进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：矿山资源管理扎实有效</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：基础工作落实有力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实施</w:t>
            </w:r>
            <w:r>
              <w:rPr>
                <w:rFonts w:hint="eastAsia" w:ascii="仿宋_GB2312" w:hAnsi="仿宋_GB2312" w:eastAsia="仿宋_GB2312" w:cs="仿宋_GB2312"/>
                <w:color w:val="000000"/>
                <w:sz w:val="24"/>
              </w:rPr>
              <w:t>耕地指标挂钩的建设用地项目4个，合计补充耕地面积1019.99亩，补充耕地中水田面积852.84亩，补充产能139.28万公斤</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交易补充耕地数量指标1600亩、水田规模指标4732.6265亩、粮食产能指标531万公斤，指标交易成交总金额4.08亿元</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处置完成增存挂钩闲置土地25宗62.6689亩，处置率100%，全省排第1名。</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zh-CN" w:eastAsia="zh-CN"/>
              </w:rPr>
            </w:pPr>
            <w:r>
              <w:rPr>
                <w:rFonts w:hint="eastAsia" w:ascii="仿宋_GB2312" w:hAnsi="仿宋_GB2312" w:eastAsia="仿宋_GB2312" w:cs="仿宋_GB2312"/>
                <w:color w:val="000000"/>
                <w:sz w:val="24"/>
                <w:lang w:val="zh-CN"/>
              </w:rPr>
              <w:t>供应土地</w:t>
            </w:r>
            <w:r>
              <w:rPr>
                <w:rFonts w:hint="eastAsia" w:ascii="仿宋_GB2312" w:hAnsi="仿宋_GB2312" w:eastAsia="仿宋_GB2312" w:cs="仿宋_GB2312"/>
                <w:color w:val="000000"/>
                <w:sz w:val="24"/>
              </w:rPr>
              <w:t>90宗1363亩，收缴土地出让金24476.24万元。征收土地575.03亩，拆迁房屋18268.85平方米，支付各类补偿款19239.48万元。收储土地38宗2326.87亩，土地出库30.721亩。</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华容县长江经济带废弃露天矿山生态修复项目建设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修复废弃露天矿山面积48.14万平方米。</w:t>
            </w:r>
          </w:p>
          <w:p>
            <w:pPr>
              <w:autoSpaceDN w:val="0"/>
              <w:spacing w:line="320" w:lineRule="exact"/>
              <w:jc w:val="left"/>
              <w:textAlignment w:val="center"/>
              <w:rPr>
                <w:rFonts w:hint="eastAsia" w:ascii="仿宋_GB2312" w:hAnsi="仿宋_GB2312" w:eastAsia="宋体"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5755.09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4122.27</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1632.82</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4452.92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2820.10</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1632.82</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华容县土地储备中心</w:t>
            </w:r>
          </w:p>
        </w:tc>
        <w:tc>
          <w:tcPr>
            <w:tcW w:w="1080" w:type="dxa"/>
            <w:tcBorders>
              <w:right w:val="single" w:color="auto" w:sz="4" w:space="0"/>
            </w:tcBorders>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132.56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132.56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3、华容县不动产登记中心</w:t>
            </w:r>
          </w:p>
        </w:tc>
        <w:tc>
          <w:tcPr>
            <w:tcW w:w="1080" w:type="dxa"/>
            <w:tcBorders>
              <w:right w:val="single" w:color="auto" w:sz="4" w:space="0"/>
            </w:tcBorders>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430.20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430.20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4、华容县国土资源执法监察大队</w:t>
            </w:r>
          </w:p>
        </w:tc>
        <w:tc>
          <w:tcPr>
            <w:tcW w:w="1080" w:type="dxa"/>
            <w:tcBorders>
              <w:right w:val="single" w:color="auto" w:sz="4" w:space="0"/>
            </w:tcBorders>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185.88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185.88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129.49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129.49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6、华容县城乡规划执法大队</w:t>
            </w:r>
          </w:p>
        </w:tc>
        <w:tc>
          <w:tcPr>
            <w:tcW w:w="1080" w:type="dxa"/>
            <w:tcBorders>
              <w:right w:val="single" w:color="auto" w:sz="4" w:space="0"/>
            </w:tcBorders>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424.04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5755.09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3494.82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2929.73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565.09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2260.27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4452.92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2192.65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1967.35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225.30</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2260.27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华容县土地储备中心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sz w:val="24"/>
                <w:lang w:val="en-US" w:eastAsia="zh-CN"/>
              </w:rPr>
              <w:t>132.56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sz w:val="24"/>
                <w:lang w:val="en-US" w:eastAsia="zh-CN"/>
              </w:rPr>
              <w:t>132.56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121.48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11.08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FF0000"/>
                <w:kern w:val="2"/>
                <w:sz w:val="24"/>
                <w:szCs w:val="24"/>
                <w:lang w:val="en-US" w:eastAsia="zh-CN" w:bidi="ar-SA"/>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3、华容县不动产登记中心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430.20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430.20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64.86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4、华容县国土资源执法监察大队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sz w:val="24"/>
                <w:lang w:val="en-US" w:eastAsia="zh-CN"/>
              </w:rPr>
              <w:t>185.88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sz w:val="24"/>
                <w:lang w:val="en-US" w:eastAsia="zh-CN"/>
              </w:rPr>
              <w:t>185.88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90.78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95.10</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129.49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129.49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116.87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12.62</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6、华容县城乡规划执法大队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267.91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156.13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1"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1"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2657.67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2657.67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2457.81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2457.81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华容县土地储备中心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3、华容县不动产登记中心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4、华容县国土资源执法监察大队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5"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华容县土地综合整治中心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3"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6、华容县城乡规划执法大队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目标1：切实加强土地管理和基本农田保护；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目标2：规范矿产资源开发利用，加强自然资源生态修复工作；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目标3：推进国土空间规划编制工作，完成农村宅基地和集体建设用地房地一体确权登记发证工作；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保障县域经济发展用地需求，严厉打击违法用地、用矿行为，严格禁违拆违治违。</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指标1：拆除存量违法建设，严控新增违法建设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指标2：制定《湖南省华容县绿色矿山建设三年行动方案（2020-2022年）》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指标1：受理各类自然资源违法行为13件，立案查处12件，受理化解信访事项7件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指标2：共拆除各类违法建设1380处71905㎡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指标1：启动章华镇全域土地综合整治试点项目</w:t>
            </w:r>
            <w:r>
              <w:rPr>
                <w:rFonts w:hint="eastAsia" w:ascii="仿宋_GB2312" w:hAnsi="仿宋_GB2312" w:eastAsia="仿宋_GB2312" w:cs="仿宋_GB2312"/>
                <w:color w:val="000000"/>
                <w:sz w:val="24"/>
                <w:lang w:eastAsia="zh-CN"/>
              </w:rPr>
              <w:t>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启动</w:t>
            </w:r>
            <w:r>
              <w:rPr>
                <w:rFonts w:hint="eastAsia" w:ascii="仿宋_GB2312" w:hAnsi="仿宋_GB2312" w:eastAsia="仿宋_GB2312" w:cs="仿宋_GB2312"/>
                <w:color w:val="000000"/>
                <w:sz w:val="24"/>
              </w:rPr>
              <w:t>华容县储备补充耕地指标补录项目建设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指标1：征收土地575.03亩，拆迁房屋18268.85平方米，支付各类补偿款19239.48万元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zh-CN"/>
              </w:rPr>
              <w:t>加快推进“交房即交证”改革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指标1：指标交易成交总金额4.08亿元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3"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指标1：长江经济带废弃露天矿山生态修复项目建设</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施工刹尾、财政评审终审及项目结算审计等工作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指标1：加强干部绩效考核，回访群众满意度98.6%</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肖</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雄</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分管局长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符绍军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聪</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纪检监察室主任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孙立华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蔡圆</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15197066386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napToGrid w:val="0"/>
              <w:spacing w:line="64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华容县自然资源局系财政全额预算拨款单位。20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年编制部门核实人员编制283人，实有人数为2</w:t>
            </w:r>
            <w:r>
              <w:rPr>
                <w:rFonts w:hint="eastAsia" w:ascii="仿宋_GB2312" w:hAnsi="仿宋_GB2312" w:eastAsia="仿宋_GB2312" w:cs="仿宋_GB2312"/>
                <w:bCs/>
                <w:sz w:val="28"/>
                <w:szCs w:val="28"/>
                <w:lang w:val="en-US" w:eastAsia="zh-CN"/>
              </w:rPr>
              <w:t>81</w:t>
            </w:r>
            <w:r>
              <w:rPr>
                <w:rFonts w:hint="eastAsia" w:ascii="仿宋_GB2312" w:hAnsi="仿宋_GB2312" w:eastAsia="仿宋_GB2312" w:cs="仿宋_GB2312"/>
                <w:bCs/>
                <w:sz w:val="28"/>
                <w:szCs w:val="28"/>
              </w:rPr>
              <w:t>人。内设办公室、政策法规股、财务股、人事股、行政审批办、综合业务管理股、自然资源开发利用股、自然资源调查监测股、自然资源确权登记股、国土空间规划股、国土空间用途管制股、城乡规划管理股、耕地保护股、测绘地理信息股、矿产资源管理股、地质灾害防治股、国土空间生态修复股、卫片办、党风廉政室、党建办、老干办、信访室、工会、国土资源执法监察大队、土地开发整理中心、土地收购储备中心、不动产登记中心、城乡规划执法大队、自然资源规划设计院、征地拆迁事务中心、自然资源和规划勘测中心、自然资源信息中心等23个股室和9个二级机构，乡镇设18个自然资源所。</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2021年部门整体支出规模为5755.09万元，其中基本支出3494.82万元，项目支出2260.27万元。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2021年部门整体基本支出3494.82万元，其中工资福利支出2929.19万元、商品和服务支出564.15万元、对个人和家庭的补助支出0.54万元、资本性支出0.94万元。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2021年部门整体专项资金收入2260.27万元，全部安排落实到位。</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2021年部门整体专项资金支出2260.27万元，其中城乡社区支出1632.82万元、自然资源海洋气象等支出551.78万元、粮油物资储备支出2万元、灾害防治及应急管理支出69.91万元、其他支出3.75万元，全年收支平衡。</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专项资金实行专款专用，项目资金严格按照审批程序拨付，无弄虚作假、截留、拆借挤占等现象。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专项由相应业务股室或部门负责组织实行。</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专项管理实行专人专项管理。</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考评组认为华容县自然资源局2021年整体支出，严格按照国家的相关财务管理制度规定，财务制度健全、会计核算规范，依照计划管理使用，自然资源局的整体支出对保障部门工作的正常运行、建设和维护、贯彻执行国家和省办方针、政策、法律法规，发挥了重要作用。按照部门整体支出绩效评价指标体系对照打分得出结果为95分，等级为优秀。</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预算编制有待更严格执行。预算编制与实际支出项目有的存在差异。</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二是严格控制“三公经费”支出，进一步细化“三公经费”管理，按财政三公经费要求严控 “三公经费”支出。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长江经济带废弃露天矿山生态修复项目工程</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浩天建工集团有限公司</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华容县自然资源局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13</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290"/>
        <w:gridCol w:w="628"/>
        <w:gridCol w:w="414"/>
        <w:gridCol w:w="306"/>
        <w:gridCol w:w="562"/>
        <w:gridCol w:w="785"/>
        <w:gridCol w:w="830"/>
        <w:gridCol w:w="615"/>
        <w:gridCol w:w="119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default" w:eastAsia="仿宋_GB2312"/>
                <w:sz w:val="24"/>
                <w:lang w:val="en-US" w:eastAsia="zh-CN"/>
              </w:rPr>
            </w:pPr>
            <w:r>
              <w:rPr>
                <w:rFonts w:hint="eastAsia" w:eastAsia="仿宋_GB2312"/>
                <w:sz w:val="24"/>
                <w:lang w:val="en-US" w:eastAsia="zh-CN"/>
              </w:rPr>
              <w:t>甘静</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13787990900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default" w:eastAsia="仿宋_GB2312"/>
                <w:sz w:val="24"/>
                <w:lang w:val="en-US" w:eastAsia="zh-CN"/>
              </w:rPr>
            </w:pPr>
            <w:r>
              <w:rPr>
                <w:rFonts w:hint="eastAsia" w:eastAsia="仿宋_GB2312"/>
                <w:sz w:val="24"/>
                <w:lang w:val="en-US" w:eastAsia="zh-CN"/>
              </w:rPr>
              <w:t>华容县东山镇塔市驿社区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1"/>
            <w:noWrap w:val="0"/>
            <w:vAlign w:val="center"/>
          </w:tcPr>
          <w:p>
            <w:pPr>
              <w:ind w:firstLine="240" w:firstLineChars="100"/>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3</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02" w:type="dxa"/>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5833</w:t>
            </w:r>
          </w:p>
        </w:tc>
        <w:tc>
          <w:tcPr>
            <w:tcW w:w="1918"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5747</w:t>
            </w:r>
          </w:p>
        </w:tc>
        <w:tc>
          <w:tcPr>
            <w:tcW w:w="2177"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615"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4135.255</w:t>
            </w:r>
          </w:p>
        </w:tc>
        <w:tc>
          <w:tcPr>
            <w:tcW w:w="1192"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1611.745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602"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2490</w:t>
            </w:r>
          </w:p>
        </w:tc>
        <w:tc>
          <w:tcPr>
            <w:tcW w:w="1918"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2490</w:t>
            </w:r>
          </w:p>
        </w:tc>
        <w:tc>
          <w:tcPr>
            <w:tcW w:w="2177"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15"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2490</w:t>
            </w:r>
          </w:p>
        </w:tc>
        <w:tc>
          <w:tcPr>
            <w:tcW w:w="1192"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02" w:type="dxa"/>
            <w:tcBorders>
              <w:bottom w:val="single" w:color="auto" w:sz="4" w:space="0"/>
            </w:tcBorders>
            <w:noWrap w:val="0"/>
            <w:vAlign w:val="center"/>
          </w:tcPr>
          <w:p>
            <w:pPr>
              <w:rPr>
                <w:rFonts w:hint="eastAsia" w:eastAsia="仿宋_GB2312"/>
                <w:sz w:val="24"/>
              </w:rPr>
            </w:pPr>
          </w:p>
        </w:tc>
        <w:tc>
          <w:tcPr>
            <w:tcW w:w="191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217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15" w:type="dxa"/>
            <w:tcBorders>
              <w:bottom w:val="single" w:color="auto" w:sz="4" w:space="0"/>
            </w:tcBorders>
            <w:noWrap w:val="0"/>
            <w:vAlign w:val="center"/>
          </w:tcPr>
          <w:p>
            <w:pPr>
              <w:rPr>
                <w:rFonts w:hint="eastAsia" w:eastAsia="仿宋_GB2312"/>
                <w:sz w:val="24"/>
              </w:rPr>
            </w:pPr>
          </w:p>
        </w:tc>
        <w:tc>
          <w:tcPr>
            <w:tcW w:w="1192"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02" w:type="dxa"/>
            <w:tcBorders>
              <w:bottom w:val="single" w:color="auto" w:sz="4" w:space="0"/>
            </w:tcBorders>
            <w:noWrap w:val="0"/>
            <w:vAlign w:val="center"/>
          </w:tcPr>
          <w:p>
            <w:pPr>
              <w:rPr>
                <w:rFonts w:hint="eastAsia" w:eastAsia="仿宋_GB2312"/>
                <w:sz w:val="24"/>
              </w:rPr>
            </w:pPr>
          </w:p>
        </w:tc>
        <w:tc>
          <w:tcPr>
            <w:tcW w:w="191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217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15" w:type="dxa"/>
            <w:tcBorders>
              <w:bottom w:val="single" w:color="auto" w:sz="4" w:space="0"/>
            </w:tcBorders>
            <w:noWrap w:val="0"/>
            <w:vAlign w:val="center"/>
          </w:tcPr>
          <w:p>
            <w:pPr>
              <w:rPr>
                <w:rFonts w:hint="eastAsia" w:eastAsia="仿宋_GB2312"/>
                <w:sz w:val="24"/>
              </w:rPr>
            </w:pPr>
          </w:p>
        </w:tc>
        <w:tc>
          <w:tcPr>
            <w:tcW w:w="1192"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02"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3343</w:t>
            </w:r>
          </w:p>
        </w:tc>
        <w:tc>
          <w:tcPr>
            <w:tcW w:w="191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3257</w:t>
            </w:r>
          </w:p>
        </w:tc>
        <w:tc>
          <w:tcPr>
            <w:tcW w:w="217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15"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1645.255</w:t>
            </w:r>
          </w:p>
        </w:tc>
        <w:tc>
          <w:tcPr>
            <w:tcW w:w="1192"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1611.745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02" w:type="dxa"/>
            <w:tcBorders>
              <w:bottom w:val="single" w:color="auto" w:sz="4" w:space="0"/>
            </w:tcBorders>
            <w:noWrap w:val="0"/>
            <w:vAlign w:val="center"/>
          </w:tcPr>
          <w:p>
            <w:pPr>
              <w:rPr>
                <w:rFonts w:hint="eastAsia" w:eastAsia="仿宋_GB2312"/>
                <w:sz w:val="24"/>
              </w:rPr>
            </w:pPr>
          </w:p>
        </w:tc>
        <w:tc>
          <w:tcPr>
            <w:tcW w:w="191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217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15" w:type="dxa"/>
            <w:tcBorders>
              <w:bottom w:val="single" w:color="auto" w:sz="4" w:space="0"/>
            </w:tcBorders>
            <w:noWrap w:val="0"/>
            <w:vAlign w:val="center"/>
          </w:tcPr>
          <w:p>
            <w:pPr>
              <w:rPr>
                <w:rFonts w:hint="eastAsia" w:eastAsia="仿宋_GB2312"/>
                <w:sz w:val="24"/>
              </w:rPr>
            </w:pPr>
          </w:p>
        </w:tc>
        <w:tc>
          <w:tcPr>
            <w:tcW w:w="1192"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290"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rPr>
              <w:t>实际支出数</w:t>
            </w:r>
            <w:r>
              <w:rPr>
                <w:rFonts w:hint="eastAsia" w:eastAsia="仿宋_GB2312"/>
                <w:sz w:val="24"/>
                <w:lang w:eastAsia="zh-CN"/>
              </w:rPr>
              <w:t>（万元）</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50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w:t>
            </w:r>
          </w:p>
        </w:tc>
        <w:tc>
          <w:tcPr>
            <w:tcW w:w="352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2020.8.14#</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工程监理费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2020.8.15#</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630</w:t>
            </w:r>
          </w:p>
        </w:tc>
        <w:tc>
          <w:tcPr>
            <w:tcW w:w="3525" w:type="dxa"/>
            <w:gridSpan w:val="6"/>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2020.10.29#</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调查和生态修复实施细则咨询服务费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19.2</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2020.10.30#</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270</w:t>
            </w:r>
          </w:p>
        </w:tc>
        <w:tc>
          <w:tcPr>
            <w:tcW w:w="3525" w:type="dxa"/>
            <w:gridSpan w:val="6"/>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2020.11.12#</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临时占用林地森林植被恢复费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41.271</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2020.12.17#</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测绘费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10.83</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2020.12.18#</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测绘费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3.71</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2020.12.19#</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300</w:t>
            </w:r>
          </w:p>
        </w:tc>
        <w:tc>
          <w:tcPr>
            <w:tcW w:w="3525" w:type="dxa"/>
            <w:gridSpan w:val="6"/>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2021.2.31#</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矿石采损资源量估算费用</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4.88</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2021.2.32#</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建设区内废弃建筑物拆除清运劳务费</w:t>
            </w:r>
          </w:p>
        </w:tc>
        <w:tc>
          <w:tcPr>
            <w:tcW w:w="1290"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2021.2.34#</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施工管理、资料指导等工作技术劳务费</w:t>
            </w:r>
          </w:p>
        </w:tc>
        <w:tc>
          <w:tcPr>
            <w:tcW w:w="1290"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4</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2021.2.35#</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300</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2021.4.16#</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490</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2021.8.9#</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工程监理费</w:t>
            </w:r>
          </w:p>
        </w:tc>
        <w:tc>
          <w:tcPr>
            <w:tcW w:w="1290"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2021.8.10#</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竣工验收测绘技术服务费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16.6</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2021.10.23#</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使用林地可行性报告编制服务费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2021.10.24#</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标示牌制作宣传费用</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4.684</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2021.10.25#</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工程款</w:t>
            </w:r>
            <w:r>
              <w:rPr>
                <w:rFonts w:hint="eastAsia" w:eastAsia="仿宋_GB2312"/>
                <w:sz w:val="24"/>
                <w:lang w:val="en-US" w:eastAsia="zh-CN"/>
              </w:rPr>
              <w:t xml:space="preserve"> </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41</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2021.11.8#</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974</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2022.1.31#</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工程监理费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28.9</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2022.1.32#</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印刷费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1.58</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2022.1.33#</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52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2022.3.15#</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工程款</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350</w:t>
            </w:r>
          </w:p>
        </w:tc>
        <w:tc>
          <w:tcPr>
            <w:tcW w:w="352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2022.4.14#</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环境影响评价报告编制费</w:t>
            </w:r>
          </w:p>
        </w:tc>
        <w:tc>
          <w:tcPr>
            <w:tcW w:w="129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w:t>
            </w:r>
          </w:p>
        </w:tc>
        <w:tc>
          <w:tcPr>
            <w:tcW w:w="352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2022.4.15#</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29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4135.255</w:t>
            </w:r>
          </w:p>
        </w:tc>
        <w:tc>
          <w:tcPr>
            <w:tcW w:w="3525" w:type="dxa"/>
            <w:gridSpan w:val="6"/>
            <w:tcBorders>
              <w:bottom w:val="single" w:color="auto" w:sz="4" w:space="0"/>
            </w:tcBorders>
            <w:noWrap w:val="0"/>
            <w:vAlign w:val="center"/>
          </w:tcPr>
          <w:p>
            <w:pPr>
              <w:jc w:val="center"/>
              <w:rPr>
                <w:rFonts w:hint="eastAsia" w:eastAsia="仿宋_GB2312"/>
                <w:b/>
                <w:sz w:val="24"/>
              </w:rPr>
            </w:pPr>
          </w:p>
        </w:tc>
        <w:tc>
          <w:tcPr>
            <w:tcW w:w="250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606" w:type="dxa"/>
            <w:gridSpan w:val="9"/>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503"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606" w:type="dxa"/>
            <w:gridSpan w:val="9"/>
            <w:tcBorders>
              <w:bottom w:val="single" w:color="auto" w:sz="4" w:space="0"/>
            </w:tcBorders>
            <w:noWrap w:val="0"/>
            <w:vAlign w:val="center"/>
          </w:tcPr>
          <w:p>
            <w:pPr>
              <w:jc w:val="center"/>
              <w:rPr>
                <w:rFonts w:hint="default" w:eastAsia="仿宋_GB2312"/>
                <w:b/>
                <w:sz w:val="24"/>
                <w:lang w:val="en-US"/>
              </w:rPr>
            </w:pPr>
            <w:r>
              <w:rPr>
                <w:rFonts w:hint="eastAsia"/>
                <w:sz w:val="24"/>
                <w:szCs w:val="24"/>
                <w:lang w:eastAsia="zh-CN"/>
              </w:rPr>
              <w:t>根据湖南省自然资源厅办公室</w:t>
            </w:r>
            <w:r>
              <w:rPr>
                <w:rFonts w:hint="eastAsia"/>
                <w:sz w:val="24"/>
                <w:szCs w:val="24"/>
                <w:lang w:val="en-US" w:eastAsia="zh-CN"/>
              </w:rPr>
              <w:t>文件《关于开展我省长江经济带废弃露天矿山生态修复项工作的通知</w:t>
            </w:r>
            <w:r>
              <w:rPr>
                <w:rFonts w:hint="eastAsia"/>
                <w:sz w:val="24"/>
                <w:szCs w:val="24"/>
                <w:lang w:eastAsia="zh-CN"/>
              </w:rPr>
              <w:t>》（</w:t>
            </w:r>
            <w:r>
              <w:rPr>
                <w:rFonts w:hint="eastAsia"/>
                <w:sz w:val="24"/>
                <w:szCs w:val="24"/>
                <w:lang w:val="en-US" w:eastAsia="zh-CN"/>
              </w:rPr>
              <w:t>湘自然资源办发【2019】69号）及《湖南省长江经济带废弃露天矿山生态修复项目验收细则》等</w:t>
            </w:r>
            <w:r>
              <w:rPr>
                <w:rFonts w:hint="eastAsia"/>
                <w:sz w:val="24"/>
                <w:szCs w:val="24"/>
                <w:lang w:eastAsia="zh-CN"/>
              </w:rPr>
              <w:t>文件要求完成项目事项。</w:t>
            </w:r>
          </w:p>
        </w:tc>
        <w:tc>
          <w:tcPr>
            <w:tcW w:w="2503"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已完成县级整改自检，通过市局整改验收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791" w:type="dxa"/>
            <w:gridSpan w:val="2"/>
            <w:noWrap w:val="0"/>
            <w:vAlign w:val="center"/>
          </w:tcPr>
          <w:p>
            <w:pPr>
              <w:jc w:val="center"/>
              <w:rPr>
                <w:rFonts w:hint="eastAsia" w:eastAsia="仿宋_GB2312"/>
                <w:sz w:val="24"/>
              </w:rPr>
            </w:pPr>
            <w:r>
              <w:rPr>
                <w:rFonts w:hint="eastAsia" w:eastAsia="仿宋_GB2312"/>
                <w:sz w:val="24"/>
              </w:rPr>
              <w:t>一级指标</w:t>
            </w:r>
          </w:p>
        </w:tc>
        <w:tc>
          <w:tcPr>
            <w:tcW w:w="129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1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61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50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1290"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910" w:type="dxa"/>
            <w:gridSpan w:val="4"/>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建设任务完成率</w:t>
            </w:r>
          </w:p>
        </w:tc>
        <w:tc>
          <w:tcPr>
            <w:tcW w:w="1615" w:type="dxa"/>
            <w:gridSpan w:val="2"/>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503"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910" w:type="dxa"/>
            <w:gridSpan w:val="4"/>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工程质量等级</w:t>
            </w:r>
          </w:p>
        </w:tc>
        <w:tc>
          <w:tcPr>
            <w:tcW w:w="1615"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c>
          <w:tcPr>
            <w:tcW w:w="2503" w:type="dxa"/>
            <w:gridSpan w:val="3"/>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continue"/>
            <w:noWrap w:val="0"/>
            <w:vAlign w:val="center"/>
          </w:tcPr>
          <w:p>
            <w:pPr>
              <w:spacing w:line="360" w:lineRule="exact"/>
              <w:jc w:val="center"/>
              <w:rPr>
                <w:rFonts w:hint="eastAsia" w:eastAsia="仿宋_GB2312"/>
                <w:sz w:val="24"/>
              </w:rPr>
            </w:pPr>
          </w:p>
        </w:tc>
        <w:tc>
          <w:tcPr>
            <w:tcW w:w="1910" w:type="dxa"/>
            <w:gridSpan w:val="4"/>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项目验收情况</w:t>
            </w:r>
          </w:p>
        </w:tc>
        <w:tc>
          <w:tcPr>
            <w:tcW w:w="1615"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已通过县级整改自检</w:t>
            </w:r>
          </w:p>
        </w:tc>
        <w:tc>
          <w:tcPr>
            <w:tcW w:w="2503" w:type="dxa"/>
            <w:gridSpan w:val="3"/>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申请市局整改验收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910" w:type="dxa"/>
            <w:gridSpan w:val="4"/>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项目完成进度</w:t>
            </w:r>
          </w:p>
        </w:tc>
        <w:tc>
          <w:tcPr>
            <w:tcW w:w="1615"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2503" w:type="dxa"/>
            <w:gridSpan w:val="3"/>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continue"/>
            <w:noWrap w:val="0"/>
            <w:vAlign w:val="center"/>
          </w:tcPr>
          <w:p>
            <w:pPr>
              <w:spacing w:line="360" w:lineRule="exact"/>
              <w:jc w:val="center"/>
              <w:rPr>
                <w:rFonts w:hint="eastAsia" w:eastAsia="仿宋_GB2312"/>
                <w:sz w:val="24"/>
              </w:rPr>
            </w:pPr>
          </w:p>
        </w:tc>
        <w:tc>
          <w:tcPr>
            <w:tcW w:w="1910" w:type="dxa"/>
            <w:gridSpan w:val="4"/>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质量问题整改</w:t>
            </w:r>
          </w:p>
        </w:tc>
        <w:tc>
          <w:tcPr>
            <w:tcW w:w="1615"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已整改完成</w:t>
            </w:r>
          </w:p>
        </w:tc>
        <w:tc>
          <w:tcPr>
            <w:tcW w:w="2503"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910" w:type="dxa"/>
            <w:gridSpan w:val="4"/>
            <w:noWrap w:val="0"/>
            <w:vAlign w:val="center"/>
          </w:tcPr>
          <w:p>
            <w:pPr>
              <w:spacing w:line="360" w:lineRule="exact"/>
              <w:jc w:val="center"/>
              <w:rPr>
                <w:rFonts w:hint="eastAsia" w:eastAsia="仿宋_GB2312"/>
                <w:sz w:val="24"/>
              </w:rPr>
            </w:pPr>
            <w:r>
              <w:rPr>
                <w:rFonts w:hint="eastAsia"/>
                <w:sz w:val="21"/>
                <w:szCs w:val="21"/>
              </w:rPr>
              <w:t>项目投资金额</w:t>
            </w:r>
          </w:p>
        </w:tc>
        <w:tc>
          <w:tcPr>
            <w:tcW w:w="1615" w:type="dxa"/>
            <w:gridSpan w:val="2"/>
            <w:noWrap w:val="0"/>
            <w:vAlign w:val="center"/>
          </w:tcPr>
          <w:p>
            <w:pPr>
              <w:jc w:val="center"/>
              <w:rPr>
                <w:rFonts w:hint="eastAsia" w:eastAsia="仿宋_GB2312"/>
                <w:sz w:val="24"/>
              </w:rPr>
            </w:pPr>
            <w:r>
              <w:rPr>
                <w:rFonts w:hint="eastAsia" w:eastAsia="仿宋_GB2312"/>
                <w:sz w:val="24"/>
                <w:lang w:val="en-US" w:eastAsia="zh-CN"/>
              </w:rPr>
              <w:t>5833.251万元民</w:t>
            </w:r>
          </w:p>
        </w:tc>
        <w:tc>
          <w:tcPr>
            <w:tcW w:w="250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1290"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910" w:type="dxa"/>
            <w:gridSpan w:val="4"/>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完成部分耕地修复</w:t>
            </w:r>
          </w:p>
        </w:tc>
        <w:tc>
          <w:tcPr>
            <w:tcW w:w="1615" w:type="dxa"/>
            <w:gridSpan w:val="2"/>
            <w:noWrap w:val="0"/>
            <w:vAlign w:val="center"/>
          </w:tcPr>
          <w:p>
            <w:pPr>
              <w:jc w:val="center"/>
              <w:rPr>
                <w:rFonts w:hint="default" w:eastAsia="仿宋_GB2312"/>
                <w:sz w:val="24"/>
                <w:lang w:val="en-US" w:eastAsia="zh-CN"/>
              </w:rPr>
            </w:pPr>
            <w:r>
              <w:rPr>
                <w:rFonts w:hint="eastAsia" w:eastAsia="仿宋_GB2312"/>
                <w:sz w:val="24"/>
                <w:lang w:eastAsia="zh-CN"/>
              </w:rPr>
              <w:t>3</w:t>
            </w:r>
            <w:r>
              <w:rPr>
                <w:rFonts w:hint="eastAsia" w:eastAsia="仿宋_GB2312"/>
                <w:sz w:val="24"/>
                <w:lang w:val="en-US" w:eastAsia="zh-CN"/>
              </w:rPr>
              <w:t>公顷</w:t>
            </w:r>
          </w:p>
        </w:tc>
        <w:tc>
          <w:tcPr>
            <w:tcW w:w="2503"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3.1颂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noWrap w:val="0"/>
            <w:vAlign w:val="center"/>
          </w:tcPr>
          <w:p>
            <w:pPr>
              <w:spacing w:line="360" w:lineRule="exact"/>
              <w:jc w:val="center"/>
              <w:rPr>
                <w:rFonts w:hint="eastAsia" w:eastAsia="仿宋_GB2312"/>
                <w:sz w:val="24"/>
              </w:rPr>
            </w:pPr>
            <w:r>
              <w:rPr>
                <w:rFonts w:hint="eastAsia" w:eastAsia="仿宋_GB2312"/>
                <w:sz w:val="24"/>
              </w:rPr>
              <w:t>社会益</w:t>
            </w:r>
          </w:p>
          <w:p>
            <w:pPr>
              <w:spacing w:line="360" w:lineRule="exact"/>
              <w:jc w:val="center"/>
              <w:rPr>
                <w:rFonts w:hint="eastAsia" w:eastAsia="仿宋_GB2312"/>
                <w:sz w:val="24"/>
              </w:rPr>
            </w:pPr>
            <w:r>
              <w:rPr>
                <w:rFonts w:hint="eastAsia" w:eastAsia="仿宋_GB2312"/>
                <w:sz w:val="24"/>
              </w:rPr>
              <w:t>指标</w:t>
            </w:r>
          </w:p>
        </w:tc>
        <w:tc>
          <w:tcPr>
            <w:tcW w:w="1910" w:type="dxa"/>
            <w:gridSpan w:val="4"/>
            <w:noWrap w:val="0"/>
            <w:vAlign w:val="center"/>
          </w:tcPr>
          <w:p>
            <w:pPr>
              <w:spacing w:line="360" w:lineRule="exact"/>
              <w:jc w:val="center"/>
              <w:rPr>
                <w:rFonts w:hint="default" w:ascii="仿宋_GB2312" w:hAnsi="仿宋_GB2312" w:eastAsia="仿宋_GB2312" w:cs="Times New Roman"/>
                <w:lang w:val="en-US" w:eastAsia="zh-CN"/>
              </w:rPr>
            </w:pPr>
            <w:r>
              <w:rPr>
                <w:rFonts w:hint="eastAsia" w:ascii="仿宋_GB2312" w:hAnsi="仿宋_GB2312" w:eastAsia="仿宋_GB2312" w:cs="Times New Roman"/>
                <w:lang w:val="en-US" w:eastAsia="zh-CN"/>
              </w:rPr>
              <w:t>完成79.68公顷</w:t>
            </w:r>
            <w:r>
              <w:rPr>
                <w:rFonts w:hint="eastAsia" w:ascii="仿宋_GB2312" w:hAnsi="仿宋_GB2312" w:eastAsia="仿宋_GB2312" w:cs="仿宋_GB2312"/>
                <w:color w:val="010302"/>
                <w:sz w:val="24"/>
                <w:szCs w:val="24"/>
                <w:lang w:val="en-US" w:eastAsia="zh-CN"/>
              </w:rPr>
              <w:t xml:space="preserve"> </w:t>
            </w:r>
            <w:r>
              <w:rPr>
                <w:rFonts w:hint="eastAsia" w:ascii="仿宋_GB2312" w:hAnsi="仿宋_GB2312" w:eastAsia="仿宋_GB2312" w:cs="Times New Roman"/>
              </w:rPr>
              <w:t>废弃矿山</w:t>
            </w:r>
            <w:r>
              <w:rPr>
                <w:rFonts w:hint="eastAsia" w:ascii="仿宋_GB2312" w:hAnsi="仿宋_GB2312" w:eastAsia="仿宋_GB2312" w:cs="Times New Roman"/>
                <w:lang w:val="en-US" w:eastAsia="zh-CN"/>
              </w:rPr>
              <w:t>修复任务</w:t>
            </w:r>
          </w:p>
        </w:tc>
        <w:tc>
          <w:tcPr>
            <w:tcW w:w="1615" w:type="dxa"/>
            <w:gridSpan w:val="2"/>
            <w:tcBorders>
              <w:bottom w:val="single" w:color="auto" w:sz="4" w:space="0"/>
            </w:tcBorders>
            <w:noWrap w:val="0"/>
            <w:vAlign w:val="center"/>
          </w:tcPr>
          <w:p>
            <w:pPr>
              <w:spacing w:line="360" w:lineRule="exact"/>
              <w:jc w:val="center"/>
              <w:rPr>
                <w:rFonts w:hint="eastAsia" w:ascii="仿宋_GB2312" w:hAnsi="仿宋_GB2312" w:eastAsia="仿宋_GB2312" w:cs="Times New Roman"/>
              </w:rPr>
            </w:pPr>
            <w:r>
              <w:rPr>
                <w:rFonts w:hint="eastAsia" w:ascii="仿宋_GB2312" w:hAnsi="仿宋_GB2312" w:eastAsia="仿宋_GB2312" w:cs="Times New Roman"/>
                <w:lang w:val="en-US" w:eastAsia="zh-CN"/>
              </w:rPr>
              <w:t>79.68公顷</w:t>
            </w:r>
          </w:p>
        </w:tc>
        <w:tc>
          <w:tcPr>
            <w:tcW w:w="2503" w:type="dxa"/>
            <w:gridSpan w:val="3"/>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lang w:val="en-US" w:eastAsia="zh-CN"/>
              </w:rPr>
              <w:t>79.68公顷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910" w:type="dxa"/>
            <w:gridSpan w:val="4"/>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抵御灾害能力</w:t>
            </w:r>
          </w:p>
        </w:tc>
        <w:tc>
          <w:tcPr>
            <w:tcW w:w="1615" w:type="dxa"/>
            <w:gridSpan w:val="2"/>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有效增强</w:t>
            </w:r>
          </w:p>
        </w:tc>
        <w:tc>
          <w:tcPr>
            <w:tcW w:w="2503" w:type="dxa"/>
            <w:gridSpan w:val="3"/>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有效增强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vMerge w:val="continue"/>
            <w:noWrap w:val="0"/>
            <w:vAlign w:val="center"/>
          </w:tcPr>
          <w:p>
            <w:pPr>
              <w:spacing w:line="360" w:lineRule="exact"/>
              <w:jc w:val="center"/>
              <w:rPr>
                <w:rFonts w:hint="eastAsia" w:eastAsia="仿宋_GB2312"/>
                <w:sz w:val="24"/>
              </w:rPr>
            </w:pPr>
          </w:p>
        </w:tc>
        <w:tc>
          <w:tcPr>
            <w:tcW w:w="1910" w:type="dxa"/>
            <w:gridSpan w:val="4"/>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资源利用效率</w:t>
            </w:r>
          </w:p>
        </w:tc>
        <w:tc>
          <w:tcPr>
            <w:tcW w:w="1615" w:type="dxa"/>
            <w:gridSpan w:val="2"/>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合理提高</w:t>
            </w:r>
          </w:p>
        </w:tc>
        <w:tc>
          <w:tcPr>
            <w:tcW w:w="2503" w:type="dxa"/>
            <w:gridSpan w:val="3"/>
            <w:tcBorders>
              <w:bottom w:val="single" w:color="auto" w:sz="4" w:space="0"/>
            </w:tcBorders>
            <w:noWrap w:val="0"/>
            <w:vAlign w:val="center"/>
          </w:tcPr>
          <w:p>
            <w:pPr>
              <w:spacing w:line="360" w:lineRule="exact"/>
              <w:jc w:val="center"/>
              <w:rPr>
                <w:rFonts w:hint="eastAsia" w:ascii="仿宋_GB2312" w:hAnsi="仿宋_GB2312" w:eastAsia="仿宋_GB2312" w:cs="Times New Roman"/>
                <w:lang w:val="en-US" w:eastAsia="zh-CN"/>
              </w:rPr>
            </w:pPr>
            <w:r>
              <w:rPr>
                <w:rFonts w:hint="eastAsia" w:ascii="仿宋_GB2312" w:hAnsi="仿宋_GB2312" w:eastAsia="仿宋_GB2312" w:cs="Times New Roman"/>
              </w:rPr>
              <w:t>合理提高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791" w:type="dxa"/>
            <w:gridSpan w:val="2"/>
            <w:vMerge w:val="continue"/>
            <w:noWrap w:val="0"/>
            <w:vAlign w:val="center"/>
          </w:tcPr>
          <w:p>
            <w:pPr>
              <w:jc w:val="center"/>
              <w:rPr>
                <w:rFonts w:hint="eastAsia" w:eastAsia="仿宋_GB2312"/>
                <w:sz w:val="24"/>
              </w:rPr>
            </w:pPr>
          </w:p>
        </w:tc>
        <w:tc>
          <w:tcPr>
            <w:tcW w:w="1290"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910" w:type="dxa"/>
            <w:gridSpan w:val="4"/>
            <w:noWrap w:val="0"/>
            <w:vAlign w:val="center"/>
          </w:tcPr>
          <w:p>
            <w:pPr>
              <w:spacing w:line="360" w:lineRule="exact"/>
              <w:jc w:val="center"/>
              <w:rPr>
                <w:rFonts w:hint="eastAsia" w:eastAsia="仿宋_GB2312"/>
                <w:sz w:val="24"/>
              </w:rPr>
            </w:pPr>
            <w:r>
              <w:rPr>
                <w:rFonts w:hint="eastAsia" w:ascii="仿宋_GB2312" w:hAnsi="仿宋_GB2312" w:eastAsia="仿宋_GB2312" w:cs="Times New Roman"/>
                <w:lang w:eastAsia="zh-CN"/>
              </w:rPr>
              <w:t>项目</w:t>
            </w:r>
            <w:r>
              <w:rPr>
                <w:rFonts w:hint="eastAsia" w:ascii="仿宋_GB2312" w:hAnsi="仿宋_GB2312" w:eastAsia="仿宋_GB2312" w:cs="Times New Roman"/>
              </w:rPr>
              <w:t>质量满意度</w:t>
            </w:r>
          </w:p>
        </w:tc>
        <w:tc>
          <w:tcPr>
            <w:tcW w:w="1615"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满意</w:t>
            </w:r>
          </w:p>
        </w:tc>
        <w:tc>
          <w:tcPr>
            <w:tcW w:w="2503"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4" w:type="dxa"/>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318"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4" w:type="dxa"/>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318"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2483" w:type="dxa"/>
            <w:gridSpan w:val="4"/>
            <w:noWrap w:val="0"/>
            <w:vAlign w:val="center"/>
          </w:tcPr>
          <w:p>
            <w:pPr>
              <w:jc w:val="center"/>
              <w:rPr>
                <w:rFonts w:hint="eastAsia" w:eastAsia="仿宋_GB2312"/>
                <w:sz w:val="24"/>
              </w:rPr>
            </w:pPr>
            <w:r>
              <w:rPr>
                <w:rFonts w:hint="eastAsia" w:eastAsia="仿宋_GB2312"/>
                <w:sz w:val="24"/>
              </w:rPr>
              <w:t>单  位</w:t>
            </w:r>
          </w:p>
        </w:tc>
        <w:tc>
          <w:tcPr>
            <w:tcW w:w="2503"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甘 静</w:t>
            </w:r>
          </w:p>
        </w:tc>
        <w:tc>
          <w:tcPr>
            <w:tcW w:w="2332"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副局长</w:t>
            </w:r>
          </w:p>
        </w:tc>
        <w:tc>
          <w:tcPr>
            <w:tcW w:w="2483"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自然资源局</w:t>
            </w:r>
          </w:p>
        </w:tc>
        <w:tc>
          <w:tcPr>
            <w:tcW w:w="250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洪 伟</w:t>
            </w:r>
          </w:p>
        </w:tc>
        <w:tc>
          <w:tcPr>
            <w:tcW w:w="2332"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生态修复股长</w:t>
            </w:r>
          </w:p>
        </w:tc>
        <w:tc>
          <w:tcPr>
            <w:tcW w:w="2483" w:type="dxa"/>
            <w:gridSpan w:val="4"/>
            <w:noWrap w:val="0"/>
            <w:vAlign w:val="center"/>
          </w:tcPr>
          <w:p>
            <w:pPr>
              <w:jc w:val="center"/>
              <w:rPr>
                <w:rFonts w:hint="eastAsia" w:eastAsia="仿宋_GB2312"/>
                <w:sz w:val="24"/>
              </w:rPr>
            </w:pPr>
            <w:r>
              <w:rPr>
                <w:rFonts w:hint="eastAsia" w:eastAsia="仿宋_GB2312"/>
                <w:sz w:val="24"/>
                <w:lang w:val="en-US" w:eastAsia="zh-CN"/>
              </w:rPr>
              <w:t>自然资源局</w:t>
            </w:r>
          </w:p>
        </w:tc>
        <w:tc>
          <w:tcPr>
            <w:tcW w:w="250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孙立华</w:t>
            </w:r>
          </w:p>
        </w:tc>
        <w:tc>
          <w:tcPr>
            <w:tcW w:w="2332"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账务股长</w:t>
            </w:r>
          </w:p>
        </w:tc>
        <w:tc>
          <w:tcPr>
            <w:tcW w:w="2483" w:type="dxa"/>
            <w:gridSpan w:val="4"/>
            <w:noWrap w:val="0"/>
            <w:vAlign w:val="center"/>
          </w:tcPr>
          <w:p>
            <w:pPr>
              <w:jc w:val="center"/>
              <w:rPr>
                <w:rFonts w:hint="eastAsia" w:eastAsia="仿宋_GB2312"/>
                <w:sz w:val="24"/>
              </w:rPr>
            </w:pPr>
            <w:r>
              <w:rPr>
                <w:rFonts w:hint="eastAsia" w:eastAsia="仿宋_GB2312"/>
                <w:sz w:val="24"/>
                <w:lang w:val="en-US" w:eastAsia="zh-CN"/>
              </w:rPr>
              <w:t>自然资源局</w:t>
            </w:r>
          </w:p>
        </w:tc>
        <w:tc>
          <w:tcPr>
            <w:tcW w:w="2503" w:type="dxa"/>
            <w:gridSpan w:val="3"/>
            <w:noWrap w:val="0"/>
            <w:vAlign w:val="center"/>
          </w:tcPr>
          <w:p>
            <w:pPr>
              <w:rPr>
                <w:rFonts w:hint="eastAsia" w:eastAsia="仿宋_GB2312"/>
                <w:sz w:val="24"/>
              </w:rPr>
            </w:pPr>
          </w:p>
          <w:p>
            <w:pPr>
              <w:rPr>
                <w:rFonts w:hint="eastAsia" w:eastAsia="仿宋_GB2312"/>
                <w:sz w:val="24"/>
              </w:rPr>
            </w:pPr>
          </w:p>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720" w:firstLineChars="300"/>
              <w:jc w:val="both"/>
              <w:rPr>
                <w:rFonts w:hint="default" w:eastAsia="仿宋_GB2312"/>
                <w:sz w:val="24"/>
                <w:lang w:val="en-US" w:eastAsia="zh-CN"/>
              </w:rPr>
            </w:pPr>
            <w:r>
              <w:rPr>
                <w:rFonts w:hint="eastAsia" w:eastAsia="仿宋_GB2312"/>
                <w:sz w:val="24"/>
                <w:lang w:val="en-US" w:eastAsia="zh-CN"/>
              </w:rPr>
              <w:t>严 聪</w:t>
            </w:r>
          </w:p>
        </w:tc>
        <w:tc>
          <w:tcPr>
            <w:tcW w:w="2332"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纪检监察室主任</w:t>
            </w:r>
          </w:p>
        </w:tc>
        <w:tc>
          <w:tcPr>
            <w:tcW w:w="2483"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自然资源局</w:t>
            </w:r>
          </w:p>
        </w:tc>
        <w:tc>
          <w:tcPr>
            <w:tcW w:w="250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val="en-US" w:eastAsia="zh-CN"/>
              </w:rPr>
            </w:pPr>
          </w:p>
        </w:tc>
        <w:tc>
          <w:tcPr>
            <w:tcW w:w="2332" w:type="dxa"/>
            <w:gridSpan w:val="3"/>
            <w:noWrap w:val="0"/>
            <w:vAlign w:val="center"/>
          </w:tcPr>
          <w:p>
            <w:pPr>
              <w:rPr>
                <w:rFonts w:hint="eastAsia" w:eastAsia="仿宋_GB2312"/>
                <w:sz w:val="24"/>
                <w:lang w:val="en-US" w:eastAsia="zh-CN"/>
              </w:rPr>
            </w:pPr>
          </w:p>
        </w:tc>
        <w:tc>
          <w:tcPr>
            <w:tcW w:w="2483" w:type="dxa"/>
            <w:gridSpan w:val="4"/>
            <w:noWrap w:val="0"/>
            <w:vAlign w:val="center"/>
          </w:tcPr>
          <w:p>
            <w:pPr>
              <w:rPr>
                <w:rFonts w:hint="eastAsia" w:eastAsia="仿宋_GB2312"/>
                <w:sz w:val="24"/>
                <w:lang w:val="en-US" w:eastAsia="zh-CN"/>
              </w:rPr>
            </w:pPr>
          </w:p>
        </w:tc>
        <w:tc>
          <w:tcPr>
            <w:tcW w:w="250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val="en-US" w:eastAsia="zh-CN"/>
              </w:rPr>
            </w:pPr>
          </w:p>
        </w:tc>
        <w:tc>
          <w:tcPr>
            <w:tcW w:w="2332" w:type="dxa"/>
            <w:gridSpan w:val="3"/>
            <w:noWrap w:val="0"/>
            <w:vAlign w:val="center"/>
          </w:tcPr>
          <w:p>
            <w:pPr>
              <w:rPr>
                <w:rFonts w:hint="eastAsia" w:eastAsia="仿宋_GB2312"/>
                <w:sz w:val="24"/>
                <w:lang w:val="en-US" w:eastAsia="zh-CN"/>
              </w:rPr>
            </w:pPr>
          </w:p>
        </w:tc>
        <w:tc>
          <w:tcPr>
            <w:tcW w:w="2483" w:type="dxa"/>
            <w:gridSpan w:val="4"/>
            <w:noWrap w:val="0"/>
            <w:vAlign w:val="center"/>
          </w:tcPr>
          <w:p>
            <w:pPr>
              <w:rPr>
                <w:rFonts w:hint="eastAsia" w:eastAsia="仿宋_GB2312"/>
                <w:sz w:val="24"/>
                <w:lang w:val="en-US" w:eastAsia="zh-CN"/>
              </w:rPr>
            </w:pPr>
          </w:p>
        </w:tc>
        <w:tc>
          <w:tcPr>
            <w:tcW w:w="250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jc w:val="center"/>
        </w:trPr>
        <w:tc>
          <w:tcPr>
            <w:tcW w:w="9582" w:type="dxa"/>
            <w:gridSpan w:val="13"/>
            <w:noWrap w:val="0"/>
            <w:vAlign w:val="center"/>
          </w:tcPr>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9582" w:type="dxa"/>
            <w:gridSpan w:val="13"/>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尹尚春</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13487783388</w:t>
      </w:r>
      <w:bookmarkStart w:id="0" w:name="_GoBack"/>
      <w:bookmarkEnd w:id="0"/>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4"/>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项目基本概况</w:t>
            </w:r>
          </w:p>
          <w:p>
            <w:pPr>
              <w:numPr>
                <w:ilvl w:val="0"/>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自然资源局办公厅下发的《关于开展长江经济带废弃露天矿山生态修复工作的通知》（自然资办发（2019）33号）以及湖南省自然资源厅印发的《关于开展我省长江经济带废弃露天矿山生态修复工作的通知》（湘自然资办发【2019】69号）对华容县境内长江沿岸10公里范围内的废弃露天矿山进行生态修复。2019年10月县人民政府委托核工业岳阳建设工程有有限公司编制了《长江经济带湖南省岳阳市华容县段废弃露天矿山生态修复实施细则（2019-2020年）》并通过了专家评审，对华容县境内长江沿岸10公里范围内的19座废弃露天矿山共21个图斑进行生态修复。主要修复措施为：地貌重塑、土壤重构、植被重建、岩质边坡复绿、平台水土保持、旱地复垦及配套工程，修复面积为79.68公顷。</w:t>
            </w:r>
          </w:p>
          <w:p>
            <w:pPr>
              <w:numPr>
                <w:ilvl w:val="0"/>
                <w:numId w:val="0"/>
              </w:numPr>
              <w:spacing w:line="56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（二）项目资金使用及管理情况</w:t>
            </w:r>
          </w:p>
          <w:p>
            <w:pPr>
              <w:numPr>
                <w:ilvl w:val="0"/>
                <w:numId w:val="0"/>
              </w:num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根据县财政投资评审中心《关于华容县长江经济带废弃露天矿山生态修复项目结算审核的报告》及华容县审计局《2019年以来蛋子山矿区生态修复综合治理工程投资情况审计》，华容县长江经济带废弃露天矿山生态修复项目长江沿岸10公里范围内的19座废弃露天矿山共21个图斑总投资为5833.251万元，工程建设直接费5411.93万元，其中机械土石方工程2696.98万元，市政工程395.24万元，景观绿化工程2213.89万元；藤立方栽植88.44万元；零星签证工程51.88万元；工程其他建设费190.95万元；待摊投资230.371万元。项目资金实行专款专用，项目工程款严格按照程序审批拨付，项目资金无弄虚作假、截留、拆借挤占等现象。</w:t>
            </w:r>
          </w:p>
          <w:p>
            <w:pPr>
              <w:numPr>
                <w:numId w:val="0"/>
              </w:numPr>
              <w:spacing w:line="56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项目组织实施情况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认真贯彻落实自然资源部《关于开展长江经济带废弃露天矿山生态修复工作的通知》（自然资办发（2019）33号）以及湖南省自然资源厅印发的《关于开展我省长江经济带废弃露天矿山生态修复工作的通知》（湘自然资办发【2019】69号）精神，坚持党委政府主导、自然部门牵头、技术单位承办实施、监理单位监管、项目建设指挥部督办的模式，全面深入推进长江经济带废弃露天矿山生态修复工作。为加强项目的组织实施：一是政府常务会议专题研究；二是成立高规格的领导小组；三是项目指挥部多次召开专题会议部署推进；四是制订出台相关政策文件。为加快项目的推进，采取多种过硬措施：一是实行日报周报；二是实行任务倒排。三是实行监理监管。四是实行定期督查。五是实行 是实行合同约束。六是实行领导约谈。2020年底，项目全面建设完工。 </w:t>
            </w:r>
          </w:p>
          <w:p>
            <w:pPr>
              <w:numPr>
                <w:ilvl w:val="0"/>
                <w:numId w:val="0"/>
              </w:num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（四）综合评价情况及评价结论</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华容县长江经济带废弃露天矿山生态修复项目于2020年3月开始启动，县人民政府专门召开政府常务会议讨论成立华容县长江经济带废弃露天矿山生态修复项目指挥部，由项目建设指挥部领导组织开展，并通过公开招投标由技术服务单位具体组织实施。2020年底，项目完成了县自检，2021年1月完成了市级验收。2022年项目完成了全面整改工作。</w:t>
            </w:r>
          </w:p>
          <w:p>
            <w:pPr>
              <w:numPr>
                <w:ilvl w:val="0"/>
                <w:numId w:val="0"/>
              </w:numPr>
              <w:spacing w:line="56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）项目主要绩效情况分析</w:t>
            </w:r>
          </w:p>
          <w:p>
            <w:pPr>
              <w:ind w:firstLine="560" w:firstLineChars="200"/>
              <w:rPr>
                <w:rFonts w:hint="default" w:eastAsia="楷体_GB2312"/>
                <w:bCs/>
                <w:sz w:val="28"/>
                <w:szCs w:val="28"/>
                <w:lang w:val="en-US"/>
              </w:rPr>
            </w:pPr>
            <w:r>
              <w:rPr>
                <w:rFonts w:hint="eastAsia" w:ascii="仿宋_GB2312" w:hAnsi="仿宋_GB2312" w:eastAsia="仿宋_GB2312" w:cs="仿宋_GB2312"/>
                <w:sz w:val="28"/>
                <w:szCs w:val="28"/>
                <w:lang w:val="en-US" w:eastAsia="zh-CN"/>
              </w:rPr>
              <w:t>华容县长江经济带废弃露天矿山生态修复项目的实施，加快了我县废弃矿山的综合治理，加快推进了我县矿地的综合利用，实现了矿区水环境、农业与农村环境，矿区生态环境及生物多样性的保护。使矿区人民的人居环境得到了良好的改善。</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691"/>
        <w:gridCol w:w="937"/>
        <w:gridCol w:w="1350"/>
        <w:gridCol w:w="4288"/>
        <w:gridCol w:w="537"/>
        <w:gridCol w:w="688"/>
        <w:gridCol w:w="1403"/>
      </w:tblGrid>
      <w:tr>
        <w:tblPrEx>
          <w:tblCellMar>
            <w:top w:w="0" w:type="dxa"/>
            <w:left w:w="108" w:type="dxa"/>
            <w:bottom w:w="0" w:type="dxa"/>
            <w:right w:w="108" w:type="dxa"/>
          </w:tblCellMar>
        </w:tblPrEx>
        <w:trPr>
          <w:trHeight w:val="525"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28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3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40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69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69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97"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县财政资金紧张，影响资金拨付</w:t>
            </w:r>
          </w:p>
        </w:tc>
      </w:tr>
      <w:tr>
        <w:tblPrEx>
          <w:tblCellMar>
            <w:top w:w="0" w:type="dxa"/>
            <w:left w:w="108" w:type="dxa"/>
            <w:bottom w:w="0" w:type="dxa"/>
            <w:right w:w="108" w:type="dxa"/>
          </w:tblCellMar>
        </w:tblPrEx>
        <w:trPr>
          <w:trHeight w:val="619"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部分采购目录外项目未执行政府采购</w:t>
            </w:r>
          </w:p>
        </w:tc>
      </w:tr>
      <w:tr>
        <w:tblPrEx>
          <w:tblCellMar>
            <w:top w:w="0" w:type="dxa"/>
            <w:left w:w="108" w:type="dxa"/>
            <w:bottom w:w="0" w:type="dxa"/>
            <w:right w:w="108" w:type="dxa"/>
          </w:tblCellMar>
        </w:tblPrEx>
        <w:trPr>
          <w:trHeight w:val="63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713"/>
        <w:gridCol w:w="937"/>
        <w:gridCol w:w="1363"/>
        <w:gridCol w:w="4287"/>
        <w:gridCol w:w="525"/>
        <w:gridCol w:w="688"/>
        <w:gridCol w:w="1424"/>
      </w:tblGrid>
      <w:tr>
        <w:tblPrEx>
          <w:tblCellMar>
            <w:top w:w="0" w:type="dxa"/>
            <w:left w:w="108" w:type="dxa"/>
            <w:bottom w:w="0" w:type="dxa"/>
            <w:right w:w="108" w:type="dxa"/>
          </w:tblCellMar>
        </w:tblPrEx>
        <w:trPr>
          <w:trHeight w:val="67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28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2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42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28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52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42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both"/>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资产未有偿使用</w:t>
            </w:r>
          </w:p>
        </w:tc>
      </w:tr>
      <w:tr>
        <w:tblPrEx>
          <w:tblCellMar>
            <w:top w:w="0" w:type="dxa"/>
            <w:left w:w="108" w:type="dxa"/>
            <w:bottom w:w="0" w:type="dxa"/>
            <w:right w:w="108" w:type="dxa"/>
          </w:tblCellMar>
        </w:tblPrEx>
        <w:trPr>
          <w:trHeight w:val="85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28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机构改革合并有闲置资产</w:t>
            </w:r>
          </w:p>
        </w:tc>
      </w:tr>
      <w:tr>
        <w:tblPrEx>
          <w:tblCellMar>
            <w:top w:w="0" w:type="dxa"/>
            <w:left w:w="108" w:type="dxa"/>
            <w:bottom w:w="0" w:type="dxa"/>
            <w:right w:w="108" w:type="dxa"/>
          </w:tblCellMar>
        </w:tblPrEx>
        <w:trPr>
          <w:trHeight w:val="998" w:hRule="atLeast"/>
          <w:jc w:val="center"/>
        </w:trPr>
        <w:tc>
          <w:tcPr>
            <w:tcW w:w="71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37"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287"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1013"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56"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98"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888"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69" w:hRule="atLeast"/>
          <w:jc w:val="center"/>
        </w:trPr>
        <w:tc>
          <w:tcPr>
            <w:tcW w:w="7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28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52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土地收益离预期有差异</w:t>
            </w:r>
          </w:p>
        </w:tc>
      </w:tr>
      <w:tr>
        <w:tblPrEx>
          <w:tblCellMar>
            <w:top w:w="0" w:type="dxa"/>
            <w:left w:w="108" w:type="dxa"/>
            <w:bottom w:w="0" w:type="dxa"/>
            <w:right w:w="108" w:type="dxa"/>
          </w:tblCellMar>
        </w:tblPrEx>
        <w:trPr>
          <w:trHeight w:val="66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6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1051"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2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56" w:hRule="atLeast"/>
          <w:jc w:val="center"/>
        </w:trPr>
        <w:tc>
          <w:tcPr>
            <w:tcW w:w="71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28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95</w:t>
            </w:r>
          </w:p>
        </w:tc>
        <w:tc>
          <w:tcPr>
            <w:tcW w:w="142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93</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9AD86"/>
    <w:multiLevelType w:val="singleLevel"/>
    <w:tmpl w:val="A5A9AD86"/>
    <w:lvl w:ilvl="0" w:tentative="0">
      <w:start w:val="1"/>
      <w:numFmt w:val="chineseCounting"/>
      <w:suff w:val="nothing"/>
      <w:lvlText w:val="（%1）"/>
      <w:lvlJc w:val="left"/>
      <w:rPr>
        <w:rFonts w:hint="eastAsia" w:ascii="黑体" w:hAnsi="黑体" w:eastAsia="黑体" w:cs="黑体"/>
      </w:rPr>
    </w:lvl>
  </w:abstractNum>
  <w:abstractNum w:abstractNumId="1">
    <w:nsid w:val="4499B024"/>
    <w:multiLevelType w:val="singleLevel"/>
    <w:tmpl w:val="4499B024"/>
    <w:lvl w:ilvl="0" w:tentative="0">
      <w:start w:val="2"/>
      <w:numFmt w:val="decimal"/>
      <w:suff w:val="nothing"/>
      <w:lvlText w:val="%1、"/>
      <w:lvlJc w:val="left"/>
    </w:lvl>
  </w:abstractNum>
  <w:abstractNum w:abstractNumId="2">
    <w:nsid w:val="68DFF4BC"/>
    <w:multiLevelType w:val="singleLevel"/>
    <w:tmpl w:val="68DFF4BC"/>
    <w:lvl w:ilvl="0" w:tentative="0">
      <w:start w:val="2"/>
      <w:numFmt w:val="chineseCounting"/>
      <w:suff w:val="nothing"/>
      <w:lvlText w:val="（%1）"/>
      <w:lvlJc w:val="left"/>
      <w:rPr>
        <w:rFonts w:hint="eastAsia"/>
      </w:rPr>
    </w:lvl>
  </w:abstractNum>
  <w:abstractNum w:abstractNumId="3">
    <w:nsid w:val="7C79F7EB"/>
    <w:multiLevelType w:val="singleLevel"/>
    <w:tmpl w:val="7C79F7EB"/>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mMyY2E5M2RhNTJhNjA1NWRmMTFhNmZiYTkzMmQifQ=="/>
  </w:docVars>
  <w:rsids>
    <w:rsidRoot w:val="2CE55C20"/>
    <w:rsid w:val="007B2063"/>
    <w:rsid w:val="00EF7950"/>
    <w:rsid w:val="011959AD"/>
    <w:rsid w:val="01A72475"/>
    <w:rsid w:val="01D95F0B"/>
    <w:rsid w:val="029307AF"/>
    <w:rsid w:val="02F2197A"/>
    <w:rsid w:val="04601BDB"/>
    <w:rsid w:val="05BB557A"/>
    <w:rsid w:val="083749E7"/>
    <w:rsid w:val="08BB45BC"/>
    <w:rsid w:val="091D7025"/>
    <w:rsid w:val="09316D5F"/>
    <w:rsid w:val="0A0855DF"/>
    <w:rsid w:val="0AC27E84"/>
    <w:rsid w:val="0B7F7B23"/>
    <w:rsid w:val="0C717585"/>
    <w:rsid w:val="0CB679B8"/>
    <w:rsid w:val="0DC26267"/>
    <w:rsid w:val="0DE528CD"/>
    <w:rsid w:val="10521CAA"/>
    <w:rsid w:val="120A0268"/>
    <w:rsid w:val="1336279F"/>
    <w:rsid w:val="14651B4E"/>
    <w:rsid w:val="14656E27"/>
    <w:rsid w:val="148B12E6"/>
    <w:rsid w:val="14B129ED"/>
    <w:rsid w:val="154A6EC9"/>
    <w:rsid w:val="163C6D3C"/>
    <w:rsid w:val="16B74615"/>
    <w:rsid w:val="17E7717C"/>
    <w:rsid w:val="18053067"/>
    <w:rsid w:val="18725427"/>
    <w:rsid w:val="189A2440"/>
    <w:rsid w:val="19CD1B5D"/>
    <w:rsid w:val="1AED2CFB"/>
    <w:rsid w:val="1B2926A8"/>
    <w:rsid w:val="1D2C5F18"/>
    <w:rsid w:val="1D8334A3"/>
    <w:rsid w:val="1E394958"/>
    <w:rsid w:val="1E870D71"/>
    <w:rsid w:val="1E937715"/>
    <w:rsid w:val="1ED52C4B"/>
    <w:rsid w:val="1F1620F4"/>
    <w:rsid w:val="1F552C1D"/>
    <w:rsid w:val="1FAC7012"/>
    <w:rsid w:val="1FFE5062"/>
    <w:rsid w:val="21077559"/>
    <w:rsid w:val="22625AB7"/>
    <w:rsid w:val="23571D7C"/>
    <w:rsid w:val="254E2FC7"/>
    <w:rsid w:val="25506360"/>
    <w:rsid w:val="25B607B7"/>
    <w:rsid w:val="25D7082F"/>
    <w:rsid w:val="263C173A"/>
    <w:rsid w:val="264010F1"/>
    <w:rsid w:val="26551A71"/>
    <w:rsid w:val="26955FF5"/>
    <w:rsid w:val="274C1CCB"/>
    <w:rsid w:val="282910EA"/>
    <w:rsid w:val="283642C0"/>
    <w:rsid w:val="289D055E"/>
    <w:rsid w:val="29231FDE"/>
    <w:rsid w:val="2C351E0C"/>
    <w:rsid w:val="2C9F197B"/>
    <w:rsid w:val="2CA33441"/>
    <w:rsid w:val="2CE55C20"/>
    <w:rsid w:val="2D091E2F"/>
    <w:rsid w:val="2DAB4805"/>
    <w:rsid w:val="2DF74D94"/>
    <w:rsid w:val="2F287302"/>
    <w:rsid w:val="2F3B1E2F"/>
    <w:rsid w:val="2F520F27"/>
    <w:rsid w:val="2FCE2CA3"/>
    <w:rsid w:val="30426D13"/>
    <w:rsid w:val="314B4F91"/>
    <w:rsid w:val="31E95C8F"/>
    <w:rsid w:val="32D835BF"/>
    <w:rsid w:val="33E63B4D"/>
    <w:rsid w:val="34901FC4"/>
    <w:rsid w:val="355A1C3C"/>
    <w:rsid w:val="358856A2"/>
    <w:rsid w:val="37104E51"/>
    <w:rsid w:val="375600C6"/>
    <w:rsid w:val="37BE3010"/>
    <w:rsid w:val="37F34E29"/>
    <w:rsid w:val="39C40C73"/>
    <w:rsid w:val="3A43255A"/>
    <w:rsid w:val="3A7B3A28"/>
    <w:rsid w:val="3AFD4048"/>
    <w:rsid w:val="3C074325"/>
    <w:rsid w:val="3C367516"/>
    <w:rsid w:val="3D6201A1"/>
    <w:rsid w:val="3DFE5B9C"/>
    <w:rsid w:val="3EC46785"/>
    <w:rsid w:val="3F8A6044"/>
    <w:rsid w:val="42073DF3"/>
    <w:rsid w:val="43747266"/>
    <w:rsid w:val="438D657A"/>
    <w:rsid w:val="43A702D9"/>
    <w:rsid w:val="44592EA4"/>
    <w:rsid w:val="455530C7"/>
    <w:rsid w:val="477245B4"/>
    <w:rsid w:val="49617FA5"/>
    <w:rsid w:val="49C600F0"/>
    <w:rsid w:val="4A680A2C"/>
    <w:rsid w:val="4A834D28"/>
    <w:rsid w:val="4AEB2C26"/>
    <w:rsid w:val="4B820AC3"/>
    <w:rsid w:val="4D171D42"/>
    <w:rsid w:val="4E4F0BB0"/>
    <w:rsid w:val="4F934F18"/>
    <w:rsid w:val="4FCC21D8"/>
    <w:rsid w:val="50293C7B"/>
    <w:rsid w:val="50537907"/>
    <w:rsid w:val="510C31D4"/>
    <w:rsid w:val="537162DF"/>
    <w:rsid w:val="53BF661E"/>
    <w:rsid w:val="54A27E58"/>
    <w:rsid w:val="54B716F3"/>
    <w:rsid w:val="566969D2"/>
    <w:rsid w:val="56F43293"/>
    <w:rsid w:val="589A0F2A"/>
    <w:rsid w:val="590908BE"/>
    <w:rsid w:val="59475F02"/>
    <w:rsid w:val="5A9F7E98"/>
    <w:rsid w:val="5AAB580B"/>
    <w:rsid w:val="5B4825CA"/>
    <w:rsid w:val="5B675E44"/>
    <w:rsid w:val="5BE95901"/>
    <w:rsid w:val="5BF154A0"/>
    <w:rsid w:val="5BF60C53"/>
    <w:rsid w:val="5C4C26D6"/>
    <w:rsid w:val="5CEC170B"/>
    <w:rsid w:val="5CFA4828"/>
    <w:rsid w:val="5D3549DE"/>
    <w:rsid w:val="5D3D58BD"/>
    <w:rsid w:val="5E7E7C98"/>
    <w:rsid w:val="5F644958"/>
    <w:rsid w:val="60D07D7A"/>
    <w:rsid w:val="613D1187"/>
    <w:rsid w:val="62361C1C"/>
    <w:rsid w:val="63C416EC"/>
    <w:rsid w:val="63CB65D6"/>
    <w:rsid w:val="63EE14D4"/>
    <w:rsid w:val="642B176B"/>
    <w:rsid w:val="64B81F86"/>
    <w:rsid w:val="64F61D79"/>
    <w:rsid w:val="652A0877"/>
    <w:rsid w:val="65DA51F7"/>
    <w:rsid w:val="66742F55"/>
    <w:rsid w:val="68817BAC"/>
    <w:rsid w:val="689F6284"/>
    <w:rsid w:val="68F4037D"/>
    <w:rsid w:val="6A0A15CD"/>
    <w:rsid w:val="6A303C80"/>
    <w:rsid w:val="6A9040D6"/>
    <w:rsid w:val="6ABE50E7"/>
    <w:rsid w:val="6BC56CC5"/>
    <w:rsid w:val="6C5A499B"/>
    <w:rsid w:val="6C5D5B4B"/>
    <w:rsid w:val="6D452F22"/>
    <w:rsid w:val="6DF170E3"/>
    <w:rsid w:val="6DF352BD"/>
    <w:rsid w:val="6E54333B"/>
    <w:rsid w:val="6E8E16E6"/>
    <w:rsid w:val="6F597A10"/>
    <w:rsid w:val="6F8561D3"/>
    <w:rsid w:val="6FF627F9"/>
    <w:rsid w:val="705E3E6D"/>
    <w:rsid w:val="7121017E"/>
    <w:rsid w:val="71A01FCC"/>
    <w:rsid w:val="71C1048A"/>
    <w:rsid w:val="71C32FE3"/>
    <w:rsid w:val="72341F66"/>
    <w:rsid w:val="72783DCD"/>
    <w:rsid w:val="72B666A4"/>
    <w:rsid w:val="7396188C"/>
    <w:rsid w:val="73F35F5B"/>
    <w:rsid w:val="74C73AA1"/>
    <w:rsid w:val="7529415D"/>
    <w:rsid w:val="756B1F1D"/>
    <w:rsid w:val="789B25C4"/>
    <w:rsid w:val="794C1B10"/>
    <w:rsid w:val="79C04582"/>
    <w:rsid w:val="7A982D4B"/>
    <w:rsid w:val="7B827A6B"/>
    <w:rsid w:val="7CB2612E"/>
    <w:rsid w:val="7CF46746"/>
    <w:rsid w:val="7D1F0DA2"/>
    <w:rsid w:val="7F477001"/>
    <w:rsid w:val="7F631961"/>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8891</Words>
  <Characters>10191</Characters>
  <Lines>0</Lines>
  <Paragraphs>0</Paragraphs>
  <TotalTime>19</TotalTime>
  <ScaleCrop>false</ScaleCrop>
  <LinksUpToDate>false</LinksUpToDate>
  <CharactersWithSpaces>11258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2022-07-05T03:39:10Z</cp:lastPrinted>
  <dcterms:modified xsi:type="dcterms:W3CDTF">2022-07-05T03:43:27Z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86C911031B7D4654A92CD30A9A93ED80</vt:lpwstr>
  </property>
</Properties>
</file>