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</w:rPr>
        <w:sym w:font="Wingdings 2" w:char="0052"/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华容县2021年中央农业适度规模经营补助资金                     </w:t>
      </w:r>
      <w:r>
        <w:rPr>
          <w:rFonts w:hint="eastAsia" w:eastAsia="仿宋_GB2312"/>
          <w:sz w:val="32"/>
          <w:u w:val="single"/>
        </w:rPr>
        <w:t xml:space="preserve">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>华容县农村经营服务中心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>华容县农业农村局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14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毕文蓉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13077148288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sz w:val="24"/>
              </w:rPr>
              <w:t xml:space="preserve"> 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 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616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616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616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u w:val="none"/>
                <w:lang w:val="en-US" w:eastAsia="zh-CN"/>
              </w:rPr>
              <w:t>2021年中央农业适度规模经营补助资金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616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2021.12.58#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616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以服务小农户、推进服务带动型规模经营为主，此次补贴对象倾向于社会化服务发展比较充分、工作积极性高、基础条件扎实的农民合作社、专业服务组织等，着重推进粮食生产单环节托管、多环节托管、关键环节综合托管和全程托管等多种模式。引导小农户、家庭农场等农业适度规模经营主体，广泛接受集中育插（机抛）秧、推广无人机飞防等低成本、优品质、高效益的社会化服务。我们重点对集中育插（机抛）秧、无人机飞防服务两大关键环节进行资金扶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资金拨付已全部到位</w:t>
            </w:r>
            <w:r>
              <w:rPr>
                <w:rFonts w:hint="eastAsia" w:eastAsia="仿宋_GB2312"/>
                <w:sz w:val="24"/>
                <w:lang w:val="en-US" w:eastAsia="zh-CN"/>
              </w:rPr>
              <w:t>,其中：农民专业合作社补贴资金166万元，家庭农场补贴资金50万元，社会化组织补贴资金400万元，合计：616万元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新增经营主体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200家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设施利用率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设施闲置期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不超过4个月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平均3个月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完成建设任务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2021年12月底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2021年12月底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成本节约率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经济效益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年创经济效益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200万元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社会效益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带动贫困户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358户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带动产业发展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140家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生态效益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农产品质量标准提高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商品化处理能力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曹岳贤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主任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曹岳贤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毕文蓉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三级主任科员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毕文蓉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毛云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副主任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农村经营服务中心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毛云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曹岳贤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 年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>14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李婉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18974059779</w:t>
      </w: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一、基本情况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(一)项目概况。包括项目背景、主要内容及实施情况、资金 投入和使用情况等。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根据《湖南省财政厅关于下达2021年中央农业适度规模经营补助资金的通知》（湘财预[2021]204号）文件要求，按照〈〈湖南省农业农村厅2021年真抓实干督查激励措施实施方案办法〉〉（湘农发[2021]29号）文件精神，结合我县实际综合考虑粮食产量、种粮面积、新型经营主体的适度规模等因素，</w:t>
            </w:r>
            <w:r>
              <w:rPr>
                <w:rFonts w:hint="eastAsia" w:eastAsia="仿宋_GB2312"/>
                <w:sz w:val="30"/>
                <w:szCs w:val="30"/>
              </w:rPr>
              <w:t>我们出台了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《</w:t>
            </w:r>
            <w:r>
              <w:rPr>
                <w:rFonts w:hint="eastAsia" w:eastAsia="仿宋_GB2312"/>
                <w:sz w:val="30"/>
                <w:szCs w:val="30"/>
              </w:rPr>
              <w:t>华容县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2021年农业生产发展资金</w:t>
            </w:r>
            <w:r>
              <w:rPr>
                <w:rFonts w:hint="eastAsia" w:eastAsia="仿宋_GB2312"/>
                <w:sz w:val="30"/>
                <w:szCs w:val="30"/>
              </w:rPr>
              <w:t>工作实施方案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》，</w:t>
            </w:r>
            <w:r>
              <w:rPr>
                <w:rFonts w:hint="eastAsia" w:eastAsia="仿宋_GB2312"/>
                <w:sz w:val="30"/>
                <w:szCs w:val="30"/>
              </w:rPr>
              <w:t>明确了指导思想，拟定了实施原则和目标任务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结合我县实际，以服务小农户、推进服务带动型规模经营为主，此次补贴对象倾向于社会化服务发展比较充分、工作积极性高、基础条件扎实的农民合作社、专业服务组织等，着重推进粮食生产单环节托管、多环节托管、关键环节综合托管和全程托管等多种模式。引导小农户、家庭农场等农业适度规模经营主体，广泛接受集中育插（机抛）秧、推广无人机飞防等低成本、优品质、高效益的社会化服务。我们重点对集中育插（机抛）秧、无人机飞防服务两大关键环节进行资金扶持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根据《湖南省财政厅关于下达2021年中央农业适度规模经营补助资金的通知》（湘财预[2021]204号）文件下拨我县补助资金616万元（其中农民专业合作社补贴资金166万元，家庭农场补贴资金50万元，社会化组织补贴资金400万元）。</w:t>
            </w:r>
            <w:r>
              <w:rPr>
                <w:rFonts w:hint="eastAsia" w:eastAsia="仿宋_GB2312"/>
                <w:sz w:val="30"/>
                <w:szCs w:val="30"/>
              </w:rPr>
              <w:t>目前，资金拨付已全部到位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农民专业合作社补贴资金166万元，家庭农场补贴资金50万元，社会化组织补贴资金400万元，合计：616万元）。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在全县范围内通过摸底排查及现场考评，结合社会化服务体系数据，对纳入补贴对象的新型经营主体采取“先服务后补贴”方式进行补助，严格补助程序，采取自下而上申报，村场、乡镇摸底核实，上报前进行网络公示，再由主管部门汇总、连同方案和分配明细在县人民政府门户网站再次公示，经县人民政府批准后拨付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县农村经营服务中心对项目资金实行专账管理、专款专用。项目资金经相关业务部门在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中央</w:t>
            </w:r>
            <w:r>
              <w:rPr>
                <w:rFonts w:hint="eastAsia" w:eastAsia="仿宋_GB2312"/>
                <w:sz w:val="30"/>
                <w:szCs w:val="30"/>
              </w:rPr>
              <w:t>农业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适度规模经营补助资金</w:t>
            </w:r>
            <w:r>
              <w:rPr>
                <w:rFonts w:hint="eastAsia" w:eastAsia="仿宋_GB2312"/>
                <w:sz w:val="30"/>
                <w:szCs w:val="30"/>
              </w:rPr>
              <w:t>汇总表签字确认，按完成进度及时足额拨付到服务组织银行账号，资金使用规范，确保了资金安全。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bCs w:val="0"/>
                <w:sz w:val="30"/>
                <w:szCs w:val="30"/>
              </w:rPr>
              <w:t>项目绩效目标。包括总体目标和阶段性目标。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通过项目实施，大力发展以机械作业为主的社会化服务，进一步健全服务市场、规范服务行为、创新管理运行机制，完善政策支持体系，扶持一批规模化、规范化和专业化的社会化服务组织，实现专项服务标准化、综合服务全程化，示范带动全县农业生产服务能力提升，推进服务集中型规模经营发展，实现农业增效，农民增收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目前，资金拨付已全部到位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农民专业合作社补贴资金166万元，家庭农场补贴资金50万元，社会化组织补贴资金400万元，合计：616万元）。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结合我县实际，以服务小农户、推进服务带动型规模经营为主，此次补贴对象倾向于社会化服务发展比较充分、工作积极性高、基础条件扎实的农民合作社、专业服务组织等，着重推进粮食生产单环节托管、多环节托管、关键环节综合托管和全程托管等多种模式。引导小农户、家庭农场等农业适度规模经营主体，广泛接受集中育插（机抛）秧、推广无人机飞防等低成本、优品质、高效益的社会化服务。我们重点对集中育插（机抛）秧、无人机飞防服务两大关键环节进行资金扶持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二、绩效评价工作开展情况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(一)绩效评价目的、对象和范围。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(二)绩效评价原则、评价指标体系(附表说明)、评价方法、 评价标准等。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(三)绩效评价工作过程。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三、综合评价情况及评价结论 (附相关评分表)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（一）资金投入情况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根据《湖南省财政厅关于下达2021年中央农业适度规模经营补助资金的通知》（湘财预[2021]204号）文件下拨我县补助资金616万元（其中农民专业合作社补贴资金166万元，家庭农场补贴资金50万元，社会化组织补贴资金400万元）。</w:t>
            </w:r>
            <w:r>
              <w:rPr>
                <w:rFonts w:hint="eastAsia" w:eastAsia="仿宋_GB2312"/>
                <w:sz w:val="30"/>
                <w:szCs w:val="30"/>
              </w:rPr>
              <w:t>目前，资金拨付已全部到位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农民专业合作社补贴资金166万元，家庭农场补贴资金50万元，社会化组织补贴资金400万元，合计：616万元）。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在全县范围内通过摸底排查及现场考评，结合社会化服务体系数据，对纳入补贴对象的新型经营主体采取“先服务后补贴”方式进行补助，严格补助程序，采取自下而上申报，村场、乡镇摸底核实，上报前进行网络公示，再由主管部门汇总、连同方案和分配明细在县人民政府门户网站再次公示，经县人民政府批准后拨付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县农村经营服务中心对项目资金实行专账管理、专款专用。项目资金经相关业务部门在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中央</w:t>
            </w:r>
            <w:r>
              <w:rPr>
                <w:rFonts w:hint="eastAsia" w:eastAsia="仿宋_GB2312"/>
                <w:sz w:val="30"/>
                <w:szCs w:val="30"/>
              </w:rPr>
              <w:t>农业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适度规模经营补助资金</w:t>
            </w:r>
            <w:r>
              <w:rPr>
                <w:rFonts w:hint="eastAsia" w:eastAsia="仿宋_GB2312"/>
                <w:sz w:val="30"/>
                <w:szCs w:val="30"/>
              </w:rPr>
              <w:t>汇总表签字确认，按完成进度及时足额拨付到服务组织银行账号，资金使用规范，确保了资金安全。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总体绩效目标完成情况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通过项目实施，大力发展以机械作业为主的社会化服务，进一步健全服务市场、规范服务行为、创新管理运行机制，完善政策支持体系，扶持一批规模化、规范化和专业化的社会化服务组织，实现专项服务标准化、综合服务全程化，示范带动全县农业生产服务能力提升，推进服务集中型规模经营发展，实现农业增效，农民增收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目前，资金拨付已全部到位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农民专业合作社补贴资金166万元，家庭农场补贴资金50万元，社会化组织补贴资金400万元，合计：616万元）。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结合我县实际，以服务小农户、推进服务带动型规模经营为主，此次补贴对象倾向于社会化服务发展比较充分、工作积极性高、基础条件扎实的农民合作社、专业服务组织等，着重推进粮食生产单环节托管、多环节托管、关键环节综合托管和全程托管等多种模式。引导小农户、家庭农场等农业适度规模经营主体，广泛接受集中育插（机抛）秧、推广无人机飞防等低成本、优品质、高效益的社会化服务。我们重点对集中育插（机抛）秧、无人机飞防服务两大关键环节进行资金扶持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四、绩效评价指标分析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绩效评价情况分析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、提高了农业生产效益。土地连片规模经营，为购置大型农机和采用新型种植技术创造了条件，土地耕种的机械化和精细化程度得到显著提高。这一方面有助于提高粮食产量，另一方面可以通过提高施肥施种精准度、降低单位面积燃油消耗、降低生产资料采购价格等降低生产成本，从而提高农业生产效益。相关经营者估计，在理想情况下，单位面积土地上玉米可以增产20%左右，全口径生产成本可以降低10%左右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、提高了农民收入。首先，生产效益的提高为农民增收提供了空间，比自己耕种或者此前的小规模流转相比，农民从土地获得的收入明显提升。其次，规模化生产为产业链向加工、销售延伸创造了良好条件，农民可以从更高的产品附加值受益。再次，解放出来的劳动力可以从事特色产业、外出务工等，拓宽了农民增收渠道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、有助于推进乡村振兴。培育多元化新型农业经营主体，发展适度规模经营，能够提高务农的吸引力，促进更多高素质劳动力留在农村，更好地吸引要素下乡，缓解农村的空心化、老龄化问题。同时，能够为特色产业发展和农村一二三产融合发展创造良好条件，促进乡村实现产业兴旺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主要经验及做法、存在的问题及原因分析</w:t>
            </w:r>
          </w:p>
          <w:p>
            <w:pPr>
              <w:spacing w:line="560" w:lineRule="exact"/>
              <w:ind w:firstLine="64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　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、积极稳妥发展农业适度规模经营。通过农机购置、税收、信贷、教育培训等方面的政策支持，大力培育新型农业经营主体和新型职业农民，在农户自愿的基础上推进互换并地，积极发展土地流转、生产托管、股份合作等多种形式的农业适度规模经营。同时，保持历史耐心，不搞“一刀切”、不搞行政命令，防止人为垒大户、排挤小农户，确保农业现代化行稳致远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、将优质农田和先进农业技术更好结合。深入实施“藏粮于地、藏粮于技”战略，加强高标准农田和水利设施建设，继续推进轮作休耕和结构调整。加大对乡镇农技推广工作的支持力度，构建以政府农技推广机构为主导，农业科研、教育等单位和涉农企业广泛参与的多元化农业技术推广体系，努力实现农机、农艺结合，良种、良法配套，推动农业高质量发展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、注重维护农民利益和促进农民转移就业。完善保底产量、保底收益等合约设计，充分发挥试点示范作用，引导更多农民选择在承担一定风险的同时获取更高期望收益的、更加紧密的利益联结机制。加强对合作社等新型农业经营主体的监管，避免“空壳社”、合同违约等侵害农民利益现象发生。加强特色优势产业培育和农民职业技能培训，促进农民转移就业和增收致富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有关建议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无</w:t>
            </w:r>
          </w:p>
          <w:p>
            <w:pPr>
              <w:numPr>
                <w:ilvl w:val="0"/>
                <w:numId w:val="1"/>
              </w:numPr>
              <w:ind w:left="0" w:leftChars="0"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其他需要说明的问题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无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  <w:bookmarkStart w:id="0" w:name="_GoBack"/>
      <w:bookmarkEnd w:id="0"/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0E16F"/>
    <w:multiLevelType w:val="singleLevel"/>
    <w:tmpl w:val="1AD0E16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10110F79"/>
    <w:rsid w:val="0EDD7572"/>
    <w:rsid w:val="10110F79"/>
    <w:rsid w:val="15313CD7"/>
    <w:rsid w:val="588D6349"/>
    <w:rsid w:val="658F236E"/>
    <w:rsid w:val="6BFB59F0"/>
    <w:rsid w:val="6DC567C0"/>
    <w:rsid w:val="6F6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7364</Words>
  <Characters>7760</Characters>
  <Lines>0</Lines>
  <Paragraphs>0</Paragraphs>
  <TotalTime>8</TotalTime>
  <ScaleCrop>false</ScaleCrop>
  <LinksUpToDate>false</LinksUpToDate>
  <CharactersWithSpaces>8465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2022-10-14T02:43:00Z</dcterms:created>
  <dc:creator>李小婉</dc:creator>
  <cp:lastModifiedBy>戴</cp:lastModifiedBy>
  <cp:lastPrinted>2022-10-14T07:51:00Z</cp:lastPrinted>
  <dcterms:modified xsi:type="dcterms:W3CDTF">2022-10-24T02:35:34Z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E465BE005AB0485C9A1EFE9012AF5C86</vt:lpwstr>
  </property>
</Properties>
</file>