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bookmarkStart w:id="0" w:name="_GoBack"/>
      <w:r>
        <w:rPr>
          <w:rFonts w:hint="eastAsia" w:eastAsia="仿宋_GB2312"/>
          <w:sz w:val="32"/>
        </w:rPr>
        <w:t>长江禁捕退捕专项经费</w:t>
      </w:r>
      <w:bookmarkEnd w:id="0"/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项目单位：华容县北汊水库管理所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主管部门：华容县水利局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报告日期：   2022年 10  月 12  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800"/>
        <w:gridCol w:w="22"/>
        <w:gridCol w:w="392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李宁波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13786042886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6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华容县北汊水库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2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9   月起至         2021 年   12    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279.6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渔民一次性补贴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273.6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2021年9月27号凭证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管理费用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2021年9月24-30号凭证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279.6</w:t>
            </w:r>
          </w:p>
        </w:tc>
        <w:tc>
          <w:tcPr>
            <w:tcW w:w="2342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渔民退出精养，禁止投肥，转产转业，一次性补贴养老金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完成100/100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82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</w:tcPr>
          <w:p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22" w:type="dxa"/>
            <w:gridSpan w:val="2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完成补贴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</w:tcPr>
          <w:p>
            <w:pPr>
              <w:jc w:val="center"/>
            </w:pPr>
            <w:r>
              <w:rPr>
                <w:rFonts w:hint="eastAsia" w:eastAsia="仿宋_GB2312"/>
                <w:sz w:val="24"/>
              </w:rPr>
              <w:t>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10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李宁波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所长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高其全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工会主席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谢慧芳</w:t>
            </w:r>
          </w:p>
        </w:tc>
        <w:tc>
          <w:tcPr>
            <w:tcW w:w="2332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北汊水库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4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eastAsia="仿宋_GB2312" w:cs="仿宋_GB2312"/>
          <w:bCs/>
          <w:sz w:val="28"/>
          <w:szCs w:val="28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     谢慧芳              联系电话：15580110773</w:t>
      </w: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eastAsia="仿宋_GB2312"/>
                <w:b/>
                <w:bCs/>
                <w:sz w:val="28"/>
                <w:szCs w:val="28"/>
              </w:rPr>
              <w:t>五、评价报告综述（文字部分）</w:t>
            </w:r>
          </w:p>
          <w:p>
            <w:pPr>
              <w:spacing w:line="440" w:lineRule="exact"/>
              <w:ind w:firstLine="640" w:firstLineChars="200"/>
              <w:rPr>
                <w:rFonts w:eastAsia="仿宋_GB2312"/>
                <w:sz w:val="32"/>
                <w:szCs w:val="32"/>
              </w:rPr>
            </w:pP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一、基本情况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(一)项目概况。包括项目背景、主要内容及实施情况、资金 投入和使用情况等。 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 xml:space="preserve">2021年下达北汊水库禁捕退捕专项经费279.6万元。 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(二)项目绩效目标。包括总体目标和阶段性目标。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2021年批复下达北汊水库专项资金279.6万元，其中一次性补贴养老金273.6万，管理费用6万。</w:t>
            </w: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二、绩效评价工作开展情况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(一)绩效评价目的、对象和范围。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北汊水库禁捕退捕专项资金，是用于解决渔民养老保险资金。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(二)绩效评价原则、评价指标体系(附表说明)、评价方法、 评价标准等。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2019年北汊水库上报县农村农业局27户79人，3人户籍迁出不享受补贴，实际补贴76人。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(三)绩效评价工作过程。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实际每人补贴3.6万元。</w:t>
            </w: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三、综合评价情况及评价结论 (附相关评分表)</w:t>
            </w: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四、绩效评价指标分析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(一)项目决策情况。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项目资金通过会议已经通过。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(二)项目过程情况。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项目资金已经打卡到人。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(三)项目产出情况。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资金全部到位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(四)项目效益情况。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资金通过社保和银行已到位。</w:t>
            </w: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五、主要经验及做法、存在的问题及原因分析</w:t>
            </w:r>
          </w:p>
          <w:p>
            <w:pPr>
              <w:spacing w:line="560" w:lineRule="exact"/>
              <w:ind w:firstLine="600" w:firstLineChars="200"/>
              <w:rPr>
                <w:rFonts w:ascii="黑体" w:hAnsi="黑体" w:eastAsia="黑体" w:cs="黑体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六、有关建议</w:t>
            </w:r>
          </w:p>
          <w:p>
            <w:pPr>
              <w:ind w:firstLine="600" w:firstLineChars="200"/>
              <w:rPr>
                <w:rFonts w:eastAsia="楷体_GB2312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</w:rPr>
              <w:t>七、其他需要说明的问题</w:t>
            </w:r>
          </w:p>
        </w:tc>
      </w:tr>
    </w:tbl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项目支出绩效评价指标体系（参考样表）</w:t>
      </w:r>
    </w:p>
    <w:tbl>
      <w:tblPr>
        <w:tblStyle w:val="3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1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95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备注：部门（单位）根据项目实际，在《项目支出绩效评价指标体系（参考样表）》上进一步完善、量化、细化个性指标，形成本项目的指标体系。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D1A233B"/>
    <w:multiLevelType w:val="multilevel"/>
    <w:tmpl w:val="7D1A233B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Zjc5NTllMGFiYmY5NmVhMTllZTJlYTQ3YTVjMjgifQ=="/>
  </w:docVars>
  <w:rsids>
    <w:rsidRoot w:val="3D78599D"/>
    <w:rsid w:val="3D7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2022-10-24T02:22:00Z</dcterms:created>
  <dc:creator>戴</dc:creator>
  <cp:lastModifiedBy>戴</cp:lastModifiedBy>
  <dcterms:modified xsi:type="dcterms:W3CDTF">2022-10-24T02:23:27Z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F9F9156E5D5946D2846EFCEB876951F0</vt:lpwstr>
  </property>
</Properties>
</file>