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华容县乡村振兴局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409001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20"/>
        <w:gridCol w:w="21"/>
        <w:gridCol w:w="259"/>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汪敏燕</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sz w:val="24"/>
              </w:rPr>
              <w:t>19907400333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95"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5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8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Cs w:val="21"/>
              </w:rPr>
              <w:t>负责统筹、协调、指导考核全县乡村振兴工作；健全防止返贫动态监测和帮扶机制，巩固拓展脱贫攻坚成果，确保不发生规模性返贫现象；协调督导有关部门做好巩固拓展脱贫攻坚成果同乡村振兴有效衔接重点工作，并开展乡村振兴实绩考核工作；负责全县扶贫项目资产管理、光伏扶贫电站运营、雨露计划、小额信贷等重点工作；负责本单位安全生产和应急工作；完成县委，县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80" w:type="dxa"/>
            <w:gridSpan w:val="16"/>
            <w:vAlign w:val="center"/>
          </w:tcPr>
          <w:p>
            <w:pPr>
              <w:autoSpaceDN w:val="0"/>
              <w:spacing w:line="320" w:lineRule="exact"/>
              <w:jc w:val="left"/>
              <w:textAlignment w:val="center"/>
              <w:rPr>
                <w:rFonts w:hint="eastAsia" w:ascii="仿宋" w:hAnsi="仿宋" w:eastAsia="仿宋" w:cs="仿宋"/>
                <w:color w:val="000000"/>
                <w:szCs w:val="21"/>
              </w:rPr>
            </w:pPr>
            <w:r>
              <w:rPr>
                <w:rFonts w:hint="eastAsia" w:ascii="仿宋" w:hAnsi="仿宋" w:eastAsia="仿宋" w:cs="仿宋"/>
                <w:color w:val="000000"/>
                <w:szCs w:val="21"/>
                <w:lang w:eastAsia="zh-CN"/>
              </w:rPr>
              <w:t>一、</w:t>
            </w:r>
            <w:r>
              <w:rPr>
                <w:rFonts w:hint="eastAsia" w:ascii="仿宋" w:hAnsi="仿宋" w:eastAsia="仿宋" w:cs="仿宋"/>
                <w:color w:val="000000"/>
                <w:szCs w:val="21"/>
              </w:rPr>
              <w:t>巩固拓展脱贫攻坚成果</w:t>
            </w:r>
            <w:r>
              <w:rPr>
                <w:rFonts w:hint="eastAsia" w:ascii="仿宋" w:hAnsi="仿宋" w:eastAsia="仿宋" w:cs="仿宋"/>
                <w:color w:val="000000"/>
                <w:szCs w:val="21"/>
                <w:lang w:eastAsia="zh-CN"/>
              </w:rPr>
              <w:t>同</w:t>
            </w:r>
            <w:r>
              <w:rPr>
                <w:rFonts w:hint="eastAsia" w:ascii="仿宋" w:hAnsi="仿宋" w:eastAsia="仿宋" w:cs="仿宋"/>
                <w:color w:val="000000"/>
                <w:szCs w:val="21"/>
              </w:rPr>
              <w:t>乡村振兴</w:t>
            </w:r>
            <w:r>
              <w:rPr>
                <w:rFonts w:hint="eastAsia" w:ascii="仿宋" w:hAnsi="仿宋" w:eastAsia="仿宋" w:cs="仿宋"/>
                <w:color w:val="000000"/>
                <w:szCs w:val="21"/>
                <w:lang w:eastAsia="zh-CN"/>
              </w:rPr>
              <w:t>有效衔接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Cs w:val="21"/>
                <w:lang w:eastAsia="zh-CN"/>
              </w:rPr>
              <w:t>二、防返贫监测工作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80" w:type="dxa"/>
            <w:gridSpan w:val="16"/>
            <w:vAlign w:val="center"/>
          </w:tcPr>
          <w:p>
            <w:pPr>
              <w:autoSpaceDN w:val="0"/>
              <w:spacing w:line="320" w:lineRule="exact"/>
              <w:jc w:val="left"/>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1.始终将巩固拓展脱贫攻坚成果作为乡村振兴的底线工作，强化各项举措，筑牢防止返贫、致贫风险防线。全年未发生一例返贫致贫现象。</w:t>
            </w:r>
          </w:p>
          <w:p>
            <w:pPr>
              <w:autoSpaceDN w:val="0"/>
              <w:spacing w:line="320" w:lineRule="exact"/>
              <w:jc w:val="left"/>
              <w:textAlignment w:val="center"/>
              <w:rPr>
                <w:rFonts w:hint="eastAsia" w:ascii="仿宋" w:hAnsi="仿宋" w:eastAsia="仿宋" w:cs="仿宋"/>
                <w:color w:val="000000"/>
                <w:szCs w:val="21"/>
                <w:lang w:eastAsia="zh-CN"/>
              </w:rPr>
            </w:pPr>
            <w:r>
              <w:rPr>
                <w:rFonts w:hint="eastAsia" w:ascii="仿宋" w:hAnsi="仿宋" w:eastAsia="仿宋" w:cs="仿宋"/>
                <w:color w:val="000000"/>
                <w:szCs w:val="21"/>
              </w:rPr>
              <w:t>2</w:t>
            </w:r>
            <w:r>
              <w:rPr>
                <w:rFonts w:hint="eastAsia" w:ascii="仿宋" w:hAnsi="仿宋" w:eastAsia="仿宋" w:cs="仿宋"/>
                <w:color w:val="000000"/>
                <w:szCs w:val="21"/>
                <w:lang w:val="en-US" w:eastAsia="zh-CN"/>
              </w:rPr>
              <w:t>.</w:t>
            </w:r>
            <w:r>
              <w:rPr>
                <w:rFonts w:hint="eastAsia" w:ascii="仿宋" w:hAnsi="仿宋" w:eastAsia="仿宋" w:cs="仿宋"/>
                <w:color w:val="000000"/>
                <w:szCs w:val="21"/>
                <w:lang w:val="en" w:eastAsia="zh-CN"/>
              </w:rPr>
              <w:t>围绕乡村振兴“二十字方针”，全面抓好各项重点工作。</w:t>
            </w:r>
          </w:p>
          <w:p>
            <w:pPr>
              <w:autoSpaceDN w:val="0"/>
              <w:spacing w:line="320" w:lineRule="exact"/>
              <w:jc w:val="left"/>
              <w:textAlignment w:val="center"/>
              <w:rPr>
                <w:rFonts w:hint="eastAsia"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lang w:val="en-US" w:eastAsia="zh-CN"/>
              </w:rPr>
              <w:t>.</w:t>
            </w:r>
            <w:r>
              <w:rPr>
                <w:rFonts w:hint="eastAsia" w:ascii="仿宋" w:hAnsi="仿宋" w:eastAsia="仿宋" w:cs="仿宋"/>
                <w:color w:val="000000"/>
                <w:szCs w:val="21"/>
              </w:rPr>
              <w:t>工作成效获得认可，</w:t>
            </w:r>
            <w:r>
              <w:rPr>
                <w:rFonts w:hint="eastAsia" w:ascii="仿宋" w:hAnsi="仿宋" w:eastAsia="仿宋" w:cs="仿宋"/>
                <w:color w:val="000000"/>
                <w:szCs w:val="21"/>
                <w:lang w:eastAsia="zh-CN"/>
              </w:rPr>
              <w:t>省年终考评获</w:t>
            </w:r>
            <w:r>
              <w:rPr>
                <w:rFonts w:hint="eastAsia" w:ascii="仿宋" w:hAnsi="仿宋" w:eastAsia="仿宋" w:cs="仿宋"/>
                <w:color w:val="000000"/>
                <w:szCs w:val="21"/>
              </w:rPr>
              <w:t>一类单位。</w:t>
            </w:r>
          </w:p>
          <w:p>
            <w:pPr>
              <w:autoSpaceDN w:val="0"/>
              <w:spacing w:line="320" w:lineRule="exact"/>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507.9</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507.9</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507.9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362.2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整体支出绩效定性目标及实施计划完成情况</w:t>
            </w:r>
          </w:p>
        </w:tc>
        <w:tc>
          <w:tcPr>
            <w:tcW w:w="3774" w:type="dxa"/>
            <w:gridSpan w:val="6"/>
            <w:vAlign w:val="center"/>
          </w:tcPr>
          <w:p>
            <w:pPr>
              <w:numPr>
                <w:ilvl w:val="0"/>
                <w:numId w:val="0"/>
              </w:numPr>
              <w:autoSpaceDN w:val="0"/>
              <w:spacing w:line="320" w:lineRule="exact"/>
              <w:ind w:leftChars="0"/>
              <w:jc w:val="center"/>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gridSpan w:val="2"/>
            <w:vMerge w:val="continue"/>
            <w:vAlign w:val="center"/>
          </w:tcPr>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p>
        </w:tc>
        <w:tc>
          <w:tcPr>
            <w:tcW w:w="3774" w:type="dxa"/>
            <w:gridSpan w:val="6"/>
            <w:vAlign w:val="center"/>
          </w:tcPr>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加大财政专项投入目标；</w:t>
            </w:r>
          </w:p>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加大行业资金整合力度目标；</w:t>
            </w:r>
          </w:p>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调动和发挥社会力量；</w:t>
            </w:r>
          </w:p>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保证单位经费正常运转；</w:t>
            </w:r>
          </w:p>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保证人员经费正常发放。</w:t>
            </w:r>
          </w:p>
        </w:tc>
        <w:tc>
          <w:tcPr>
            <w:tcW w:w="4585" w:type="dxa"/>
            <w:gridSpan w:val="9"/>
            <w:vAlign w:val="center"/>
          </w:tcPr>
          <w:p>
            <w:pPr>
              <w:numPr>
                <w:ilvl w:val="0"/>
                <w:numId w:val="0"/>
              </w:numPr>
              <w:autoSpaceDN w:val="0"/>
              <w:spacing w:line="320" w:lineRule="exact"/>
              <w:ind w:leftChars="0"/>
              <w:jc w:val="left"/>
              <w:textAlignment w:val="center"/>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巩固拓展脱贫攻坚成果</w:t>
            </w:r>
            <w:r>
              <w:rPr>
                <w:rFonts w:hint="eastAsia" w:ascii="仿宋" w:hAnsi="仿宋" w:eastAsia="仿宋" w:cs="仿宋"/>
                <w:b w:val="0"/>
                <w:bCs w:val="0"/>
                <w:color w:val="000000" w:themeColor="text1"/>
                <w:sz w:val="21"/>
                <w:szCs w:val="21"/>
                <w:lang w:eastAsia="zh-CN"/>
                <w14:textFill>
                  <w14:solidFill>
                    <w14:schemeClr w14:val="tx1"/>
                  </w14:solidFill>
                </w14:textFill>
              </w:rPr>
              <w:t>同</w:t>
            </w:r>
            <w:r>
              <w:rPr>
                <w:rFonts w:hint="eastAsia" w:ascii="仿宋" w:hAnsi="仿宋" w:eastAsia="仿宋" w:cs="仿宋"/>
                <w:b w:val="0"/>
                <w:bCs w:val="0"/>
                <w:color w:val="000000" w:themeColor="text1"/>
                <w:sz w:val="21"/>
                <w:szCs w:val="21"/>
                <w14:textFill>
                  <w14:solidFill>
                    <w14:schemeClr w14:val="tx1"/>
                  </w14:solidFill>
                </w14:textFill>
              </w:rPr>
              <w:t>乡村振兴</w:t>
            </w:r>
            <w:r>
              <w:rPr>
                <w:rFonts w:hint="eastAsia" w:ascii="仿宋" w:hAnsi="仿宋" w:eastAsia="仿宋" w:cs="仿宋"/>
                <w:b w:val="0"/>
                <w:bCs w:val="0"/>
                <w:color w:val="000000" w:themeColor="text1"/>
                <w:sz w:val="21"/>
                <w:szCs w:val="21"/>
                <w:lang w:eastAsia="zh-CN"/>
                <w14:textFill>
                  <w14:solidFill>
                    <w14:schemeClr w14:val="tx1"/>
                  </w14:solidFill>
                </w14:textFill>
              </w:rPr>
              <w:t>有效衔接。</w:t>
            </w:r>
            <w:r>
              <w:rPr>
                <w:rFonts w:hint="eastAsia" w:ascii="仿宋" w:hAnsi="仿宋" w:eastAsia="仿宋" w:cs="仿宋"/>
                <w:b w:val="0"/>
                <w:bCs w:val="0"/>
                <w:color w:val="000000" w:themeColor="text1"/>
                <w:sz w:val="21"/>
                <w:szCs w:val="21"/>
                <w14:textFill>
                  <w14:solidFill>
                    <w14:schemeClr w14:val="tx1"/>
                  </w14:solidFill>
                </w14:textFill>
              </w:rPr>
              <w:t>强化各</w:t>
            </w:r>
            <w:r>
              <w:rPr>
                <w:rFonts w:hint="eastAsia" w:ascii="仿宋" w:hAnsi="仿宋" w:eastAsia="仿宋" w:cs="仿宋"/>
                <w:b w:val="0"/>
                <w:bCs w:val="0"/>
                <w:color w:val="000000" w:themeColor="text1"/>
                <w:sz w:val="21"/>
                <w:szCs w:val="21"/>
                <w:lang w:eastAsia="zh-CN"/>
                <w14:textFill>
                  <w14:solidFill>
                    <w14:schemeClr w14:val="tx1"/>
                  </w14:solidFill>
                </w14:textFill>
              </w:rPr>
              <w:t>项</w:t>
            </w:r>
            <w:r>
              <w:rPr>
                <w:rFonts w:hint="eastAsia" w:ascii="仿宋" w:hAnsi="仿宋" w:eastAsia="仿宋" w:cs="仿宋"/>
                <w:b w:val="0"/>
                <w:bCs w:val="0"/>
                <w:color w:val="000000" w:themeColor="text1"/>
                <w:sz w:val="21"/>
                <w:szCs w:val="21"/>
                <w14:textFill>
                  <w14:solidFill>
                    <w14:schemeClr w14:val="tx1"/>
                  </w14:solidFill>
                </w14:textFill>
              </w:rPr>
              <w:t>举措，筑牢防止返贫、致贫风险防线。</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质量指标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指标1：</w:t>
            </w:r>
            <w:r>
              <w:rPr>
                <w:rFonts w:hint="eastAsia" w:ascii="仿宋" w:hAnsi="仿宋" w:eastAsia="仿宋" w:cs="仿宋"/>
                <w:color w:val="000000" w:themeColor="text1"/>
                <w:szCs w:val="21"/>
                <w14:textFill>
                  <w14:solidFill>
                    <w14:schemeClr w14:val="tx1"/>
                  </w14:solidFill>
                </w14:textFill>
              </w:rPr>
              <w:t>巩固拓展脱贫攻坚成果</w:t>
            </w:r>
            <w:r>
              <w:rPr>
                <w:rFonts w:hint="eastAsia" w:ascii="仿宋" w:hAnsi="仿宋" w:eastAsia="仿宋" w:cs="仿宋"/>
                <w:b w:val="0"/>
                <w:bCs w:val="0"/>
                <w:color w:val="000000" w:themeColor="text1"/>
                <w:sz w:val="21"/>
                <w:szCs w:val="21"/>
                <w:lang w:eastAsia="zh-CN"/>
                <w14:textFill>
                  <w14:solidFill>
                    <w14:schemeClr w14:val="tx1"/>
                  </w14:solidFill>
                </w14:textFill>
              </w:rPr>
              <w:t>同</w:t>
            </w:r>
            <w:r>
              <w:rPr>
                <w:rFonts w:hint="eastAsia" w:ascii="仿宋" w:hAnsi="仿宋" w:eastAsia="仿宋" w:cs="仿宋"/>
                <w:b w:val="0"/>
                <w:bCs w:val="0"/>
                <w:color w:val="000000" w:themeColor="text1"/>
                <w:sz w:val="21"/>
                <w:szCs w:val="21"/>
                <w14:textFill>
                  <w14:solidFill>
                    <w14:schemeClr w14:val="tx1"/>
                  </w14:solidFill>
                </w14:textFill>
              </w:rPr>
              <w:t>乡村振兴</w:t>
            </w:r>
            <w:r>
              <w:rPr>
                <w:rFonts w:hint="eastAsia" w:ascii="仿宋" w:hAnsi="仿宋" w:eastAsia="仿宋" w:cs="仿宋"/>
                <w:b w:val="0"/>
                <w:bCs w:val="0"/>
                <w:color w:val="000000" w:themeColor="text1"/>
                <w:sz w:val="21"/>
                <w:szCs w:val="21"/>
                <w:lang w:eastAsia="zh-CN"/>
                <w14:textFill>
                  <w14:solidFill>
                    <w14:schemeClr w14:val="tx1"/>
                  </w14:solidFill>
                </w14:textFill>
              </w:rPr>
              <w:t>有效衔接</w:t>
            </w:r>
          </w:p>
          <w:p>
            <w:pPr>
              <w:autoSpaceDN w:val="0"/>
              <w:spacing w:line="320" w:lineRule="exact"/>
              <w:jc w:val="left"/>
              <w:textAlignment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指标2：</w:t>
            </w:r>
            <w:r>
              <w:rPr>
                <w:rFonts w:hint="eastAsia" w:ascii="仿宋" w:hAnsi="仿宋" w:eastAsia="仿宋" w:cs="仿宋"/>
                <w:color w:val="000000" w:themeColor="text1"/>
                <w:szCs w:val="21"/>
                <w:lang w:eastAsia="zh-CN"/>
                <w14:textFill>
                  <w14:solidFill>
                    <w14:schemeClr w14:val="tx1"/>
                  </w14:solidFill>
                </w14:textFill>
              </w:rPr>
              <w:t>防返贫监测</w:t>
            </w:r>
          </w:p>
        </w:tc>
        <w:tc>
          <w:tcPr>
            <w:tcW w:w="2684" w:type="dxa"/>
            <w:gridSpan w:val="6"/>
            <w:vAlign w:val="center"/>
          </w:tcPr>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巩固产业发展成果；</w:t>
            </w:r>
          </w:p>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巩固义务教育保障成果；</w:t>
            </w:r>
          </w:p>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巩固基本医疗保障成果；</w:t>
            </w:r>
          </w:p>
          <w:p>
            <w:pPr>
              <w:autoSpaceDN w:val="0"/>
              <w:spacing w:line="320" w:lineRule="exact"/>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巩固住房安全保障成果；</w:t>
            </w:r>
          </w:p>
          <w:p>
            <w:pPr>
              <w:autoSpaceDN w:val="0"/>
              <w:spacing w:line="320" w:lineRule="exact"/>
              <w:jc w:val="left"/>
              <w:textAlignment w:val="center"/>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r>
              <w:rPr>
                <w:rFonts w:hint="eastAsia" w:ascii="仿宋" w:hAnsi="仿宋" w:eastAsia="仿宋" w:cs="仿宋"/>
                <w:color w:val="000000" w:themeColor="text1"/>
                <w:szCs w:val="21"/>
                <w:lang w:val="en-US" w:eastAsia="zh-CN"/>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巩固饮水安全保障成果；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00"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指标1：受益户数，受益人数</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指标2：接受培训人次</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指标3：工作队数量</w:t>
            </w: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w:t>
            </w:r>
            <w:r>
              <w:rPr>
                <w:rFonts w:hint="eastAsia" w:ascii="仿宋" w:hAnsi="仿宋" w:eastAsia="仿宋" w:cs="仿宋"/>
                <w:b w:val="0"/>
                <w:bCs w:val="0"/>
                <w:color w:val="000000" w:themeColor="text1"/>
                <w:sz w:val="21"/>
                <w:szCs w:val="21"/>
                <w:lang w:val="en-US"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重点村14个，示范创建村17个，脱贫巩固村</w:t>
            </w:r>
            <w:r>
              <w:rPr>
                <w:rFonts w:hint="eastAsia" w:ascii="仿宋" w:hAnsi="仿宋" w:eastAsia="仿宋" w:cs="仿宋"/>
                <w:b w:val="0"/>
                <w:bCs w:val="0"/>
                <w:color w:val="000000" w:themeColor="text1"/>
                <w:sz w:val="21"/>
                <w:szCs w:val="21"/>
                <w:lang w:val="en-US" w:eastAsia="zh-CN"/>
                <w14:textFill>
                  <w14:solidFill>
                    <w14:schemeClr w14:val="tx1"/>
                  </w14:solidFill>
                </w14:textFill>
              </w:rPr>
              <w:t>16</w:t>
            </w:r>
            <w:r>
              <w:rPr>
                <w:rFonts w:hint="eastAsia" w:ascii="仿宋" w:hAnsi="仿宋" w:eastAsia="仿宋" w:cs="仿宋"/>
                <w:b w:val="0"/>
                <w:bCs w:val="0"/>
                <w:color w:val="000000" w:themeColor="text1"/>
                <w:sz w:val="21"/>
                <w:szCs w:val="21"/>
                <w14:textFill>
                  <w14:solidFill>
                    <w14:schemeClr w14:val="tx1"/>
                  </w14:solidFill>
                </w14:textFill>
              </w:rPr>
              <w:t>个，建档立卡脱贫人口</w:t>
            </w:r>
            <w:r>
              <w:rPr>
                <w:rFonts w:hint="eastAsia" w:ascii="仿宋" w:hAnsi="仿宋" w:eastAsia="仿宋" w:cs="仿宋"/>
                <w:b w:val="0"/>
                <w:bCs w:val="0"/>
                <w:color w:val="000000" w:themeColor="text1"/>
                <w:sz w:val="21"/>
                <w:szCs w:val="21"/>
                <w:lang w:val="en-US" w:eastAsia="zh-CN"/>
                <w14:textFill>
                  <w14:solidFill>
                    <w14:schemeClr w14:val="tx1"/>
                  </w14:solidFill>
                </w14:textFill>
              </w:rPr>
              <w:t>9373</w:t>
            </w:r>
            <w:r>
              <w:rPr>
                <w:rFonts w:hint="eastAsia" w:ascii="仿宋" w:hAnsi="仿宋" w:eastAsia="仿宋" w:cs="仿宋"/>
                <w:b w:val="0"/>
                <w:bCs w:val="0"/>
                <w:color w:val="000000" w:themeColor="text1"/>
                <w:sz w:val="21"/>
                <w:szCs w:val="21"/>
                <w14:textFill>
                  <w14:solidFill>
                    <w14:schemeClr w14:val="tx1"/>
                  </w14:solidFill>
                </w14:textFill>
              </w:rPr>
              <w:t>户</w:t>
            </w:r>
            <w:r>
              <w:rPr>
                <w:rFonts w:hint="eastAsia" w:ascii="仿宋" w:hAnsi="仿宋" w:eastAsia="仿宋" w:cs="仿宋"/>
                <w:b w:val="0"/>
                <w:bCs w:val="0"/>
                <w:color w:val="000000" w:themeColor="text1"/>
                <w:sz w:val="21"/>
                <w:szCs w:val="21"/>
                <w:lang w:val="en-US" w:eastAsia="zh-CN"/>
                <w14:textFill>
                  <w14:solidFill>
                    <w14:schemeClr w14:val="tx1"/>
                  </w14:solidFill>
                </w14:textFill>
              </w:rPr>
              <w:t>23894</w:t>
            </w:r>
            <w:r>
              <w:rPr>
                <w:rFonts w:hint="eastAsia" w:ascii="仿宋" w:hAnsi="仿宋" w:eastAsia="仿宋" w:cs="仿宋"/>
                <w:b w:val="0"/>
                <w:bCs w:val="0"/>
                <w:color w:val="000000" w:themeColor="text1"/>
                <w:sz w:val="21"/>
                <w:szCs w:val="21"/>
                <w14:textFill>
                  <w14:solidFill>
                    <w14:schemeClr w14:val="tx1"/>
                  </w14:solidFill>
                </w14:textFill>
              </w:rPr>
              <w:t>人。</w:t>
            </w:r>
          </w:p>
          <w:p>
            <w:pPr>
              <w:autoSpaceDN w:val="0"/>
              <w:spacing w:line="320" w:lineRule="exact"/>
              <w:jc w:val="left"/>
              <w:textAlignment w:val="center"/>
              <w:rPr>
                <w:rFonts w:hint="default" w:ascii="仿宋" w:hAnsi="仿宋" w:eastAsia="仿宋" w:cs="仿宋"/>
                <w:b w:val="0"/>
                <w:bCs w:val="0"/>
                <w:color w:val="000000" w:themeColor="text1"/>
                <w:sz w:val="21"/>
                <w:szCs w:val="21"/>
                <w:lang w:val="en-US"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w:t>
            </w:r>
            <w:r>
              <w:rPr>
                <w:rFonts w:hint="eastAsia" w:ascii="仿宋" w:hAnsi="仿宋" w:eastAsia="仿宋" w:cs="仿宋"/>
                <w:b w:val="0"/>
                <w:bCs w:val="0"/>
                <w:color w:val="000000" w:themeColor="text1"/>
                <w:sz w:val="21"/>
                <w:szCs w:val="21"/>
                <w:lang w:val="en-US" w:eastAsia="zh-CN"/>
                <w14:textFill>
                  <w14:solidFill>
                    <w14:schemeClr w14:val="tx1"/>
                  </w14:solidFill>
                </w14:textFill>
              </w:rPr>
              <w:t>.受训人次484人次。</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3.</w:t>
            </w:r>
            <w:r>
              <w:rPr>
                <w:rFonts w:hint="eastAsia" w:ascii="仿宋" w:hAnsi="仿宋" w:eastAsia="仿宋" w:cs="仿宋"/>
                <w:b w:val="0"/>
                <w:bCs w:val="0"/>
                <w:color w:val="000000" w:themeColor="text1"/>
                <w:sz w:val="21"/>
                <w:szCs w:val="21"/>
                <w14:textFill>
                  <w14:solidFill>
                    <w14:schemeClr w14:val="tx1"/>
                  </w14:solidFill>
                </w14:textFill>
              </w:rPr>
              <w:t>组建4</w:t>
            </w: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r>
              <w:rPr>
                <w:rFonts w:hint="eastAsia" w:ascii="仿宋" w:hAnsi="仿宋" w:eastAsia="仿宋" w:cs="仿宋"/>
                <w:b w:val="0"/>
                <w:bCs w:val="0"/>
                <w:color w:val="000000" w:themeColor="text1"/>
                <w:sz w:val="21"/>
                <w:szCs w:val="21"/>
                <w14:textFill>
                  <w14:solidFill>
                    <w14:schemeClr w14:val="tx1"/>
                  </w14:solidFill>
                </w14:textFill>
              </w:rPr>
              <w:t>支工作队，派驻第一书记4</w:t>
            </w:r>
            <w:r>
              <w:rPr>
                <w:rFonts w:hint="eastAsia" w:ascii="仿宋" w:hAnsi="仿宋" w:eastAsia="仿宋" w:cs="仿宋"/>
                <w:b w:val="0"/>
                <w:bCs w:val="0"/>
                <w:color w:val="000000" w:themeColor="text1"/>
                <w:sz w:val="21"/>
                <w:szCs w:val="21"/>
                <w:lang w:val="en-US" w:eastAsia="zh-CN"/>
                <w14:textFill>
                  <w14:solidFill>
                    <w14:schemeClr w14:val="tx1"/>
                  </w14:solidFill>
                </w14:textFill>
              </w:rPr>
              <w:t>7</w:t>
            </w:r>
            <w:r>
              <w:rPr>
                <w:rFonts w:hint="eastAsia" w:ascii="仿宋" w:hAnsi="仿宋" w:eastAsia="仿宋" w:cs="仿宋"/>
                <w:b w:val="0"/>
                <w:bCs w:val="0"/>
                <w:color w:val="000000" w:themeColor="text1"/>
                <w:sz w:val="21"/>
                <w:szCs w:val="21"/>
                <w14:textFill>
                  <w14:solidFill>
                    <w14:schemeClr w14:val="tx1"/>
                  </w14:solidFill>
                </w14:textFill>
              </w:rPr>
              <w:t>名，抽调</w:t>
            </w:r>
            <w:r>
              <w:rPr>
                <w:rFonts w:hint="eastAsia" w:ascii="仿宋" w:hAnsi="仿宋" w:eastAsia="仿宋" w:cs="仿宋"/>
                <w:b w:val="0"/>
                <w:bCs w:val="0"/>
                <w:color w:val="000000" w:themeColor="text1"/>
                <w:sz w:val="21"/>
                <w:szCs w:val="21"/>
                <w:lang w:val="en-US" w:eastAsia="zh-CN"/>
                <w14:textFill>
                  <w14:solidFill>
                    <w14:schemeClr w14:val="tx1"/>
                  </w14:solidFill>
                </w14:textFill>
              </w:rPr>
              <w:t>145</w:t>
            </w:r>
            <w:r>
              <w:rPr>
                <w:rFonts w:hint="eastAsia" w:ascii="仿宋" w:hAnsi="仿宋" w:eastAsia="仿宋" w:cs="仿宋"/>
                <w:b w:val="0"/>
                <w:bCs w:val="0"/>
                <w:color w:val="000000" w:themeColor="text1"/>
                <w:sz w:val="21"/>
                <w:szCs w:val="21"/>
                <w14:textFill>
                  <w14:solidFill>
                    <w14:schemeClr w14:val="tx1"/>
                  </w14:solidFill>
                </w14:textFill>
              </w:rPr>
              <w:t>名干部到村履职。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指标1：乡村产业发展</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指标2：促进就业</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指标3：乡风文明和农村精神文明建设</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1、稳定粮食生产；</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2、优质湘猪工程；</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3、千亿产业；</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4、六大强农行动；</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5、重点水域禁捕；</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6、受污染耕地安全利用；</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7、农村转移就业劳动力</w:t>
            </w:r>
            <w:r>
              <w:rPr>
                <w:rFonts w:hint="eastAsia" w:ascii="仿宋" w:hAnsi="仿宋" w:eastAsia="仿宋" w:cs="仿宋"/>
                <w:b w:val="0"/>
                <w:bCs w:val="0"/>
                <w:color w:val="000000" w:themeColor="text1"/>
                <w:sz w:val="21"/>
                <w:szCs w:val="21"/>
                <w:lang w:val="en-US" w:eastAsia="zh-CN"/>
                <w14:textFill>
                  <w14:solidFill>
                    <w14:schemeClr w14:val="tx1"/>
                  </w14:solidFill>
                </w14:textFill>
              </w:rPr>
              <w:t>7913</w:t>
            </w:r>
            <w:r>
              <w:rPr>
                <w:rFonts w:hint="eastAsia" w:ascii="仿宋" w:hAnsi="仿宋" w:eastAsia="仿宋" w:cs="仿宋"/>
                <w:b w:val="0"/>
                <w:bCs w:val="0"/>
                <w:color w:val="000000" w:themeColor="text1"/>
                <w:sz w:val="21"/>
                <w:szCs w:val="21"/>
                <w14:textFill>
                  <w14:solidFill>
                    <w14:schemeClr w14:val="tx1"/>
                  </w14:solidFill>
                </w14:textFill>
              </w:rPr>
              <w:t>人，完成率</w:t>
            </w:r>
            <w:r>
              <w:rPr>
                <w:rFonts w:hint="eastAsia" w:ascii="仿宋" w:hAnsi="仿宋" w:eastAsia="仿宋" w:cs="仿宋"/>
                <w:b w:val="0"/>
                <w:bCs w:val="0"/>
                <w:color w:val="000000" w:themeColor="text1"/>
                <w:sz w:val="21"/>
                <w:szCs w:val="21"/>
                <w:lang w:val="en-US" w:eastAsia="zh-CN"/>
                <w14:textFill>
                  <w14:solidFill>
                    <w14:schemeClr w14:val="tx1"/>
                  </w14:solidFill>
                </w14:textFill>
              </w:rPr>
              <w:t>102</w:t>
            </w:r>
            <w:r>
              <w:rPr>
                <w:rFonts w:hint="eastAsia" w:ascii="仿宋" w:hAnsi="仿宋" w:eastAsia="仿宋" w:cs="仿宋"/>
                <w:b w:val="0"/>
                <w:bCs w:val="0"/>
                <w:color w:val="000000" w:themeColor="text1"/>
                <w:sz w:val="21"/>
                <w:szCs w:val="21"/>
                <w14:textFill>
                  <w14:solidFill>
                    <w14:schemeClr w14:val="tx1"/>
                  </w14:solidFill>
                </w14:textFill>
              </w:rPr>
              <w:t>%；</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8、精神文明创建工作居全市前列。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指标1：农村居民人均可支配收入增长</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指标2：最低生活保障标准和救助水平</w:t>
            </w: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1、农村居民人均可支配收入取得可持续性增长；</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2、农村低保标准达到385元/月；救助水平达到242元/月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指标1：村容村貌和生态环境美化优化</w:t>
            </w:r>
          </w:p>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结合美丽乡村建设、村级服务平台建设、乡村旅游项目建设等工作，构建人居环境长效机制，实现村容村貌和生态环境美化优化的目的，提高人民群众的幸福指数和满意度。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gridSpan w:val="2"/>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指标1：社会公众或服务对象满意度大于95%。</w:t>
            </w:r>
          </w:p>
        </w:tc>
        <w:tc>
          <w:tcPr>
            <w:tcW w:w="2684" w:type="dxa"/>
            <w:gridSpan w:val="6"/>
            <w:vAlign w:val="center"/>
          </w:tcPr>
          <w:p>
            <w:pPr>
              <w:autoSpaceDN w:val="0"/>
              <w:spacing w:line="320" w:lineRule="exact"/>
              <w:jc w:val="left"/>
              <w:textAlignment w:val="center"/>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2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9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单位为财政全额预算拨款单位，人员编制1</w:t>
            </w:r>
            <w:r>
              <w:rPr>
                <w:rFonts w:hint="eastAsia" w:ascii="仿宋_GB2312" w:hAnsi="宋体" w:eastAsia="仿宋_GB2312" w:cs="宋体"/>
                <w:sz w:val="28"/>
                <w:szCs w:val="28"/>
                <w:shd w:val="clear" w:color="auto" w:fill="FFFFFF"/>
                <w:lang w:val="en-US" w:eastAsia="zh-CN"/>
              </w:rPr>
              <w:t>3</w:t>
            </w:r>
            <w:r>
              <w:rPr>
                <w:rFonts w:hint="eastAsia" w:ascii="仿宋_GB2312" w:hAnsi="宋体" w:eastAsia="仿宋_GB2312" w:cs="宋体"/>
                <w:sz w:val="28"/>
                <w:szCs w:val="28"/>
                <w:shd w:val="clear" w:color="auto" w:fill="FFFFFF"/>
              </w:rPr>
              <w:t>人，实有人数为1</w:t>
            </w:r>
            <w:r>
              <w:rPr>
                <w:rFonts w:hint="eastAsia" w:ascii="仿宋_GB2312" w:hAnsi="宋体" w:eastAsia="仿宋_GB2312" w:cs="宋体"/>
                <w:sz w:val="28"/>
                <w:szCs w:val="28"/>
                <w:shd w:val="clear" w:color="auto" w:fill="FFFFFF"/>
                <w:lang w:val="en-US" w:eastAsia="zh-CN"/>
              </w:rPr>
              <w:t>3</w:t>
            </w:r>
            <w:r>
              <w:rPr>
                <w:rFonts w:hint="eastAsia" w:ascii="仿宋_GB2312" w:hAnsi="宋体" w:eastAsia="仿宋_GB2312" w:cs="宋体"/>
                <w:sz w:val="28"/>
                <w:szCs w:val="28"/>
                <w:shd w:val="clear" w:color="auto" w:fill="FFFFFF"/>
              </w:rPr>
              <w:t>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1、职责职能：</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（1）负责统筹、协调、指导考核全县乡村振兴工作。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（2）健全防止返贫动态监测和帮扶机制，巩固拓展脱贫攻坚成果，确保不发生规模性返贫现象。</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（3）协调督导有关部门做好巩固拓展脱贫攻坚成果同乡村振兴有效衔接重点工作，并开展乡村振兴实绩考核工作。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（4）负责全县扶贫项目资产管理、光伏扶贫电站运营、雨露计划、小额信贷等重点工作。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（5）负责本单位安全生产和应急工作。</w:t>
            </w:r>
          </w:p>
          <w:p>
            <w:pPr>
              <w:spacing w:line="560" w:lineRule="exact"/>
              <w:ind w:firstLine="560" w:firstLineChars="200"/>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（6）完成县委</w:t>
            </w:r>
            <w:r>
              <w:rPr>
                <w:rFonts w:hint="eastAsia" w:ascii="仿宋_GB2312" w:hAnsi="宋体" w:eastAsia="仿宋_GB2312" w:cs="宋体"/>
                <w:sz w:val="28"/>
                <w:szCs w:val="28"/>
                <w:shd w:val="clear" w:color="auto" w:fill="FFFFFF"/>
                <w:lang w:eastAsia="zh-CN"/>
              </w:rPr>
              <w:t>、</w:t>
            </w:r>
            <w:r>
              <w:rPr>
                <w:rFonts w:hint="eastAsia" w:ascii="仿宋_GB2312" w:hAnsi="宋体" w:eastAsia="仿宋_GB2312" w:cs="宋体"/>
                <w:sz w:val="28"/>
                <w:szCs w:val="28"/>
                <w:shd w:val="clear" w:color="auto" w:fill="FFFFFF"/>
              </w:rPr>
              <w:t>县政府交办的其他任务。</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、收入情况：全年收入507.9万元，其中：财政拨款收入507.9万元。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全年支出507.9万元，其中：基本支出145.7万元（人员支出125.5万元，公用支出20.2万元）；项目支出362.2万元。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2021年整体支出507.9万元，其中基本支出145.7万元，人员支出125.5万元，占基本支出86</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，公用支出20.2万元，占基本支出14</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，项目支出362.2万元。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2021年“三公经费”预算2万元，实际开支</w:t>
            </w:r>
            <w:r>
              <w:rPr>
                <w:rFonts w:hint="eastAsia" w:ascii="仿宋_GB2312" w:hAnsi="宋体" w:eastAsia="仿宋_GB2312" w:cs="宋体"/>
                <w:sz w:val="28"/>
                <w:szCs w:val="28"/>
                <w:shd w:val="clear" w:color="auto" w:fill="FFFFFF"/>
                <w:lang w:val="en-US" w:eastAsia="zh-CN"/>
              </w:rPr>
              <w:t>0</w:t>
            </w:r>
            <w:r>
              <w:rPr>
                <w:rFonts w:hint="eastAsia" w:ascii="仿宋_GB2312" w:hAnsi="宋体" w:eastAsia="仿宋_GB2312" w:cs="宋体"/>
                <w:sz w:val="28"/>
                <w:szCs w:val="28"/>
                <w:shd w:val="clear" w:color="auto" w:fill="FFFFFF"/>
              </w:rPr>
              <w:t>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bookmarkStart w:id="0" w:name="_GoBack"/>
            <w:bookmarkEnd w:id="0"/>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月末固定资产38.7万元。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2</w:t>
    </w:r>
    <w:r>
      <w:rPr>
        <w:sz w:val="24"/>
        <w:szCs w:val="24"/>
      </w:rPr>
      <w:fldChar w:fldCharType="end"/>
    </w:r>
    <w:r>
      <w:rPr>
        <w:rStyle w:val="10"/>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0119E6"/>
    <w:rsid w:val="000130E4"/>
    <w:rsid w:val="000848A5"/>
    <w:rsid w:val="000C1D32"/>
    <w:rsid w:val="000C54E9"/>
    <w:rsid w:val="00184F0C"/>
    <w:rsid w:val="001D516B"/>
    <w:rsid w:val="001D6DB9"/>
    <w:rsid w:val="001E49B9"/>
    <w:rsid w:val="00236C25"/>
    <w:rsid w:val="00264D41"/>
    <w:rsid w:val="0028464B"/>
    <w:rsid w:val="00294C65"/>
    <w:rsid w:val="002C5263"/>
    <w:rsid w:val="002C6D03"/>
    <w:rsid w:val="002F5C62"/>
    <w:rsid w:val="00311646"/>
    <w:rsid w:val="00317153"/>
    <w:rsid w:val="00397D48"/>
    <w:rsid w:val="003F4085"/>
    <w:rsid w:val="00476BE8"/>
    <w:rsid w:val="004D14D1"/>
    <w:rsid w:val="00522446"/>
    <w:rsid w:val="00532CCB"/>
    <w:rsid w:val="00556181"/>
    <w:rsid w:val="0057666C"/>
    <w:rsid w:val="005C0337"/>
    <w:rsid w:val="005C74BE"/>
    <w:rsid w:val="005E5B2E"/>
    <w:rsid w:val="00664AF6"/>
    <w:rsid w:val="006A1432"/>
    <w:rsid w:val="0070251B"/>
    <w:rsid w:val="007373BF"/>
    <w:rsid w:val="00792218"/>
    <w:rsid w:val="007B2063"/>
    <w:rsid w:val="007C3874"/>
    <w:rsid w:val="007E20B0"/>
    <w:rsid w:val="007E6355"/>
    <w:rsid w:val="008E0D5D"/>
    <w:rsid w:val="00925404"/>
    <w:rsid w:val="0092551C"/>
    <w:rsid w:val="009B3D61"/>
    <w:rsid w:val="009B584E"/>
    <w:rsid w:val="009F1A6B"/>
    <w:rsid w:val="00A75543"/>
    <w:rsid w:val="00A77FC1"/>
    <w:rsid w:val="00AA2705"/>
    <w:rsid w:val="00AB7A12"/>
    <w:rsid w:val="00BB79B3"/>
    <w:rsid w:val="00BD5D1A"/>
    <w:rsid w:val="00BF74F8"/>
    <w:rsid w:val="00C04BC2"/>
    <w:rsid w:val="00C06EE5"/>
    <w:rsid w:val="00C72CC4"/>
    <w:rsid w:val="00C7661D"/>
    <w:rsid w:val="00CC2826"/>
    <w:rsid w:val="00D00D88"/>
    <w:rsid w:val="00D06579"/>
    <w:rsid w:val="00D240A2"/>
    <w:rsid w:val="00D36DD4"/>
    <w:rsid w:val="00D41914"/>
    <w:rsid w:val="00D47C31"/>
    <w:rsid w:val="00DC2B2C"/>
    <w:rsid w:val="00DC51DF"/>
    <w:rsid w:val="00DF1574"/>
    <w:rsid w:val="00E95E1E"/>
    <w:rsid w:val="00F06D6F"/>
    <w:rsid w:val="00F135D1"/>
    <w:rsid w:val="00F14E79"/>
    <w:rsid w:val="00F30542"/>
    <w:rsid w:val="00F37346"/>
    <w:rsid w:val="00F407E5"/>
    <w:rsid w:val="00F501C3"/>
    <w:rsid w:val="00F812B4"/>
    <w:rsid w:val="00F95DB5"/>
    <w:rsid w:val="046429CF"/>
    <w:rsid w:val="083749E7"/>
    <w:rsid w:val="0CB679B8"/>
    <w:rsid w:val="0DE528CD"/>
    <w:rsid w:val="1336279F"/>
    <w:rsid w:val="18725427"/>
    <w:rsid w:val="254E2FC7"/>
    <w:rsid w:val="25B607B7"/>
    <w:rsid w:val="263C173A"/>
    <w:rsid w:val="289D055E"/>
    <w:rsid w:val="2B2035C1"/>
    <w:rsid w:val="2C9F197B"/>
    <w:rsid w:val="2CA33441"/>
    <w:rsid w:val="2CE55C20"/>
    <w:rsid w:val="2F287302"/>
    <w:rsid w:val="30426D13"/>
    <w:rsid w:val="3A43255A"/>
    <w:rsid w:val="3D6201A1"/>
    <w:rsid w:val="3EC46785"/>
    <w:rsid w:val="3F8A6044"/>
    <w:rsid w:val="43A702D9"/>
    <w:rsid w:val="44592EA4"/>
    <w:rsid w:val="454D4212"/>
    <w:rsid w:val="477245B4"/>
    <w:rsid w:val="49617FA5"/>
    <w:rsid w:val="4B42675A"/>
    <w:rsid w:val="4D171D42"/>
    <w:rsid w:val="4E4F0BB0"/>
    <w:rsid w:val="5BE95901"/>
    <w:rsid w:val="6A0A15CD"/>
    <w:rsid w:val="6B20029F"/>
    <w:rsid w:val="6D452F22"/>
    <w:rsid w:val="6DF352BD"/>
    <w:rsid w:val="6E2D3BFA"/>
    <w:rsid w:val="705E3E6D"/>
    <w:rsid w:val="71C1048A"/>
    <w:rsid w:val="7396188C"/>
    <w:rsid w:val="73F35F5B"/>
    <w:rsid w:val="784F034B"/>
    <w:rsid w:val="79C04582"/>
    <w:rsid w:val="7D1F0DA2"/>
    <w:rsid w:val="7F1E716F"/>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Normal Indent"/>
    <w:basedOn w:val="1"/>
    <w:qFormat/>
    <w:uiPriority w:val="0"/>
    <w:pPr>
      <w:ind w:firstLine="420" w:firstLineChars="200"/>
    </w:p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4285</Words>
  <Characters>4580</Characters>
  <Lines>44</Lines>
  <Paragraphs>12</Paragraphs>
  <TotalTime>1</TotalTime>
  <ScaleCrop>false</ScaleCrop>
  <LinksUpToDate>false</LinksUpToDate>
  <CharactersWithSpaces>5093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2022-06-16T10:12:00Z</cp:lastPrinted>
  <dcterms:modified xsi:type="dcterms:W3CDTF">2022-11-04T09:05:33Z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E43BCC332615414089B11FFFBDF28C07</vt:lpwstr>
  </property>
</Properties>
</file>