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华容县机关事务管理中心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132001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w:t>
      </w:r>
      <w:r>
        <w:rPr>
          <w:rFonts w:hint="eastAsia" w:eastAsia="仿宋_GB2312"/>
          <w:sz w:val="32"/>
        </w:rPr>
        <w:t xml:space="preserve"> </w:t>
      </w:r>
      <w:r>
        <w:rPr>
          <w:rFonts w:hint="eastAsia" w:eastAsia="仿宋_GB2312"/>
          <w:sz w:val="32"/>
          <w:lang w:val="en-US" w:eastAsia="zh-CN"/>
        </w:rPr>
        <w:t>3</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11"/>
        <w:gridCol w:w="1015"/>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赵丽珍</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13874067028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主要负责全县接待工作以及四大家重要接待活动；负责全县公务用车的购置、更新、维修、调配、使用、处置等工作并协助做好公务用车监督检查工作；负责县四大家机关后勤和物业服务工作；负责全县公共机构节约能源资源管理工作；负责全县行政事业单位国有资产及其经营性资产管理及办公用房集中统一管理</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任务1：负责全县接待工作以及四大家重要接待活动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任务2：负责全县公务用车的购置、更新、维修、调配、使用、处置等工作并协助做好公务用车监督检查工作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任务3：负责县四大家机关后勤和物业服务工作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任务4：负责全县办公用房和公共机构节约能源资源管理工作</w:t>
            </w:r>
          </w:p>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接待工作充分发挥了招商引资等“窗口”“桥梁”作用，改善了县域经济；有效合理使用公务车辆，节约费用，消除安全隐患；机关后勤工作展示机关精神风貌、文明程度和管理水平的窗口；办公用房和国有资产降低办公用房维修、办公设备、公车配置支出等</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5"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1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65"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15"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1131.07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581.23</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549.84</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15"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1131.07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581.23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549.84</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15"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15"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1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1131.07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1131.07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580.23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550.84</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1131.07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1131.07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580.23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550.84</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1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1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3281.86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3281.86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3281.86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3281.86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bookmarkStart w:id="0" w:name="_GoBack"/>
            <w:bookmarkEnd w:id="0"/>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目标1：按质按量完成全县各项接待工作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目标2：加强公车管理，合理调派公车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目标3：搞好办公用房的管理和节能排工作，加强对机关后勤的基本建设、服务、安保等工作。：</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基本完成了各项工作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rPr>
              <w:t>指标1：全县机要通信、应急、调研接待、行政执法严格管理。</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指标2：</w:t>
            </w:r>
            <w:r>
              <w:rPr>
                <w:rFonts w:hint="eastAsia" w:ascii="仿宋" w:hAnsi="仿宋" w:eastAsia="仿宋" w:cs="仿宋"/>
                <w:sz w:val="24"/>
              </w:rPr>
              <w:t>简化礼仪的基础上，转变服务方式，重点突出“细节化、个性化、本土化”服务。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 xml:space="preserve">指标1：完成省、市接待任务情况。  </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指标2：</w:t>
            </w:r>
            <w:r>
              <w:rPr>
                <w:rFonts w:hint="eastAsia" w:ascii="仿宋" w:hAnsi="仿宋" w:eastAsia="仿宋" w:cs="仿宋"/>
                <w:color w:val="000000"/>
                <w:kern w:val="0"/>
                <w:sz w:val="24"/>
              </w:rPr>
              <w:t>全年完成出车情况</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指标3：四大家机关正常运转提供服务保障的基础性的工作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指标1：出车应急管理信息报送是否及时准确，突发事件处置是否到位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指标2：对上级的重要批示及时办结回复及妥善处理。</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指标2：降低办公用房维修支出和办公设备、公车配置支出。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 xml:space="preserve">指标1：承担中央、省市重大接待活动或中心工作， </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 xml:space="preserve"> </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指标2：办公用房维修支出降低百分比20-30%；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协助做好县委县政府外联协调工作，促进县域经济发展。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指标2：科学决策、执行有效的运行机制和节能减排长效机制强化管理体系</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指标1：指标：积极宣传了华容特色农产品的宣传。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指标2：节能工作格局节约用电、用水、降低油材料消耗等，逐步实行环保型社会，争取在在202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 xml:space="preserve">年基础上实现能耗 降低10%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ascii="仿宋" w:hAnsi="仿宋" w:eastAsia="仿宋" w:cs="仿宋"/>
                <w:color w:val="000000"/>
                <w:kern w:val="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kern w:val="0"/>
                <w:sz w:val="24"/>
              </w:rPr>
              <w:t>协助县委县政府做好培育生态文化、学习文化、法治文化和责任文化，为公众创造良好的生存环境。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指标2：争取在在202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 xml:space="preserve">年基础上实现能耗 降低10% </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widowControl/>
              <w:jc w:val="left"/>
              <w:textAlignment w:val="center"/>
              <w:rPr>
                <w:rFonts w:ascii="仿宋" w:hAnsi="仿宋" w:eastAsia="仿宋" w:cs="仿宋"/>
                <w:color w:val="000000"/>
                <w:kern w:val="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kern w:val="0"/>
                <w:sz w:val="24"/>
              </w:rPr>
              <w:t>协助做好县委县政府外联协调工作，速进了县域经济。</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kern w:val="0"/>
                <w:sz w:val="24"/>
              </w:rPr>
              <w:t>指标2</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加强能源管理，降低消耗、制止浪费，社会公众满意率达96%</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基本满意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陈兴</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机关事务</w:t>
            </w:r>
            <w:r>
              <w:rPr>
                <w:rFonts w:hint="eastAsia" w:ascii="仿宋_GB2312" w:hAnsi="仿宋_GB2312" w:eastAsia="仿宋_GB2312" w:cs="仿宋_GB2312"/>
                <w:color w:val="000000"/>
                <w:sz w:val="24"/>
                <w:lang w:eastAsia="zh-CN"/>
              </w:rPr>
              <w:t>管理</w:t>
            </w:r>
            <w:r>
              <w:rPr>
                <w:rFonts w:hint="eastAsia" w:ascii="仿宋_GB2312" w:hAnsi="仿宋_GB2312" w:eastAsia="仿宋_GB2312" w:cs="仿宋_GB2312"/>
                <w:color w:val="000000"/>
                <w:sz w:val="24"/>
              </w:rPr>
              <w:t>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朱本炎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机关事务</w:t>
            </w:r>
            <w:r>
              <w:rPr>
                <w:rFonts w:hint="eastAsia" w:ascii="仿宋_GB2312" w:hAnsi="仿宋_GB2312" w:eastAsia="仿宋_GB2312" w:cs="仿宋_GB2312"/>
                <w:color w:val="000000"/>
                <w:sz w:val="24"/>
                <w:lang w:eastAsia="zh-CN"/>
              </w:rPr>
              <w:t>管理</w:t>
            </w:r>
            <w:r>
              <w:rPr>
                <w:rFonts w:hint="eastAsia" w:ascii="仿宋_GB2312" w:hAnsi="仿宋_GB2312" w:eastAsia="仿宋_GB2312" w:cs="仿宋_GB2312"/>
                <w:color w:val="000000"/>
                <w:sz w:val="24"/>
              </w:rPr>
              <w:t>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朱本炎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何进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机关事务</w:t>
            </w:r>
            <w:r>
              <w:rPr>
                <w:rFonts w:hint="eastAsia" w:ascii="仿宋_GB2312" w:hAnsi="仿宋_GB2312" w:eastAsia="仿宋_GB2312" w:cs="仿宋_GB2312"/>
                <w:color w:val="000000"/>
                <w:sz w:val="24"/>
                <w:lang w:eastAsia="zh-CN"/>
              </w:rPr>
              <w:t>管理</w:t>
            </w:r>
            <w:r>
              <w:rPr>
                <w:rFonts w:hint="eastAsia" w:ascii="仿宋_GB2312" w:hAnsi="仿宋_GB2312" w:eastAsia="仿宋_GB2312" w:cs="仿宋_GB2312"/>
                <w:color w:val="000000"/>
                <w:sz w:val="24"/>
              </w:rPr>
              <w:t>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何进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傅彦</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机关事务</w:t>
            </w:r>
            <w:r>
              <w:rPr>
                <w:rFonts w:hint="eastAsia" w:ascii="仿宋_GB2312" w:hAnsi="仿宋_GB2312" w:eastAsia="仿宋_GB2312" w:cs="仿宋_GB2312"/>
                <w:color w:val="000000"/>
                <w:sz w:val="24"/>
                <w:lang w:eastAsia="zh-CN"/>
              </w:rPr>
              <w:t>管理</w:t>
            </w:r>
            <w:r>
              <w:rPr>
                <w:rFonts w:hint="eastAsia" w:ascii="仿宋_GB2312" w:hAnsi="仿宋_GB2312" w:eastAsia="仿宋_GB2312" w:cs="仿宋_GB2312"/>
                <w:color w:val="000000"/>
                <w:sz w:val="24"/>
              </w:rPr>
              <w:t>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傅彦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19</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lang w:eastAsia="zh-CN"/>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19</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赵丽珍</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13787841896</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adjustRightInd w:val="0"/>
              <w:snapToGrid w:val="0"/>
              <w:spacing w:line="59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val="en-US" w:eastAsia="zh-CN"/>
              </w:rPr>
              <w:t>)华容县机关事务服务中心</w:t>
            </w:r>
            <w:r>
              <w:rPr>
                <w:rFonts w:hint="eastAsia" w:ascii="仿宋_GB2312" w:hAnsi="仿宋_GB2312" w:eastAsia="仿宋_GB2312" w:cs="仿宋_GB2312"/>
                <w:bCs/>
                <w:sz w:val="28"/>
                <w:szCs w:val="28"/>
              </w:rPr>
              <w:t>基本情况</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负责全县公务接待工作；四大家重要接待活动；主要领导交办的接待任务；按照县公务用车（保留车辆）规定使用范围提供车辆服务；协助做好公务用车监督检查工作。负责机关办公大楼管理、维护和机关大院物业服务工作；确定全县机关事业单位后勤服务项目和标准，指导全县机关事业单位后勤服务工作。负责全县公共机构节约能源资源管理工作，会同有关部门拟订全县公共机构节能规划和相关管理制度并组织实施，组织开展能耗统计、监测和评价考核、节能技术改造工作</w:t>
            </w:r>
            <w:r>
              <w:rPr>
                <w:rFonts w:hint="eastAsia" w:ascii="仿宋_GB2312" w:hAnsi="仿宋_GB2312" w:eastAsia="仿宋_GB2312" w:cs="仿宋_GB2312"/>
                <w:bCs/>
                <w:sz w:val="28"/>
                <w:szCs w:val="28"/>
                <w:lang w:eastAsia="zh-CN"/>
              </w:rPr>
              <w:t>，</w:t>
            </w:r>
            <w:r>
              <w:rPr>
                <w:rFonts w:hint="eastAsia" w:ascii="仿宋" w:hAnsi="仿宋" w:eastAsia="仿宋" w:cs="仿宋"/>
                <w:sz w:val="28"/>
                <w:szCs w:val="28"/>
                <w:lang w:eastAsia="zh-CN"/>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接待活动；主要领导交办的接待任务；协助做好公务用车监督检查工作。确定全县机关事业单位后勤服务项目和标准，负责全县公共机构节约能源资源管理工作, 负责全县公共机构节约能源资源管理工作.</w:t>
            </w:r>
            <w:r>
              <w:rPr>
                <w:rFonts w:hint="eastAsia" w:ascii="仿宋" w:hAnsi="仿宋" w:eastAsia="仿宋" w:cs="仿宋"/>
                <w:sz w:val="24"/>
                <w:szCs w:val="24"/>
                <w:lang w:eastAsia="zh-CN"/>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（一）基本支出:本年度本单位用于了基本支出开支中。</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（二）专项支出：本年度单位专项支出用于了接待费、公务用车运行维护费</w:t>
            </w:r>
            <w:r>
              <w:rPr>
                <w:rFonts w:hint="eastAsia" w:ascii="仿宋_GB2312" w:hAnsi="仿宋_GB2312" w:eastAsia="仿宋_GB2312" w:cs="仿宋_GB2312"/>
                <w:bCs/>
                <w:sz w:val="28"/>
                <w:szCs w:val="28"/>
                <w:lang w:eastAsia="zh-CN"/>
              </w:rPr>
              <w:t>，“四大家”机关办公大楼维护管理费及</w:t>
            </w:r>
            <w:r>
              <w:rPr>
                <w:rFonts w:hint="eastAsia" w:ascii="仿宋" w:hAnsi="仿宋" w:eastAsia="仿宋" w:cs="仿宋"/>
                <w:sz w:val="28"/>
                <w:szCs w:val="28"/>
              </w:rPr>
              <w:t>周转住房</w:t>
            </w:r>
            <w:r>
              <w:rPr>
                <w:rFonts w:hint="eastAsia" w:ascii="仿宋" w:hAnsi="仿宋" w:eastAsia="仿宋" w:cs="仿宋"/>
                <w:sz w:val="28"/>
                <w:szCs w:val="28"/>
                <w:lang w:eastAsia="zh-CN"/>
              </w:rPr>
              <w:t>管理食堂管理等费用</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1、专项资金安排落实、总投入等情况分析：专项资金专款专用、单位无挤占、挪用等现象。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2、专项资金实际使用情况分析：专项资金专款专用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3、专项资金管理情况分析：单位无挤占、挪用等现象</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（一）专项组织情况分析：专项资金专款专用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（二）专项管理情况分析：专项资金专款专用</w:t>
            </w:r>
          </w:p>
          <w:p>
            <w:pPr>
              <w:widowControl/>
              <w:jc w:val="left"/>
              <w:textAlignment w:val="center"/>
              <w:rPr>
                <w:rFonts w:ascii="仿宋" w:hAnsi="仿宋" w:eastAsia="仿宋" w:cs="仿宋"/>
                <w:color w:val="000000"/>
                <w:kern w:val="0"/>
                <w:sz w:val="24"/>
              </w:rPr>
            </w:pPr>
            <w:r>
              <w:rPr>
                <w:rFonts w:hint="eastAsia" w:ascii="黑体" w:hAnsi="黑体" w:eastAsia="黑体" w:cs="黑体"/>
                <w:bCs/>
                <w:sz w:val="28"/>
                <w:szCs w:val="28"/>
              </w:rPr>
              <w:t>四、部门（单位）整体支出绩效情况：</w:t>
            </w:r>
            <w:r>
              <w:rPr>
                <w:rFonts w:hint="eastAsia" w:ascii="仿宋" w:hAnsi="仿宋" w:eastAsia="仿宋" w:cs="仿宋"/>
                <w:color w:val="000000"/>
                <w:kern w:val="0"/>
                <w:sz w:val="24"/>
              </w:rPr>
              <w:t>协助做好县委县政府外联协调工作，速进了县域经济。</w:t>
            </w:r>
          </w:p>
          <w:p>
            <w:pPr>
              <w:spacing w:line="560" w:lineRule="exact"/>
              <w:ind w:firstLine="560" w:firstLineChars="200"/>
              <w:rPr>
                <w:rFonts w:ascii="黑体" w:hAnsi="黑体" w:eastAsia="黑体" w:cs="黑体"/>
                <w:bCs/>
                <w:sz w:val="28"/>
                <w:szCs w:val="28"/>
              </w:rPr>
            </w:pPr>
            <w:r>
              <w:rPr>
                <w:rFonts w:hint="eastAsia" w:ascii="仿宋" w:hAnsi="仿宋" w:eastAsia="仿宋" w:cs="仿宋"/>
                <w:color w:val="000000"/>
                <w:kern w:val="0"/>
                <w:sz w:val="28"/>
                <w:szCs w:val="28"/>
              </w:rPr>
              <w:t>2加强能源管理，降低消耗、制止浪费，社会公众满意率达96%</w:t>
            </w:r>
          </w:p>
          <w:p>
            <w:pPr>
              <w:spacing w:line="560" w:lineRule="exact"/>
              <w:ind w:firstLine="560" w:firstLineChars="200"/>
              <w:rPr>
                <w:rFonts w:hint="eastAsia" w:ascii="仿宋" w:hAnsi="仿宋" w:eastAsia="仿宋" w:cs="仿宋"/>
                <w:bCs/>
                <w:sz w:val="28"/>
                <w:szCs w:val="28"/>
              </w:rPr>
            </w:pPr>
            <w:r>
              <w:rPr>
                <w:rFonts w:hint="eastAsia" w:ascii="黑体" w:hAnsi="黑体" w:eastAsia="黑体" w:cs="黑体"/>
                <w:bCs/>
                <w:sz w:val="28"/>
                <w:szCs w:val="28"/>
              </w:rPr>
              <w:t>五、存在的主要问题：</w:t>
            </w:r>
            <w:r>
              <w:rPr>
                <w:rFonts w:hint="eastAsia" w:ascii="仿宋" w:hAnsi="仿宋" w:eastAsia="仿宋" w:cs="仿宋"/>
                <w:bCs/>
                <w:sz w:val="28"/>
                <w:szCs w:val="28"/>
              </w:rPr>
              <w:t>我单位未能按节点及时监控绩效监控缺乏责任约束。</w:t>
            </w:r>
          </w:p>
          <w:p>
            <w:pPr>
              <w:spacing w:line="560" w:lineRule="exact"/>
              <w:ind w:firstLine="560" w:firstLineChars="200"/>
              <w:rPr>
                <w:rFonts w:hint="eastAsia" w:ascii="仿宋" w:hAnsi="仿宋" w:eastAsia="仿宋" w:cs="仿宋"/>
                <w:bCs/>
                <w:sz w:val="28"/>
                <w:szCs w:val="28"/>
              </w:rPr>
            </w:pPr>
            <w:r>
              <w:rPr>
                <w:rFonts w:hint="eastAsia" w:ascii="黑体" w:hAnsi="黑体" w:eastAsia="黑体" w:cs="黑体"/>
                <w:bCs/>
                <w:sz w:val="28"/>
                <w:szCs w:val="28"/>
              </w:rPr>
              <w:t>六、改进措施和有关建议：</w:t>
            </w:r>
            <w:r>
              <w:rPr>
                <w:rFonts w:hint="eastAsia" w:ascii="仿宋" w:hAnsi="仿宋" w:eastAsia="仿宋" w:cs="仿宋"/>
                <w:bCs/>
                <w:sz w:val="28"/>
                <w:szCs w:val="28"/>
              </w:rPr>
              <w:t>加强绩效及时监控提高我单位对绩效监控责任约束。</w:t>
            </w:r>
          </w:p>
          <w:p>
            <w:pPr>
              <w:spacing w:line="560" w:lineRule="exact"/>
              <w:ind w:firstLine="560" w:firstLineChars="200"/>
              <w:rPr>
                <w:rFonts w:hint="eastAsia"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公务接待、公车用车、机关后勤、周转房食堂等项目</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华容县机关事务管理中心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华容机关事务管理中心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13</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10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1347"/>
        <w:gridCol w:w="801"/>
        <w:gridCol w:w="135"/>
        <w:gridCol w:w="1125"/>
        <w:gridCol w:w="236"/>
        <w:gridCol w:w="1036"/>
        <w:gridCol w:w="584"/>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朱本炎、何进、傅彦</w:t>
            </w:r>
          </w:p>
        </w:tc>
        <w:tc>
          <w:tcPr>
            <w:tcW w:w="1347" w:type="dxa"/>
            <w:noWrap w:val="0"/>
            <w:vAlign w:val="center"/>
          </w:tcPr>
          <w:p>
            <w:pPr>
              <w:rPr>
                <w:rFonts w:hint="eastAsia" w:eastAsia="仿宋_GB2312"/>
                <w:sz w:val="24"/>
              </w:rPr>
            </w:pPr>
            <w:r>
              <w:rPr>
                <w:rFonts w:hint="eastAsia" w:eastAsia="仿宋_GB2312"/>
                <w:sz w:val="24"/>
              </w:rPr>
              <w:t>联系电话</w:t>
            </w:r>
          </w:p>
        </w:tc>
        <w:tc>
          <w:tcPr>
            <w:tcW w:w="3333" w:type="dxa"/>
            <w:gridSpan w:val="5"/>
            <w:noWrap w:val="0"/>
            <w:vAlign w:val="center"/>
          </w:tcPr>
          <w:p>
            <w:pPr>
              <w:rPr>
                <w:rFonts w:hint="default" w:eastAsia="仿宋_GB2312"/>
                <w:sz w:val="24"/>
                <w:lang w:val="en-US" w:eastAsia="zh-CN"/>
              </w:rPr>
            </w:pPr>
            <w:r>
              <w:rPr>
                <w:rFonts w:hint="eastAsia" w:eastAsia="仿宋_GB2312"/>
                <w:sz w:val="24"/>
                <w:lang w:val="en-US" w:eastAsia="zh-CN"/>
              </w:rPr>
              <w:t>13487761928、15274096889、15973041588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lang w:val="en-US" w:eastAsia="zh-CN"/>
              </w:rPr>
            </w:pPr>
            <w:r>
              <w:rPr>
                <w:rFonts w:hint="eastAsia" w:eastAsia="仿宋_GB2312"/>
                <w:sz w:val="24"/>
                <w:lang w:val="en-US" w:eastAsia="zh-CN"/>
              </w:rPr>
              <w:t>县政府机关大院</w:t>
            </w:r>
          </w:p>
        </w:tc>
        <w:tc>
          <w:tcPr>
            <w:tcW w:w="1347" w:type="dxa"/>
            <w:noWrap w:val="0"/>
            <w:vAlign w:val="center"/>
          </w:tcPr>
          <w:p>
            <w:pPr>
              <w:rPr>
                <w:rFonts w:hint="eastAsia" w:eastAsia="仿宋_GB2312"/>
                <w:sz w:val="24"/>
              </w:rPr>
            </w:pPr>
            <w:r>
              <w:rPr>
                <w:rFonts w:hint="eastAsia" w:eastAsia="仿宋_GB2312"/>
                <w:sz w:val="24"/>
              </w:rPr>
              <w:t>邮  编</w:t>
            </w:r>
          </w:p>
        </w:tc>
        <w:tc>
          <w:tcPr>
            <w:tcW w:w="3333" w:type="dxa"/>
            <w:gridSpan w:val="5"/>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883</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898.26</w:t>
            </w:r>
          </w:p>
        </w:tc>
        <w:tc>
          <w:tcPr>
            <w:tcW w:w="340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236"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862.45</w:t>
            </w:r>
          </w:p>
        </w:tc>
        <w:tc>
          <w:tcPr>
            <w:tcW w:w="1620" w:type="dxa"/>
            <w:gridSpan w:val="2"/>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3408" w:type="dxa"/>
            <w:gridSpan w:val="4"/>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236" w:type="dxa"/>
            <w:tcBorders>
              <w:bottom w:val="single" w:color="auto" w:sz="4" w:space="0"/>
            </w:tcBorders>
            <w:noWrap w:val="0"/>
            <w:vAlign w:val="center"/>
          </w:tcPr>
          <w:p>
            <w:pPr>
              <w:rPr>
                <w:rFonts w:hint="eastAsia" w:eastAsia="仿宋_GB2312"/>
                <w:spacing w:val="-6"/>
                <w:sz w:val="24"/>
              </w:rPr>
            </w:pPr>
          </w:p>
        </w:tc>
        <w:tc>
          <w:tcPr>
            <w:tcW w:w="1620" w:type="dxa"/>
            <w:gridSpan w:val="2"/>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3408"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236" w:type="dxa"/>
            <w:tcBorders>
              <w:bottom w:val="single" w:color="auto" w:sz="4" w:space="0"/>
            </w:tcBorders>
            <w:noWrap w:val="0"/>
            <w:vAlign w:val="center"/>
          </w:tcPr>
          <w:p>
            <w:pPr>
              <w:rPr>
                <w:rFonts w:hint="eastAsia" w:eastAsia="仿宋_GB2312"/>
                <w:sz w:val="24"/>
              </w:rPr>
            </w:pPr>
          </w:p>
        </w:tc>
        <w:tc>
          <w:tcPr>
            <w:tcW w:w="16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3408"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236" w:type="dxa"/>
            <w:tcBorders>
              <w:bottom w:val="single" w:color="auto" w:sz="4" w:space="0"/>
            </w:tcBorders>
            <w:noWrap w:val="0"/>
            <w:vAlign w:val="center"/>
          </w:tcPr>
          <w:p>
            <w:pPr>
              <w:rPr>
                <w:rFonts w:hint="eastAsia" w:eastAsia="仿宋_GB2312"/>
                <w:sz w:val="24"/>
              </w:rPr>
            </w:pPr>
          </w:p>
        </w:tc>
        <w:tc>
          <w:tcPr>
            <w:tcW w:w="16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883</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898.26</w:t>
            </w:r>
          </w:p>
        </w:tc>
        <w:tc>
          <w:tcPr>
            <w:tcW w:w="3408"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236"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862.45</w:t>
            </w:r>
          </w:p>
        </w:tc>
        <w:tc>
          <w:tcPr>
            <w:tcW w:w="16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3408"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236" w:type="dxa"/>
            <w:tcBorders>
              <w:bottom w:val="single" w:color="auto" w:sz="4" w:space="0"/>
            </w:tcBorders>
            <w:noWrap w:val="0"/>
            <w:vAlign w:val="center"/>
          </w:tcPr>
          <w:p>
            <w:pPr>
              <w:rPr>
                <w:rFonts w:hint="eastAsia" w:eastAsia="仿宋_GB2312"/>
                <w:sz w:val="24"/>
              </w:rPr>
            </w:pPr>
          </w:p>
        </w:tc>
        <w:tc>
          <w:tcPr>
            <w:tcW w:w="16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4106"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127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平台、后勤劳务派遣工资</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388.89</w:t>
            </w:r>
          </w:p>
        </w:tc>
        <w:tc>
          <w:tcPr>
            <w:tcW w:w="4106" w:type="dxa"/>
            <w:gridSpan w:val="6"/>
            <w:tcBorders>
              <w:bottom w:val="single" w:color="auto" w:sz="4" w:space="0"/>
            </w:tcBorders>
            <w:noWrap w:val="0"/>
            <w:vAlign w:val="center"/>
          </w:tcPr>
          <w:p>
            <w:pPr>
              <w:tabs>
                <w:tab w:val="left" w:pos="249"/>
              </w:tabs>
              <w:jc w:val="left"/>
              <w:rPr>
                <w:rFonts w:hint="default" w:eastAsia="仿宋_GB2312"/>
                <w:sz w:val="24"/>
                <w:lang w:val="en-US" w:eastAsia="zh-CN"/>
              </w:rPr>
            </w:pPr>
            <w:r>
              <w:rPr>
                <w:rFonts w:hint="eastAsia" w:eastAsia="仿宋_GB2312"/>
                <w:sz w:val="24"/>
                <w:lang w:eastAsia="zh-CN"/>
              </w:rPr>
              <w:tab/>
            </w:r>
            <w:r>
              <w:rPr>
                <w:rFonts w:hint="eastAsia" w:eastAsia="仿宋_GB2312"/>
                <w:sz w:val="24"/>
                <w:lang w:val="en-US" w:eastAsia="zh-CN"/>
              </w:rPr>
              <w:t>1月1#、4月1#、8月4#、11月1#</w:t>
            </w: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公车运行费、接待费、机关后勤维护费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473.56</w:t>
            </w:r>
          </w:p>
        </w:tc>
        <w:tc>
          <w:tcPr>
            <w:tcW w:w="410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1月5#、4月4#、7月5#、10月10#、12月9#</w:t>
            </w: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公务用车购置</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p>
        </w:tc>
        <w:tc>
          <w:tcPr>
            <w:tcW w:w="4106" w:type="dxa"/>
            <w:gridSpan w:val="6"/>
            <w:tcBorders>
              <w:bottom w:val="single" w:color="auto" w:sz="4" w:space="0"/>
            </w:tcBorders>
            <w:noWrap w:val="0"/>
            <w:vAlign w:val="center"/>
          </w:tcPr>
          <w:p>
            <w:pPr>
              <w:jc w:val="center"/>
              <w:rPr>
                <w:rFonts w:hint="default" w:eastAsia="仿宋_GB2312"/>
                <w:sz w:val="24"/>
                <w:lang w:val="en-US" w:eastAsia="zh-CN"/>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其他商品服务支出</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p>
        </w:tc>
        <w:tc>
          <w:tcPr>
            <w:tcW w:w="4106" w:type="dxa"/>
            <w:gridSpan w:val="6"/>
            <w:tcBorders>
              <w:bottom w:val="single" w:color="auto" w:sz="4" w:space="0"/>
            </w:tcBorders>
            <w:noWrap w:val="0"/>
            <w:vAlign w:val="center"/>
          </w:tcPr>
          <w:p>
            <w:pPr>
              <w:jc w:val="center"/>
              <w:rPr>
                <w:rFonts w:hint="default" w:eastAsia="仿宋_GB2312"/>
                <w:sz w:val="24"/>
                <w:lang w:val="en-US" w:eastAsia="zh-CN"/>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4106" w:type="dxa"/>
            <w:gridSpan w:val="6"/>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4106" w:type="dxa"/>
            <w:gridSpan w:val="6"/>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4106" w:type="dxa"/>
            <w:gridSpan w:val="6"/>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862.45</w:t>
            </w:r>
          </w:p>
        </w:tc>
        <w:tc>
          <w:tcPr>
            <w:tcW w:w="4106" w:type="dxa"/>
            <w:gridSpan w:val="6"/>
            <w:tcBorders>
              <w:bottom w:val="single" w:color="auto" w:sz="4" w:space="0"/>
            </w:tcBorders>
            <w:noWrap w:val="0"/>
            <w:vAlign w:val="center"/>
          </w:tcPr>
          <w:p>
            <w:pPr>
              <w:jc w:val="center"/>
              <w:rPr>
                <w:rFonts w:hint="eastAsia" w:eastAsia="仿宋_GB2312"/>
                <w:b/>
                <w:sz w:val="24"/>
              </w:rPr>
            </w:pPr>
          </w:p>
        </w:tc>
        <w:tc>
          <w:tcPr>
            <w:tcW w:w="1272"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6837" w:type="dxa"/>
            <w:gridSpan w:val="11"/>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1272" w:type="dxa"/>
            <w:gridSpan w:val="2"/>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6837" w:type="dxa"/>
            <w:gridSpan w:val="11"/>
            <w:tcBorders>
              <w:bottom w:val="single" w:color="auto" w:sz="4" w:space="0"/>
            </w:tcBorders>
            <w:noWrap w:val="0"/>
            <w:vAlign w:val="center"/>
          </w:tcPr>
          <w:p>
            <w:pPr>
              <w:jc w:val="center"/>
              <w:rPr>
                <w:rFonts w:hint="eastAsia" w:eastAsia="仿宋_GB2312"/>
                <w:b/>
                <w:sz w:val="24"/>
                <w:lang w:eastAsia="zh-CN"/>
              </w:rPr>
            </w:pPr>
            <w:r>
              <w:rPr>
                <w:rFonts w:hint="eastAsia" w:eastAsia="仿宋_GB2312"/>
                <w:sz w:val="24"/>
                <w:lang w:eastAsia="zh-CN"/>
              </w:rPr>
              <w:t>公车平台</w:t>
            </w:r>
            <w:r>
              <w:rPr>
                <w:rFonts w:hint="eastAsia" w:eastAsia="仿宋_GB2312"/>
                <w:sz w:val="24"/>
              </w:rPr>
              <w:t>预期</w:t>
            </w:r>
            <w:r>
              <w:rPr>
                <w:rFonts w:hint="eastAsia" w:eastAsia="仿宋_GB2312"/>
                <w:sz w:val="24"/>
                <w:lang w:eastAsia="zh-CN"/>
              </w:rPr>
              <w:t>总</w:t>
            </w:r>
            <w:r>
              <w:rPr>
                <w:rFonts w:hint="eastAsia" w:eastAsia="仿宋_GB2312"/>
                <w:sz w:val="24"/>
              </w:rPr>
              <w:t>目标</w:t>
            </w:r>
            <w:r>
              <w:rPr>
                <w:rFonts w:hint="eastAsia" w:eastAsia="仿宋_GB2312"/>
                <w:sz w:val="24"/>
                <w:lang w:eastAsia="zh-CN"/>
              </w:rPr>
              <w:t>是合理有效配置公务用车资源，保障各涉改单位公务出行用车，降低行政成本。</w:t>
            </w:r>
          </w:p>
        </w:tc>
        <w:tc>
          <w:tcPr>
            <w:tcW w:w="1272" w:type="dxa"/>
            <w:gridSpan w:val="2"/>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2981" w:type="dxa"/>
            <w:gridSpan w:val="5"/>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125"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127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2846" w:type="dxa"/>
            <w:gridSpan w:val="4"/>
            <w:tcBorders>
              <w:bottom w:val="single" w:color="auto" w:sz="4" w:space="0"/>
            </w:tcBorders>
            <w:noWrap w:val="0"/>
            <w:vAlign w:val="center"/>
          </w:tcPr>
          <w:p>
            <w:pPr>
              <w:widowControl/>
              <w:jc w:val="left"/>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公务车辆48台，使用48台</w:t>
            </w:r>
          </w:p>
        </w:tc>
        <w:tc>
          <w:tcPr>
            <w:tcW w:w="1260"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127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4"/>
                <w:szCs w:val="24"/>
                <w:lang w:val="en-US" w:eastAsia="zh-CN" w:bidi="ar-SA"/>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8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2846"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ascii="仿宋" w:hAnsi="仿宋" w:eastAsia="仿宋" w:cs="仿宋"/>
                <w:sz w:val="24"/>
                <w:lang w:eastAsia="zh-CN"/>
              </w:rPr>
              <w:t>公务车保质安全，未发生交通事故</w:t>
            </w:r>
          </w:p>
        </w:tc>
        <w:tc>
          <w:tcPr>
            <w:tcW w:w="1260"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127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1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2846" w:type="dxa"/>
            <w:gridSpan w:val="4"/>
            <w:tcBorders>
              <w:bottom w:val="single" w:color="auto" w:sz="4" w:space="0"/>
            </w:tcBorders>
            <w:noWrap w:val="0"/>
            <w:vAlign w:val="center"/>
          </w:tcPr>
          <w:p>
            <w:pPr>
              <w:spacing w:line="360" w:lineRule="exact"/>
              <w:jc w:val="both"/>
              <w:rPr>
                <w:rFonts w:hint="eastAsia" w:eastAsia="仿宋_GB2312"/>
                <w:sz w:val="24"/>
                <w:lang w:eastAsia="zh-CN"/>
              </w:rPr>
            </w:pPr>
            <w:r>
              <w:rPr>
                <w:rFonts w:hint="eastAsia" w:eastAsia="仿宋_GB2312"/>
                <w:sz w:val="24"/>
                <w:lang w:eastAsia="zh-CN"/>
              </w:rPr>
              <w:t>公务用车项目资金如期使用，达到了预期绩效自评评</w:t>
            </w:r>
          </w:p>
        </w:tc>
        <w:tc>
          <w:tcPr>
            <w:tcW w:w="1260"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2846"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ascii="仿宋_GB2312" w:hAnsi="仿宋_GB2312" w:eastAsia="仿宋_GB2312" w:cs="仿宋_GB2312"/>
                <w:color w:val="000000"/>
                <w:sz w:val="24"/>
                <w:lang w:eastAsia="zh-CN"/>
              </w:rPr>
              <w:t>公务用车项目运行成本控制安预期完成</w:t>
            </w: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83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ascii="仿宋_GB2312" w:hAnsi="仿宋_GB2312" w:eastAsia="仿宋_GB2312" w:cs="仿宋_GB2312"/>
                <w:color w:val="000000"/>
                <w:sz w:val="24"/>
                <w:lang w:eastAsia="zh-CN"/>
              </w:rPr>
              <w:t>公务用车项目</w:t>
            </w:r>
            <w:r>
              <w:rPr>
                <w:rFonts w:hint="eastAsia" w:ascii="仿宋_GB2312" w:hAnsi="仿宋_GB2312" w:eastAsia="仿宋_GB2312" w:cs="仿宋_GB2312"/>
                <w:color w:val="000000"/>
                <w:sz w:val="24"/>
              </w:rPr>
              <w:t>降低油</w:t>
            </w:r>
            <w:r>
              <w:rPr>
                <w:rFonts w:hint="eastAsia" w:ascii="仿宋_GB2312" w:hAnsi="仿宋_GB2312" w:eastAsia="仿宋_GB2312" w:cs="仿宋_GB2312"/>
                <w:color w:val="000000"/>
                <w:sz w:val="24"/>
                <w:lang w:eastAsia="zh-CN"/>
              </w:rPr>
              <w:t>耗</w:t>
            </w:r>
            <w:r>
              <w:rPr>
                <w:rFonts w:hint="eastAsia" w:ascii="仿宋_GB2312" w:hAnsi="仿宋_GB2312" w:eastAsia="仿宋_GB2312" w:cs="仿宋_GB2312"/>
                <w:color w:val="000000"/>
                <w:sz w:val="24"/>
              </w:rPr>
              <w:t>等，逐步实行环保型社会，</w:t>
            </w: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6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2846" w:type="dxa"/>
            <w:gridSpan w:val="4"/>
            <w:tcBorders>
              <w:bottom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公务用车项目是</w:t>
            </w:r>
            <w:r>
              <w:rPr>
                <w:rFonts w:hint="eastAsia" w:ascii="仿宋_GB2312" w:hAnsi="仿宋_GB2312" w:eastAsia="仿宋_GB2312" w:cs="仿宋_GB2312"/>
                <w:color w:val="000000"/>
                <w:sz w:val="24"/>
              </w:rPr>
              <w:t>科学决策、有效的运行机制能减排长效机制强化管理体系</w:t>
            </w:r>
          </w:p>
          <w:p>
            <w:pPr>
              <w:spacing w:line="360" w:lineRule="exact"/>
              <w:jc w:val="center"/>
              <w:rPr>
                <w:rFonts w:hint="eastAsia" w:eastAsia="仿宋_GB2312"/>
                <w:sz w:val="24"/>
              </w:rPr>
            </w:pPr>
            <w:r>
              <w:rPr>
                <w:rFonts w:hint="eastAsia" w:ascii="仿宋_GB2312" w:hAnsi="仿宋_GB2312" w:eastAsia="仿宋_GB2312" w:cs="仿宋_GB2312"/>
                <w:color w:val="000000"/>
                <w:sz w:val="24"/>
              </w:rPr>
              <w:t>……</w:t>
            </w: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2846" w:type="dxa"/>
            <w:gridSpan w:val="4"/>
            <w:tcBorders>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公务用车项目减少车辆出行和环保节能</w:t>
            </w:r>
          </w:p>
          <w:p>
            <w:pPr>
              <w:autoSpaceDN w:val="0"/>
              <w:spacing w:line="320" w:lineRule="exact"/>
              <w:jc w:val="left"/>
              <w:textAlignment w:val="center"/>
              <w:rPr>
                <w:rFonts w:hint="eastAsia" w:ascii="仿宋_GB2312" w:hAnsi="仿宋_GB2312" w:eastAsia="仿宋_GB2312" w:cs="仿宋_GB2312"/>
                <w:color w:val="000000"/>
                <w:sz w:val="24"/>
              </w:rPr>
            </w:pPr>
          </w:p>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2846" w:type="dxa"/>
            <w:gridSpan w:val="4"/>
            <w:tcBorders>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kern w:val="0"/>
                <w:sz w:val="24"/>
              </w:rPr>
              <w:t>社会公众满意率达9</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w:t>
            </w:r>
          </w:p>
          <w:p>
            <w:pPr>
              <w:autoSpaceDN w:val="0"/>
              <w:spacing w:line="320" w:lineRule="exact"/>
              <w:jc w:val="left"/>
              <w:textAlignment w:val="center"/>
              <w:rPr>
                <w:rFonts w:hint="eastAsia" w:ascii="仿宋_GB2312" w:hAnsi="仿宋_GB2312" w:eastAsia="仿宋_GB2312" w:cs="仿宋_GB2312"/>
                <w:color w:val="000000"/>
                <w:sz w:val="24"/>
              </w:rPr>
            </w:pPr>
          </w:p>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3714" w:type="dxa"/>
            <w:gridSpan w:val="5"/>
            <w:noWrap w:val="0"/>
            <w:vAlign w:val="center"/>
          </w:tcPr>
          <w:p>
            <w:pPr>
              <w:jc w:val="center"/>
              <w:rPr>
                <w:rFonts w:hint="eastAsia" w:eastAsia="仿宋_GB2312"/>
                <w:sz w:val="24"/>
              </w:rPr>
            </w:pPr>
            <w:r>
              <w:rPr>
                <w:rFonts w:hint="eastAsia" w:eastAsia="仿宋_GB2312"/>
                <w:sz w:val="24"/>
              </w:rPr>
              <w:t>单  位</w:t>
            </w:r>
          </w:p>
        </w:tc>
        <w:tc>
          <w:tcPr>
            <w:tcW w:w="1272" w:type="dxa"/>
            <w:gridSpan w:val="2"/>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陈兴</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主任</w:t>
            </w:r>
          </w:p>
        </w:tc>
        <w:tc>
          <w:tcPr>
            <w:tcW w:w="3714" w:type="dxa"/>
            <w:gridSpan w:val="5"/>
            <w:noWrap w:val="0"/>
            <w:vAlign w:val="center"/>
          </w:tcPr>
          <w:p>
            <w:pPr>
              <w:rPr>
                <w:rFonts w:hint="eastAsia" w:eastAsia="仿宋_GB2312"/>
                <w:sz w:val="24"/>
                <w:lang w:eastAsia="zh-CN"/>
              </w:rPr>
            </w:pPr>
            <w:r>
              <w:rPr>
                <w:rFonts w:hint="eastAsia" w:eastAsia="仿宋_GB2312"/>
                <w:sz w:val="24"/>
                <w:lang w:eastAsia="zh-CN"/>
              </w:rPr>
              <w:t>华容县机关事务管理中心</w:t>
            </w:r>
          </w:p>
        </w:tc>
        <w:tc>
          <w:tcPr>
            <w:tcW w:w="1272"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陈兴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朱本炎</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副主任</w:t>
            </w:r>
          </w:p>
        </w:tc>
        <w:tc>
          <w:tcPr>
            <w:tcW w:w="3714" w:type="dxa"/>
            <w:gridSpan w:val="5"/>
            <w:noWrap w:val="0"/>
            <w:vAlign w:val="center"/>
          </w:tcPr>
          <w:p>
            <w:pPr>
              <w:rPr>
                <w:rFonts w:hint="eastAsia" w:eastAsia="仿宋_GB2312"/>
                <w:sz w:val="24"/>
              </w:rPr>
            </w:pPr>
            <w:r>
              <w:rPr>
                <w:rFonts w:hint="eastAsia" w:eastAsia="仿宋_GB2312"/>
                <w:sz w:val="24"/>
                <w:lang w:eastAsia="zh-CN"/>
              </w:rPr>
              <w:t>华容县机关事务管理中心</w:t>
            </w:r>
          </w:p>
        </w:tc>
        <w:tc>
          <w:tcPr>
            <w:tcW w:w="1272"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朱本炎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何进</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副主任</w:t>
            </w:r>
          </w:p>
        </w:tc>
        <w:tc>
          <w:tcPr>
            <w:tcW w:w="3714" w:type="dxa"/>
            <w:gridSpan w:val="5"/>
            <w:noWrap w:val="0"/>
            <w:vAlign w:val="center"/>
          </w:tcPr>
          <w:p>
            <w:pPr>
              <w:rPr>
                <w:rFonts w:hint="eastAsia" w:eastAsia="仿宋_GB2312"/>
                <w:sz w:val="24"/>
              </w:rPr>
            </w:pPr>
            <w:r>
              <w:rPr>
                <w:rFonts w:hint="eastAsia" w:eastAsia="仿宋_GB2312"/>
                <w:sz w:val="24"/>
                <w:lang w:eastAsia="zh-CN"/>
              </w:rPr>
              <w:t>华容县机关事务管理中心</w:t>
            </w:r>
          </w:p>
        </w:tc>
        <w:tc>
          <w:tcPr>
            <w:tcW w:w="1272"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何进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傅彦</w:t>
            </w:r>
          </w:p>
        </w:tc>
        <w:tc>
          <w:tcPr>
            <w:tcW w:w="2332"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副主任</w:t>
            </w:r>
          </w:p>
        </w:tc>
        <w:tc>
          <w:tcPr>
            <w:tcW w:w="3714" w:type="dxa"/>
            <w:gridSpan w:val="5"/>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华容县机关事务管理中心</w:t>
            </w:r>
          </w:p>
        </w:tc>
        <w:tc>
          <w:tcPr>
            <w:tcW w:w="1272" w:type="dxa"/>
            <w:gridSpan w:val="2"/>
            <w:noWrap w:val="0"/>
            <w:vAlign w:val="center"/>
          </w:tcPr>
          <w:p>
            <w:pPr>
              <w:rPr>
                <w:rFonts w:hint="eastAsia" w:eastAsia="仿宋_GB2312"/>
                <w:sz w:val="24"/>
                <w:lang w:eastAsia="zh-CN"/>
              </w:rPr>
            </w:pPr>
            <w:r>
              <w:rPr>
                <w:rFonts w:hint="eastAsia" w:eastAsia="仿宋_GB2312"/>
                <w:sz w:val="24"/>
                <w:lang w:eastAsia="zh-CN"/>
              </w:rPr>
              <w:t>傅彦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90" w:lineRule="exact"/>
              <w:jc w:val="center"/>
              <w:rPr>
                <w:rFonts w:hint="eastAsia" w:ascii="方正小标宋简体" w:eastAsia="方正小标宋简体"/>
                <w:sz w:val="44"/>
                <w:szCs w:val="44"/>
              </w:rPr>
            </w:pPr>
            <w:r>
              <w:rPr>
                <w:rFonts w:hint="eastAsia" w:ascii="方正小标宋简体" w:eastAsia="方正小标宋简体"/>
                <w:sz w:val="44"/>
                <w:szCs w:val="44"/>
              </w:rPr>
              <w:t>华容县机关事务</w:t>
            </w:r>
            <w:r>
              <w:rPr>
                <w:rFonts w:hint="eastAsia" w:ascii="方正小标宋简体" w:eastAsia="方正小标宋简体"/>
                <w:sz w:val="44"/>
                <w:szCs w:val="44"/>
                <w:lang w:eastAsia="zh-CN"/>
              </w:rPr>
              <w:t>管理</w:t>
            </w:r>
            <w:r>
              <w:rPr>
                <w:rFonts w:hint="eastAsia" w:ascii="方正小标宋简体" w:eastAsia="方正小标宋简体"/>
                <w:sz w:val="44"/>
                <w:szCs w:val="44"/>
              </w:rPr>
              <w:t>中心项目支出绩效评价</w:t>
            </w:r>
          </w:p>
          <w:p>
            <w:pPr>
              <w:spacing w:line="590" w:lineRule="exact"/>
              <w:jc w:val="center"/>
              <w:rPr>
                <w:rFonts w:hint="eastAsia" w:ascii="方正小标宋简体" w:eastAsia="方正小标宋简体"/>
                <w:sz w:val="44"/>
                <w:szCs w:val="44"/>
              </w:rPr>
            </w:pPr>
            <w:r>
              <w:rPr>
                <w:rFonts w:hint="eastAsia" w:ascii="方正小标宋简体" w:eastAsia="方正小标宋简体"/>
                <w:sz w:val="44"/>
                <w:szCs w:val="44"/>
              </w:rPr>
              <w:t>报告综述</w:t>
            </w:r>
          </w:p>
          <w:p>
            <w:pPr>
              <w:spacing w:line="590" w:lineRule="exact"/>
              <w:ind w:firstLine="640" w:firstLineChars="200"/>
              <w:rPr>
                <w:rFonts w:hint="eastAsia" w:ascii="仿宋_GB2312" w:eastAsia="仿宋_GB2312"/>
                <w:sz w:val="32"/>
                <w:szCs w:val="32"/>
              </w:rPr>
            </w:pP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县机关事务服务中心紧紧围绕县委县政府的中心工作，以提高接待服务水平为目标，充分发挥接待“载体”功能，较好的完成了接待部门的职能作用，推动了我县各项工作的顺利开展。我办把绩效理念融入到了预算、执行、监督管理的全过程，在严格管理、简化礼仪的基础上，转变服务方式，重点突出“节约化、个性化、本土化”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公务接待精准精细</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接待工作200余批次，圆</w:t>
            </w:r>
            <w:r>
              <w:rPr>
                <w:rFonts w:hint="eastAsia" w:ascii="仿宋_GB2312" w:hAnsi="仿宋_GB2312" w:eastAsia="仿宋_GB2312" w:cs="仿宋_GB2312"/>
                <w:sz w:val="32"/>
                <w:szCs w:val="32"/>
              </w:rPr>
              <w:t>满完成省长毛伟明、省人大常委会党组书记、副主任刘莲玉</w:t>
            </w:r>
            <w:r>
              <w:rPr>
                <w:rFonts w:hint="eastAsia" w:ascii="仿宋_GB2312" w:hAnsi="仿宋_GB2312" w:eastAsia="仿宋_GB2312" w:cs="仿宋_GB2312"/>
                <w:sz w:val="32"/>
                <w:szCs w:val="32"/>
                <w:lang w:val="en-US" w:eastAsia="zh-CN"/>
              </w:rPr>
              <w:t>等重宾</w:t>
            </w:r>
            <w:r>
              <w:rPr>
                <w:rFonts w:hint="eastAsia" w:ascii="仿宋_GB2312" w:hAnsi="仿宋_GB2312" w:eastAsia="仿宋_GB2312" w:cs="仿宋_GB2312"/>
                <w:sz w:val="32"/>
                <w:szCs w:val="32"/>
              </w:rPr>
              <w:t>来华视察调研接待活动</w:t>
            </w:r>
            <w:r>
              <w:rPr>
                <w:rFonts w:hint="eastAsia" w:ascii="仿宋_GB2312" w:hAnsi="仿宋_GB2312" w:eastAsia="仿宋_GB2312" w:cs="仿宋_GB2312"/>
                <w:sz w:val="32"/>
                <w:szCs w:val="32"/>
                <w:lang w:val="en-US" w:eastAsia="zh-CN"/>
              </w:rPr>
              <w:t>50多次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顺利完成省委第四巡视组来华落实巡视整改问题反馈会，省委办公厅调研华容芥菜小镇等大型接待活动。接待工作再次被评为“市红旗单位”。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宋体"/>
                <w:b w:val="0"/>
                <w:bCs w:val="0"/>
                <w:sz w:val="32"/>
                <w:szCs w:val="32"/>
                <w:lang w:val="en-US" w:eastAsia="zh-CN"/>
              </w:rPr>
            </w:pPr>
            <w:r>
              <w:rPr>
                <w:rFonts w:hint="eastAsia" w:ascii="楷体_GB2312" w:hAnsi="楷体_GB2312" w:eastAsia="楷体_GB2312" w:cs="楷体_GB2312"/>
                <w:b/>
                <w:bCs/>
                <w:sz w:val="32"/>
                <w:szCs w:val="32"/>
                <w:lang w:val="en-US" w:eastAsia="zh-CN"/>
              </w:rPr>
              <w:t>（二）公务用车安全高效。</w:t>
            </w:r>
            <w:r>
              <w:rPr>
                <w:rFonts w:hint="eastAsia" w:ascii="仿宋_GB2312" w:hAnsi="仿宋_GB2312" w:eastAsia="仿宋_GB2312" w:cs="仿宋_GB2312"/>
                <w:sz w:val="32"/>
                <w:szCs w:val="32"/>
                <w:lang w:val="en-US" w:eastAsia="zh-CN"/>
              </w:rPr>
              <w:t>平台全年累计出车5429次，累计行车里程54.34万公里，每月回访服务对象反馈均无差评，实现了“调车零失误、安全零事故”的工作目标。稳步推进</w:t>
            </w:r>
            <w:r>
              <w:rPr>
                <w:rFonts w:hint="eastAsia" w:ascii="仿宋_GB2312" w:hAnsi="宋体" w:eastAsia="仿宋_GB2312" w:cs="宋体"/>
                <w:b w:val="0"/>
                <w:bCs w:val="0"/>
                <w:sz w:val="32"/>
                <w:szCs w:val="32"/>
                <w:lang w:val="en-US" w:eastAsia="zh-CN"/>
              </w:rPr>
              <w:t>“全省一张网”公务用车信息化管理系统建设，升级改造4G车载终端系统48台。车辆燃油费用与去年同比节约18.36万元。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eastAsia="仿宋_GB2312"/>
                <w:sz w:val="32"/>
                <w:szCs w:val="32"/>
                <w:lang w:val="en-US" w:eastAsia="zh-CN"/>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（三）办公用房科学合规。</w:t>
            </w:r>
            <w:r>
              <w:rPr>
                <w:rFonts w:hint="eastAsia" w:ascii="仿宋_GB2312" w:hAnsi="宋体" w:eastAsia="仿宋_GB2312" w:cs="宋体"/>
                <w:b w:val="0"/>
                <w:bCs w:val="0"/>
                <w:sz w:val="32"/>
                <w:szCs w:val="32"/>
                <w:lang w:val="en-US" w:eastAsia="zh-CN"/>
              </w:rPr>
              <w:t>根据县委县政府工作要求，</w:t>
            </w:r>
            <w:r>
              <w:rPr>
                <w:rFonts w:hint="eastAsia" w:ascii="仿宋_GB2312" w:eastAsia="仿宋_GB2312"/>
                <w:sz w:val="32"/>
                <w:szCs w:val="32"/>
                <w:lang w:val="en-US" w:eastAsia="zh-CN"/>
              </w:rPr>
              <w:t>完成了县人武部等7家单位办公用房的重新布局调整，整改违规使用业务用房情况1起，封存业务用房22间486㎡。核定评审13家行政事业单位的维修改造项目，核减金额54.28万元。11月下旬，易地交流干部周转房工作正式启动，组织了相关人员到岳阳市委、汨罗市、湘阴县进行了实地考察，审定了图纸，简易装修工程正紧锣密鼓进行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（四）节能降耗稳步提升。</w:t>
            </w:r>
            <w:r>
              <w:rPr>
                <w:rFonts w:hint="eastAsia" w:ascii="仿宋_GB2312" w:eastAsia="仿宋_GB2312"/>
                <w:sz w:val="32"/>
                <w:szCs w:val="32"/>
                <w:lang w:val="en-US" w:eastAsia="zh-CN"/>
              </w:rPr>
              <w:t>顺利完成14家节约型机关创建工作，获得</w:t>
            </w:r>
            <w:r>
              <w:rPr>
                <w:rFonts w:hint="eastAsia" w:ascii="仿宋_GB2312" w:hAnsi="仿宋_GB2312" w:eastAsia="仿宋_GB2312" w:cs="仿宋_GB2312"/>
                <w:sz w:val="32"/>
                <w:szCs w:val="32"/>
                <w:lang w:val="en-US" w:eastAsia="zh-CN"/>
              </w:rPr>
              <w:t>国家机关事务管理局、中共中央直属机关、国家发改委、财政部四个部门的联合表彰授牌，我们隆重举行了授牌仪式。向全县公共机构发放节约用水、用电宣传小标语2万张，生活垃圾分类宣传手册5000份，树立公共机构节能文化标牌1000块，积极开展“节能宣传周”、召开全县公共机构节能暨生活垃圾分类工作培训会等主题活动，并推荐县委党校、插旗镇等5家单位建设为华容县公共机构垃圾分类示范点，着力推动节能降耗工作提质增效。11月18日，华容县在2021年度节约型机关创建暨公共机构生活垃圾分类评估复核工作中，获得了检查组的充分肯定，该项工作已走在全市前列，工作经验多次在相关网站进行推介，得到广泛推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（五）资产管理精准施策。</w:t>
            </w:r>
            <w:r>
              <w:rPr>
                <w:rFonts w:hint="eastAsia" w:ascii="仿宋_GB2312" w:hAnsi="仿宋_GB2312" w:eastAsia="仿宋_GB2312" w:cs="仿宋_GB2312"/>
                <w:sz w:val="32"/>
                <w:szCs w:val="32"/>
                <w:lang w:val="en-US" w:eastAsia="zh-CN"/>
              </w:rPr>
              <w:t>组织拍卖会8场，上缴国有资产处置、经营收入2307.27万元。督促各行政事业单位在“电子卖场”进行资产购置，通过县公车联席会议审批允许配置公务用车19台。资产归集完成549宗，完成率达95％，归集资产价值39亿元。目前，根据事业单位机构改革的工作要求，此项职能已从我单位划出。</w:t>
            </w:r>
          </w:p>
          <w:p>
            <w:pPr>
              <w:rPr>
                <w:rFonts w:eastAsia="楷体_GB2312"/>
                <w:bCs/>
                <w:sz w:val="28"/>
                <w:szCs w:val="28"/>
              </w:rPr>
            </w:pPr>
            <w:r>
              <w:rPr>
                <w:rFonts w:hint="eastAsia" w:ascii="楷体_GB2312" w:hAnsi="楷体_GB2312" w:eastAsia="楷体_GB2312" w:cs="楷体_GB2312"/>
                <w:b/>
                <w:bCs/>
                <w:sz w:val="32"/>
                <w:szCs w:val="32"/>
                <w:lang w:val="en-US" w:eastAsia="zh-CN"/>
              </w:rPr>
              <w:t>（六）后勤管理务实高效。</w:t>
            </w:r>
            <w:r>
              <w:rPr>
                <w:rFonts w:hint="eastAsia" w:ascii="仿宋_GB2312" w:hAnsi="仿宋_GB2312" w:eastAsia="仿宋_GB2312" w:cs="仿宋_GB2312"/>
                <w:sz w:val="32"/>
                <w:szCs w:val="32"/>
                <w:lang w:val="en-US" w:eastAsia="zh-CN"/>
              </w:rPr>
              <w:t>今年是“安全生产专项整治三年行动”的第二年，我们组织学习了《新安全法》，开展了应急普法知识竞赛，集中观看了“生命重于泰山”专题宣传片，召开了县“四大家”机关冬季安全培训会。全年，机关大院内未发生一起安全事故，排查安全隐患50次，合理解决了水电管理与物业维修等问题。依托园林中心技术力量，科学做好机关绿植种管养工作，做到了四季常绿。新建5G智能电动门，录入车辆1200多台，严控外来车辆进入，配置体温检测仪3套，全年累计检测外来人员28万人次。改造了双电源变压器，</w:t>
            </w:r>
            <w:r>
              <w:rPr>
                <w:rFonts w:hint="eastAsia" w:ascii="仿宋_GB2312" w:hAnsi="仿宋_GB2312" w:eastAsia="仿宋_GB2312" w:cs="仿宋_GB2312"/>
                <w:b w:val="0"/>
                <w:bCs w:val="0"/>
                <w:sz w:val="32"/>
                <w:szCs w:val="32"/>
                <w:lang w:val="en-US" w:eastAsia="zh-CN"/>
              </w:rPr>
              <w:t>新建新能源汽车充电桩4个。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43A50CF"/>
    <w:rsid w:val="082C68CC"/>
    <w:rsid w:val="083749E7"/>
    <w:rsid w:val="08657476"/>
    <w:rsid w:val="0DE528CD"/>
    <w:rsid w:val="0E0D7C69"/>
    <w:rsid w:val="10A676AC"/>
    <w:rsid w:val="126D0D92"/>
    <w:rsid w:val="14A532A4"/>
    <w:rsid w:val="1833416F"/>
    <w:rsid w:val="18725427"/>
    <w:rsid w:val="1B9B7CCE"/>
    <w:rsid w:val="1CF946F6"/>
    <w:rsid w:val="1E4600FF"/>
    <w:rsid w:val="243A38E2"/>
    <w:rsid w:val="254E2FC7"/>
    <w:rsid w:val="263C173A"/>
    <w:rsid w:val="27C44DE3"/>
    <w:rsid w:val="28B52EDA"/>
    <w:rsid w:val="2CA33441"/>
    <w:rsid w:val="2CE55C20"/>
    <w:rsid w:val="2F287302"/>
    <w:rsid w:val="30426D13"/>
    <w:rsid w:val="34142469"/>
    <w:rsid w:val="345B33E2"/>
    <w:rsid w:val="3A43255A"/>
    <w:rsid w:val="3BA37299"/>
    <w:rsid w:val="3C727AD3"/>
    <w:rsid w:val="3D6201A1"/>
    <w:rsid w:val="3EC46785"/>
    <w:rsid w:val="3F8A6044"/>
    <w:rsid w:val="42FE78AF"/>
    <w:rsid w:val="477245B4"/>
    <w:rsid w:val="4E4F0BB0"/>
    <w:rsid w:val="4EE36F4E"/>
    <w:rsid w:val="52BA4A7F"/>
    <w:rsid w:val="53D3272D"/>
    <w:rsid w:val="5BE95901"/>
    <w:rsid w:val="685F26D4"/>
    <w:rsid w:val="6A0A15CD"/>
    <w:rsid w:val="6DF352BD"/>
    <w:rsid w:val="705E3E6D"/>
    <w:rsid w:val="71C1048A"/>
    <w:rsid w:val="73F35F5B"/>
    <w:rsid w:val="77394F44"/>
    <w:rsid w:val="79C04582"/>
    <w:rsid w:val="7D1F0DA2"/>
    <w:rsid w:val="7D7478D8"/>
    <w:rsid w:val="7EFC2D6C"/>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8093</Words>
  <Characters>8618</Characters>
  <Lines>0</Lines>
  <Paragraphs>0</Paragraphs>
  <TotalTime>0</TotalTime>
  <ScaleCrop>false</ScaleCrop>
  <LinksUpToDate>false</LinksUpToDate>
  <CharactersWithSpaces>9746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2022-11-09T03:02:07Z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9926D1318ABF4E36BB2298389947DBDC</vt:lpwstr>
  </property>
</Properties>
</file>