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华容县长江护岸工程管理所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400005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76"/>
        <w:gridCol w:w="1514"/>
        <w:gridCol w:w="123"/>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29"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李淑君</w:t>
            </w:r>
          </w:p>
        </w:tc>
        <w:tc>
          <w:tcPr>
            <w:tcW w:w="151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03"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18873092301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29"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51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03"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1：负责长江岸线32.7KM岸线巡查、数据采集及堤防整险工程的申报工作。</w:t>
            </w:r>
          </w:p>
          <w:p>
            <w:pPr>
              <w:autoSpaceDN w:val="0"/>
              <w:spacing w:line="320" w:lineRule="exact"/>
              <w:ind w:firstLine="240" w:firstLineChars="1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2：一线防洪大堤的日常维护与管理。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每月进行岸线巡查、数据采集。对我县长江干堤的护岸、河势控制、出险加固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按照上级要求开展党建活动。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按上级要求做好综治维稳工作。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2021年度按照上级要求每月进行岸线巡查、数据采集。对我县长江干堤的护岸、河势控制等工作。被岳阳市水利修防中心评定为“先进管理单位</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w:t>
            </w:r>
          </w:p>
          <w:p>
            <w:pPr>
              <w:autoSpaceDN w:val="0"/>
              <w:spacing w:line="320" w:lineRule="exact"/>
              <w:ind w:firstLine="478" w:firstLineChars="0"/>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3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3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2、长江护岸工程管理所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272.62</w:t>
            </w:r>
          </w:p>
        </w:tc>
        <w:tc>
          <w:tcPr>
            <w:tcW w:w="1355" w:type="dxa"/>
            <w:gridSpan w:val="2"/>
            <w:tcBorders>
              <w:left w:val="single" w:color="auto" w:sz="4" w:space="0"/>
            </w:tcBorders>
            <w:noWrap w:val="0"/>
            <w:vAlign w:val="center"/>
          </w:tcPr>
          <w:p>
            <w:pPr>
              <w:tabs>
                <w:tab w:val="left" w:pos="560"/>
              </w:tabs>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ab/>
            </w:r>
          </w:p>
        </w:tc>
        <w:tc>
          <w:tcPr>
            <w:tcW w:w="114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269.62</w:t>
            </w:r>
          </w:p>
        </w:tc>
        <w:tc>
          <w:tcPr>
            <w:tcW w:w="163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3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2、长江护岸工程管理所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234.18</w:t>
            </w:r>
          </w:p>
        </w:tc>
        <w:tc>
          <w:tcPr>
            <w:tcW w:w="114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182.31</w:t>
            </w:r>
          </w:p>
        </w:tc>
        <w:tc>
          <w:tcPr>
            <w:tcW w:w="209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51.87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38.44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bidi w:val="0"/>
              <w:ind w:firstLine="259" w:firstLineChars="0"/>
              <w:jc w:val="both"/>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2、长江护岸工程管理所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0.59</w:t>
            </w:r>
            <w:bookmarkStart w:id="0" w:name="_GoBack"/>
            <w:bookmarkEnd w:id="0"/>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0.59</w:t>
            </w: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0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76"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0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7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color w:val="000000"/>
                <w:sz w:val="24"/>
                <w:lang w:val="en-US" w:eastAsia="zh-CN"/>
              </w:rPr>
              <w:t>长江护岸工程管理所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3790</w:t>
            </w:r>
          </w:p>
        </w:tc>
        <w:tc>
          <w:tcPr>
            <w:tcW w:w="250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7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0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7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4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17"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842"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每月巡查大堤一次。</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对长江干堤的护岸、河堤控制、出险加固工程的实施。</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综治维稳工作按上级要求无上访事情。</w:t>
            </w:r>
          </w:p>
        </w:tc>
        <w:tc>
          <w:tcPr>
            <w:tcW w:w="4517" w:type="dxa"/>
            <w:gridSpan w:val="9"/>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1：实际每月巡查大堤一次。</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2：对长江干堤的护岸、河堤控制、出险加固工程的实施。</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3：综治维稳工作按上级要求无上访事情。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堤防考核考评工作</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合格率达95%以上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综治维稳工作</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合格率达100%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完成335KM大堤管理工作。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合格率达95%以上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每月巡查大堤一次</w:t>
            </w:r>
          </w:p>
        </w:tc>
        <w:tc>
          <w:tcPr>
            <w:tcW w:w="2684" w:type="dxa"/>
            <w:gridSpan w:val="6"/>
            <w:noWrap w:val="0"/>
            <w:vAlign w:val="center"/>
          </w:tcPr>
          <w:p>
            <w:pPr>
              <w:tabs>
                <w:tab w:val="left" w:pos="592"/>
              </w:tabs>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ab/>
            </w:r>
            <w:r>
              <w:rPr>
                <w:rFonts w:hint="eastAsia" w:ascii="仿宋_GB2312" w:hAnsi="仿宋_GB2312" w:eastAsia="仿宋_GB2312" w:cs="仿宋_GB2312"/>
                <w:b/>
                <w:color w:val="000000"/>
                <w:sz w:val="24"/>
                <w:lang w:val="en-US" w:eastAsia="zh-CN"/>
              </w:rPr>
              <w:t>合格率达95%以上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每月20日之前完成大堤巡查工作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合格率达95%以上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年底前完成所有工作。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合格率达98%以上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控制在预算内各项工作要求的成本。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合格率达95%以上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宣传所有公民保护大堤管理工作。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满意度达95%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完成堤防考核、考评工作，实行奖励制度。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满意度达98%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保护好生态环境。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满意度达95%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对社会群众保养大堤意识满意度。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满意度达95%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2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1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03"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孙建平</w:t>
            </w:r>
          </w:p>
        </w:tc>
        <w:tc>
          <w:tcPr>
            <w:tcW w:w="362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工程师</w:t>
            </w:r>
          </w:p>
        </w:tc>
        <w:tc>
          <w:tcPr>
            <w:tcW w:w="1514"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长江护岸工程管理所</w:t>
            </w:r>
          </w:p>
        </w:tc>
        <w:tc>
          <w:tcPr>
            <w:tcW w:w="3003"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孙建平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孙贤明</w:t>
            </w:r>
          </w:p>
        </w:tc>
        <w:tc>
          <w:tcPr>
            <w:tcW w:w="3629"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管理九级</w:t>
            </w:r>
          </w:p>
        </w:tc>
        <w:tc>
          <w:tcPr>
            <w:tcW w:w="151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长江护岸工程管理所</w:t>
            </w:r>
          </w:p>
        </w:tc>
        <w:tc>
          <w:tcPr>
            <w:tcW w:w="3003"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孙贤明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王永祥</w:t>
            </w:r>
          </w:p>
        </w:tc>
        <w:tc>
          <w:tcPr>
            <w:tcW w:w="3629"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工程师</w:t>
            </w:r>
          </w:p>
        </w:tc>
        <w:tc>
          <w:tcPr>
            <w:tcW w:w="151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长江护岸工程管理所</w:t>
            </w:r>
          </w:p>
        </w:tc>
        <w:tc>
          <w:tcPr>
            <w:tcW w:w="3003"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王永祥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李淑君</w:t>
            </w:r>
          </w:p>
        </w:tc>
        <w:tc>
          <w:tcPr>
            <w:tcW w:w="3629"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 计</w:t>
            </w:r>
          </w:p>
        </w:tc>
        <w:tc>
          <w:tcPr>
            <w:tcW w:w="151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长江护岸工程管理所</w:t>
            </w:r>
          </w:p>
        </w:tc>
        <w:tc>
          <w:tcPr>
            <w:tcW w:w="3003"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李淑君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ind w:firstLine="2160" w:firstLineChars="9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对此项工作完成度很满意。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孙建平</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 xml:space="preserve"> 6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7</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李淑君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18873092301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长江护岸工程管理所隶属华容县水利局，是其下属二级纯公益性事业单位，属于财政全额拨款单位。现有编织人员19人，实有在编人员18人。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720" w:firstLineChars="300"/>
              <w:rPr>
                <w:rFonts w:hint="eastAsia" w:ascii="仿宋_GB2312" w:hAnsi="仿宋_GB2312" w:eastAsia="仿宋_GB2312" w:cs="仿宋_GB2312"/>
                <w:bCs/>
                <w:sz w:val="28"/>
                <w:szCs w:val="28"/>
              </w:rPr>
            </w:pPr>
            <w:r>
              <w:rPr>
                <w:rFonts w:hint="eastAsia" w:ascii="仿宋_GB2312" w:hAnsi="宋体" w:eastAsia="仿宋_GB2312" w:cs="仿宋_GB2312"/>
                <w:i w:val="0"/>
                <w:color w:val="000000"/>
                <w:kern w:val="0"/>
                <w:sz w:val="24"/>
                <w:szCs w:val="24"/>
                <w:u w:val="none"/>
                <w:lang w:val="en-US" w:eastAsia="zh-CN" w:bidi="ar"/>
              </w:rPr>
              <w:t>（</w:t>
            </w:r>
            <w:r>
              <w:rPr>
                <w:rFonts w:hint="default" w:ascii="仿宋_GB2312" w:hAnsi="宋体" w:eastAsia="仿宋_GB2312" w:cs="仿宋_GB2312"/>
                <w:i w:val="0"/>
                <w:color w:val="000000"/>
                <w:kern w:val="0"/>
                <w:sz w:val="24"/>
                <w:szCs w:val="24"/>
                <w:u w:val="none"/>
                <w:lang w:val="en-US" w:eastAsia="zh-CN" w:bidi="ar"/>
              </w:rPr>
              <w:t>1)负责长江岸线下荆江新沙及天字一号河段32.7公里的岸线巡查、数据采集及堤防整险工程的申报工作。</w:t>
            </w:r>
            <w:r>
              <w:rPr>
                <w:rFonts w:hint="eastAsia" w:ascii="仿宋_GB2312" w:hAnsi="宋体" w:eastAsia="仿宋_GB2312" w:cs="仿宋_GB2312"/>
                <w:i w:val="0"/>
                <w:color w:val="000000"/>
                <w:kern w:val="0"/>
                <w:sz w:val="24"/>
                <w:szCs w:val="24"/>
                <w:u w:val="none"/>
                <w:lang w:val="en-US" w:eastAsia="zh-CN" w:bidi="ar"/>
              </w:rPr>
              <w:t>主要支出人员工资和岸线</w:t>
            </w:r>
            <w:r>
              <w:rPr>
                <w:rFonts w:hint="default" w:ascii="仿宋_GB2312" w:hAnsi="宋体" w:eastAsia="仿宋_GB2312" w:cs="仿宋_GB2312"/>
                <w:i w:val="0"/>
                <w:color w:val="000000"/>
                <w:kern w:val="0"/>
                <w:sz w:val="24"/>
                <w:szCs w:val="24"/>
                <w:u w:val="none"/>
                <w:lang w:val="en-US" w:eastAsia="zh-CN" w:bidi="ar"/>
              </w:rPr>
              <w:t>巡查</w:t>
            </w:r>
            <w:r>
              <w:rPr>
                <w:rFonts w:hint="eastAsia" w:ascii="仿宋_GB2312" w:hAnsi="宋体" w:eastAsia="仿宋_GB2312" w:cs="仿宋_GB2312"/>
                <w:i w:val="0"/>
                <w:color w:val="000000"/>
                <w:kern w:val="0"/>
                <w:sz w:val="24"/>
                <w:szCs w:val="24"/>
                <w:u w:val="none"/>
                <w:lang w:val="en-US" w:eastAsia="zh-CN" w:bidi="ar"/>
              </w:rPr>
              <w:t>开支。</w:t>
            </w:r>
            <w:r>
              <w:rPr>
                <w:rFonts w:hint="default"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（2）负责华容县325公里的一线防洪大堤和32.7公里长江干堤规范化管理实施工作</w:t>
            </w:r>
            <w:r>
              <w:rPr>
                <w:rFonts w:hint="eastAsia" w:ascii="仿宋" w:hAnsi="仿宋" w:eastAsia="仿宋" w:cs="仿宋"/>
                <w:bCs/>
                <w:sz w:val="28"/>
                <w:szCs w:val="28"/>
                <w:lang w:val="en-US"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一）基本支出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234.18万元，其中人员经费182.31万元，日常公用经费51.87万元。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（二）专项支出</w:t>
            </w:r>
            <w:r>
              <w:rPr>
                <w:rFonts w:hint="eastAsia" w:ascii="仿宋_GB2312" w:hAnsi="仿宋_GB2312" w:eastAsia="仿宋_GB2312" w:cs="仿宋_GB2312"/>
                <w:bCs/>
                <w:sz w:val="28"/>
                <w:szCs w:val="28"/>
                <w:lang w:val="en-US" w:eastAsia="zh-CN"/>
              </w:rPr>
              <w:t>38.44万元。</w:t>
            </w:r>
          </w:p>
          <w:p>
            <w:pPr>
              <w:spacing w:line="560" w:lineRule="exact"/>
              <w:ind w:firstLine="840" w:firstLineChars="3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1、专项资金安排落实、总投入等情况分析</w:t>
            </w:r>
          </w:p>
          <w:p>
            <w:pPr>
              <w:spacing w:line="56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（一）专项组织情况分析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无</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（二）专项管理情况分析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default" w:ascii="黑体" w:hAnsi="黑体" w:eastAsia="黑体" w:cs="黑体"/>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按上级部门要求使用支出绩效，没有违规违纪超范围使用。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numPr>
                <w:ilvl w:val="0"/>
                <w:numId w:val="0"/>
              </w:numPr>
              <w:spacing w:line="560" w:lineRule="exact"/>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对绩效评价认识不足，对整体支出绩效评价工作经验不足。预算执行进度   和效率有待加强，绩效目标管理和调整有待提升。</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2"/>
              </w:numPr>
              <w:spacing w:line="560" w:lineRule="exact"/>
              <w:ind w:left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切实加快预算执行进度，提升资金使用效率。</w:t>
            </w:r>
          </w:p>
          <w:p>
            <w:pPr>
              <w:numPr>
                <w:ilvl w:val="0"/>
                <w:numId w:val="2"/>
              </w:numPr>
              <w:spacing w:line="560" w:lineRule="exact"/>
              <w:ind w:left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密切关注目标任务开展情况，确保实际工作切合绩效目标。</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szCs w:val="32"/>
          <w:u w:val="single"/>
          <w:lang w:val="en-US" w:eastAsia="zh-CN"/>
        </w:rPr>
        <w:t>华容县长江护岸工程管理所</w:t>
      </w:r>
      <w:r>
        <w:rPr>
          <w:rFonts w:hint="eastAsia" w:eastAsia="仿宋_GB2312"/>
          <w:sz w:val="32"/>
          <w:szCs w:val="32"/>
          <w:u w:val="single"/>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华容县水利局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B86D"/>
    <w:multiLevelType w:val="singleLevel"/>
    <w:tmpl w:val="EA87B86D"/>
    <w:lvl w:ilvl="0" w:tentative="0">
      <w:start w:val="1"/>
      <w:numFmt w:val="decimal"/>
      <w:suff w:val="nothing"/>
      <w:lvlText w:val="%1，"/>
      <w:lvlJc w:val="left"/>
    </w:lvl>
  </w:abstractNum>
  <w:abstractNum w:abstractNumId="1">
    <w:nsid w:val="7F4D1966"/>
    <w:multiLevelType w:val="singleLevel"/>
    <w:tmpl w:val="7F4D196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7C40B31"/>
    <w:rsid w:val="083749E7"/>
    <w:rsid w:val="0B315354"/>
    <w:rsid w:val="0CB679B8"/>
    <w:rsid w:val="0CEB2A70"/>
    <w:rsid w:val="0DE528CD"/>
    <w:rsid w:val="1336279F"/>
    <w:rsid w:val="138E5FC6"/>
    <w:rsid w:val="158F52E5"/>
    <w:rsid w:val="177D4ED7"/>
    <w:rsid w:val="18725427"/>
    <w:rsid w:val="21967D46"/>
    <w:rsid w:val="254E2FC7"/>
    <w:rsid w:val="25B607B7"/>
    <w:rsid w:val="25C33B62"/>
    <w:rsid w:val="263C173A"/>
    <w:rsid w:val="289D055E"/>
    <w:rsid w:val="2C9F197B"/>
    <w:rsid w:val="2CA33441"/>
    <w:rsid w:val="2CE55C20"/>
    <w:rsid w:val="2DAA46F9"/>
    <w:rsid w:val="2F287302"/>
    <w:rsid w:val="30426D13"/>
    <w:rsid w:val="3A277701"/>
    <w:rsid w:val="3A43255A"/>
    <w:rsid w:val="3D6201A1"/>
    <w:rsid w:val="3EC46785"/>
    <w:rsid w:val="3F8A6044"/>
    <w:rsid w:val="43A702D9"/>
    <w:rsid w:val="44592EA4"/>
    <w:rsid w:val="477245B4"/>
    <w:rsid w:val="48C6292B"/>
    <w:rsid w:val="49617FA5"/>
    <w:rsid w:val="4D171D42"/>
    <w:rsid w:val="4D2655CA"/>
    <w:rsid w:val="4E4F0BB0"/>
    <w:rsid w:val="50946450"/>
    <w:rsid w:val="53BD573C"/>
    <w:rsid w:val="56A84370"/>
    <w:rsid w:val="5BE95901"/>
    <w:rsid w:val="5E37493A"/>
    <w:rsid w:val="600D5BEE"/>
    <w:rsid w:val="662840A1"/>
    <w:rsid w:val="663504D6"/>
    <w:rsid w:val="67C74074"/>
    <w:rsid w:val="6A0A15CD"/>
    <w:rsid w:val="6CB331E7"/>
    <w:rsid w:val="6D452F22"/>
    <w:rsid w:val="6D60527D"/>
    <w:rsid w:val="6DF352BD"/>
    <w:rsid w:val="6F317A89"/>
    <w:rsid w:val="705E3E6D"/>
    <w:rsid w:val="71C1048A"/>
    <w:rsid w:val="7396188C"/>
    <w:rsid w:val="73F35F5B"/>
    <w:rsid w:val="76DF1987"/>
    <w:rsid w:val="77CB6BA4"/>
    <w:rsid w:val="79C04582"/>
    <w:rsid w:val="7AF57FAC"/>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5715</Words>
  <Characters>6043</Characters>
  <Lines>0</Lines>
  <Paragraphs>0</Paragraphs>
  <TotalTime>5</TotalTime>
  <ScaleCrop>false</ScaleCrop>
  <LinksUpToDate>false</LinksUpToDate>
  <CharactersWithSpaces>7246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2022-11-09T02:02:00Z</cp:lastPrinted>
  <dcterms:modified xsi:type="dcterms:W3CDTF">2022-11-09T02:04:24Z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