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华容县第一中学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30</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肖波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13574032995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282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1.宣传贯彻执行党和国家的教育方针、教育政策、教育</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法律和法规，贯彻执行上级教育行政部门的各项规章制度。</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2.在政府和上级教育主管部门的领导下，争取资金改善</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办学条件，为师生的学习和工作提供优美和谐的环境。</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3.根据县级人民政府制定的教育事业发展规划，结合实</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际制定并组织实施本校的教育事业发展规划。</w:t>
            </w:r>
          </w:p>
          <w:p>
            <w:pPr>
              <w:autoSpaceDN w:val="0"/>
              <w:spacing w:line="320" w:lineRule="exact"/>
              <w:ind w:firstLine="480" w:firstLineChars="200"/>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4.按照干部和教师的职数、编制和管理权限，负责对本校的干部和教师进行管理，制定切实可行的学校工作规章制度，以提高教育教学质量为目的，对干部职工的工作开展客观、公正的评价和考核。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5.按照普通高中教育课程计划，开齐课程，开足课时，认真实施教育教学管理工作，全面提高教育教学质量。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年度主要</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第二中学“民转公”工作。</w:t>
            </w:r>
          </w:p>
          <w:p>
            <w:pPr>
              <w:autoSpaceDN w:val="0"/>
              <w:spacing w:line="320" w:lineRule="exact"/>
              <w:ind w:firstLine="440" w:firstLineChars="200"/>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宋体" w:hAnsi="宋体" w:eastAsia="宋体" w:cs="宋体"/>
                <w:b w:val="0"/>
                <w:bCs w:val="0"/>
                <w:color w:val="000000" w:themeColor="text1"/>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rPr>
            </w:pPr>
            <w:r>
              <w:rPr>
                <w:rFonts w:hint="eastAsia" w:ascii="仿宋_GB2312" w:hAnsi="仿宋_GB2312" w:eastAsia="仿宋_GB2312" w:cs="仿宋_GB2312"/>
                <w:color w:val="000000" w:themeColor="text1"/>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rPr>
              <w:t>学校在县委县政府、县教体局的正确领导下，全面贯彻党的教育方针,全面推进学校改革发展，攻坚克难，团结奋进，在教育教学、校园升级改造、师资建设等方面取得了一系列全新成绩</w:t>
            </w:r>
            <w:r>
              <w:rPr>
                <w:rFonts w:hint="eastAsia" w:ascii="仿宋_GB2312" w:hAnsi="仿宋_GB2312" w:eastAsia="仿宋_GB2312" w:cs="仿宋_GB2312"/>
                <w:color w:val="000000" w:themeColor="text1"/>
                <w:sz w:val="24"/>
                <w:lang w:val="en-US" w:eastAsia="zh-CN"/>
              </w:rPr>
              <w:t>。</w:t>
            </w:r>
          </w:p>
          <w:p>
            <w:pPr>
              <w:keepNext w:val="0"/>
              <w:keepLines w:val="0"/>
              <w:pageBreakBefore w:val="0"/>
              <w:numPr>
                <w:ilvl w:val="0"/>
                <w:numId w:val="1"/>
              </w:numPr>
              <w:kinsoku/>
              <w:wordWrap/>
              <w:overflowPunct/>
              <w:topLinePunct w:val="0"/>
              <w:autoSpaceDE/>
              <w:autoSpaceDN/>
              <w:bidi w:val="0"/>
              <w:adjustRightInd/>
              <w:snapToGrid/>
              <w:ind w:firstLine="480" w:firstLineChars="200"/>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抓实了教育教学常规及“两考”复习备考，高考取得全新成绩。</w:t>
            </w:r>
          </w:p>
          <w:p>
            <w:pPr>
              <w:keepNext w:val="0"/>
              <w:keepLines w:val="0"/>
              <w:pageBreakBefore w:val="0"/>
              <w:numPr>
                <w:ilvl w:val="0"/>
                <w:numId w:val="0"/>
              </w:numPr>
              <w:kinsoku/>
              <w:wordWrap/>
              <w:overflowPunct/>
              <w:topLinePunct w:val="0"/>
              <w:autoSpaceDE/>
              <w:autoSpaceDN/>
              <w:bidi w:val="0"/>
              <w:adjustRightInd/>
              <w:snapToGrid/>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2021年高考面上取得全新成绩：参考894人，本科上线810人，本科率90.6%，其中一本上线近500人（含专业生），一本率达56%，一本升学率再创历史新高。特优生方面，600分以上34人。全部考上本科的班级有：C1809班，班主任蔡建亮；C1810班，班主任张铁钢。物理类600分以上班级前三名：1811班，班主任谢朝军；1812班，班主任胡昌武；1810班，班主任张铁钢。历史类最高分617分，班主任蒋晨畅。</w:t>
            </w:r>
          </w:p>
          <w:p>
            <w:pPr>
              <w:keepNext w:val="0"/>
              <w:keepLines w:val="0"/>
              <w:pageBreakBefore w:val="0"/>
              <w:numPr>
                <w:ilvl w:val="0"/>
                <w:numId w:val="0"/>
              </w:numPr>
              <w:kinsoku/>
              <w:wordWrap/>
              <w:overflowPunct/>
              <w:topLinePunct w:val="0"/>
              <w:autoSpaceDE/>
              <w:autoSpaceDN/>
              <w:bidi w:val="0"/>
              <w:adjustRightInd/>
              <w:snapToGrid/>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 xml:space="preserve">    2、积极推进学校提质改造。</w:t>
            </w:r>
          </w:p>
          <w:p>
            <w:pPr>
              <w:keepNext w:val="0"/>
              <w:keepLines w:val="0"/>
              <w:pageBreakBefore w:val="0"/>
              <w:numPr>
                <w:ilvl w:val="0"/>
                <w:numId w:val="0"/>
              </w:numPr>
              <w:kinsoku/>
              <w:wordWrap/>
              <w:overflowPunct/>
              <w:topLinePunct w:val="0"/>
              <w:autoSpaceDE/>
              <w:autoSpaceDN/>
              <w:bidi w:val="0"/>
              <w:adjustRightInd/>
              <w:snapToGrid/>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校园提质改造目前已完成提质改造整体设计、教师教学用笔记本电脑更换、一体机更新、计算机房建设、校园低音广播系统升级、科教大楼维修等六项目，校门改造与校园广场改造、体艺馆木地板更换、CPU球场建设、办公大楼维修正紧锣密鼓推进，力争暑假完工。公租房主体工程将于10月份完工，年底投入使用。</w:t>
            </w:r>
          </w:p>
          <w:p>
            <w:pPr>
              <w:keepNext w:val="0"/>
              <w:keepLines w:val="0"/>
              <w:pageBreakBefore w:val="0"/>
              <w:numPr>
                <w:ilvl w:val="0"/>
                <w:numId w:val="0"/>
              </w:numPr>
              <w:kinsoku/>
              <w:wordWrap/>
              <w:overflowPunct/>
              <w:topLinePunct w:val="0"/>
              <w:autoSpaceDE/>
              <w:autoSpaceDN/>
              <w:bidi w:val="0"/>
              <w:adjustRightInd/>
              <w:snapToGrid/>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3</w:t>
            </w:r>
            <w:r>
              <w:rPr>
                <w:rFonts w:hint="default" w:ascii="仿宋_GB2312" w:hAnsi="仿宋_GB2312" w:eastAsia="仿宋_GB2312" w:cs="仿宋_GB2312"/>
                <w:color w:val="000000" w:themeColor="text1"/>
                <w:sz w:val="24"/>
                <w:lang w:val="en-US" w:eastAsia="zh-CN"/>
              </w:rPr>
              <w:t>、丰富形式，工会活动精彩纷呈。</w:t>
            </w:r>
          </w:p>
          <w:p>
            <w:pPr>
              <w:keepNext w:val="0"/>
              <w:keepLines w:val="0"/>
              <w:pageBreakBefore w:val="0"/>
              <w:numPr>
                <w:ilvl w:val="0"/>
                <w:numId w:val="0"/>
              </w:numPr>
              <w:kinsoku/>
              <w:wordWrap/>
              <w:overflowPunct/>
              <w:topLinePunct w:val="0"/>
              <w:autoSpaceDE/>
              <w:autoSpaceDN/>
              <w:bidi w:val="0"/>
              <w:adjustRightInd/>
              <w:snapToGrid/>
              <w:rPr>
                <w:rFonts w:hint="default" w:ascii="仿宋_GB2312" w:hAnsi="仿宋_GB2312" w:eastAsia="仿宋_GB2312" w:cs="仿宋_GB2312"/>
                <w:color w:val="000000" w:themeColor="text1"/>
                <w:sz w:val="24"/>
                <w:lang w:val="en-US" w:eastAsia="zh-CN"/>
              </w:rPr>
            </w:pPr>
            <w:r>
              <w:rPr>
                <w:rFonts w:hint="default" w:ascii="仿宋_GB2312" w:hAnsi="仿宋_GB2312" w:eastAsia="仿宋_GB2312" w:cs="仿宋_GB2312"/>
                <w:color w:val="000000" w:themeColor="text1"/>
                <w:sz w:val="24"/>
                <w:lang w:val="en-US" w:eastAsia="zh-CN"/>
              </w:rPr>
              <w:t>本期我校工会工作精彩纷呈，亮点不断。工会谈图新主席热心服务，积极组织教职工参与河南陈家沟太极拳练习，工会干事李玲老师每天不辞辛劳地把瑜伽习练室打扫的干干净净，热心为教工太极的晨练晚练搞好服务。今年的春游改为5个工会小组5次活动（往年春游都是全校统一组织一次活动），策划组织任务大，工会干事胡铮同志为每个活动精心策划，所有活动组织得有条不紊，平平安安，受了全校教师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公共财</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其他</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华容县第一中学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default" w:ascii="仿宋_GB2312" w:hAnsi="仿宋_GB2312" w:eastAsia="仿宋_GB2312" w:cs="仿宋_GB2312"/>
                <w:color w:val="000000" w:themeColor="text1"/>
                <w:sz w:val="24"/>
                <w:lang w:val="en-US" w:eastAsia="zh-CN"/>
              </w:rPr>
              <w:t>5439.4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default" w:ascii="仿宋_GB2312" w:hAnsi="仿宋_GB2312" w:eastAsia="仿宋_GB2312" w:cs="仿宋_GB2312"/>
                <w:color w:val="000000" w:themeColor="text1"/>
                <w:sz w:val="24"/>
                <w:lang w:val="en-US" w:eastAsia="zh-CN"/>
              </w:rPr>
              <w:t>4610.27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default" w:ascii="仿宋_GB2312" w:hAnsi="仿宋_GB2312" w:eastAsia="仿宋_GB2312" w:cs="仿宋_GB2312"/>
                <w:color w:val="000000" w:themeColor="text1"/>
                <w:sz w:val="24"/>
                <w:lang w:val="en-US" w:eastAsia="zh-CN"/>
              </w:rPr>
              <w:t>829.13</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000000" w:themeColor="text1"/>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themeColor="text1"/>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themeColor="text1"/>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themeColor="text1"/>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themeColor="text1"/>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华容县第一中学</w:t>
            </w:r>
          </w:p>
        </w:tc>
        <w:tc>
          <w:tcPr>
            <w:tcW w:w="1080" w:type="dxa"/>
            <w:tcBorders>
              <w:righ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宋体" w:hAnsi="宋体" w:eastAsia="宋体" w:cs="宋体"/>
                <w:b/>
                <w:bCs/>
                <w:i w:val="0"/>
                <w:iCs w:val="0"/>
                <w:color w:val="000000" w:themeColor="text1"/>
                <w:kern w:val="0"/>
                <w:sz w:val="22"/>
                <w:szCs w:val="22"/>
                <w:u w:val="none"/>
                <w:lang w:val="en-US" w:eastAsia="zh-CN" w:bidi="ar"/>
              </w:rPr>
              <w:t>5,439.40</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宋体" w:hAnsi="宋体" w:eastAsia="宋体" w:cs="宋体"/>
                <w:b/>
                <w:bCs/>
                <w:i w:val="0"/>
                <w:iCs w:val="0"/>
                <w:color w:val="000000" w:themeColor="text1"/>
                <w:kern w:val="0"/>
                <w:sz w:val="22"/>
                <w:szCs w:val="22"/>
                <w:u w:val="none"/>
                <w:lang w:val="en-US" w:eastAsia="zh-CN" w:bidi="ar"/>
              </w:rPr>
              <w:t>4,966.70</w:t>
            </w:r>
          </w:p>
        </w:tc>
        <w:tc>
          <w:tcPr>
            <w:tcW w:w="1080" w:type="dxa"/>
            <w:gridSpan w:val="2"/>
            <w:vAlign w:val="center"/>
          </w:tcPr>
          <w:p>
            <w:pPr>
              <w:keepNext w:val="0"/>
              <w:keepLines w:val="0"/>
              <w:widowControl/>
              <w:suppressLineNumbers w:val="0"/>
              <w:jc w:val="right"/>
              <w:textAlignment w:val="center"/>
              <w:rPr>
                <w:rFonts w:hint="default" w:ascii="宋体" w:hAnsi="宋体" w:eastAsia="宋体" w:cs="宋体"/>
                <w:i w:val="0"/>
                <w:iCs w:val="0"/>
                <w:color w:val="000000" w:themeColor="text1"/>
                <w:kern w:val="2"/>
                <w:sz w:val="22"/>
                <w:szCs w:val="22"/>
                <w:u w:val="none"/>
                <w:lang w:val="en-US" w:eastAsia="zh-CN" w:bidi="ar-SA"/>
              </w:rPr>
            </w:pPr>
            <w:r>
              <w:rPr>
                <w:rFonts w:hint="eastAsia" w:ascii="宋体" w:hAnsi="宋体" w:cs="宋体"/>
                <w:i w:val="0"/>
                <w:iCs w:val="0"/>
                <w:color w:val="000000" w:themeColor="text1"/>
                <w:kern w:val="2"/>
                <w:sz w:val="22"/>
                <w:szCs w:val="22"/>
                <w:u w:val="none"/>
                <w:lang w:val="en-US" w:eastAsia="zh-CN" w:bidi="ar-SA"/>
              </w:rPr>
              <w:t>3171.18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kern w:val="2"/>
                <w:sz w:val="24"/>
                <w:szCs w:val="24"/>
                <w:lang w:val="en-US" w:eastAsia="zh-CN" w:bidi="ar-SA"/>
              </w:rPr>
              <w:t>1795.52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472.7</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三公经费</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华容县第一中学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3.7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固定资产</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华容县第一中学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11567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11567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themeColor="text1"/>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3774" w:type="dxa"/>
            <w:gridSpan w:val="7"/>
            <w:vAlign w:val="center"/>
          </w:tcPr>
          <w:p>
            <w:pPr>
              <w:autoSpaceDN w:val="0"/>
              <w:spacing w:line="320" w:lineRule="exact"/>
              <w:jc w:val="center"/>
              <w:textAlignment w:val="center"/>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1.教育质量全面提升。</w:t>
            </w:r>
          </w:p>
          <w:p>
            <w:pPr>
              <w:autoSpaceDN w:val="0"/>
              <w:spacing w:line="320" w:lineRule="exact"/>
              <w:jc w:val="center"/>
              <w:textAlignment w:val="center"/>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2.安全管理全面强化。</w:t>
            </w:r>
          </w:p>
          <w:p>
            <w:pPr>
              <w:autoSpaceDN w:val="0"/>
              <w:spacing w:line="320" w:lineRule="exact"/>
              <w:jc w:val="center"/>
              <w:textAlignment w:val="center"/>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3.队伍建设全面加强。</w:t>
            </w:r>
          </w:p>
          <w:p>
            <w:pPr>
              <w:autoSpaceDN w:val="0"/>
              <w:spacing w:line="320" w:lineRule="exact"/>
              <w:jc w:val="center"/>
              <w:textAlignment w:val="center"/>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4.教育管理全面规范。</w:t>
            </w:r>
          </w:p>
          <w:p>
            <w:pPr>
              <w:autoSpaceDN w:val="0"/>
              <w:spacing w:line="320" w:lineRule="exact"/>
              <w:jc w:val="center"/>
              <w:textAlignment w:val="center"/>
              <w:rPr>
                <w:rFonts w:hint="eastAsia" w:ascii="宋体" w:hAnsi="宋体" w:eastAsia="宋体" w:cs="宋体"/>
                <w:b w:val="0"/>
                <w:bCs w:val="0"/>
                <w:color w:val="000000" w:themeColor="text1"/>
                <w:sz w:val="22"/>
                <w:szCs w:val="22"/>
              </w:rPr>
            </w:pPr>
            <w:r>
              <w:rPr>
                <w:rFonts w:hint="eastAsia" w:ascii="宋体" w:hAnsi="宋体" w:eastAsia="宋体" w:cs="宋体"/>
                <w:b w:val="0"/>
                <w:bCs w:val="0"/>
                <w:color w:val="000000" w:themeColor="text1"/>
                <w:sz w:val="22"/>
                <w:szCs w:val="22"/>
              </w:rPr>
              <w:t>5.发展保障全面深化。</w:t>
            </w:r>
          </w:p>
          <w:p>
            <w:pPr>
              <w:autoSpaceDN w:val="0"/>
              <w:spacing w:line="320" w:lineRule="exact"/>
              <w:jc w:val="center"/>
              <w:textAlignment w:val="center"/>
              <w:rPr>
                <w:rFonts w:hint="eastAsia" w:ascii="宋体" w:hAnsi="宋体" w:eastAsia="宋体" w:cs="宋体"/>
                <w:b/>
                <w:bCs/>
                <w:color w:val="000000" w:themeColor="text1"/>
                <w:sz w:val="22"/>
                <w:szCs w:val="22"/>
              </w:rPr>
            </w:pPr>
          </w:p>
        </w:tc>
        <w:tc>
          <w:tcPr>
            <w:tcW w:w="4585" w:type="dxa"/>
            <w:gridSpan w:val="9"/>
            <w:vAlign w:val="center"/>
          </w:tcPr>
          <w:p>
            <w:pPr>
              <w:rPr>
                <w:rFonts w:hint="eastAsia" w:ascii="宋体" w:hAnsi="宋体" w:eastAsia="宋体" w:cs="宋体"/>
                <w:color w:val="000000" w:themeColor="text1"/>
                <w:sz w:val="22"/>
                <w:szCs w:val="22"/>
                <w:lang w:val="en-US" w:eastAsia="zh-CN"/>
              </w:rPr>
            </w:pPr>
            <w:r>
              <w:rPr>
                <w:rFonts w:hint="eastAsia" w:ascii="宋体" w:hAnsi="宋体" w:eastAsia="宋体" w:cs="宋体"/>
                <w:color w:val="000000" w:themeColor="text1"/>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r>
              <w:rPr>
                <w:rFonts w:hint="eastAsia" w:ascii="宋体" w:hAnsi="宋体" w:eastAsia="宋体" w:cs="宋体"/>
                <w:color w:val="000000" w:themeColor="text1"/>
                <w:sz w:val="22"/>
                <w:szCs w:val="22"/>
                <w:lang w:val="en-US" w:eastAsia="zh-CN"/>
              </w:rPr>
              <w:t>获华容县2021年度德育工作先进单位称号。获华容县学校安全工作先进单位称号。获教育教学质量综合评价先进单位称号。</w:t>
            </w:r>
          </w:p>
          <w:p>
            <w:pPr>
              <w:rPr>
                <w:rFonts w:hint="eastAsia" w:ascii="宋体" w:hAnsi="宋体" w:eastAsia="宋体" w:cs="宋体"/>
                <w:color w:val="000000" w:themeColor="text1"/>
                <w:sz w:val="22"/>
                <w:szCs w:val="22"/>
              </w:rPr>
            </w:pPr>
          </w:p>
          <w:p>
            <w:pPr>
              <w:autoSpaceDN w:val="0"/>
              <w:spacing w:line="320" w:lineRule="exact"/>
              <w:ind w:firstLine="215" w:firstLineChars="98"/>
              <w:textAlignment w:val="center"/>
              <w:rPr>
                <w:rFonts w:hint="eastAsia" w:ascii="宋体" w:hAnsi="宋体" w:eastAsia="宋体" w:cs="宋体"/>
                <w:color w:val="000000" w:themeColor="text1"/>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整体支出</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themeColor="text1"/>
                <w:sz w:val="24"/>
              </w:rPr>
            </w:pPr>
            <w:r>
              <w:rPr>
                <w:rFonts w:hint="eastAsia" w:cs="仿宋_GB2312" w:asciiTheme="minorEastAsia" w:hAnsiTheme="minorEastAsia" w:eastAsiaTheme="minorEastAsia"/>
                <w:color w:val="000000" w:themeColor="text1"/>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产出目标</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val="0"/>
                <w:bCs/>
                <w:color w:val="000000" w:themeColor="text1"/>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themeColor="text1"/>
                <w:sz w:val="24"/>
              </w:rPr>
            </w:pPr>
            <w:r>
              <w:rPr>
                <w:rFonts w:hint="eastAsia" w:cs="仿宋_GB2312" w:asciiTheme="minorEastAsia" w:hAnsiTheme="minorEastAsia" w:eastAsiaTheme="minorEastAsia"/>
                <w:b w:val="0"/>
                <w:bCs/>
                <w:color w:val="000000" w:themeColor="text1"/>
                <w:sz w:val="22"/>
                <w:szCs w:val="22"/>
              </w:rPr>
              <w:t>2021年高考面上取得全新成绩：参考894人，本科上线810人，本科率90.6%，其中一本上线近500人（含专业生），一本率达56%，一本升学率再创历史新高。特优生方面，600分以上34人。全部考上本科的班级有：C1809班，班主任蔡建亮；C1810班，班主任张铁钢。物理类600分以上班级前三名：1811班，班主任谢朝军；1812班，班主任胡昌武；1810班，班主任张铁钢。历史类最高分617分，班主任蒋晨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themeColor="text1"/>
                <w:sz w:val="24"/>
              </w:rPr>
            </w:pPr>
            <w:r>
              <w:rPr>
                <w:rFonts w:hint="eastAsia" w:cs="仿宋_GB2312" w:asciiTheme="minorEastAsia" w:hAnsiTheme="minorEastAsia" w:eastAsiaTheme="minorEastAsia"/>
                <w:b w:val="0"/>
                <w:bCs/>
                <w:color w:val="000000" w:themeColor="text1"/>
                <w:sz w:val="22"/>
                <w:szCs w:val="22"/>
              </w:rPr>
              <w:t>定期组织对校园进行全面安全排查，发现隐患及时整改、彻底整改；认真开展防溺水、交通安全、校园反恐演练、学生紧急疏散演练等全校性的大型安全教育，大力提升师生的安全意识；以专家讲座、“心理社团”、集体观看心理辅导视频等多种形式深入开展心理健康教育，对心理特异学生及时跟踪，及时化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队伍建设</w:t>
            </w:r>
          </w:p>
        </w:tc>
        <w:tc>
          <w:tcPr>
            <w:tcW w:w="2684" w:type="dxa"/>
            <w:gridSpan w:val="6"/>
            <w:vAlign w:val="center"/>
          </w:tcPr>
          <w:p>
            <w:pPr>
              <w:numPr>
                <w:ilvl w:val="0"/>
                <w:numId w:val="0"/>
              </w:numPr>
              <w:autoSpaceDN w:val="0"/>
              <w:spacing w:line="320" w:lineRule="exact"/>
              <w:jc w:val="left"/>
              <w:textAlignment w:val="center"/>
              <w:rPr>
                <w:rFonts w:hint="eastAsia" w:ascii="仿宋" w:hAnsi="仿宋" w:eastAsia="仿宋" w:cs="仿宋"/>
                <w:b w:val="0"/>
                <w:bCs/>
                <w:color w:val="000000" w:themeColor="text1"/>
                <w:sz w:val="22"/>
                <w:szCs w:val="22"/>
                <w:lang w:val="en-US" w:eastAsia="zh-CN"/>
              </w:rPr>
            </w:pPr>
            <w:r>
              <w:rPr>
                <w:rFonts w:hint="eastAsia" w:ascii="仿宋" w:hAnsi="仿宋" w:eastAsia="仿宋" w:cs="仿宋"/>
                <w:b w:val="0"/>
                <w:bCs/>
                <w:color w:val="000000" w:themeColor="text1"/>
                <w:sz w:val="22"/>
                <w:szCs w:val="22"/>
                <w:lang w:val="en-US" w:eastAsia="zh-CN"/>
              </w:rPr>
              <w:t>一是以党史教育为契机隆重举行了“我为党旗增辉.我为一中添彩”主题演讲比赛，在广大教职工中大力营造了积极为学校建功立业的良好氛围。二是5月份开展了党风廉政月宣传活动，充分利用宣传栏、组织观看红色电影《悬崖之上》等方式对全体党员进行党风廉政教育。三是6月28日隆重举行了庆祝建党一百周年大会，表彰了先进，弘扬了正气，树立了典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themeColor="text1"/>
                <w:sz w:val="24"/>
              </w:rPr>
            </w:pPr>
            <w:r>
              <w:rPr>
                <w:rFonts w:hint="eastAsia" w:ascii="仿宋_GB2312" w:hAnsi="仿宋_GB2312" w:eastAsia="仿宋_GB2312" w:cs="仿宋_GB2312"/>
                <w:color w:val="000000" w:themeColor="text1"/>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themeColor="text1"/>
                <w:sz w:val="24"/>
              </w:rPr>
            </w:pPr>
            <w:r>
              <w:rPr>
                <w:rFonts w:hint="eastAsia" w:ascii="仿宋_GB2312" w:hAnsi="仿宋_GB2312" w:eastAsia="仿宋_GB2312" w:cs="仿宋_GB2312"/>
                <w:color w:val="000000" w:themeColor="text1"/>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效益目标</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hint="eastAsia" w:ascii="仿宋" w:hAnsi="仿宋" w:eastAsia="仿宋" w:cs="仿宋"/>
                <w:b w:val="0"/>
                <w:bCs w:val="0"/>
                <w:color w:val="000000" w:themeColor="text1"/>
                <w:sz w:val="22"/>
                <w:szCs w:val="22"/>
                <w:lang w:val="en-US" w:eastAsia="zh-CN"/>
              </w:rPr>
            </w:pPr>
            <w:r>
              <w:rPr>
                <w:rFonts w:hint="eastAsia" w:ascii="仿宋" w:hAnsi="仿宋" w:eastAsia="仿宋" w:cs="仿宋"/>
                <w:b w:val="0"/>
                <w:bCs w:val="0"/>
                <w:color w:val="000000" w:themeColor="text1"/>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b/>
                <w:bCs/>
                <w:color w:val="000000" w:themeColor="text1"/>
                <w:sz w:val="32"/>
                <w:szCs w:val="32"/>
              </w:rPr>
            </w:pPr>
          </w:p>
          <w:p>
            <w:pPr>
              <w:autoSpaceDN w:val="0"/>
              <w:spacing w:line="320" w:lineRule="exact"/>
              <w:jc w:val="left"/>
              <w:textAlignment w:val="center"/>
              <w:rPr>
                <w:rFonts w:ascii="仿宋_GB2312" w:hAnsi="仿宋_GB2312" w:eastAsia="仿宋_GB2312" w:cs="仿宋_GB2312"/>
                <w:color w:val="000000" w:themeColor="text1"/>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themeColor="text1"/>
                <w:sz w:val="24"/>
                <w:lang w:val="en-US" w:eastAsia="zh-CN"/>
              </w:rPr>
            </w:pPr>
            <w:r>
              <w:rPr>
                <w:rFonts w:hint="eastAsia" w:ascii="仿宋" w:hAnsi="仿宋" w:eastAsia="仿宋" w:cs="仿宋"/>
                <w:b w:val="0"/>
                <w:bCs/>
                <w:color w:val="000000" w:themeColor="text1"/>
                <w:sz w:val="22"/>
                <w:szCs w:val="22"/>
                <w:lang w:val="en-US" w:eastAsia="zh-CN"/>
              </w:rPr>
              <w:t>校园提质改造目前已完成提质改造整体设计、教师教学用笔记本电脑更换、一体机更新、计算机房建设、校园低音广播系统升级、科教大楼维修等六项目，校门改造与校园广场改造、体艺馆木地板更换、CPU球场建设、办公大楼维修正紧锣密鼓推进，力争暑假完工。公租房主体工程将于10月份完工，年底投入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themeColor="text1"/>
                <w:kern w:val="2"/>
                <w:sz w:val="24"/>
                <w:szCs w:val="24"/>
                <w:lang w:val="en-US" w:eastAsia="zh-CN" w:bidi="ar-SA"/>
              </w:rPr>
            </w:pPr>
            <w:r>
              <w:rPr>
                <w:rFonts w:hint="eastAsia" w:ascii="仿宋_GB2312" w:hAnsi="仿宋_GB2312" w:eastAsia="仿宋_GB2312" w:cs="仿宋_GB2312"/>
                <w:color w:val="000000" w:themeColor="text1"/>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color w:val="000000" w:themeColor="text1"/>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刘奉良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华容一中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陈姜红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val="en-US" w:eastAsia="zh-CN"/>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华容一中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汪美卓</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华容一中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肖波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val="en-US" w:eastAsia="zh-CN"/>
              </w:rPr>
              <w:t>华容一中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p>
            <w:pPr>
              <w:autoSpaceDN w:val="0"/>
              <w:spacing w:line="320" w:lineRule="exact"/>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479" w:type="dxa"/>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评价组组长（签字）：</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部门（单位）意见：</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color w:val="000000" w:themeColor="text1"/>
                <w:sz w:val="24"/>
              </w:rPr>
            </w:pPr>
            <w:r>
              <w:rPr>
                <w:rFonts w:hint="eastAsia" w:eastAsia="仿宋_GB2312"/>
                <w:color w:val="000000" w:themeColor="text1"/>
                <w:sz w:val="24"/>
              </w:rPr>
              <w:t>财政部门归口业务科室意见：</w:t>
            </w:r>
          </w:p>
          <w:p>
            <w:pPr>
              <w:spacing w:line="320" w:lineRule="exact"/>
              <w:rPr>
                <w:rFonts w:eastAsia="仿宋_GB2312"/>
                <w:color w:val="000000" w:themeColor="text1"/>
                <w:sz w:val="24"/>
              </w:rPr>
            </w:pPr>
          </w:p>
          <w:p>
            <w:pPr>
              <w:spacing w:line="320" w:lineRule="exact"/>
              <w:rPr>
                <w:rFonts w:eastAsia="仿宋_GB2312"/>
                <w:color w:val="000000" w:themeColor="text1"/>
                <w:sz w:val="24"/>
              </w:rPr>
            </w:pPr>
          </w:p>
          <w:p>
            <w:pPr>
              <w:spacing w:line="320" w:lineRule="exact"/>
              <w:rPr>
                <w:rFonts w:eastAsia="仿宋_GB2312"/>
                <w:color w:val="000000" w:themeColor="text1"/>
                <w:sz w:val="24"/>
              </w:rPr>
            </w:pPr>
          </w:p>
          <w:p>
            <w:pPr>
              <w:spacing w:line="320" w:lineRule="exact"/>
              <w:rPr>
                <w:rFonts w:eastAsia="仿宋_GB2312"/>
                <w:color w:val="000000" w:themeColor="text1"/>
                <w:sz w:val="24"/>
              </w:rPr>
            </w:pPr>
          </w:p>
          <w:p>
            <w:pPr>
              <w:spacing w:line="320" w:lineRule="exact"/>
              <w:rPr>
                <w:rFonts w:eastAsia="仿宋_GB2312"/>
                <w:color w:val="000000" w:themeColor="text1"/>
                <w:sz w:val="24"/>
              </w:rPr>
            </w:pPr>
            <w:r>
              <w:rPr>
                <w:rFonts w:hint="eastAsia" w:eastAsia="仿宋_GB2312"/>
                <w:color w:val="000000" w:themeColor="text1"/>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eastAsia="仿宋_GB2312"/>
                <w:color w:val="000000" w:themeColor="text1"/>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肖波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13574032995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1.宣传贯彻执行党和国家的教育方针、教育政策、教育</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法律和法规，贯彻执行上级教育行政部门的各项规章制度。</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2.在政府和上级教育主管部门的领导下，争取资金改善</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办学条件，为师生的学习和工作提供优美和谐的环境。</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3.根据县级人民政府制定的教育事业发展规划，结合实</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际制定并组织实施本校的教育事业发展规划。</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4.按照干部和教师的职数、编制和管理权限，负责对本校的干部和教师进行管理，制定切实可行的学校工作规章制度，以提高教育教学质量为目的，对干部职工的工作开展客观、公正的评价和考核。</w:t>
            </w:r>
          </w:p>
          <w:p>
            <w:pPr>
              <w:spacing w:line="56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5.按照普通高中教育课程计划，开齐课程，开足课时，认真实施教育教学管理工作，全面提高教育教学质量。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4137.57</w:t>
            </w:r>
            <w:r>
              <w:rPr>
                <w:rFonts w:hint="eastAsia" w:ascii="仿宋_GB2312" w:hAnsi="仿宋_GB2312" w:eastAsia="仿宋_GB2312" w:cs="仿宋_GB2312"/>
                <w:bCs/>
                <w:sz w:val="28"/>
                <w:szCs w:val="28"/>
              </w:rPr>
              <w:t>万元，其中：人员经费3,161.14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976.44</w:t>
            </w:r>
            <w:bookmarkStart w:id="0" w:name="_GoBack"/>
            <w:bookmarkEnd w:id="0"/>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3.7</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0.4</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472.7</w:t>
            </w:r>
            <w:r>
              <w:rPr>
                <w:rFonts w:hint="eastAsia" w:ascii="仿宋_GB2312" w:hAnsi="仿宋_GB2312" w:eastAsia="仿宋_GB2312" w:cs="仿宋_GB2312"/>
                <w:bCs/>
                <w:sz w:val="28"/>
                <w:szCs w:val="28"/>
              </w:rPr>
              <w:t>万元，用于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第二中学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91253358">
    <w:nsid w:val="F3DB926E"/>
    <w:multiLevelType w:val="singleLevel"/>
    <w:tmpl w:val="F3DB926E"/>
    <w:lvl w:ilvl="0" w:tentative="1">
      <w:start w:val="1"/>
      <w:numFmt w:val="decimal"/>
      <w:suff w:val="nothing"/>
      <w:lvlText w:val="%1、"/>
      <w:lvlJc w:val="left"/>
    </w:lvl>
  </w:abstractNum>
  <w:num w:numId="1">
    <w:abstractNumId w:val="40912533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ZlY2YwNzQyNzVjZDQ1MDM1MDJlOGFkNTg3ZDc5YmU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110709B"/>
    <w:rsid w:val="02951B05"/>
    <w:rsid w:val="065B1F66"/>
    <w:rsid w:val="06710E08"/>
    <w:rsid w:val="06902037"/>
    <w:rsid w:val="06C15190"/>
    <w:rsid w:val="083749E7"/>
    <w:rsid w:val="08D44707"/>
    <w:rsid w:val="09F764BA"/>
    <w:rsid w:val="0B6A752E"/>
    <w:rsid w:val="0CB679B8"/>
    <w:rsid w:val="0D5C7CE3"/>
    <w:rsid w:val="0DE528CD"/>
    <w:rsid w:val="0ECA5069"/>
    <w:rsid w:val="1336279F"/>
    <w:rsid w:val="14B46A8F"/>
    <w:rsid w:val="15050F6B"/>
    <w:rsid w:val="155F19F9"/>
    <w:rsid w:val="16151959"/>
    <w:rsid w:val="18725427"/>
    <w:rsid w:val="189C111D"/>
    <w:rsid w:val="226C7C0C"/>
    <w:rsid w:val="254E2FC7"/>
    <w:rsid w:val="257B7155"/>
    <w:rsid w:val="25B607B7"/>
    <w:rsid w:val="263C173A"/>
    <w:rsid w:val="289D055E"/>
    <w:rsid w:val="29B10ADC"/>
    <w:rsid w:val="2AD530BE"/>
    <w:rsid w:val="2AE535D8"/>
    <w:rsid w:val="2C7300A6"/>
    <w:rsid w:val="2C9F197B"/>
    <w:rsid w:val="2CA33441"/>
    <w:rsid w:val="2CE55C20"/>
    <w:rsid w:val="2D214C78"/>
    <w:rsid w:val="2EAF5530"/>
    <w:rsid w:val="2F287302"/>
    <w:rsid w:val="2F61560E"/>
    <w:rsid w:val="30426D13"/>
    <w:rsid w:val="31EC7616"/>
    <w:rsid w:val="3303324A"/>
    <w:rsid w:val="336C3A96"/>
    <w:rsid w:val="346445BC"/>
    <w:rsid w:val="3A43255A"/>
    <w:rsid w:val="3B2F667B"/>
    <w:rsid w:val="3B70357A"/>
    <w:rsid w:val="3BED2D63"/>
    <w:rsid w:val="3D6201A1"/>
    <w:rsid w:val="3EC46785"/>
    <w:rsid w:val="3F545722"/>
    <w:rsid w:val="3F8A6044"/>
    <w:rsid w:val="43A702D9"/>
    <w:rsid w:val="44592EA4"/>
    <w:rsid w:val="452D57C7"/>
    <w:rsid w:val="45FB5A1D"/>
    <w:rsid w:val="477245B4"/>
    <w:rsid w:val="49617FA5"/>
    <w:rsid w:val="49C36269"/>
    <w:rsid w:val="4D171D42"/>
    <w:rsid w:val="4D384845"/>
    <w:rsid w:val="4D522B98"/>
    <w:rsid w:val="4E4F0BB0"/>
    <w:rsid w:val="5B562003"/>
    <w:rsid w:val="5BE95901"/>
    <w:rsid w:val="5BF10A58"/>
    <w:rsid w:val="5EFB71CC"/>
    <w:rsid w:val="5F2F71B3"/>
    <w:rsid w:val="5F607AD9"/>
    <w:rsid w:val="64A82DBC"/>
    <w:rsid w:val="6534368E"/>
    <w:rsid w:val="6A0A15CD"/>
    <w:rsid w:val="6B150A32"/>
    <w:rsid w:val="6D452F22"/>
    <w:rsid w:val="6DF352BD"/>
    <w:rsid w:val="6F2629DE"/>
    <w:rsid w:val="705E3E6D"/>
    <w:rsid w:val="71C1048A"/>
    <w:rsid w:val="7390077F"/>
    <w:rsid w:val="7396188C"/>
    <w:rsid w:val="73F35F5B"/>
    <w:rsid w:val="741048D5"/>
    <w:rsid w:val="75041948"/>
    <w:rsid w:val="778D7AB3"/>
    <w:rsid w:val="782B3C13"/>
    <w:rsid w:val="79046EBF"/>
    <w:rsid w:val="79C04582"/>
    <w:rsid w:val="7CBF72C4"/>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6423</Words>
  <Characters>6789</Characters>
  <Lines>126</Lines>
  <Paragraphs>35</Paragraphs>
  <TotalTime>0</TotalTime>
  <ScaleCrop>false</ScaleCrop>
  <LinksUpToDate>false</LinksUpToDate>
  <CharactersWithSpaces>7309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2022-11-07T02:38:00Z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