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部门(单位)名称：华容县教育体育局</w:t>
      </w:r>
    </w:p>
    <w:p>
      <w:pPr>
        <w:spacing w:before="301" w:beforeLines="50" w:line="348" w:lineRule="auto"/>
        <w:ind w:firstLine="476" w:firstLineChars="150"/>
        <w:rPr>
          <w:rFonts w:eastAsia="仿宋_GB2312"/>
          <w:spacing w:val="30"/>
          <w:sz w:val="32"/>
          <w:szCs w:val="32"/>
        </w:rPr>
      </w:pPr>
      <w:r>
        <w:rPr>
          <w:rFonts w:hint="eastAsia" w:eastAsia="仿宋_GB2312"/>
          <w:sz w:val="32"/>
          <w:szCs w:val="32"/>
        </w:rPr>
        <w:t>预</w:t>
      </w:r>
      <w:r>
        <w:rPr>
          <w:rFonts w:hint="eastAsia" w:eastAsia="仿宋_GB2312"/>
          <w:spacing w:val="30"/>
          <w:sz w:val="32"/>
          <w:szCs w:val="32"/>
        </w:rPr>
        <w:t xml:space="preserve"> 算 编 码：205</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王夏</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15897305988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4783</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（一）贯彻执行党和国家教育体育工作的路线、方针、政策和法律、法规，研究拟定教育体育改革与发展政策并监督实施；拟订并组织实施全县教育体育事业发展规划。</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（二）研究拟定全县教育布局和结构调整方案，会同有关部门制定学校设置标准，指导、协调各级各类学校教育教学改革，负责全县教体系统基本信息的统计、分析和发布工作。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（三）管理和指导全县基础教育、职业技术教育、成人教育、特殊教育、学前教育和社会力量办学工作。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执行落实中央和省、市有关普通高校、成人高校、中等专业学校以及研究生招生计划、自学考试计划，负责制定并实施全县普通高中、职业中专（高中）招生计划，负责师范类大中专毕业生、研究生回县的就业指导和教育人才交流的管理与服务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指导全县各级各类学校的思想政治工作、德育工作、教育教学科研工作和群团组织管理工作，统筹规划全县教师队伍建设，负责中小学教师的资格认定、招聘、职务评聘、培养培训和考核等有关工作，负责全县出国留学人员的派出管理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（六）配合有关部门拟定教育系统的人员编制、劳动工资、人事管理工作的具体办法和规章制度，抓好教体系统行政干部党风廉政建设，抓好教育行风建设。</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（七）贯彻执行中央和省、市有关筹措教育经费的方针、政策和法规、拟定教育基建投资，事业经费和统配物资设备的管理制度，负责系统内教育经费的预算、决算、监管和审计工作。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（八）落实师生资助政策，建立健全困难教师、困难学生资助体系。</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（九）配合有关部门做好学校安全保卫工作、中小学危房改造工作、计划生育工作、学校周边环境治理和其他工作。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（十）推行全民健身计划，指导并组织开展多种形式的群众性体育锻炼、体育训练和竞赛活动。实施国家体育锻炼标准，开展国民体质监测。</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（十一）负责体育彩票销售管理工作。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（十二）负责办好体育学校，为国家输送高水平的体育后备人才。</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（十三）落实县政府交办的其他事项。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spacing w:line="6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保教育稳定。一是带好中层骨干队伍。抓好校长、股长“关键少数”，强化教体系统干部队伍作风建设，严格干部队伍管理，推进“清廉机关”“清廉学校”建设，树立教体系统的良好形象。大力开展教育去行政化，按照“多出、少补、严进”的原则，逐步压减教体系统行政干部数量，切实解决人浮于事的问题。二是激活教师内生动力。积极争取县委县政府支持，逐步提高教师绩效工资标准。完善教师免费体检制度，实行全体教师“一年一检”。加大教师表彰奖励力度，继续实施“名师名校长”工程，在全县大型会议上对优秀教师、教育工作者进行表彰。三是攻克热点难点问题。成立工作专班，加强与举办者的沟通协商，稳妥推进侨联环城学校“民转公”工作。分阶段、分步骤有序引导师大田家湖学校公办教师退出。完善校长任期制，强化任期目标考核，形成校长退出机制。启动“县管校聘”改革试点，促进县内教师有序流动。</w:t>
            </w:r>
          </w:p>
          <w:p>
            <w:pPr>
              <w:spacing w:line="6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二是优队伍。加大公费定向师范生的送培力度，培养“本土化”教师，增加教师队伍的稳定性。适时开展社会招聘，适量补充紧缺学科教师。设置一定比例的机动编制，切实解决休产假、重病等临时性缺编问题。加大培训力度，分层次组织股长、校长、教师外出学习，提升队伍整体素质。加强教体系统后备人才库建设，实施动态管理、适时培养、定期考核。三是强保障。加大教育经费保障力度，争取财政预算向教育倾斜。积极争取上级专项及县本级资金支持，彻底解决高中阶段债务问题。落实市委“基教十条”要求，确保义教生均公用经费按要求提标到位。大力发展教育基金，充分发挥教育基金会的奖教、助教作用。</w:t>
            </w:r>
          </w:p>
          <w:p>
            <w:pPr>
              <w:spacing w:line="6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谋长远发展。一是加强教育宏观统筹。树立“大教育”理念，完善县委教育工作领导小组秘书组机构，协调解决教育发展难题，推动教育优先发展。落实县领导联系学校制度，形成政府牵头、部门联动、社会聚力的教育发展新格局。二是引领教育健康发展。持续开展“师德师风建设年”活动，通过优秀典型引领，大力唱响教育，将教体系统打造成综合素质高地。抓实学生心理健康教育，落实心理健康教育课程，加强心理健康教育专兼职教师队伍培养培训，建好、用好学校心理咨询室，完善家长学校建设，引导家长树立正确的家庭教育理念。三是调优城乡教育布局。实施办学条件“三年提质”行动，整合现有资源，重点建设好“一乡镇一中学、一中心小学、一公办幼儿园”。实施高中学校布局调整，在充分调研的基础上，稳妥有序推进县二中、县五中的撤点工作。落实“教育优先发展先锋行动”，推行教育实事项目承诺备案制，切实改善农村薄弱学校办学条件。</w:t>
            </w:r>
          </w:p>
          <w:p>
            <w:pPr>
              <w:autoSpaceDN w:val="0"/>
              <w:spacing w:line="320" w:lineRule="exact"/>
              <w:ind w:firstLine="48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spacing w:line="6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教育质量全面提升。一方面，狠抓教学质量。以“校联体”为依托，大力促进城乡教育整体提质。一年来，15个“校联体”学校累计开展交流活动40余次，送课近100堂。《科教新报》以《“校联体”赋能教育均衡》为题，对我县“校联体”工作进行了推介。2021年高考，全县一二本上线1470人，上线率55.96%，再创历史新高。另一方面，坚持五育并举。把“立德树人”作为根本任务，认真落实“双减”政策要求，加强学生“五项管理”，实现城乡学校课后服务“5+2”全覆盖。开齐开足艺体课程，切实加强劳动教育，认真组织研学实践活动，学生综合素质得到全面提升。不断强化学校文化建设，全力促进学校内涵发展。2021年，职业中专等3所学校被评为青少年校园足球特色学校、</w:t>
            </w:r>
            <w:r>
              <w:rPr>
                <w:rFonts w:ascii="仿宋_GB2312" w:hAnsi="仿宋_GB2312" w:eastAsia="仿宋_GB2312" w:cs="仿宋_GB2312"/>
                <w:color w:val="000000"/>
                <w:sz w:val="24"/>
              </w:rPr>
              <w:t>北景港中学</w:t>
            </w:r>
            <w:r>
              <w:rPr>
                <w:rFonts w:hint="eastAsia" w:ascii="仿宋_GB2312" w:hAnsi="仿宋_GB2312" w:eastAsia="仿宋_GB2312" w:cs="仿宋_GB2312"/>
                <w:color w:val="000000"/>
                <w:sz w:val="24"/>
              </w:rPr>
              <w:t>等10所学校被评为文明（标兵）校园。</w:t>
            </w:r>
          </w:p>
          <w:p>
            <w:pPr>
              <w:spacing w:line="6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安全管理全面强化。坚持“预防为主、安全第一、综合治理”原则，结合学校安全专项整治三年行动计划，进一步压实了安全责任，落实了各项措施，织密了校园安全的“防护网”，我局被评为全市学校安全管理先进单位。一是责任压实到位。建立了局班子成员包片、机关干部联点、校长包学校、校委会成员下年级组、班主任包班级、教师包学生的校园安全包保责任制。局班子成员每季度采取“四不两直”方式检查校园安全一次以上。二是督促检查到位。建立了重大隐患“一单四制”，实行隐患台账管理，落实月报、交办、通报、跟踪督办、整改销号制度。开展了春秋两季学校食品安全“护苗”行动，配合公安、应急管理、市场监管等部门开展校园及周边治安环境集中整治行动3次，取得了较好的整治效果。三是预防教育到位。将学生的法制教育、安全教育、心理健康教育纳入教学计划，实现了安全教育课时、教材、教师“三落实”。重点抓实了防溺水教育，发放《致家长的一封信》7万多份，张贴宣传挂图1000多张，并以县委教育工作领导小组名义，下发了《关于落实暑期防学生溺水十条措施的通知》，切实加强暑期内防学生溺水监管。</w:t>
            </w:r>
          </w:p>
          <w:p>
            <w:pPr>
              <w:spacing w:line="6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队伍建设全面加强。一是强化培养培训。一年来，组织全县各学段教师参加了59个国培、省培和市培项目，累计培训教师2000人次。同时，加大公费定向师范生的培养力度，2021年送培公费师范生148人。二是激发队伍活力。印发了《华容县中小学校长任期制及目标管理考核办法》，探索实施校长任期制改革。目前，已与所有学校校长签订任期目标责任书。同时，在县一中、怀乡中学启动“县管校聘”试点，全面激活干部教师队伍活力。三是注重人文关怀。建立、完善了困难教师档案，开展特困教师慰问活动。今年来，我局共慰问特困教师143人，发放困难补助15.1万元；组织全县女教职工（含退休）3438人进行了健康体检，为所有女教职工购买了“双癌”保险。同时，还组织了未婚青年教师联谊活动，为青年教师搭建交友平台。</w:t>
            </w:r>
          </w:p>
          <w:p>
            <w:pPr>
              <w:spacing w:line="6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4.教育管理全面规范。一是提升督导水平。成立了以分管县领导为主任的全县教育督导委员会，完善了督导评估考核办法，实施学校工作基础性、过程性、发展性“三维”评价机制，采取三维评价结果与增值性评价结果相结合的办法来评价学校工作。二是规范校外培训。根据“双减”政策精神，按照“规范一批、取缔一批、准入一批”的要求，扎实开展校外培训机构整治工作。全县115家非法校外培训机构，已经取缔5家，自行关停62家，准入48家，全部完成了整治任务。三是强化后勤管理。协调县公有资产管理中心，完成治河中学等15家校园商店公开拍租工作，获得国有资产经营性收益834.5万元。对教体系统的教师公租房进行了全面清理，上缴租赁收益45万元。对学校校内小卖部、超市进行专项整治，基本实现非寄宿制学校停办校园商店。以“视频厨房+互联网中央监管平台”模式推进“明厨亮灶”工程，基本完成全县学校食堂“明厨亮灶”。 </w:t>
            </w:r>
          </w:p>
          <w:p>
            <w:pPr>
              <w:spacing w:line="6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发展保障全面深化。一是办学条件不断改善。今年来，争取校舍安全保障、薄弱环节改善等，完成全县82所学校校舍维修建设；此外，筹集资金203.2万元，完成学校校舍空调的安装。二是学位供给不断扩大。争取县委县政府支持，新建容城学位和容城幼儿园，可新增2160个小学学位和270个幼儿学位，明年春季可投入使用。另外，东山镇第一幼儿园顺利开园，步步高明辉幼儿园也即将开园招生，公办幼儿园学位供给不断扩大。三是资助体系不断完善。完成了全国资助系统、省“一单式”扶贫系统、省防返贫监测与帮扶管理平台的填报及上报工作。对2018年以来，通过财政惠农补贴“一卡通”平台发放的各级各类助学资金进行了自清自查，学生资助体系不断完善。</w:t>
            </w:r>
          </w:p>
          <w:p>
            <w:pPr>
              <w:spacing w:line="6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体育事业全面发展。一是群众体育活动扎实开展。先后举办了第五届“体彩杯”男子篮球联谊赛、“体彩杯”羽毛球联谊赛，组队参加了“我要上全运”社区趣味运动会。指导各类体育协会组织开展了围棋、长跑、太极拳等各类比赛活动10多场次，助推了群众体育活动的有序开展。二是“体育惠民”工程稳步实施。为8个村场、社区配备了室外体育路径器材。隆西小学被省体育局体育彩票管理中心评为“公益体彩 快乐操场”受赠学校，并获赠了篮球架、乒乓球桌和近5000元的体育器材。同时，完善了体育类社会团体成立、变更、注销登记等相关制度，成立了华容县太极拳协会，全县体育类单项协会达到14个。三是体彩销售成效显著。按照省体彩销售网点标准化建设要求，新增了10个销售网点，通过体育赛事、地面推广等多种形式，不断加大体彩工作宣传力度，扩大了体育彩票的社会影响。截至目前，全县体彩销售量已达1550万元。</w:t>
            </w:r>
          </w:p>
          <w:p>
            <w:pPr>
              <w:autoSpaceDN w:val="0"/>
              <w:spacing w:line="320" w:lineRule="exact"/>
              <w:ind w:firstLine="48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ign w:val="center"/>
          </w:tcPr>
          <w:p>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widowControl/>
              <w:jc w:val="center"/>
              <w:textAlignment w:val="center"/>
              <w:rPr>
                <w:rFonts w:ascii="仿宋_GB2312" w:hAnsi="仿宋_GB2312" w:eastAsia="仿宋_GB2312" w:cs="仿宋_GB2312"/>
                <w:color w:val="000000"/>
                <w:sz w:val="24"/>
              </w:rPr>
            </w:pPr>
            <w:r>
              <w:rPr>
                <w:rFonts w:hint="eastAsia"/>
                <w:color w:val="000000"/>
              </w:rPr>
              <w:t>89160.61</w:t>
            </w:r>
          </w:p>
        </w:tc>
        <w:tc>
          <w:tcPr>
            <w:tcW w:w="1355" w:type="dxa"/>
            <w:gridSpan w:val="2"/>
            <w:tcBorders>
              <w:left w:val="single" w:color="auto" w:sz="4" w:space="0"/>
            </w:tcBorders>
            <w:noWrap/>
            <w:vAlign w:val="center"/>
          </w:tcPr>
          <w:p>
            <w:pPr>
              <w:widowControl/>
              <w:jc w:val="center"/>
              <w:textAlignment w:val="center"/>
              <w:rPr>
                <w:rFonts w:ascii="仿宋_GB2312" w:hAnsi="仿宋_GB2312" w:eastAsia="仿宋_GB2312" w:cs="仿宋_GB2312"/>
                <w:color w:val="000000"/>
                <w:sz w:val="24"/>
              </w:rPr>
            </w:pPr>
            <w:r>
              <w:rPr>
                <w:rFonts w:hint="eastAsia"/>
                <w:color w:val="000000"/>
              </w:rPr>
              <w:t>0</w:t>
            </w:r>
          </w:p>
        </w:tc>
        <w:tc>
          <w:tcPr>
            <w:tcW w:w="1080" w:type="dxa"/>
            <w:gridSpan w:val="2"/>
            <w:noWrap/>
            <w:vAlign w:val="center"/>
          </w:tcPr>
          <w:p>
            <w:pPr>
              <w:widowControl/>
              <w:jc w:val="center"/>
              <w:textAlignment w:val="center"/>
              <w:rPr>
                <w:rFonts w:ascii="仿宋_GB2312" w:hAnsi="仿宋_GB2312" w:eastAsia="仿宋_GB2312" w:cs="仿宋_GB2312"/>
                <w:color w:val="000000"/>
                <w:sz w:val="24"/>
              </w:rPr>
            </w:pPr>
            <w:r>
              <w:rPr>
                <w:rFonts w:hint="eastAsia"/>
                <w:color w:val="000000"/>
              </w:rPr>
              <w:t>82791.9</w:t>
            </w:r>
          </w:p>
        </w:tc>
        <w:tc>
          <w:tcPr>
            <w:tcW w:w="1705" w:type="dxa"/>
            <w:gridSpan w:val="2"/>
            <w:noWrap/>
            <w:vAlign w:val="center"/>
          </w:tcPr>
          <w:p>
            <w:pPr>
              <w:widowControl/>
              <w:jc w:val="center"/>
              <w:textAlignment w:val="center"/>
              <w:rPr>
                <w:rFonts w:ascii="仿宋_GB2312" w:hAnsi="仿宋_GB2312" w:eastAsia="仿宋_GB2312" w:cs="仿宋_GB2312"/>
                <w:color w:val="000000"/>
                <w:sz w:val="24"/>
              </w:rPr>
            </w:pPr>
            <w:r>
              <w:rPr>
                <w:rFonts w:hint="eastAsia"/>
                <w:color w:val="000000"/>
              </w:rPr>
              <w:t>1045.8</w:t>
            </w:r>
          </w:p>
        </w:tc>
        <w:tc>
          <w:tcPr>
            <w:tcW w:w="1800" w:type="dxa"/>
            <w:gridSpan w:val="4"/>
            <w:noWrap/>
            <w:vAlign w:val="center"/>
          </w:tcPr>
          <w:p>
            <w:pPr>
              <w:widowControl/>
              <w:jc w:val="center"/>
              <w:textAlignment w:val="center"/>
              <w:rPr>
                <w:rFonts w:ascii="仿宋_GB2312" w:hAnsi="仿宋_GB2312" w:eastAsia="仿宋_GB2312" w:cs="仿宋_GB2312"/>
                <w:color w:val="000000"/>
                <w:sz w:val="24"/>
              </w:rPr>
            </w:pPr>
            <w:r>
              <w:rPr>
                <w:rFonts w:hint="eastAsia"/>
                <w:color w:val="000000"/>
              </w:rPr>
              <w:t>5322.91</w:t>
            </w:r>
          </w:p>
        </w:tc>
        <w:tc>
          <w:tcPr>
            <w:tcW w:w="1080" w:type="dxa"/>
            <w:gridSpan w:val="3"/>
            <w:noWrap/>
            <w:vAlign w:val="center"/>
          </w:tcPr>
          <w:p>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1.局机关</w:t>
            </w:r>
          </w:p>
        </w:tc>
        <w:tc>
          <w:tcPr>
            <w:tcW w:w="1080" w:type="dxa"/>
            <w:tcBorders>
              <w:right w:val="single" w:color="auto" w:sz="4" w:space="0"/>
            </w:tcBorders>
            <w:noWrap/>
            <w:vAlign w:val="center"/>
          </w:tcPr>
          <w:p>
            <w:pPr>
              <w:spacing w:line="320" w:lineRule="exact"/>
              <w:jc w:val="center"/>
              <w:rPr>
                <w:rFonts w:ascii="仿宋_GB2312" w:hAnsi="仿宋_GB2312" w:eastAsia="仿宋_GB2312" w:cs="仿宋_GB2312"/>
                <w:color w:val="000000"/>
                <w:sz w:val="24"/>
              </w:rPr>
            </w:pPr>
            <w:r>
              <w:rPr>
                <w:rFonts w:hint="eastAsia" w:ascii="仿宋_GB2312" w:hAnsi="等线" w:eastAsia="仿宋_GB2312"/>
                <w:color w:val="000000"/>
              </w:rPr>
              <w:t>2,515.69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2,515.69</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2.华容县进修附中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2,226.13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1968.47</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257.66</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3.华容县治河渡镇治河中学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1,983.98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1953.94</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30.04</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4.华容县职业中专</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6,462.97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6031.07</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431.9</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5.华容县长工实验学校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3,567.83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3175.93</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391.9</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6.华容县章华镇红石中学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2,953.41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2921.89</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31.52</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7.华容县禹山镇南山中学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2,967.04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2949.94</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17.1</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8.华容县第一中学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5,439.40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4610.27</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829.13</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9.华容县新河乡新河中学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2,498.53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2488.46</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10.07</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10.华容县第五中学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2,603.33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2187.93</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165.4</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11.华容县万庾镇万庾中学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2,859.28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2837.49</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21.79</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12.华容县团洲中学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1,311.16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1287.53</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23.63</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13.华容县特殊教育学校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594.39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570.74</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23.65</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14.华容县实验小学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2,546.58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2026.19</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520.39</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15.华容县第三中学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2,378.68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1915.64</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213.04</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16.华容县三封寺镇三封中学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2,768.02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2738.02</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17.华容县容城学校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6,228.13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6228.13</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18.华容县全民健身指导服务中心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96.63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96.63</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19.华容县桥东小学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752.16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668.83</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83.33</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20.华容县侨联环城学校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2,394.63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2029.98</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364.65</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21.华容县鲇鱼须镇鲇市中学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3,500.31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3455.71</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44.6</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22.华容县梅田中学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1,954.44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1935.88</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18.56</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23.华容县马鞍山实验学校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1,743.25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1,511.64</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231.61</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24.华容县机关幼儿园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324.67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240.08</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84.59</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25.华容县黄湖小学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1,063.31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945.43</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117.88</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26.华容县怀乡中学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4,118.88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3472.82</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396.06</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27.华容县华一护城中学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159.84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116.68</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43.16</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28.华容县第二中学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3,028.61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2522.47</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256.14</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29.华容县东山镇东山中学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5,589.00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5548.06</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40.94</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30.华容县第一幼儿园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411.40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274.08</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137.32</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31.华容县第四中学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3,064.69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3026.78</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37.91</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32.华容县第二幼儿园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323.06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206.01</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117.05</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33.华容县城兴小学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464.20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406.27</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57.93</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34.华容县城关中心小学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2,007.10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1769.42</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237.68</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35.华容县插旗镇插旗中学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1,597.02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1587.02</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36.华容县操军镇操军中学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2,385.94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2350.06</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35.88</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37.华容县北景港中学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1,950.72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1916.67</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34.05</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38.湖南师范大学附属田家湖学校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326.20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304.05</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22.15</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b/>
                <w:bCs/>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b/>
                <w:bCs/>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bottom"/>
          </w:tcPr>
          <w:p>
            <w:pPr>
              <w:widowControl/>
              <w:jc w:val="center"/>
              <w:textAlignment w:val="center"/>
              <w:rPr>
                <w:rFonts w:ascii="仿宋_GB2312" w:hAnsi="仿宋_GB2312" w:eastAsia="仿宋_GB2312" w:cs="仿宋_GB2312"/>
                <w:color w:val="000000"/>
                <w:sz w:val="24"/>
              </w:rPr>
            </w:pPr>
            <w:r>
              <w:rPr>
                <w:rFonts w:hint="eastAsia" w:ascii="等线" w:hAnsi="等线" w:eastAsia="等线"/>
                <w:color w:val="000000"/>
                <w:sz w:val="22"/>
                <w:szCs w:val="22"/>
              </w:rPr>
              <w:t>89,160.61</w:t>
            </w:r>
          </w:p>
        </w:tc>
        <w:tc>
          <w:tcPr>
            <w:tcW w:w="1355" w:type="dxa"/>
            <w:gridSpan w:val="2"/>
            <w:tcBorders>
              <w:left w:val="single" w:color="auto" w:sz="4" w:space="0"/>
            </w:tcBorders>
            <w:noWrap/>
            <w:vAlign w:val="bottom"/>
          </w:tcPr>
          <w:p>
            <w:pPr>
              <w:widowControl/>
              <w:jc w:val="center"/>
              <w:textAlignment w:val="center"/>
              <w:rPr>
                <w:rFonts w:hint="eastAsia" w:ascii="仿宋_GB2312" w:hAnsi="仿宋_GB2312" w:eastAsia="等线" w:cs="仿宋_GB2312"/>
                <w:color w:val="000000"/>
                <w:sz w:val="24"/>
                <w:lang w:val="en-US" w:eastAsia="zh-CN"/>
              </w:rPr>
            </w:pPr>
            <w:r>
              <w:rPr>
                <w:rFonts w:hint="eastAsia" w:ascii="等线" w:hAnsi="等线" w:eastAsia="等线"/>
                <w:color w:val="000000"/>
                <w:sz w:val="22"/>
                <w:szCs w:val="22"/>
              </w:rPr>
              <w:t>73,032.4</w:t>
            </w:r>
            <w:r>
              <w:rPr>
                <w:rFonts w:hint="eastAsia" w:ascii="等线" w:hAnsi="等线" w:eastAsia="等线"/>
                <w:color w:val="000000"/>
                <w:sz w:val="22"/>
                <w:szCs w:val="22"/>
                <w:lang w:val="en-US" w:eastAsia="zh-CN"/>
              </w:rPr>
              <w:t>4</w:t>
            </w:r>
          </w:p>
        </w:tc>
        <w:tc>
          <w:tcPr>
            <w:tcW w:w="1080" w:type="dxa"/>
            <w:gridSpan w:val="2"/>
            <w:noWrap/>
            <w:vAlign w:val="bottom"/>
          </w:tcPr>
          <w:p>
            <w:pPr>
              <w:widowControl/>
              <w:jc w:val="center"/>
              <w:textAlignment w:val="center"/>
              <w:rPr>
                <w:rFonts w:hint="default" w:ascii="仿宋_GB2312" w:hAnsi="仿宋_GB2312" w:eastAsia="等线" w:cs="仿宋_GB2312"/>
                <w:color w:val="000000"/>
                <w:sz w:val="24"/>
                <w:lang w:val="en-US" w:eastAsia="zh-CN"/>
              </w:rPr>
            </w:pPr>
            <w:r>
              <w:rPr>
                <w:rFonts w:hint="eastAsia" w:ascii="等线" w:hAnsi="等线" w:eastAsia="等线"/>
                <w:color w:val="000000"/>
                <w:sz w:val="22"/>
                <w:szCs w:val="22"/>
              </w:rPr>
              <w:t>60,515.</w:t>
            </w:r>
            <w:r>
              <w:rPr>
                <w:rFonts w:hint="eastAsia" w:ascii="等线" w:hAnsi="等线" w:eastAsia="等线"/>
                <w:color w:val="000000"/>
                <w:sz w:val="22"/>
                <w:szCs w:val="22"/>
                <w:lang w:val="en-US" w:eastAsia="zh-CN"/>
              </w:rPr>
              <w:t>37</w:t>
            </w:r>
          </w:p>
        </w:tc>
        <w:tc>
          <w:tcPr>
            <w:tcW w:w="2160" w:type="dxa"/>
            <w:gridSpan w:val="4"/>
            <w:noWrap/>
            <w:vAlign w:val="bottom"/>
          </w:tcPr>
          <w:p>
            <w:pPr>
              <w:widowControl/>
              <w:jc w:val="center"/>
              <w:textAlignment w:val="center"/>
              <w:rPr>
                <w:rFonts w:hint="default" w:ascii="仿宋_GB2312" w:hAnsi="仿宋_GB2312" w:eastAsia="等线" w:cs="仿宋_GB2312"/>
                <w:color w:val="000000"/>
                <w:sz w:val="24"/>
                <w:lang w:val="en-US" w:eastAsia="zh-CN"/>
              </w:rPr>
            </w:pPr>
            <w:r>
              <w:rPr>
                <w:rFonts w:hint="eastAsia" w:ascii="等线" w:hAnsi="等线" w:eastAsia="等线"/>
                <w:color w:val="000000"/>
                <w:sz w:val="22"/>
                <w:szCs w:val="22"/>
              </w:rPr>
              <w:t>12,51</w:t>
            </w:r>
            <w:r>
              <w:rPr>
                <w:rFonts w:hint="eastAsia" w:ascii="等线" w:hAnsi="等线" w:eastAsia="等线"/>
                <w:color w:val="000000"/>
                <w:sz w:val="22"/>
                <w:szCs w:val="22"/>
                <w:lang w:val="en-US" w:eastAsia="zh-CN"/>
              </w:rPr>
              <w:t>7.07</w:t>
            </w:r>
          </w:p>
        </w:tc>
        <w:tc>
          <w:tcPr>
            <w:tcW w:w="1080" w:type="dxa"/>
            <w:noWrap/>
            <w:vAlign w:val="bottom"/>
          </w:tcPr>
          <w:p>
            <w:pPr>
              <w:widowControl/>
              <w:jc w:val="center"/>
              <w:textAlignment w:val="center"/>
              <w:rPr>
                <w:rFonts w:hint="eastAsia" w:ascii="仿宋_GB2312" w:hAnsi="仿宋_GB2312" w:eastAsia="等线" w:cs="仿宋_GB2312"/>
                <w:color w:val="000000"/>
                <w:sz w:val="24"/>
                <w:lang w:eastAsia="zh-CN"/>
              </w:rPr>
            </w:pPr>
            <w:r>
              <w:rPr>
                <w:rFonts w:hint="eastAsia" w:ascii="等线" w:hAnsi="等线" w:eastAsia="等线"/>
                <w:color w:val="000000"/>
                <w:sz w:val="22"/>
                <w:szCs w:val="22"/>
              </w:rPr>
              <w:t>16,128.1</w:t>
            </w:r>
            <w:r>
              <w:rPr>
                <w:rFonts w:hint="eastAsia" w:ascii="等线" w:hAnsi="等线" w:eastAsia="等线"/>
                <w:color w:val="000000"/>
                <w:sz w:val="22"/>
                <w:szCs w:val="22"/>
                <w:lang w:val="en-US" w:eastAsia="zh-CN"/>
              </w:rPr>
              <w:t>7</w:t>
            </w:r>
          </w:p>
        </w:tc>
        <w:tc>
          <w:tcPr>
            <w:tcW w:w="720" w:type="dxa"/>
            <w:gridSpan w:val="3"/>
            <w:tcBorders>
              <w:right w:val="single" w:color="auto" w:sz="4" w:space="0"/>
            </w:tcBorders>
            <w:noWrap/>
            <w:vAlign w:val="center"/>
          </w:tcPr>
          <w:p>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4"/>
                <w:lang w:bidi="ar"/>
              </w:rPr>
              <w:t>0</w:t>
            </w:r>
          </w:p>
        </w:tc>
        <w:tc>
          <w:tcPr>
            <w:tcW w:w="625" w:type="dxa"/>
            <w:tcBorders>
              <w:left w:val="single" w:color="auto" w:sz="4" w:space="0"/>
            </w:tcBorders>
            <w:noWrap/>
            <w:vAlign w:val="center"/>
          </w:tcPr>
          <w:p>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color w:val="000000"/>
                <w:sz w:val="24"/>
              </w:rPr>
            </w:pPr>
            <w:r>
              <w:rPr>
                <w:rFonts w:ascii="仿宋_GB2312" w:hAnsi="宋体" w:eastAsia="仿宋_GB2312" w:cs="仿宋_GB2312"/>
                <w:color w:val="000000"/>
                <w:kern w:val="0"/>
                <w:sz w:val="24"/>
                <w:lang w:bidi="ar"/>
              </w:rPr>
              <w:t>1.局机关</w:t>
            </w:r>
          </w:p>
        </w:tc>
        <w:tc>
          <w:tcPr>
            <w:tcW w:w="1080" w:type="dxa"/>
            <w:tcBorders>
              <w:right w:val="single" w:color="auto" w:sz="4" w:space="0"/>
            </w:tcBorders>
            <w:noWrap/>
            <w:vAlign w:val="center"/>
          </w:tcPr>
          <w:p>
            <w:pPr>
              <w:spacing w:line="320" w:lineRule="exact"/>
              <w:jc w:val="center"/>
              <w:rPr>
                <w:rFonts w:ascii="仿宋_GB2312" w:hAnsi="仿宋_GB2312" w:eastAsia="仿宋_GB2312" w:cs="仿宋_GB2312"/>
                <w:color w:val="000000"/>
                <w:sz w:val="24"/>
              </w:rPr>
            </w:pPr>
            <w:r>
              <w:rPr>
                <w:rFonts w:hint="eastAsia" w:ascii="仿宋_GB2312" w:hAnsi="等线" w:eastAsia="仿宋_GB2312"/>
                <w:color w:val="000000"/>
              </w:rPr>
              <w:t>2,515.69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2312.49</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2105.89</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206.6</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203.2</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color w:val="000000"/>
                <w:sz w:val="24"/>
              </w:rPr>
            </w:pPr>
            <w:r>
              <w:rPr>
                <w:rFonts w:ascii="仿宋_GB2312" w:hAnsi="宋体" w:eastAsia="仿宋_GB2312" w:cs="仿宋_GB2312"/>
                <w:color w:val="000000"/>
                <w:kern w:val="0"/>
                <w:sz w:val="24"/>
                <w:lang w:bidi="ar"/>
              </w:rPr>
              <w:t>2.华容县进修附中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2,226.12</w:t>
            </w:r>
          </w:p>
        </w:tc>
        <w:tc>
          <w:tcPr>
            <w:tcW w:w="1355" w:type="dxa"/>
            <w:gridSpan w:val="2"/>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等线" w:eastAsia="仿宋_GB2312"/>
                <w:color w:val="000000"/>
              </w:rPr>
              <w:t>2081.1</w:t>
            </w:r>
            <w:r>
              <w:rPr>
                <w:rFonts w:hint="eastAsia" w:ascii="仿宋_GB2312" w:hAnsi="等线" w:eastAsia="仿宋_GB2312"/>
                <w:color w:val="000000"/>
                <w:lang w:val="en-US" w:eastAsia="zh-CN"/>
              </w:rPr>
              <w:t>9</w:t>
            </w:r>
          </w:p>
        </w:tc>
        <w:tc>
          <w:tcPr>
            <w:tcW w:w="1080" w:type="dxa"/>
            <w:gridSpan w:val="2"/>
            <w:noWrap/>
            <w:vAlign w:val="center"/>
          </w:tcPr>
          <w:p>
            <w:pPr>
              <w:autoSpaceDN w:val="0"/>
              <w:spacing w:line="320" w:lineRule="exact"/>
              <w:jc w:val="center"/>
              <w:textAlignment w:val="center"/>
              <w:rPr>
                <w:rFonts w:hint="default" w:ascii="仿宋_GB2312" w:hAnsi="等线" w:eastAsia="仿宋_GB2312"/>
                <w:color w:val="000000"/>
                <w:lang w:val="en-US" w:eastAsia="zh-CN"/>
              </w:rPr>
            </w:pPr>
            <w:r>
              <w:rPr>
                <w:rFonts w:hint="eastAsia" w:ascii="仿宋_GB2312" w:hAnsi="等线" w:eastAsia="仿宋_GB2312"/>
                <w:color w:val="000000"/>
              </w:rPr>
              <w:t>162</w:t>
            </w:r>
            <w:r>
              <w:rPr>
                <w:rFonts w:hint="eastAsia" w:ascii="仿宋_GB2312" w:hAnsi="等线" w:eastAsia="仿宋_GB2312"/>
                <w:color w:val="000000"/>
                <w:lang w:val="en-US" w:eastAsia="zh-CN"/>
              </w:rPr>
              <w:t>7.93</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等线" w:eastAsia="仿宋_GB2312"/>
                <w:color w:val="000000"/>
              </w:rPr>
              <w:t>453.</w:t>
            </w:r>
            <w:r>
              <w:rPr>
                <w:rFonts w:hint="eastAsia" w:ascii="仿宋_GB2312" w:hAnsi="等线" w:eastAsia="仿宋_GB2312"/>
                <w:color w:val="000000"/>
                <w:lang w:val="en-US" w:eastAsia="zh-CN"/>
              </w:rPr>
              <w:t>26</w:t>
            </w:r>
          </w:p>
        </w:tc>
        <w:tc>
          <w:tcPr>
            <w:tcW w:w="1080" w:type="dxa"/>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等线" w:eastAsia="仿宋_GB2312"/>
                <w:color w:val="000000"/>
              </w:rPr>
              <w:t>144.9</w:t>
            </w:r>
            <w:r>
              <w:rPr>
                <w:rFonts w:hint="eastAsia" w:ascii="仿宋_GB2312" w:hAnsi="等线" w:eastAsia="仿宋_GB2312"/>
                <w:color w:val="000000"/>
                <w:lang w:val="en-US" w:eastAsia="zh-CN"/>
              </w:rPr>
              <w:t>3</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color w:val="000000"/>
                <w:sz w:val="24"/>
              </w:rPr>
            </w:pPr>
            <w:r>
              <w:rPr>
                <w:rFonts w:ascii="仿宋_GB2312" w:hAnsi="宋体" w:eastAsia="仿宋_GB2312" w:cs="仿宋_GB2312"/>
                <w:color w:val="000000"/>
                <w:kern w:val="0"/>
                <w:sz w:val="24"/>
                <w:lang w:bidi="ar"/>
              </w:rPr>
              <w:t>3.华容县治河渡镇治河中学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1,983.98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1983.98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1826.11</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157.87</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4.华容县职业中专</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6,462.97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5202.97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3027.58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2175.39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1260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5.华容县长工实验学校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3,567.83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3211.57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2935.71</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275.86</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356.26</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6.华容县章华镇红石中学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2,953.41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2653.71</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2468.73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184.98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299.7</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7.华容县禹山镇南山中学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2,967.04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2818.14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2599.63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218.51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148.9</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8.华容县第一中学</w:t>
            </w:r>
          </w:p>
        </w:tc>
        <w:tc>
          <w:tcPr>
            <w:tcW w:w="1080" w:type="dxa"/>
            <w:tcBorders>
              <w:right w:val="single" w:color="auto" w:sz="4" w:space="0"/>
            </w:tcBorders>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5,439.40</w:t>
            </w:r>
          </w:p>
        </w:tc>
        <w:tc>
          <w:tcPr>
            <w:tcW w:w="1355" w:type="dxa"/>
            <w:gridSpan w:val="2"/>
            <w:tcBorders>
              <w:left w:val="single" w:color="auto" w:sz="4" w:space="0"/>
            </w:tcBorders>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4966.7</w:t>
            </w:r>
          </w:p>
        </w:tc>
        <w:tc>
          <w:tcPr>
            <w:tcW w:w="1080" w:type="dxa"/>
            <w:gridSpan w:val="2"/>
            <w:noWrap/>
            <w:vAlign w:val="center"/>
          </w:tcPr>
          <w:p>
            <w:pPr>
              <w:widowControl/>
              <w:jc w:val="center"/>
              <w:textAlignment w:val="center"/>
              <w:rPr>
                <w:rFonts w:ascii="仿宋_GB2312" w:hAnsi="仿宋_GB2312" w:eastAsia="仿宋_GB2312" w:cs="仿宋_GB2312"/>
                <w:color w:val="000000"/>
                <w:sz w:val="24"/>
              </w:rPr>
            </w:pPr>
            <w:r>
              <w:rPr>
                <w:rFonts w:hint="eastAsia"/>
                <w:color w:val="000000"/>
                <w:sz w:val="22"/>
                <w:szCs w:val="22"/>
              </w:rPr>
              <w:t>3171.18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1795.52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472.7</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9.华容县新河乡新河中学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2,498.53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2281.53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2126.39</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155.14</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217</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10.华容县第五中学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2,603.32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2016.07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1176.75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839.32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587.25</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11.华容县万庾镇万庾中学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2,859.28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2679.28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2486.53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192.75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12.华容县团洲中学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1,311.16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1168.84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1058.82</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110.02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142.32</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13.华容县特殊教育学校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594.39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394.39</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307.21</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87.18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14.华容县实验小学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2,546.59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2546.59</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2302.96</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243.63</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15.华容县第三中学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2,378.69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1777.28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1130.93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646.35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601.41</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16.华容县三封寺镇三封中学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2,768.02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2311.32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2142.94</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168.38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456.7</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17.华容县容城学校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6,228.13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76.73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76.73</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6151.4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18.华容县全民健身指导服务中心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96.63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96.63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76.81</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19.82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19.华容县桥东小学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752.16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658.26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541.74</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116.52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93.9</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20.华容县侨联环城学校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2,394.63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2094.92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1900.76</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194.16</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299.71</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21.华容县鲇鱼须镇鲇市中学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3,500.31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3340.31</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3092.24</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248.07</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160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22.华容县梅田中学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1,954.44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1854.44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1690.75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163.69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23.华容县马鞍山实验学校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1,743.25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1558.72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1431.79</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126.93</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184.53</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24.华容县机关幼儿园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324.67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275.61</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191.08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84.53</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49.06</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25.华容县黄湖小学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1,063.32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779.82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704.03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75.79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283.5</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26.华容县怀乡中学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4,118.88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3618.88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2611.22</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1007.66</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500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27.华容县华一护城中学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159.83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159.83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49.08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110.75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28.华容县第二中学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3,028.61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2326.93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1278.77</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1048.16</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701.68</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29.华容县东山镇东山中学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5,589.00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4883.83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4674.43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209.4</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705.17</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30.华容县第一幼儿园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411.40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411.4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257.92</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153.48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31.华容县第四中学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3,064.70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2684.04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2613.72</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70.32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380.66</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32.华容县第二幼儿园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323.06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193.51</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177.93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15.58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129.55</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33.华容县城兴小学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464.20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420.56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397.29</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23.27</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43.64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34.华容县城关中心小学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2,007.09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1565.86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1414.7</w:t>
            </w:r>
          </w:p>
        </w:tc>
        <w:tc>
          <w:tcPr>
            <w:tcW w:w="2160" w:type="dxa"/>
            <w:gridSpan w:val="4"/>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151.16</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441.23</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35.华容县插旗镇插旗中学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1,597.02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1392.94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1267.36</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125.58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204.08</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36.华容县操军镇操军中学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2,385.94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2103.94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1765.26</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338.68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282</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37.华容县北景港中学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1,950.72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1825.18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1675.3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149.88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125.54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38.湖南师范大学附属田家湖学校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326.20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304.05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207.9</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96.15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22.15</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三公经费</w:t>
            </w:r>
          </w:p>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b/>
                <w:bCs/>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4"/>
                <w:lang w:bidi="ar"/>
              </w:rPr>
              <w:t>26.1</w:t>
            </w:r>
            <w:r>
              <w:rPr>
                <w:rFonts w:ascii="宋体" w:hAnsi="宋体" w:cs="宋体"/>
                <w:color w:val="000000"/>
                <w:kern w:val="0"/>
                <w:sz w:val="24"/>
                <w:lang w:bidi="ar"/>
              </w:rPr>
              <w:t>1</w:t>
            </w:r>
          </w:p>
        </w:tc>
        <w:tc>
          <w:tcPr>
            <w:tcW w:w="1355" w:type="dxa"/>
            <w:gridSpan w:val="2"/>
            <w:tcBorders>
              <w:left w:val="single" w:color="auto" w:sz="4" w:space="0"/>
            </w:tcBorders>
            <w:noWrap/>
            <w:vAlign w:val="center"/>
          </w:tcPr>
          <w:p>
            <w:pPr>
              <w:widowControl/>
              <w:jc w:val="center"/>
              <w:textAlignment w:val="center"/>
              <w:rPr>
                <w:rFonts w:ascii="仿宋_GB2312" w:hAnsi="仿宋_GB2312" w:eastAsia="仿宋_GB2312" w:cs="仿宋_GB2312"/>
                <w:color w:val="000000"/>
                <w:sz w:val="24"/>
              </w:rPr>
            </w:pPr>
            <w:r>
              <w:rPr>
                <w:rFonts w:ascii="宋体" w:hAnsi="宋体" w:cs="宋体"/>
                <w:color w:val="000000"/>
                <w:kern w:val="0"/>
                <w:sz w:val="24"/>
                <w:lang w:bidi="ar"/>
              </w:rPr>
              <w:t>26.11</w:t>
            </w:r>
          </w:p>
        </w:tc>
        <w:tc>
          <w:tcPr>
            <w:tcW w:w="1080" w:type="dxa"/>
            <w:gridSpan w:val="2"/>
            <w:noWrap/>
            <w:vAlign w:val="center"/>
          </w:tcPr>
          <w:p>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4"/>
                <w:lang w:bidi="ar"/>
              </w:rPr>
              <w:t>0</w:t>
            </w:r>
          </w:p>
        </w:tc>
        <w:tc>
          <w:tcPr>
            <w:tcW w:w="2160" w:type="dxa"/>
            <w:gridSpan w:val="4"/>
            <w:noWrap/>
            <w:vAlign w:val="center"/>
          </w:tcPr>
          <w:p>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4"/>
                <w:lang w:bidi="ar"/>
              </w:rPr>
              <w:t>0</w:t>
            </w:r>
          </w:p>
        </w:tc>
        <w:tc>
          <w:tcPr>
            <w:tcW w:w="2425" w:type="dxa"/>
            <w:gridSpan w:val="5"/>
            <w:noWrap/>
            <w:vAlign w:val="center"/>
          </w:tcPr>
          <w:p>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2.华容县进修附中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0.49</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3.华容县治河渡镇治河中学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4.华容县职业中专</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5.华容县长工实验学校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6.华容县章华镇红石中学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7.华容县禹山镇南山中学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0.85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0.85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8.华容县第一中学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3.7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themeColor="text1"/>
                <w:sz w:val="24"/>
              </w:rPr>
              <w:t>3.7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9.华容县新河乡新河中学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10.华容县第五中学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11.华容县万庾镇万庾中学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12.华容县团洲中学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13.华容县特殊教育学校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14.华容县实验小学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15.华容县第三中学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16.华容县三封寺镇三封中学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17.华容县容城学校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18.华容县全民健身指导服务中心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19.华容县桥东小学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0.41</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20.华容县侨联环城学校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21.华容县鲇鱼须镇鲇市中学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0.85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0.85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22.华容县梅田中学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23.华容县马鞍山实验学校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r>
              <w:rPr>
                <w:rFonts w:ascii="仿宋_GB2312" w:hAnsi="仿宋_GB2312" w:eastAsia="仿宋_GB2312" w:cs="仿宋_GB2312"/>
                <w:color w:val="000000" w:themeColor="text1"/>
                <w:sz w:val="24"/>
              </w:rPr>
              <w:t>97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r>
              <w:rPr>
                <w:rFonts w:ascii="仿宋_GB2312" w:hAnsi="仿宋_GB2312" w:eastAsia="仿宋_GB2312" w:cs="仿宋_GB2312"/>
                <w:color w:val="000000" w:themeColor="text1"/>
                <w:sz w:val="24"/>
              </w:rPr>
              <w:t>97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24.华容县机关幼儿园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25.华容县黄湖小学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26.华容县怀乡中学</w:t>
            </w:r>
          </w:p>
        </w:tc>
        <w:tc>
          <w:tcPr>
            <w:tcW w:w="1080" w:type="dxa"/>
            <w:tcBorders>
              <w:right w:val="single" w:color="auto" w:sz="4" w:space="0"/>
            </w:tcBorders>
            <w:noWrap/>
            <w:vAlign w:val="center"/>
          </w:tcPr>
          <w:p>
            <w:pPr>
              <w:jc w:val="center"/>
              <w:rPr>
                <w:rFonts w:ascii="仿宋_GB2312" w:hAnsi="仿宋_GB2312" w:eastAsia="仿宋_GB2312" w:cs="仿宋_GB2312"/>
                <w:color w:val="000000"/>
                <w:sz w:val="24"/>
              </w:rPr>
            </w:pPr>
            <w:r>
              <w:rPr>
                <w:rFonts w:cs="Arial"/>
                <w:color w:val="000000"/>
                <w:sz w:val="22"/>
                <w:szCs w:val="22"/>
              </w:rPr>
              <w:t>1.04</w:t>
            </w:r>
          </w:p>
        </w:tc>
        <w:tc>
          <w:tcPr>
            <w:tcW w:w="1355" w:type="dxa"/>
            <w:gridSpan w:val="2"/>
            <w:tcBorders>
              <w:left w:val="single" w:color="auto" w:sz="4" w:space="0"/>
            </w:tcBorders>
            <w:noWrap/>
            <w:vAlign w:val="center"/>
          </w:tcPr>
          <w:p>
            <w:pPr>
              <w:jc w:val="center"/>
              <w:rPr>
                <w:rFonts w:ascii="仿宋_GB2312" w:hAnsi="仿宋_GB2312" w:eastAsia="仿宋_GB2312" w:cs="仿宋_GB2312"/>
                <w:color w:val="000000"/>
                <w:sz w:val="24"/>
              </w:rPr>
            </w:pPr>
            <w:r>
              <w:rPr>
                <w:rFonts w:cs="Arial"/>
                <w:color w:val="000000"/>
                <w:sz w:val="22"/>
                <w:szCs w:val="22"/>
              </w:rPr>
              <w:t>1.04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27.华容县华一护城中学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28.华容县第二中学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29.华容县东山镇东山中学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0.51</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30.华容县第一幼儿园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31.华容县第四中学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32.华容县第二幼儿园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33.华容县城兴小学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34.华容县城关中心小学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35.华容县插旗镇插旗中学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36.华容县操军镇操军中学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37.华容县北景港中学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38.湖南师范大学附属田家湖学校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固定资产</w:t>
            </w:r>
          </w:p>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b/>
                <w:bCs/>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b/>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widowControl/>
              <w:jc w:val="center"/>
              <w:textAlignment w:val="center"/>
              <w:rPr>
                <w:rFonts w:ascii="仿宋_GB2312" w:hAnsi="仿宋_GB2312" w:eastAsia="仿宋_GB2312" w:cs="仿宋_GB2312"/>
                <w:color w:val="000000"/>
                <w:sz w:val="24"/>
              </w:rPr>
            </w:pPr>
            <w:r>
              <w:rPr>
                <w:rFonts w:ascii="宋体" w:hAnsi="宋体" w:cs="宋体"/>
                <w:color w:val="000000"/>
                <w:kern w:val="0"/>
                <w:sz w:val="24"/>
                <w:lang w:bidi="ar"/>
              </w:rPr>
              <w:t>67305.67</w:t>
            </w:r>
          </w:p>
        </w:tc>
        <w:tc>
          <w:tcPr>
            <w:tcW w:w="2435" w:type="dxa"/>
            <w:gridSpan w:val="4"/>
            <w:tcBorders>
              <w:left w:val="single" w:color="auto" w:sz="4" w:space="0"/>
            </w:tcBorders>
            <w:noWrap/>
            <w:vAlign w:val="center"/>
          </w:tcPr>
          <w:p>
            <w:pPr>
              <w:widowControl/>
              <w:jc w:val="center"/>
              <w:textAlignment w:val="center"/>
              <w:rPr>
                <w:rFonts w:ascii="仿宋_GB2312" w:hAnsi="仿宋_GB2312" w:eastAsia="仿宋_GB2312" w:cs="仿宋_GB2312"/>
                <w:color w:val="000000"/>
                <w:sz w:val="24"/>
              </w:rPr>
            </w:pPr>
            <w:r>
              <w:rPr>
                <w:rFonts w:ascii="宋体" w:hAnsi="宋体" w:cs="宋体"/>
                <w:color w:val="000000"/>
                <w:kern w:val="0"/>
                <w:sz w:val="24"/>
                <w:lang w:bidi="ar"/>
              </w:rPr>
              <w:t>67305.67</w:t>
            </w:r>
          </w:p>
        </w:tc>
        <w:tc>
          <w:tcPr>
            <w:tcW w:w="3644" w:type="dxa"/>
            <w:gridSpan w:val="7"/>
            <w:noWrap/>
            <w:vAlign w:val="center"/>
          </w:tcPr>
          <w:p>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4"/>
                <w:lang w:bidi="ar"/>
              </w:rPr>
              <w:t>0</w:t>
            </w:r>
          </w:p>
        </w:tc>
        <w:tc>
          <w:tcPr>
            <w:tcW w:w="941" w:type="dxa"/>
            <w:gridSpan w:val="2"/>
            <w:noWrap/>
            <w:vAlign w:val="center"/>
          </w:tcPr>
          <w:p>
            <w:pPr>
              <w:widowControl/>
              <w:jc w:val="center"/>
              <w:textAlignment w:val="center"/>
              <w:rPr>
                <w:rFonts w:ascii="仿宋_GB2312" w:hAnsi="仿宋_GB2312" w:eastAsia="仿宋_GB2312" w:cs="仿宋_GB2312"/>
                <w:color w:val="000000"/>
                <w:sz w:val="24"/>
              </w:rPr>
            </w:pPr>
            <w:r>
              <w:rPr>
                <w:rFonts w:hint="eastAsia" w:ascii="宋体" w:hAnsi="宋体" w:cs="宋体"/>
                <w:color w:val="000000"/>
                <w:kern w:val="0"/>
                <w:sz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2327.29</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2327.29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2.华容县进修附中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2545.53</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2545.53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3.华容县治河渡镇治河中学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819.95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819.95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4.华容县职业中专</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2980</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2980</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5.华容县长工实验学校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1048.88</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1048.88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6.华容县章华镇红石中学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2291.61</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2291.61</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7.华容县禹山镇南山中学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2912.96</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2912.96</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8.华容县第一中学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11567.19</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11567.19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9.华容县新河乡新河中学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1774.12</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1774.12</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10.华容县第五中学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2386.23</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2386.23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11.华容县万庾镇万庾中学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1753.84</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1753.84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12.华容县团洲中学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2327.34</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2327.34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13.华容县特殊教育学校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391.05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391.05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14.华容县实验小学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1269.72</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1269.72</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15.华容县第三中学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2386.23</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2386.23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16.华容县三封寺镇三封中学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1272.73</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1272.73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17.华容县容城学校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358</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358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18.华容县全民健身指导服务中心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130.75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130.75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19.华容县桥东小学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100</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100</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20.华容县侨联环城学校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485.38</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485.38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21.华容县鲇鱼须镇鲇市中学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1897.55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1897.55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22.华容县梅田中学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1092.26</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1092.26</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23.华容县马鞍山实验学校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2506.16</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2506.16</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24.华容县机关幼儿园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97.26</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97.26</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25.华容县黄湖小学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101.3</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101.3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26.华容县怀乡中学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5436.5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5436.5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27.华容县华一护城中学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1449.55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1449.55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28.华容县第二中学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3181.64</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3181.64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29.华容县东山镇东山中学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362.12</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362.12</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30.华容县第一幼儿园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0</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31.华容县第四中学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2191.5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2191.5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32.华容县第二幼儿园</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767.09</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767.09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33.华容县城兴小学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181.32</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181.32</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34.华容县城关中心小学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665.77</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665.77</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35.华容县插旗镇插旗中学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1018.19</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1018.19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36.华容县操军镇操军中学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3871.93</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3871.93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37.华容县北景港中学</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1134.73</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1134.73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widowControl/>
              <w:jc w:val="center"/>
              <w:textAlignment w:val="center"/>
              <w:rPr>
                <w:rFonts w:ascii="仿宋_GB2312" w:hAnsi="仿宋_GB2312" w:eastAsia="仿宋_GB2312" w:cs="仿宋_GB2312"/>
                <w:sz w:val="24"/>
              </w:rPr>
            </w:pPr>
            <w:r>
              <w:rPr>
                <w:rFonts w:ascii="仿宋_GB2312" w:hAnsi="宋体" w:eastAsia="仿宋_GB2312" w:cs="仿宋_GB2312"/>
                <w:color w:val="000000"/>
                <w:kern w:val="0"/>
                <w:sz w:val="24"/>
                <w:lang w:bidi="ar"/>
              </w:rPr>
              <w:t>38.湖南师范大学附属田家湖学校</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222</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等线" w:eastAsia="仿宋_GB2312"/>
                <w:color w:val="000000"/>
              </w:rPr>
              <w:t>222</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5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楷体_GB2312" w:hAnsi="楷体_GB2312" w:eastAsia="楷体_GB2312" w:cs="楷体_GB2312"/>
                <w:b/>
                <w:bCs/>
                <w:sz w:val="32"/>
                <w:szCs w:val="32"/>
              </w:rPr>
            </w:pP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6.体育事业全面发展。</w:t>
            </w:r>
          </w:p>
          <w:p>
            <w:pPr>
              <w:autoSpaceDN w:val="0"/>
              <w:spacing w:line="320" w:lineRule="exact"/>
              <w:jc w:val="left"/>
              <w:textAlignment w:val="center"/>
              <w:rPr>
                <w:rFonts w:ascii="楷体_GB2312" w:hAnsi="楷体_GB2312" w:eastAsia="楷体_GB2312" w:cs="楷体_GB2312"/>
                <w:b/>
                <w:bCs/>
                <w:sz w:val="32"/>
                <w:szCs w:val="32"/>
              </w:rPr>
            </w:pPr>
          </w:p>
        </w:tc>
        <w:tc>
          <w:tcPr>
            <w:tcW w:w="4585" w:type="dxa"/>
            <w:gridSpan w:val="9"/>
            <w:noWrap/>
            <w:vAlign w:val="center"/>
          </w:tcPr>
          <w:p>
            <w:pPr>
              <w:autoSpaceDN w:val="0"/>
              <w:spacing w:line="320" w:lineRule="exact"/>
              <w:ind w:firstLine="215" w:firstLineChars="98"/>
              <w:textAlignment w:val="center"/>
              <w:rPr>
                <w:rFonts w:ascii="仿宋" w:hAnsi="仿宋" w:eastAsia="仿宋" w:cs="仿宋"/>
                <w:color w:val="000000"/>
                <w:sz w:val="22"/>
                <w:szCs w:val="22"/>
              </w:rPr>
            </w:pPr>
            <w:r>
              <w:rPr>
                <w:rFonts w:hint="eastAsia" w:ascii="仿宋" w:hAnsi="仿宋" w:eastAsia="仿宋" w:cs="仿宋"/>
                <w:color w:val="000000"/>
                <w:sz w:val="22"/>
                <w:szCs w:val="22"/>
              </w:rPr>
              <w:t>全县教育体育工作在县委、县政府的坚强领导和市教体局的正确指导下，始终贯彻落实市委市政府“基教十条”精神，按照“三个构建”的总体部署，坚持安全和质量“两条主线”，全县教育体育各项工作持续、稳步发展。加大教育经费保障力度，争取财政预算向教育倾斜。积极争取上级专项及县本级资金支持，彻底解决高中阶段债务问题。落实市委“基教十条”要求，确保义教生均公用经费按要求提标到位。大力发展教育基金，充分发挥教育基金会的奖教、助教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69"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教学质量</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以“校联体”为依托，大力促进城乡教育整体提质。一年来，15个“校联体”学校累计开展交流活动40余次，送课近100堂。2021年高考，全县一二本上线1470人，上线率55.96%，再创历史新高。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年来，组织全县各学段教师参加了59个国培、省培和市培项目，累计培训教师2000人次。同时，加大公费定向师范生的培养力度，2021年送培公费师范生148人。在县一中、怀乡中学启动“县管校聘”试点，全面激活干部教师队伍活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建立了局班子成员包片、机关干部联点、校长包学校、校委会成员下年级组、班主任包班级、教师包学生的校园安全包保责任制。局班子成员每季度采取“四不两直”方式检查校园安全一次以上。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立了重大隐患“一单四制”，实行隐患台账管理，落实月报、交办、通报、跟踪督办、整改销号制度。开展了春秋两季学校食品安全“护苗”行动，配合公安、应急管理、市场监管等部门开展校园及周边治安环境集中整治行动3次，取得了较好的整治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1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78"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1.办学条件不断改善</w:t>
            </w:r>
          </w:p>
          <w:p>
            <w:pPr>
              <w:autoSpaceDN w:val="0"/>
              <w:spacing w:line="320" w:lineRule="exact"/>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2.学位供给不断扩大。</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今年来，争取校舍安全保障、薄弱环节改善等上级专项3060万元，完成全县82所学校校舍维修建设；投入资金1190万元，顺利完成了城关中心小学综合楼和黄湖小学教学新建任务。此外，筹集资金203.2万元，完成学校校舍空调的安装。</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争取县委县政府支持，投资1.8亿元，新建容城学位和容城幼儿园，可新增2160个小学学位和270个幼儿学位，明年春季可投入使用。另外，东山镇第一幼儿园顺利开园，步步高明辉幼儿园也即将开园招生，公办幼儿园学位供给不断扩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杨宏发</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教育体育局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肖巨强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教育体育局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孙洋</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机关会计</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教育体育局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同意上报</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同意上报</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王夏                  联系电话：15897305988</w:t>
      </w:r>
    </w:p>
    <w:tbl>
      <w:tblPr>
        <w:tblStyle w:val="7"/>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（一）贯彻执行党和国家教育体育工作的路线、方针、政策和法律、法规，研究拟定教育体育改革与发展政策并监督实施；拟订并组织实施全县教育体育事业发展规划。</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（二）研究拟定全县教育布局和结构调整方案，会同有关部门制定学校设置标准，指导、协调各级各类学校教育教学改革，负责全县教体系统基本信息的统计、分析和发布工作。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（三）管理和指导全县基础教育、职业技术教育、成人教育、特殊教育、学前教育和社会力量办学工作。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执行落实中央和省、市有关普通高校、成人高校、中等专业学校以及研究生招生计划、自学考试计划，负责制定并实施全县普通高中、职业中专（高中）招生计划，负责师范类大中专毕业生、研究生回县的就业指导和教育人才交流的管理与服务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指导全县各级各类学校的思想政治工作、德育工作、教育教学科研工作和群团组织管理工作，统筹规划全县教师队伍建设，负责中小学教师的资格认定、招聘、职务评聘、培养培训和考核等有关工作，负责全县出国留学人员的派出管理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（六）配合有关部门拟定教育系统的人员编制、劳动工资、人事管理工作的具体办法和规章制度，抓好教体系统行政干部党风廉政建设，抓好教育行风建设。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（七）贯彻执行中央和省、市有关筹措教育经费的方针、政策和法规、拟定教育基建投资，事业经费和统配物资设备的管理制度，负责系统内教育经费的预算、决算、监管和审计工作。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（八）落实师生资助政策，建立健全困难教师、困难学生资助体系。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（九）配合有关部门做好学校安全保卫工作、中小学危房改造工作、计划生育工作、学校周边环境治理和其他工作。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（十）推行全民健身计划，指导并组织开展多种形式的群众性体育锻炼、体育训练和竞赛活动。实施国家体育锻炼标准，开展国民体质监测。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（十一）负责体育彩票销售管理工作。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（十二）负责办好体育学校，为国家输送高水平的体育后备人才。</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（十三）落实县政府交办的其他事项。</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2021年度财政拨款基本支出</w:t>
            </w:r>
            <w:r>
              <w:rPr>
                <w:rFonts w:hint="eastAsia" w:ascii="宋体" w:hAnsi="宋体" w:eastAsia="仿宋_GB2312" w:cs="宋体"/>
                <w:color w:val="000000"/>
                <w:kern w:val="0"/>
                <w:sz w:val="24"/>
                <w:lang w:val="en-US" w:eastAsia="zh-CN" w:bidi="ar"/>
              </w:rPr>
              <w:t>67826.58</w:t>
            </w:r>
            <w:r>
              <w:rPr>
                <w:rFonts w:hint="eastAsia" w:ascii="仿宋_GB2312" w:hAnsi="仿宋_GB2312" w:eastAsia="仿宋_GB2312" w:cs="仿宋_GB2312"/>
                <w:bCs/>
                <w:color w:val="000000" w:themeColor="text1"/>
                <w:sz w:val="28"/>
                <w:szCs w:val="28"/>
              </w:rPr>
              <w:t>万元，其中：人员经费</w:t>
            </w:r>
            <w:r>
              <w:rPr>
                <w:rFonts w:hint="eastAsia" w:ascii="宋体" w:hAnsi="宋体" w:eastAsia="仿宋_GB2312" w:cs="宋体"/>
                <w:color w:val="000000"/>
                <w:kern w:val="0"/>
                <w:sz w:val="24"/>
                <w:lang w:val="en-US" w:eastAsia="zh-CN" w:bidi="ar"/>
              </w:rPr>
              <w:t>58144.32</w:t>
            </w:r>
            <w:r>
              <w:rPr>
                <w:rFonts w:hint="eastAsia" w:ascii="仿宋_GB2312" w:hAnsi="仿宋_GB2312" w:eastAsia="仿宋_GB2312" w:cs="仿宋_GB2312"/>
                <w:bCs/>
                <w:color w:val="000000" w:themeColor="text1"/>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宋体" w:hAnsi="宋体" w:eastAsia="仿宋_GB2312" w:cs="宋体"/>
                <w:color w:val="000000"/>
                <w:kern w:val="0"/>
                <w:sz w:val="24"/>
                <w:lang w:val="en-US" w:eastAsia="zh-CN" w:bidi="ar"/>
              </w:rPr>
              <w:t>9682.26</w:t>
            </w:r>
            <w:r>
              <w:rPr>
                <w:rFonts w:hint="eastAsia" w:ascii="仿宋_GB2312" w:hAnsi="仿宋_GB2312" w:eastAsia="仿宋_GB2312" w:cs="仿宋_GB2312"/>
                <w:bCs/>
                <w:color w:val="000000" w:themeColor="text1"/>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“三公”经费支出情况：严格按照财政局下发文件标准执行，严格控制支出，2021年，“三公”经费支出为</w:t>
            </w:r>
            <w:r>
              <w:rPr>
                <w:rFonts w:hint="eastAsia" w:ascii="宋体" w:hAnsi="宋体" w:cs="宋体"/>
                <w:color w:val="000000"/>
                <w:kern w:val="0"/>
                <w:sz w:val="24"/>
                <w:lang w:bidi="ar"/>
              </w:rPr>
              <w:t>26.1</w:t>
            </w:r>
            <w:r>
              <w:rPr>
                <w:rFonts w:ascii="宋体" w:hAnsi="宋体" w:cs="宋体"/>
                <w:color w:val="000000"/>
                <w:kern w:val="0"/>
                <w:sz w:val="24"/>
                <w:lang w:bidi="ar"/>
              </w:rPr>
              <w:t>1</w:t>
            </w:r>
            <w:r>
              <w:rPr>
                <w:rFonts w:hint="eastAsia" w:ascii="仿宋_GB2312" w:hAnsi="仿宋_GB2312" w:eastAsia="仿宋_GB2312" w:cs="仿宋_GB2312"/>
                <w:bCs/>
                <w:color w:val="000000" w:themeColor="text1"/>
                <w:sz w:val="28"/>
                <w:szCs w:val="28"/>
              </w:rPr>
              <w:t>万元，比上年减少</w:t>
            </w:r>
            <w:r>
              <w:rPr>
                <w:rFonts w:ascii="仿宋_GB2312" w:hAnsi="仿宋_GB2312" w:eastAsia="仿宋_GB2312" w:cs="仿宋_GB2312"/>
                <w:bCs/>
                <w:color w:val="000000" w:themeColor="text1"/>
                <w:sz w:val="28"/>
                <w:szCs w:val="28"/>
              </w:rPr>
              <w:t>2.34</w:t>
            </w:r>
            <w:r>
              <w:rPr>
                <w:rFonts w:hint="eastAsia" w:ascii="仿宋_GB2312" w:hAnsi="仿宋_GB2312" w:eastAsia="仿宋_GB2312" w:cs="仿宋_GB2312"/>
                <w:bCs/>
                <w:color w:val="000000" w:themeColor="text1"/>
                <w:sz w:val="28"/>
                <w:szCs w:val="28"/>
              </w:rPr>
              <w:t>万元，下降</w:t>
            </w:r>
            <w:r>
              <w:rPr>
                <w:rFonts w:ascii="仿宋_GB2312" w:hAnsi="仿宋_GB2312" w:eastAsia="仿宋_GB2312" w:cs="仿宋_GB2312"/>
                <w:bCs/>
                <w:color w:val="000000" w:themeColor="text1"/>
                <w:sz w:val="28"/>
                <w:szCs w:val="28"/>
              </w:rPr>
              <w:t>8.22</w:t>
            </w:r>
            <w:r>
              <w:rPr>
                <w:rFonts w:hint="eastAsia" w:ascii="仿宋_GB2312" w:hAnsi="仿宋_GB2312" w:eastAsia="仿宋_GB2312" w:cs="仿宋_GB2312"/>
                <w:bCs/>
                <w:color w:val="000000" w:themeColor="text1"/>
                <w:sz w:val="28"/>
                <w:szCs w:val="28"/>
              </w:rPr>
              <w:t>%，增减变化的主要原因是：厉行节约，严格管控。公务用车购置及运行维护费完成0元，与上年无变化，原因是公车已上交。</w:t>
            </w:r>
          </w:p>
          <w:p>
            <w:pPr>
              <w:spacing w:line="560" w:lineRule="exact"/>
              <w:ind w:firstLine="560" w:firstLineChars="200"/>
              <w:rPr>
                <w:rFonts w:ascii="仿宋_GB2312" w:hAnsi="仿宋_GB2312" w:eastAsia="仿宋_GB2312" w:cs="仿宋_GB2312"/>
                <w:bCs/>
                <w:sz w:val="28"/>
                <w:szCs w:val="28"/>
              </w:rPr>
            </w:pPr>
          </w:p>
          <w:p>
            <w:pPr>
              <w:tabs>
                <w:tab w:val="left" w:pos="3105"/>
              </w:tabs>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w:t>
            </w:r>
            <w:r>
              <w:rPr>
                <w:rFonts w:hint="eastAsia" w:ascii="仿宋_GB2312" w:hAnsi="仿宋_GB2312" w:eastAsia="仿宋_GB2312" w:cs="仿宋_GB2312"/>
                <w:bCs/>
                <w:color w:val="000000" w:themeColor="text1"/>
                <w:sz w:val="28"/>
                <w:szCs w:val="28"/>
              </w:rPr>
              <w:t>育专项资金安排支出</w:t>
            </w:r>
            <w:r>
              <w:rPr>
                <w:rFonts w:hint="eastAsia" w:ascii="仿宋_GB2312" w:hAnsi="仿宋_GB2312" w:eastAsia="仿宋_GB2312" w:cs="仿宋_GB2312"/>
                <w:bCs/>
                <w:color w:val="000000" w:themeColor="text1"/>
                <w:sz w:val="28"/>
                <w:szCs w:val="28"/>
                <w:lang w:val="en-US" w:eastAsia="zh-CN"/>
              </w:rPr>
              <w:t>16128.17</w:t>
            </w:r>
            <w:r>
              <w:rPr>
                <w:rFonts w:hint="eastAsia" w:ascii="仿宋_GB2312" w:hAnsi="仿宋_GB2312" w:eastAsia="仿宋_GB2312" w:cs="仿宋_GB2312"/>
                <w:bCs/>
                <w:color w:val="000000" w:themeColor="text1"/>
                <w:sz w:val="28"/>
                <w:szCs w:val="28"/>
              </w:rPr>
              <w:t>万元，主要</w:t>
            </w:r>
            <w:r>
              <w:rPr>
                <w:rFonts w:hint="eastAsia" w:ascii="仿宋_GB2312" w:hAnsi="仿宋_GB2312" w:eastAsia="仿宋_GB2312" w:cs="仿宋_GB2312"/>
                <w:bCs/>
                <w:sz w:val="28"/>
                <w:szCs w:val="28"/>
              </w:rPr>
              <w:t>包括：全县学校新建、校舍维修、全县学校校舍空调安装等，以上经费全部落实到位，用于教体系统基本运转及相关专项工作实施。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教体系统财政专项资金逐年增加，为规避财政风险，提高财政专项资金使用效益，确保财政专项资金安全运行，对财政专项资金管理做法如下：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机关作风、加强机关财务管理，我局制定了《关于进一步规范教体系统财务管理若干问题的意见》及教体局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行政成本从一点一滴做起；二是加强三公经费的管理，严格控制三公经费总量，把好审核关，加强对招待费、租车费的管理；三是严格执行政府采购，建设项目及大型专项支出、设备购置，一律经局党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局的教育专项资金的拨付和使用管理，严格按照上级有关部门规定执行，收支两条线，做到了专款专用，经费及时拨付到位。另外，加大了对专项管理制度的建设，先后出台了中小学财务管理及建设项目方面相关制度和文件，进一步健全和完善资金拨付和使用管理，所有项目资金均上网定期公示，提高了财政专项资金使用的透明度，有力保证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全县教育体育工作在县委、县政府的坚强领导和市教体局的正确指导下，始终贯彻落实市委市政府“基教十条”精神，按照“三个构建”的总体部署，坚持安全和质量“两条主线”，全县教育体育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局坚决执行经费预算管理，确保预算不增长，支出不超预算。在反厉行节约、对铺张浪费等方面，采取了有力措施，并取得了明显成效。局领导班子成员率先垂范、高度重视下，全体干部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接下来我局将继续严格执行办公性行政经费年初预算，按照上级的要求，强化制度建设，完善预算分配机制，进一步加强经费预算的执行管理，不断提高支出的经济性、效率性、有效性和可持续性。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根据定量分析及定性分析，综合考评得分为98分，评价等次确定为优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华容县教育体育局</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2022年10月10日</w:t>
            </w: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部分项目没有按计划进行</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3OThhNTgwMTJjZWIxODU4ZWI5Y2EwOWQ3ZDU2ZmEifQ=="/>
  </w:docVars>
  <w:rsids>
    <w:rsidRoot w:val="2CE55C20"/>
    <w:rsid w:val="000078DD"/>
    <w:rsid w:val="0006155C"/>
    <w:rsid w:val="00077DCD"/>
    <w:rsid w:val="000846BF"/>
    <w:rsid w:val="000E7FBC"/>
    <w:rsid w:val="000F56A2"/>
    <w:rsid w:val="001130D1"/>
    <w:rsid w:val="00152F58"/>
    <w:rsid w:val="0016317D"/>
    <w:rsid w:val="001B1EDC"/>
    <w:rsid w:val="00224DFA"/>
    <w:rsid w:val="002307CD"/>
    <w:rsid w:val="00291B00"/>
    <w:rsid w:val="002F6ECD"/>
    <w:rsid w:val="003253B0"/>
    <w:rsid w:val="003B117D"/>
    <w:rsid w:val="003D2DAF"/>
    <w:rsid w:val="00422108"/>
    <w:rsid w:val="0046443F"/>
    <w:rsid w:val="004D5B8F"/>
    <w:rsid w:val="004D73AB"/>
    <w:rsid w:val="004E6F80"/>
    <w:rsid w:val="00517938"/>
    <w:rsid w:val="00554E81"/>
    <w:rsid w:val="0056777F"/>
    <w:rsid w:val="005C578D"/>
    <w:rsid w:val="005F63AE"/>
    <w:rsid w:val="00674982"/>
    <w:rsid w:val="006A3446"/>
    <w:rsid w:val="00752981"/>
    <w:rsid w:val="00760F56"/>
    <w:rsid w:val="0077289F"/>
    <w:rsid w:val="007923F8"/>
    <w:rsid w:val="007B2063"/>
    <w:rsid w:val="00813A3D"/>
    <w:rsid w:val="00822C5C"/>
    <w:rsid w:val="00834A05"/>
    <w:rsid w:val="0084487F"/>
    <w:rsid w:val="0088008F"/>
    <w:rsid w:val="008D4AB7"/>
    <w:rsid w:val="008E5330"/>
    <w:rsid w:val="00961F6C"/>
    <w:rsid w:val="00963FD7"/>
    <w:rsid w:val="00971617"/>
    <w:rsid w:val="00995D6C"/>
    <w:rsid w:val="009F66E8"/>
    <w:rsid w:val="00A44440"/>
    <w:rsid w:val="00A4796B"/>
    <w:rsid w:val="00A773FD"/>
    <w:rsid w:val="00AB0C6B"/>
    <w:rsid w:val="00AB5F3E"/>
    <w:rsid w:val="00B50747"/>
    <w:rsid w:val="00B5744B"/>
    <w:rsid w:val="00B942D0"/>
    <w:rsid w:val="00C134D9"/>
    <w:rsid w:val="00C95F3A"/>
    <w:rsid w:val="00D009DF"/>
    <w:rsid w:val="00D2010B"/>
    <w:rsid w:val="00DC0B75"/>
    <w:rsid w:val="00E22C34"/>
    <w:rsid w:val="00E96110"/>
    <w:rsid w:val="00F2433C"/>
    <w:rsid w:val="00F61B65"/>
    <w:rsid w:val="00F763A5"/>
    <w:rsid w:val="00F85387"/>
    <w:rsid w:val="00F95470"/>
    <w:rsid w:val="00FC66FF"/>
    <w:rsid w:val="00FF7317"/>
    <w:rsid w:val="05F1582D"/>
    <w:rsid w:val="083749E7"/>
    <w:rsid w:val="0CB679B8"/>
    <w:rsid w:val="0DE528CD"/>
    <w:rsid w:val="122057FD"/>
    <w:rsid w:val="1336279F"/>
    <w:rsid w:val="18725427"/>
    <w:rsid w:val="254E2FC7"/>
    <w:rsid w:val="25B607B7"/>
    <w:rsid w:val="263C173A"/>
    <w:rsid w:val="274A459E"/>
    <w:rsid w:val="289D055E"/>
    <w:rsid w:val="2C9F197B"/>
    <w:rsid w:val="2CA33441"/>
    <w:rsid w:val="2CE55C20"/>
    <w:rsid w:val="2F287302"/>
    <w:rsid w:val="30426D13"/>
    <w:rsid w:val="3A43255A"/>
    <w:rsid w:val="3D6201A1"/>
    <w:rsid w:val="3EC46785"/>
    <w:rsid w:val="3F8A6044"/>
    <w:rsid w:val="43A702D9"/>
    <w:rsid w:val="44592EA4"/>
    <w:rsid w:val="44643FD2"/>
    <w:rsid w:val="477245B4"/>
    <w:rsid w:val="49617FA5"/>
    <w:rsid w:val="4D171D42"/>
    <w:rsid w:val="4E4F0BB0"/>
    <w:rsid w:val="4F173704"/>
    <w:rsid w:val="5215628A"/>
    <w:rsid w:val="5BE95901"/>
    <w:rsid w:val="60A70F41"/>
    <w:rsid w:val="634758A5"/>
    <w:rsid w:val="6A0A15CD"/>
    <w:rsid w:val="6D452F22"/>
    <w:rsid w:val="6DF352BD"/>
    <w:rsid w:val="705E3E6D"/>
    <w:rsid w:val="71C1048A"/>
    <w:rsid w:val="72741EDD"/>
    <w:rsid w:val="7396188C"/>
    <w:rsid w:val="73F35F5B"/>
    <w:rsid w:val="7655366C"/>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2603</Words>
  <Characters>14839</Characters>
  <Lines>123</Lines>
  <Paragraphs>34</Paragraphs>
  <TotalTime>128</TotalTime>
  <ScaleCrop>false</ScaleCrop>
  <LinksUpToDate>false</LinksUpToDate>
  <CharactersWithSpaces>17408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2022-10-10T08:31:00Z</dcterms:created>
  <dc:creator>Administrator</dc:creator>
  <cp:lastModifiedBy>lenovo</cp:lastModifiedBy>
  <cp:lastPrinted>2022-11-09T03:56:18Z</cp:lastPrinted>
  <dcterms:modified xsi:type="dcterms:W3CDTF">2022-11-09T04:02:00Z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377A56B318954603893BD5B869B7BB42</vt:lpwstr>
  </property>
</Properties>
</file>