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附件2-1</w:t>
      </w:r>
    </w:p>
    <w:p>
      <w:pPr>
        <w:spacing w:line="348" w:lineRule="auto"/>
        <w:jc w:val="center"/>
        <w:rPr>
          <w:rFonts w:eastAsia="方正小标宋简体"/>
          <w:bCs/>
          <w:color w:val="000000" w:themeColor="text1"/>
          <w:sz w:val="42"/>
          <w:szCs w:val="42"/>
          <w14:textFill>
            <w14:solidFill>
              <w14:schemeClr w14:val="tx1"/>
            </w14:solidFill>
          </w14:textFill>
        </w:rPr>
      </w:pPr>
    </w:p>
    <w:p>
      <w:pPr>
        <w:spacing w:line="800" w:lineRule="exact"/>
        <w:jc w:val="center"/>
        <w:rPr>
          <w:rFonts w:eastAsia="方正小标宋简体"/>
          <w:bCs/>
          <w:color w:val="000000" w:themeColor="text1"/>
          <w:sz w:val="46"/>
          <w:szCs w:val="46"/>
          <w14:textFill>
            <w14:solidFill>
              <w14:schemeClr w14:val="tx1"/>
            </w14:solidFill>
          </w14:textFill>
        </w:rPr>
      </w:pPr>
      <w:r>
        <w:rPr>
          <w:rFonts w:hint="eastAsia" w:eastAsia="方正小标宋简体"/>
          <w:bCs/>
          <w:color w:val="000000" w:themeColor="text1"/>
          <w:sz w:val="46"/>
          <w:szCs w:val="46"/>
          <w14:textFill>
            <w14:solidFill>
              <w14:schemeClr w14:val="tx1"/>
            </w14:solidFill>
          </w14:textFill>
        </w:rPr>
        <w:t>华容县2021年度部门整体支出</w:t>
      </w:r>
    </w:p>
    <w:p>
      <w:pPr>
        <w:spacing w:line="800" w:lineRule="exact"/>
        <w:jc w:val="center"/>
        <w:rPr>
          <w:rFonts w:eastAsia="方正小标宋简体"/>
          <w:bCs/>
          <w:color w:val="000000" w:themeColor="text1"/>
          <w:sz w:val="46"/>
          <w:szCs w:val="46"/>
          <w14:textFill>
            <w14:solidFill>
              <w14:schemeClr w14:val="tx1"/>
            </w14:solidFill>
          </w14:textFill>
        </w:rPr>
      </w:pPr>
      <w:r>
        <w:rPr>
          <w:rFonts w:hint="eastAsia" w:eastAsia="方正小标宋简体"/>
          <w:bCs/>
          <w:color w:val="000000" w:themeColor="text1"/>
          <w:sz w:val="46"/>
          <w:szCs w:val="46"/>
          <w14:textFill>
            <w14:solidFill>
              <w14:schemeClr w14:val="tx1"/>
            </w14:solidFill>
          </w14:textFill>
        </w:rPr>
        <w:t>绩效评价自评报告</w:t>
      </w:r>
    </w:p>
    <w:p>
      <w:pPr>
        <w:rPr>
          <w:rFonts w:eastAsia="仿宋_GB2312"/>
          <w:b/>
          <w:color w:val="000000" w:themeColor="text1"/>
          <w:sz w:val="32"/>
          <w14:textFill>
            <w14:solidFill>
              <w14:schemeClr w14:val="tx1"/>
            </w14:solidFill>
          </w14:textFill>
        </w:rPr>
      </w:pPr>
    </w:p>
    <w:p>
      <w:pPr>
        <w:rPr>
          <w:rFonts w:eastAsia="仿宋_GB2312"/>
          <w:b/>
          <w:color w:val="000000" w:themeColor="text1"/>
          <w:sz w:val="32"/>
          <w14:textFill>
            <w14:solidFill>
              <w14:schemeClr w14:val="tx1"/>
            </w14:solidFill>
          </w14:textFill>
        </w:rPr>
      </w:pPr>
    </w:p>
    <w:p>
      <w:pPr>
        <w:rPr>
          <w:rFonts w:eastAsia="仿宋_GB2312"/>
          <w:b/>
          <w:color w:val="000000" w:themeColor="text1"/>
          <w:sz w:val="32"/>
          <w14:textFill>
            <w14:solidFill>
              <w14:schemeClr w14:val="tx1"/>
            </w14:solidFill>
          </w14:textFill>
        </w:rPr>
      </w:pPr>
    </w:p>
    <w:p>
      <w:pPr>
        <w:spacing w:before="301" w:beforeLines="50" w:line="348" w:lineRule="auto"/>
        <w:ind w:firstLine="474" w:firstLineChars="150"/>
        <w:rPr>
          <w:rFonts w:eastAsia="仿宋_GB2312"/>
          <w:color w:val="000000" w:themeColor="text1"/>
          <w:sz w:val="32"/>
          <w:szCs w:val="32"/>
          <w:u w:val="single"/>
          <w14:textFill>
            <w14:solidFill>
              <w14:schemeClr w14:val="tx1"/>
            </w14:solidFill>
          </w14:textFill>
        </w:rPr>
      </w:pPr>
      <w:r>
        <w:rPr>
          <w:rFonts w:hint="eastAsia" w:eastAsia="仿宋_GB2312"/>
          <w:color w:val="000000" w:themeColor="text1"/>
          <w:sz w:val="32"/>
          <w:szCs w:val="32"/>
          <w14:textFill>
            <w14:solidFill>
              <w14:schemeClr w14:val="tx1"/>
            </w14:solidFill>
          </w14:textFill>
        </w:rPr>
        <w:t>部门(单位)名称：华容县马鞍山实验学校</w:t>
      </w:r>
    </w:p>
    <w:p>
      <w:pPr>
        <w:spacing w:before="301" w:beforeLines="50" w:line="348" w:lineRule="auto"/>
        <w:ind w:firstLine="474" w:firstLineChars="150"/>
        <w:rPr>
          <w:rFonts w:eastAsia="仿宋_GB2312"/>
          <w:color w:val="000000" w:themeColor="text1"/>
          <w:spacing w:val="20"/>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预</w:t>
      </w:r>
      <w:r>
        <w:rPr>
          <w:rFonts w:hint="eastAsia" w:eastAsia="仿宋_GB2312"/>
          <w:color w:val="000000" w:themeColor="text1"/>
          <w:spacing w:val="30"/>
          <w:sz w:val="32"/>
          <w:szCs w:val="32"/>
          <w14:textFill>
            <w14:solidFill>
              <w14:schemeClr w14:val="tx1"/>
            </w14:solidFill>
          </w14:textFill>
        </w:rPr>
        <w:t xml:space="preserve"> 算 编 码：2050</w:t>
      </w:r>
      <w:r>
        <w:rPr>
          <w:rFonts w:eastAsia="仿宋_GB2312"/>
          <w:color w:val="000000" w:themeColor="text1"/>
          <w:spacing w:val="30"/>
          <w:sz w:val="32"/>
          <w:szCs w:val="32"/>
          <w14:textFill>
            <w14:solidFill>
              <w14:schemeClr w14:val="tx1"/>
            </w14:solidFill>
          </w14:textFill>
        </w:rPr>
        <w:t>29</w:t>
      </w:r>
    </w:p>
    <w:p>
      <w:pPr>
        <w:spacing w:before="301" w:beforeLines="50" w:line="348" w:lineRule="auto"/>
        <w:ind w:firstLine="474" w:firstLineChars="1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评价方式：部门（单位）绩效自评</w:t>
      </w:r>
    </w:p>
    <w:p>
      <w:pPr>
        <w:spacing w:before="301" w:beforeLines="50" w:line="348" w:lineRule="auto"/>
        <w:ind w:firstLine="474" w:firstLineChars="1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评价机构：部门（单位）评价组   </w:t>
      </w:r>
    </w:p>
    <w:p>
      <w:pPr>
        <w:spacing w:line="720" w:lineRule="exact"/>
        <w:ind w:firstLine="2182" w:firstLineChars="690"/>
        <w:rPr>
          <w:rFonts w:eastAsia="仿宋_GB2312"/>
          <w:color w:val="000000" w:themeColor="text1"/>
          <w:sz w:val="32"/>
          <w14:textFill>
            <w14:solidFill>
              <w14:schemeClr w14:val="tx1"/>
            </w14:solidFill>
          </w14:textFill>
        </w:rPr>
      </w:pPr>
    </w:p>
    <w:p>
      <w:pPr>
        <w:spacing w:line="720" w:lineRule="exact"/>
        <w:ind w:firstLine="2182" w:firstLineChars="690"/>
        <w:rPr>
          <w:rFonts w:eastAsia="仿宋_GB2312"/>
          <w:color w:val="000000" w:themeColor="text1"/>
          <w:sz w:val="32"/>
          <w14:textFill>
            <w14:solidFill>
              <w14:schemeClr w14:val="tx1"/>
            </w14:solidFill>
          </w14:textFill>
        </w:rPr>
      </w:pPr>
    </w:p>
    <w:p>
      <w:pPr>
        <w:spacing w:line="720" w:lineRule="exact"/>
        <w:ind w:firstLine="2182" w:firstLineChars="690"/>
        <w:rPr>
          <w:rFonts w:eastAsia="仿宋_GB2312"/>
          <w:color w:val="000000" w:themeColor="text1"/>
          <w:sz w:val="32"/>
          <w14:textFill>
            <w14:solidFill>
              <w14:schemeClr w14:val="tx1"/>
            </w14:solidFill>
          </w14:textFill>
        </w:rPr>
      </w:pPr>
    </w:p>
    <w:p>
      <w:pPr>
        <w:spacing w:line="348" w:lineRule="auto"/>
        <w:jc w:val="center"/>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报告日期：2022年  10月  8日</w:t>
      </w:r>
    </w:p>
    <w:p>
      <w:pPr>
        <w:autoSpaceDN w:val="0"/>
        <w:jc w:val="center"/>
        <w:textAlignment w:val="center"/>
        <w:rPr>
          <w:rFonts w:eastAsia="仿宋_GB2312"/>
          <w:color w:val="000000" w:themeColor="text1"/>
          <w:sz w:val="32"/>
          <w:szCs w:val="32"/>
          <w14:textFill>
            <w14:solidFill>
              <w14:schemeClr w14:val="tx1"/>
            </w14:solidFill>
          </w14:textFill>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color w:val="000000" w:themeColor="text1"/>
          <w:sz w:val="32"/>
          <w14:textFill>
            <w14:solidFill>
              <w14:schemeClr w14:val="tx1"/>
            </w14:solidFill>
          </w14:textFill>
        </w:rPr>
        <w:t>华容县财政</w:t>
      </w:r>
      <w:r>
        <w:rPr>
          <w:rFonts w:hint="eastAsia" w:eastAsia="仿宋_GB2312"/>
          <w:color w:val="000000" w:themeColor="text1"/>
          <w:sz w:val="32"/>
          <w:szCs w:val="32"/>
          <w14:textFill>
            <w14:solidFill>
              <w14:schemeClr w14:val="tx1"/>
            </w14:solidFill>
          </w14:textFill>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841"/>
        <w:gridCol w:w="60"/>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刘科</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联络电话</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15080956243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23</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实有人数</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职能职责概述</w:t>
            </w:r>
          </w:p>
        </w:tc>
        <w:tc>
          <w:tcPr>
            <w:tcW w:w="8146" w:type="dxa"/>
            <w:gridSpan w:val="14"/>
            <w:vAlign w:val="center"/>
          </w:tcPr>
          <w:p>
            <w:pPr>
              <w:autoSpaceDN w:val="0"/>
              <w:spacing w:line="320" w:lineRule="exact"/>
              <w:ind w:firstLine="480" w:firstLineChars="200"/>
              <w:jc w:val="lef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4"/>
            <w:vAlign w:val="center"/>
          </w:tcPr>
          <w:p>
            <w:pPr>
              <w:autoSpaceDN w:val="0"/>
              <w:spacing w:line="320" w:lineRule="exact"/>
              <w:ind w:firstLine="440" w:firstLineChars="20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马鞍山实验学校“民转公”工作。</w:t>
            </w:r>
          </w:p>
          <w:p>
            <w:pPr>
              <w:autoSpaceDN w:val="0"/>
              <w:spacing w:line="320" w:lineRule="exact"/>
              <w:ind w:firstLine="440" w:firstLineChars="20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二是优队伍。加大培训力度，组织教师外出学习，提升队伍整体素质。</w:t>
            </w:r>
          </w:p>
          <w:p>
            <w:pPr>
              <w:autoSpaceDN w:val="0"/>
              <w:spacing w:line="320" w:lineRule="exact"/>
              <w:ind w:firstLine="440" w:firstLineChars="20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三是强保障。大力发展教育基金，充分发挥教育基金会的奖教、助教作用。</w:t>
            </w:r>
          </w:p>
          <w:p>
            <w:pPr>
              <w:autoSpaceDN w:val="0"/>
              <w:spacing w:line="320" w:lineRule="exact"/>
              <w:ind w:firstLine="440" w:firstLineChars="20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pacing w:val="-6"/>
                <w:sz w:val="24"/>
                <w14:textFill>
                  <w14:solidFill>
                    <w14:schemeClr w14:val="tx1"/>
                  </w14:solidFill>
                </w14:textFill>
              </w:rPr>
            </w:pPr>
            <w:r>
              <w:rPr>
                <w:rFonts w:hint="eastAsia" w:ascii="仿宋_GB2312" w:hAnsi="仿宋_GB2312" w:eastAsia="仿宋_GB2312" w:cs="仿宋_GB2312"/>
                <w:color w:val="000000" w:themeColor="text1"/>
                <w:spacing w:val="-6"/>
                <w:sz w:val="24"/>
                <w14:textFill>
                  <w14:solidFill>
                    <w14:schemeClr w14:val="tx1"/>
                  </w14:solidFill>
                </w14:textFill>
              </w:rPr>
              <w:t>年度部门（单位）总体运行情况及取得的成绩</w:t>
            </w:r>
          </w:p>
        </w:tc>
        <w:tc>
          <w:tcPr>
            <w:tcW w:w="8146" w:type="dxa"/>
            <w:gridSpan w:val="14"/>
            <w:vAlign w:val="center"/>
          </w:tcPr>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ind w:firstLine="480" w:firstLineChars="200"/>
              <w:rPr>
                <w:rFonts w:ascii="仿宋_GB2312" w:hAnsi="仿宋_GB2312" w:eastAsia="仿宋_GB2312" w:cs="仿宋_GB2312"/>
                <w:color w:val="000000" w:themeColor="text1"/>
                <w:sz w:val="24"/>
                <w14:textFill>
                  <w14:solidFill>
                    <w14:schemeClr w14:val="tx1"/>
                  </w14:solidFill>
                </w14:textFill>
              </w:rPr>
            </w:pPr>
          </w:p>
          <w:p>
            <w:pPr>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公共财</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政拨款</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政府基金拨款</w:t>
            </w:r>
          </w:p>
        </w:tc>
        <w:tc>
          <w:tcPr>
            <w:tcW w:w="1664"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其他</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华容县马鞍山实验学校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1743.25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1,511.64</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c>
          <w:tcPr>
            <w:tcW w:w="1664"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231.61</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000000" w:themeColor="text1"/>
                <w:sz w:val="24"/>
                <w14:textFill>
                  <w14:solidFill>
                    <w14:schemeClr w14:val="tx1"/>
                  </w14:solidFill>
                </w14:textFill>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c>
          <w:tcPr>
            <w:tcW w:w="1841" w:type="dxa"/>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c>
          <w:tcPr>
            <w:tcW w:w="1664" w:type="dxa"/>
            <w:gridSpan w:val="4"/>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人员支出</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华容县马鞍山实验学校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1743.25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1558.73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431.8</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ascii="仿宋_GB2312" w:hAnsi="仿宋_GB2312" w:eastAsia="仿宋_GB2312" w:cs="仿宋_GB2312"/>
                <w:color w:val="000000" w:themeColor="text1"/>
                <w:sz w:val="24"/>
                <w14:textFill>
                  <w14:solidFill>
                    <w14:schemeClr w14:val="tx1"/>
                  </w14:solidFill>
                </w14:textFill>
              </w:rPr>
              <w:t>26.93</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184.53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14:textFill>
                  <w14:solidFill>
                    <w14:schemeClr w14:val="tx1"/>
                  </w14:solidFill>
                </w14:textFill>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14:textFill>
                  <w14:solidFill>
                    <w14:schemeClr w14:val="tx1"/>
                  </w14:solidFill>
                </w14:textFill>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三公经费</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公务用车运维费</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华容县马鞍山实验学校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r>
              <w:rPr>
                <w:rFonts w:ascii="仿宋_GB2312" w:hAnsi="仿宋_GB2312" w:eastAsia="仿宋_GB2312" w:cs="仿宋_GB2312"/>
                <w:color w:val="000000" w:themeColor="text1"/>
                <w:sz w:val="24"/>
                <w14:textFill>
                  <w14:solidFill>
                    <w14:schemeClr w14:val="tx1"/>
                  </w14:solidFill>
                </w14:textFill>
              </w:rPr>
              <w:t>97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r>
              <w:rPr>
                <w:rFonts w:ascii="仿宋_GB2312" w:hAnsi="仿宋_GB2312" w:eastAsia="仿宋_GB2312" w:cs="仿宋_GB2312"/>
                <w:color w:val="000000" w:themeColor="text1"/>
                <w:sz w:val="24"/>
                <w14:textFill>
                  <w14:solidFill>
                    <w14:schemeClr w14:val="tx1"/>
                  </w14:solidFill>
                </w14:textFill>
              </w:rPr>
              <w:t>97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固定资产</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华容县马鞍山实验学校</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2506.15</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2506.15</w:t>
            </w:r>
            <w:bookmarkStart w:id="0" w:name="_GoBack"/>
            <w:bookmarkEnd w:id="0"/>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8"/>
            <w:vAlign w:val="center"/>
          </w:tcPr>
          <w:p>
            <w:pPr>
              <w:autoSpaceDN w:val="0"/>
              <w:spacing w:line="320" w:lineRule="exact"/>
              <w:ind w:firstLine="216" w:firstLineChars="98"/>
              <w:textAlignment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rPr>
              <w:tab/>
            </w:r>
            <w:r>
              <w:rPr>
                <w:rFonts w:hint="eastAsia" w:ascii="仿宋" w:hAnsi="仿宋" w:eastAsia="仿宋" w:cs="仿宋"/>
              </w:rPr>
              <w:t>教学质量抽测全县第四名。数学组、美术组县级课题成功立项，数学组继2015年后，再次荣获岳阳市优秀教研组荣誉称号。</w:t>
            </w:r>
          </w:p>
          <w:p>
            <w:pPr>
              <w:autoSpaceDN w:val="0"/>
              <w:spacing w:line="320" w:lineRule="exact"/>
              <w:jc w:val="left"/>
              <w:textAlignment w:val="center"/>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华容县中小学生运动会荣获团体总分第二名，羽毛球小学组第一名,足球第三名，田径第三名。</w:t>
            </w:r>
          </w:p>
          <w:p>
            <w:pPr>
              <w:autoSpaceDN w:val="0"/>
              <w:spacing w:line="320" w:lineRule="exact"/>
              <w:jc w:val="left"/>
              <w:textAlignment w:val="center"/>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荣获岳阳市科技创新十佳学校、航模竞赛优秀组织单位，学生获奖20多人次</w:t>
            </w:r>
          </w:p>
          <w:p>
            <w:pPr>
              <w:autoSpaceDN w:val="0"/>
              <w:spacing w:line="320" w:lineRule="exact"/>
              <w:jc w:val="left"/>
              <w:textAlignment w:val="center"/>
              <w:rPr>
                <w:rFonts w:cs="仿宋_GB2312" w:asciiTheme="minorEastAsia" w:hAnsiTheme="minorEastAsia" w:eastAsiaTheme="minorEastAsia"/>
                <w:b/>
                <w:color w:val="000000"/>
                <w:sz w:val="24"/>
                <w:highlight w:val="yellow"/>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钟红、王慧获评华容县第三批名师，曹芳、李纯等老师荣获省级精品课，曾琴、徐雪琴等老师论文在《湖南教育》《华容教育》发表或获奖，宗毕熬、徐微、张利等老师被评为优秀辅导员。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hint="eastAsia"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 xml:space="preserve">    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2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sz w:val="22"/>
                <w:szCs w:val="22"/>
              </w:rPr>
            </w:pPr>
            <w:r>
              <w:rPr>
                <w:rFonts w:hint="eastAsia" w:ascii="仿宋" w:hAnsi="仿宋" w:eastAsia="仿宋" w:cs="仿宋"/>
                <w:sz w:val="22"/>
                <w:szCs w:val="22"/>
              </w:rPr>
              <w:t>办学条件不断改善</w:t>
            </w: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w:t>
            </w:r>
            <w:r>
              <w:rPr>
                <w:rFonts w:ascii="仿宋" w:hAnsi="仿宋" w:eastAsia="仿宋" w:cs="仿宋"/>
                <w:bCs/>
                <w:color w:val="000000"/>
                <w:sz w:val="22"/>
                <w:szCs w:val="22"/>
              </w:rPr>
              <w:t>0</w:t>
            </w:r>
            <w:r>
              <w:rPr>
                <w:rFonts w:hint="eastAsia" w:ascii="仿宋" w:hAnsi="仿宋" w:eastAsia="仿宋" w:cs="仿宋"/>
                <w:bCs/>
                <w:color w:val="000000"/>
                <w:sz w:val="22"/>
                <w:szCs w:val="22"/>
              </w:rPr>
              <w:t>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罗勇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马鞍山实验学校</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范树勇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马鞍山实验学校</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王佳武</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马鞍山实验学校</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刘科</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84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马鞍山实验学校</w:t>
            </w: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41" w:type="dxa"/>
          </w:tcPr>
          <w:p>
            <w:pPr>
              <w:autoSpaceDN w:val="0"/>
              <w:spacing w:line="320" w:lineRule="exact"/>
              <w:jc w:val="center"/>
              <w:textAlignment w:val="center"/>
              <w:rPr>
                <w:rFonts w:ascii="仿宋_GB2312" w:hAnsi="仿宋_GB2312" w:eastAsia="仿宋_GB2312" w:cs="仿宋_GB2312"/>
                <w:color w:val="000000"/>
                <w:sz w:val="24"/>
              </w:rPr>
            </w:pPr>
          </w:p>
        </w:tc>
        <w:tc>
          <w:tcPr>
            <w:tcW w:w="27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刘科                  联系电话：</w:t>
      </w:r>
      <w:r>
        <w:rPr>
          <w:rFonts w:eastAsia="仿宋_GB2312" w:cs="仿宋_GB2312"/>
          <w:bCs/>
          <w:sz w:val="28"/>
          <w:szCs w:val="28"/>
        </w:rPr>
        <w:t>15080956243</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五、评价报告综述（文字部分）</w:t>
            </w:r>
          </w:p>
          <w:p>
            <w:pPr>
              <w:spacing w:line="440" w:lineRule="exact"/>
              <w:ind w:firstLine="640" w:firstLineChars="200"/>
              <w:rPr>
                <w:rFonts w:eastAsia="仿宋_GB2312"/>
                <w:color w:val="000000" w:themeColor="text1"/>
                <w:sz w:val="32"/>
                <w:szCs w:val="32"/>
                <w14:textFill>
                  <w14:solidFill>
                    <w14:schemeClr w14:val="tx1"/>
                  </w14:solidFill>
                </w14:textFill>
              </w:rPr>
            </w:pP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一、部门（单位）概况</w:t>
            </w:r>
          </w:p>
          <w:p>
            <w:pPr>
              <w:spacing w:line="56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二、部门（单位）整体支出管理及使用情况</w:t>
            </w:r>
          </w:p>
          <w:p>
            <w:pPr>
              <w:tabs>
                <w:tab w:val="left" w:pos="3105"/>
              </w:tabs>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（一）基本支出</w:t>
            </w:r>
            <w:r>
              <w:rPr>
                <w:rFonts w:ascii="仿宋_GB2312" w:hAnsi="仿宋_GB2312" w:eastAsia="仿宋_GB2312" w:cs="仿宋_GB2312"/>
                <w:bCs/>
                <w:color w:val="000000" w:themeColor="text1"/>
                <w:sz w:val="28"/>
                <w:szCs w:val="28"/>
                <w14:textFill>
                  <w14:solidFill>
                    <w14:schemeClr w14:val="tx1"/>
                  </w14:solidFill>
                </w14:textFill>
              </w:rPr>
              <w:tab/>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2021年度财政拨款基本支出</w:t>
            </w:r>
            <w:r>
              <w:rPr>
                <w:rFonts w:ascii="仿宋_GB2312" w:hAnsi="仿宋_GB2312" w:eastAsia="仿宋_GB2312" w:cs="仿宋_GB2312"/>
                <w:bCs/>
                <w:color w:val="000000" w:themeColor="text1"/>
                <w:sz w:val="28"/>
                <w:szCs w:val="28"/>
                <w14:textFill>
                  <w14:solidFill>
                    <w14:schemeClr w14:val="tx1"/>
                  </w14:solidFill>
                </w14:textFill>
              </w:rPr>
              <w:t>1511.64</w:t>
            </w:r>
            <w:r>
              <w:rPr>
                <w:rFonts w:hint="eastAsia" w:ascii="仿宋_GB2312" w:hAnsi="仿宋_GB2312" w:eastAsia="仿宋_GB2312" w:cs="仿宋_GB2312"/>
                <w:bCs/>
                <w:color w:val="000000" w:themeColor="text1"/>
                <w:sz w:val="28"/>
                <w:szCs w:val="28"/>
                <w14:textFill>
                  <w14:solidFill>
                    <w14:schemeClr w14:val="tx1"/>
                  </w14:solidFill>
                </w14:textFill>
              </w:rPr>
              <w:t>万元，其中：人员经费</w:t>
            </w:r>
            <w:r>
              <w:rPr>
                <w:rFonts w:ascii="仿宋_GB2312" w:hAnsi="仿宋_GB2312" w:eastAsia="仿宋_GB2312" w:cs="仿宋_GB2312"/>
                <w:bCs/>
                <w:color w:val="000000" w:themeColor="text1"/>
                <w:sz w:val="28"/>
                <w:szCs w:val="28"/>
                <w14:textFill>
                  <w14:solidFill>
                    <w14:schemeClr w14:val="tx1"/>
                  </w14:solidFill>
                </w14:textFill>
              </w:rPr>
              <w:t>1200.19</w:t>
            </w:r>
            <w:r>
              <w:rPr>
                <w:rFonts w:hint="eastAsia" w:ascii="仿宋_GB2312" w:hAnsi="仿宋_GB2312" w:eastAsia="仿宋_GB2312" w:cs="仿宋_GB2312"/>
                <w:bCs/>
                <w:color w:val="000000" w:themeColor="text1"/>
                <w:sz w:val="28"/>
                <w:szCs w:val="28"/>
                <w14:textFill>
                  <w14:solidFill>
                    <w14:schemeClr w14:val="tx1"/>
                  </w14:solidFill>
                </w14:textFill>
              </w:rPr>
              <w:t>万元，主要包括：（基本工资、津贴补贴、奖金、社会保障缴费、伙食补助费、其他工资福利支出、离休费、退休费、生活补助、医疗费、住房公积金、其他对个人和家庭的补助支出等）；公用经费</w:t>
            </w:r>
            <w:r>
              <w:rPr>
                <w:rFonts w:ascii="仿宋_GB2312" w:hAnsi="仿宋_GB2312" w:eastAsia="仿宋_GB2312" w:cs="仿宋_GB2312"/>
                <w:bCs/>
                <w:color w:val="000000" w:themeColor="text1"/>
                <w:sz w:val="28"/>
                <w:szCs w:val="28"/>
                <w14:textFill>
                  <w14:solidFill>
                    <w14:schemeClr w14:val="tx1"/>
                  </w14:solidFill>
                </w14:textFill>
              </w:rPr>
              <w:t>126.93</w:t>
            </w:r>
            <w:r>
              <w:rPr>
                <w:rFonts w:hint="eastAsia" w:ascii="仿宋_GB2312" w:hAnsi="仿宋_GB2312" w:eastAsia="仿宋_GB2312" w:cs="仿宋_GB2312"/>
                <w:bCs/>
                <w:color w:val="000000" w:themeColor="text1"/>
                <w:sz w:val="28"/>
                <w:szCs w:val="28"/>
                <w14:textFill>
                  <w14:solidFill>
                    <w14:schemeClr w14:val="tx1"/>
                  </w14:solidFill>
                </w14:textFill>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“三公”经费支出情况：严格按照财政局下发文件标准执行，严格控制支出，2021年，“三公”经费支出为</w:t>
            </w:r>
            <w:r>
              <w:rPr>
                <w:rFonts w:ascii="仿宋_GB2312" w:hAnsi="仿宋_GB2312" w:eastAsia="仿宋_GB2312" w:cs="仿宋_GB2312"/>
                <w:bCs/>
                <w:color w:val="000000" w:themeColor="text1"/>
                <w:sz w:val="28"/>
                <w:szCs w:val="28"/>
                <w14:textFill>
                  <w14:solidFill>
                    <w14:schemeClr w14:val="tx1"/>
                  </w14:solidFill>
                </w14:textFill>
              </w:rPr>
              <w:t>0.97</w:t>
            </w:r>
            <w:r>
              <w:rPr>
                <w:rFonts w:hint="eastAsia" w:ascii="仿宋_GB2312" w:hAnsi="仿宋_GB2312" w:eastAsia="仿宋_GB2312" w:cs="仿宋_GB2312"/>
                <w:bCs/>
                <w:color w:val="000000" w:themeColor="text1"/>
                <w:sz w:val="28"/>
                <w:szCs w:val="28"/>
                <w14:textFill>
                  <w14:solidFill>
                    <w14:schemeClr w14:val="tx1"/>
                  </w14:solidFill>
                </w14:textFill>
              </w:rPr>
              <w:t>万元，比上年减少0.01万元，下降3.01%，增减变化的主要原因是：厉行节约，严格管控。公务用车购置及运行维护费完成0元，与上年无变化，原因是公车无。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（二）专项支出</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1、专项资金安排落实、总投入等情况分析</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2021年度教育专项资金安排支出</w:t>
            </w:r>
            <w:r>
              <w:rPr>
                <w:rFonts w:ascii="仿宋_GB2312" w:hAnsi="仿宋_GB2312" w:eastAsia="仿宋_GB2312" w:cs="仿宋_GB2312"/>
                <w:bCs/>
                <w:color w:val="000000" w:themeColor="text1"/>
                <w:sz w:val="28"/>
                <w:szCs w:val="28"/>
                <w14:textFill>
                  <w14:solidFill>
                    <w14:schemeClr w14:val="tx1"/>
                  </w14:solidFill>
                </w14:textFill>
              </w:rPr>
              <w:t>184.53</w:t>
            </w:r>
            <w:r>
              <w:rPr>
                <w:rFonts w:hint="eastAsia" w:ascii="仿宋_GB2312" w:hAnsi="仿宋_GB2312" w:eastAsia="仿宋_GB2312" w:cs="仿宋_GB2312"/>
                <w:bCs/>
                <w:color w:val="000000" w:themeColor="text1"/>
                <w:sz w:val="28"/>
                <w:szCs w:val="28"/>
                <w14:textFill>
                  <w14:solidFill>
                    <w14:schemeClr w14:val="tx1"/>
                  </w14:solidFill>
                </w14:textFill>
              </w:rPr>
              <w:t>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2、专项资金实际使用情况分析</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3、专项资金管理情况分析</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三、部门（单位）专项组织实施情况</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（一）专项组织情况分析</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1.完善财务制度，规范经费管理；</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2.严格执行预算，控制经费支出；</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3.完善专项监管，建立长效机制</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（二）专项管理情况分析</w:t>
            </w:r>
            <w:r>
              <w:rPr>
                <w:rFonts w:ascii="仿宋_GB2312" w:hAnsi="仿宋_GB2312" w:eastAsia="仿宋_GB2312" w:cs="仿宋_GB2312"/>
                <w:bCs/>
                <w:color w:val="000000" w:themeColor="text1"/>
                <w:sz w:val="28"/>
                <w:szCs w:val="28"/>
                <w14:textFill>
                  <w14:solidFill>
                    <w14:schemeClr w14:val="tx1"/>
                  </w14:solidFill>
                </w14:textFill>
              </w:rPr>
              <w:tab/>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四、部门（单位）整体支出绩效情况</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五、存在的主要问题</w:t>
            </w:r>
            <w:r>
              <w:rPr>
                <w:rFonts w:ascii="黑体" w:hAnsi="黑体" w:eastAsia="黑体" w:cs="黑体"/>
                <w:bCs/>
                <w:color w:val="000000" w:themeColor="text1"/>
                <w:sz w:val="28"/>
                <w:szCs w:val="28"/>
                <w14:textFill>
                  <w14:solidFill>
                    <w14:schemeClr w14:val="tx1"/>
                  </w14:solidFill>
                </w14:textFill>
              </w:rPr>
              <w:tab/>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六、改进措施和有关建议</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p>
          <w:p>
            <w:pPr>
              <w:spacing w:line="56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p>
          <w:p>
            <w:pPr>
              <w:spacing w:line="560" w:lineRule="exact"/>
              <w:ind w:firstLine="560" w:firstLineChars="200"/>
              <w:jc w:val="righ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华容县马鞍山实验学校</w:t>
            </w:r>
          </w:p>
          <w:p>
            <w:pPr>
              <w:spacing w:line="560" w:lineRule="exact"/>
              <w:ind w:firstLine="560" w:firstLineChars="200"/>
              <w:jc w:val="right"/>
              <w:rPr>
                <w:rFonts w:eastAsia="楷体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OThhNTgwMTJjZWIxODU4ZWI5Y2EwOWQ3ZDU2ZmEifQ=="/>
  </w:docVars>
  <w:rsids>
    <w:rsidRoot w:val="2CE55C20"/>
    <w:rsid w:val="000846BF"/>
    <w:rsid w:val="000A68BF"/>
    <w:rsid w:val="000C1215"/>
    <w:rsid w:val="000F56A2"/>
    <w:rsid w:val="001130D1"/>
    <w:rsid w:val="00152F58"/>
    <w:rsid w:val="0015558B"/>
    <w:rsid w:val="001B634A"/>
    <w:rsid w:val="001C2772"/>
    <w:rsid w:val="001D1DFC"/>
    <w:rsid w:val="00217DB9"/>
    <w:rsid w:val="002307CD"/>
    <w:rsid w:val="0026011C"/>
    <w:rsid w:val="003253B0"/>
    <w:rsid w:val="00340905"/>
    <w:rsid w:val="003B117D"/>
    <w:rsid w:val="003C5460"/>
    <w:rsid w:val="003D2DAF"/>
    <w:rsid w:val="00456C5F"/>
    <w:rsid w:val="004D5B8F"/>
    <w:rsid w:val="00554E81"/>
    <w:rsid w:val="005C578D"/>
    <w:rsid w:val="005D73A6"/>
    <w:rsid w:val="005F63AE"/>
    <w:rsid w:val="00613C96"/>
    <w:rsid w:val="00647450"/>
    <w:rsid w:val="00647CEF"/>
    <w:rsid w:val="00674982"/>
    <w:rsid w:val="006F43A7"/>
    <w:rsid w:val="00752981"/>
    <w:rsid w:val="00760F56"/>
    <w:rsid w:val="0077289F"/>
    <w:rsid w:val="007923F8"/>
    <w:rsid w:val="007A013C"/>
    <w:rsid w:val="007B2063"/>
    <w:rsid w:val="007B64A3"/>
    <w:rsid w:val="00834A05"/>
    <w:rsid w:val="0088008F"/>
    <w:rsid w:val="008E5330"/>
    <w:rsid w:val="00961F6C"/>
    <w:rsid w:val="009F39FF"/>
    <w:rsid w:val="00A4796B"/>
    <w:rsid w:val="00A66556"/>
    <w:rsid w:val="00B416D8"/>
    <w:rsid w:val="00B942D0"/>
    <w:rsid w:val="00C134D9"/>
    <w:rsid w:val="00C23F54"/>
    <w:rsid w:val="00C95F3A"/>
    <w:rsid w:val="00CB7532"/>
    <w:rsid w:val="00CE6643"/>
    <w:rsid w:val="00D43280"/>
    <w:rsid w:val="00DC0B75"/>
    <w:rsid w:val="00DC6879"/>
    <w:rsid w:val="00DD304C"/>
    <w:rsid w:val="00E0441E"/>
    <w:rsid w:val="00E22C34"/>
    <w:rsid w:val="00EE2289"/>
    <w:rsid w:val="00F266E8"/>
    <w:rsid w:val="00F714A9"/>
    <w:rsid w:val="00F763A5"/>
    <w:rsid w:val="00F92947"/>
    <w:rsid w:val="00F95470"/>
    <w:rsid w:val="00FB600F"/>
    <w:rsid w:val="00FC66FF"/>
    <w:rsid w:val="00FC7BD2"/>
    <w:rsid w:val="00FF7317"/>
    <w:rsid w:val="02951B05"/>
    <w:rsid w:val="06710E08"/>
    <w:rsid w:val="06902037"/>
    <w:rsid w:val="06C15190"/>
    <w:rsid w:val="083749E7"/>
    <w:rsid w:val="09F764BA"/>
    <w:rsid w:val="0CB679B8"/>
    <w:rsid w:val="0D5C7CE3"/>
    <w:rsid w:val="0DE528CD"/>
    <w:rsid w:val="1336279F"/>
    <w:rsid w:val="14B46A8F"/>
    <w:rsid w:val="16151959"/>
    <w:rsid w:val="18725427"/>
    <w:rsid w:val="254E2FC7"/>
    <w:rsid w:val="257B7155"/>
    <w:rsid w:val="25B607B7"/>
    <w:rsid w:val="263C173A"/>
    <w:rsid w:val="289D055E"/>
    <w:rsid w:val="2AD530BE"/>
    <w:rsid w:val="2AE535D8"/>
    <w:rsid w:val="2B447E80"/>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1096</Words>
  <Characters>6249</Characters>
  <Lines>52</Lines>
  <Paragraphs>14</Paragraphs>
  <TotalTime>0</TotalTime>
  <ScaleCrop>false</ScaleCrop>
  <LinksUpToDate>false</LinksUpToDate>
  <CharactersWithSpaces>7331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2022-10-10T03:27:00Z</dcterms:created>
  <dc:creator>Administrator</dc:creator>
  <cp:lastModifiedBy>czj</cp:lastModifiedBy>
  <cp:lastPrinted>2021-07-12T08:27:00Z</cp:lastPrinted>
  <dcterms:modified xsi:type="dcterms:W3CDTF">2022-11-04T04:17:20Z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