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36"/>
          <w:szCs w:val="36"/>
          <w:highlight w:val="none"/>
        </w:rPr>
      </w:pPr>
      <w:r>
        <w:rPr>
          <w:b/>
          <w:bCs/>
          <w:sz w:val="36"/>
          <w:szCs w:val="36"/>
          <w:highlight w:val="none"/>
        </w:rPr>
        <w:t>目  录</w:t>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TOC \o "1-2" \h \u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_Toc1341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lang w:val="en-US" w:eastAsia="zh-CN"/>
        </w:rPr>
        <w:t>1  概述</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_Toc1341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1</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_Toc28817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lang w:val="en-US" w:eastAsia="zh-CN"/>
        </w:rPr>
        <w:t xml:space="preserve">.1 </w:t>
      </w:r>
      <w:r>
        <w:rPr>
          <w:rFonts w:hint="default" w:ascii="Times New Roman" w:hAnsi="Times New Roman" w:eastAsia="宋体" w:cs="Times New Roman"/>
          <w:b w:val="0"/>
          <w:bCs w:val="0"/>
          <w:highlight w:val="none"/>
        </w:rPr>
        <w:t xml:space="preserve"> 项目由来</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_Toc28817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_Toc31035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 xml:space="preserve">1.2  </w:t>
      </w:r>
      <w:r>
        <w:rPr>
          <w:rFonts w:hint="default" w:ascii="Times New Roman" w:hAnsi="Times New Roman" w:eastAsia="宋体" w:cs="Times New Roman"/>
          <w:b w:val="0"/>
          <w:bCs w:val="0"/>
          <w:highlight w:val="none"/>
        </w:rPr>
        <w:t>建设项目特点</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_Toc31035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_Toc13953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 xml:space="preserve">1.3 </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环境影响评价工作过程</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_Toc13953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_Toc4947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1.4  分析判定相关情况</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_Toc4947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_Toc12192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1.5  评价关注的主要环境问题及环境影响</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_Toc12192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14</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_Toc12385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 xml:space="preserve">1.6 </w:t>
      </w:r>
      <w:r>
        <w:rPr>
          <w:rFonts w:hint="default" w:ascii="Times New Roman" w:hAnsi="Times New Roman" w:eastAsia="宋体" w:cs="Times New Roman"/>
          <w:b w:val="0"/>
          <w:bCs w:val="0"/>
          <w:highlight w:val="none"/>
        </w:rPr>
        <w:t xml:space="preserve"> 环境影响评价主要结论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_Toc12385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14</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_Toc9045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lang w:val="en-US" w:eastAsia="zh-CN"/>
        </w:rPr>
        <w:t xml:space="preserve">2  </w:t>
      </w:r>
      <w:r>
        <w:rPr>
          <w:rFonts w:hint="default" w:ascii="Times New Roman" w:hAnsi="Times New Roman" w:eastAsia="宋体" w:cs="Times New Roman"/>
          <w:b/>
          <w:bCs/>
          <w:highlight w:val="none"/>
        </w:rPr>
        <w:t>总论</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_Toc9045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16</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_Toc18494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编制依据</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_Toc18494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16</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_Toc2018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.2  评价目的及原则</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_Toc2018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18</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_Toc1742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.3  评价时段</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_Toc1742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20</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_Toc13746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.4  环境影响因素识别和评价因子筛选</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_Toc13746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20</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_Toc13948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.5  评价重点</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_Toc13948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21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_Toc6768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.6  评价等级和评价范围</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_Toc6768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21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_Toc20359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.7  评价标准</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_Toc20359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25</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_Toc4505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.8  环境保护目标</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_Toc4505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30</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_Toc23249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spacing w:val="-3"/>
          <w:szCs w:val="28"/>
          <w:highlight w:val="none"/>
        </w:rPr>
        <w:t>3</w:t>
      </w:r>
      <w:r>
        <w:rPr>
          <w:rFonts w:hint="default" w:ascii="Times New Roman" w:hAnsi="Times New Roman" w:eastAsia="宋体" w:cs="Times New Roman"/>
          <w:b/>
          <w:bCs/>
          <w:spacing w:val="-3"/>
          <w:szCs w:val="28"/>
          <w:highlight w:val="none"/>
          <w:lang w:val="en-US" w:eastAsia="zh-CN"/>
        </w:rPr>
        <w:t xml:space="preserve">  建设项目概况</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_Toc23249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32</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_Toc30351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3.1</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 xml:space="preserve"> 项目</w:t>
      </w:r>
      <w:r>
        <w:rPr>
          <w:rFonts w:hint="default" w:ascii="Times New Roman" w:hAnsi="Times New Roman" w:eastAsia="宋体" w:cs="Times New Roman"/>
          <w:b w:val="0"/>
          <w:bCs w:val="0"/>
          <w:highlight w:val="none"/>
          <w:lang w:eastAsia="zh-CN"/>
        </w:rPr>
        <w:t>基本</w:t>
      </w:r>
      <w:r>
        <w:rPr>
          <w:rFonts w:hint="default" w:ascii="Times New Roman" w:hAnsi="Times New Roman" w:eastAsia="宋体" w:cs="Times New Roman"/>
          <w:b w:val="0"/>
          <w:bCs w:val="0"/>
          <w:highlight w:val="none"/>
        </w:rPr>
        <w:t>概况</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_Toc30351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_Toc3088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3.2</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 xml:space="preserve"> 建设内容及规模</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_Toc3088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_Toc25740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3.3</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 xml:space="preserve"> 生产规模及产品方案</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_Toc25740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_Toc22157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 xml:space="preserve">3.4 </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主要原辅材料及能源消耗</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_Toc22157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_Toc31456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3.5  主要生产设备</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_Toc31456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34</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_Toc6357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3.6</w:t>
      </w:r>
      <w:r>
        <w:rPr>
          <w:rFonts w:hint="default" w:ascii="Times New Roman" w:hAnsi="Times New Roman" w:eastAsia="宋体" w:cs="Times New Roman"/>
          <w:b w:val="0"/>
          <w:bCs w:val="0"/>
          <w:highlight w:val="none"/>
        </w:rPr>
        <w:t xml:space="preserve">  平面布局合理性分析</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_Toc6357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34</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_Toc28763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w:t>
      </w:r>
      <w:r>
        <w:rPr>
          <w:rFonts w:hint="default" w:ascii="Times New Roman" w:hAnsi="Times New Roman" w:eastAsia="宋体" w:cs="Times New Roman"/>
          <w:b w:val="0"/>
          <w:bCs w:val="0"/>
          <w:highlight w:val="none"/>
          <w:lang w:val="en-US" w:eastAsia="zh-CN"/>
        </w:rPr>
        <w:t xml:space="preserve">7 </w:t>
      </w:r>
      <w:r>
        <w:rPr>
          <w:rFonts w:hint="default" w:ascii="Times New Roman" w:hAnsi="Times New Roman" w:eastAsia="宋体" w:cs="Times New Roman"/>
          <w:b w:val="0"/>
          <w:bCs w:val="0"/>
          <w:highlight w:val="none"/>
        </w:rPr>
        <w:t xml:space="preserve"> 公用工程</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_Toc28763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35</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_Toc7949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w:t>
      </w:r>
      <w:r>
        <w:rPr>
          <w:rFonts w:hint="default" w:ascii="Times New Roman" w:hAnsi="Times New Roman" w:eastAsia="宋体" w:cs="Times New Roman"/>
          <w:b w:val="0"/>
          <w:bCs w:val="0"/>
          <w:highlight w:val="none"/>
          <w:lang w:val="en-US" w:eastAsia="zh-CN"/>
        </w:rPr>
        <w:t>8</w:t>
      </w:r>
      <w:r>
        <w:rPr>
          <w:rFonts w:hint="default" w:ascii="Times New Roman" w:hAnsi="Times New Roman" w:eastAsia="宋体" w:cs="Times New Roman"/>
          <w:b w:val="0"/>
          <w:bCs w:val="0"/>
          <w:highlight w:val="none"/>
        </w:rPr>
        <w:t xml:space="preserve"> </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项目劳动定员与工作制度</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_Toc7949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36</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_Toc22231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 xml:space="preserve">4  </w:t>
      </w:r>
      <w:r>
        <w:rPr>
          <w:rFonts w:hint="default" w:ascii="Times New Roman" w:hAnsi="Times New Roman" w:eastAsia="宋体" w:cs="Times New Roman"/>
          <w:b/>
          <w:bCs/>
          <w:highlight w:val="none"/>
          <w:lang w:eastAsia="zh-CN"/>
        </w:rPr>
        <w:t>建设项目</w:t>
      </w:r>
      <w:r>
        <w:rPr>
          <w:rFonts w:hint="default" w:ascii="Times New Roman" w:hAnsi="Times New Roman" w:eastAsia="宋体" w:cs="Times New Roman"/>
          <w:b/>
          <w:bCs/>
          <w:highlight w:val="none"/>
        </w:rPr>
        <w:t>工程分析</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_Toc22231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37</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_Toc30920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4.1  工艺流程简述</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_Toc30920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37</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_Toc14395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 xml:space="preserve">4.2 </w:t>
      </w:r>
      <w:r>
        <w:rPr>
          <w:rFonts w:hint="default" w:ascii="Times New Roman" w:hAnsi="Times New Roman" w:eastAsia="宋体" w:cs="Times New Roman"/>
          <w:b w:val="0"/>
          <w:bCs w:val="0"/>
          <w:highlight w:val="none"/>
        </w:rPr>
        <w:t xml:space="preserve"> 水平衡</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_Toc14395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43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_Toc18052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eastAsia="zh-CN"/>
        </w:rPr>
        <w:t>4.3</w:t>
      </w:r>
      <w:r>
        <w:rPr>
          <w:rFonts w:hint="default" w:ascii="Times New Roman" w:hAnsi="Times New Roman" w:eastAsia="宋体" w:cs="Times New Roman"/>
          <w:b w:val="0"/>
          <w:bCs w:val="0"/>
          <w:highlight w:val="none"/>
        </w:rPr>
        <w:t xml:space="preserve"> </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主要产污环节分析</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_Toc18052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46</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_Toc16494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lang w:val="en-US" w:eastAsia="zh-CN"/>
        </w:rPr>
        <w:t xml:space="preserve">5 </w:t>
      </w:r>
      <w:r>
        <w:rPr>
          <w:rFonts w:hint="default" w:ascii="Times New Roman" w:hAnsi="Times New Roman" w:eastAsia="宋体" w:cs="Times New Roman"/>
          <w:b/>
          <w:bCs/>
          <w:highlight w:val="none"/>
        </w:rPr>
        <w:t xml:space="preserve"> 环境现状调查与评价</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_Toc16494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57</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_Toc1098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4"/>
          <w:szCs w:val="28"/>
          <w:highlight w:val="none"/>
          <w:lang w:eastAsia="zh-CN"/>
        </w:rPr>
        <w:t>5.1</w:t>
      </w:r>
      <w:r>
        <w:rPr>
          <w:rFonts w:hint="default" w:ascii="Times New Roman" w:hAnsi="Times New Roman" w:eastAsia="宋体" w:cs="Times New Roman"/>
          <w:b w:val="0"/>
          <w:bCs w:val="0"/>
          <w:spacing w:val="-4"/>
          <w:szCs w:val="28"/>
          <w:highlight w:val="none"/>
          <w:lang w:val="en-US" w:eastAsia="zh-CN"/>
        </w:rPr>
        <w:t xml:space="preserve">  </w:t>
      </w:r>
      <w:r>
        <w:rPr>
          <w:rFonts w:hint="default" w:ascii="Times New Roman" w:hAnsi="Times New Roman" w:eastAsia="宋体" w:cs="Times New Roman"/>
          <w:b w:val="0"/>
          <w:bCs w:val="0"/>
          <w:spacing w:val="-4"/>
          <w:szCs w:val="28"/>
          <w:highlight w:val="none"/>
        </w:rPr>
        <w:t>自然环境现状调查与评价</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_Toc1098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57</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_Toc1048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 xml:space="preserve">5.2 </w:t>
      </w:r>
      <w:r>
        <w:rPr>
          <w:rFonts w:hint="default" w:ascii="Times New Roman" w:hAnsi="Times New Roman" w:eastAsia="宋体" w:cs="Times New Roman"/>
          <w:b w:val="0"/>
          <w:bCs w:val="0"/>
          <w:highlight w:val="none"/>
        </w:rPr>
        <w:t xml:space="preserve"> 环境质量现状调查与评价</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_Toc1048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59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_Toc16892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 xml:space="preserve">5.3  </w:t>
      </w:r>
      <w:r>
        <w:rPr>
          <w:rFonts w:hint="default" w:ascii="Times New Roman" w:hAnsi="Times New Roman" w:eastAsia="宋体" w:cs="Times New Roman"/>
          <w:b w:val="0"/>
          <w:bCs w:val="0"/>
          <w:highlight w:val="none"/>
        </w:rPr>
        <w:t>小结</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_Toc16892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72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_Toc12827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lang w:val="en-US" w:eastAsia="zh-CN"/>
        </w:rPr>
        <w:t xml:space="preserve">6 </w:t>
      </w:r>
      <w:r>
        <w:rPr>
          <w:rFonts w:hint="default" w:ascii="Times New Roman" w:hAnsi="Times New Roman" w:eastAsia="宋体" w:cs="Times New Roman"/>
          <w:b/>
          <w:bCs/>
          <w:highlight w:val="none"/>
        </w:rPr>
        <w:t xml:space="preserve"> 环境影响预测与评价</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_Toc12827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73</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_Toc32591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1"/>
          <w:szCs w:val="28"/>
          <w:highlight w:val="none"/>
          <w:lang w:val="en-US" w:eastAsia="zh-CN"/>
        </w:rPr>
        <w:t>6</w:t>
      </w:r>
      <w:r>
        <w:rPr>
          <w:rFonts w:hint="default" w:ascii="Times New Roman" w:hAnsi="Times New Roman" w:eastAsia="宋体" w:cs="Times New Roman"/>
          <w:b w:val="0"/>
          <w:bCs w:val="0"/>
          <w:spacing w:val="-1"/>
          <w:szCs w:val="28"/>
          <w:highlight w:val="none"/>
        </w:rPr>
        <w:t>.1</w:t>
      </w:r>
      <w:r>
        <w:rPr>
          <w:rFonts w:hint="default" w:ascii="Times New Roman" w:hAnsi="Times New Roman" w:eastAsia="宋体" w:cs="Times New Roman"/>
          <w:b w:val="0"/>
          <w:bCs w:val="0"/>
          <w:spacing w:val="-1"/>
          <w:szCs w:val="28"/>
          <w:highlight w:val="none"/>
          <w:lang w:val="en-US" w:eastAsia="zh-CN"/>
        </w:rPr>
        <w:t xml:space="preserve"> </w:t>
      </w:r>
      <w:r>
        <w:rPr>
          <w:rFonts w:hint="default" w:ascii="Times New Roman" w:hAnsi="Times New Roman" w:eastAsia="宋体" w:cs="Times New Roman"/>
          <w:b w:val="0"/>
          <w:bCs w:val="0"/>
          <w:szCs w:val="28"/>
          <w:highlight w:val="none"/>
        </w:rPr>
        <w:t xml:space="preserve"> </w:t>
      </w:r>
      <w:r>
        <w:rPr>
          <w:rFonts w:hint="default" w:ascii="Times New Roman" w:hAnsi="Times New Roman" w:eastAsia="宋体" w:cs="Times New Roman"/>
          <w:b w:val="0"/>
          <w:bCs w:val="0"/>
          <w:spacing w:val="-1"/>
          <w:szCs w:val="28"/>
          <w:highlight w:val="none"/>
        </w:rPr>
        <w:t>施工期环境影响分析</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_Toc32591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73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_Toc11820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1"/>
          <w:szCs w:val="28"/>
          <w:highlight w:val="none"/>
          <w:lang w:val="en-US" w:eastAsia="zh-CN"/>
        </w:rPr>
        <w:t>6</w:t>
      </w:r>
      <w:r>
        <w:rPr>
          <w:rFonts w:hint="default" w:ascii="Times New Roman" w:hAnsi="Times New Roman" w:eastAsia="宋体" w:cs="Times New Roman"/>
          <w:b w:val="0"/>
          <w:bCs w:val="0"/>
          <w:spacing w:val="-1"/>
          <w:szCs w:val="28"/>
          <w:highlight w:val="none"/>
        </w:rPr>
        <w:t>.2</w:t>
      </w:r>
      <w:r>
        <w:rPr>
          <w:rFonts w:hint="default" w:ascii="Times New Roman" w:hAnsi="Times New Roman" w:eastAsia="宋体" w:cs="Times New Roman"/>
          <w:b w:val="0"/>
          <w:bCs w:val="0"/>
          <w:spacing w:val="6"/>
          <w:szCs w:val="28"/>
          <w:highlight w:val="none"/>
        </w:rPr>
        <w:t xml:space="preserve">  </w:t>
      </w:r>
      <w:r>
        <w:rPr>
          <w:rFonts w:hint="default" w:ascii="Times New Roman" w:hAnsi="Times New Roman" w:eastAsia="宋体" w:cs="Times New Roman"/>
          <w:b w:val="0"/>
          <w:bCs w:val="0"/>
          <w:spacing w:val="-1"/>
          <w:szCs w:val="28"/>
          <w:highlight w:val="none"/>
        </w:rPr>
        <w:t>运营期环境影响分析</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_Toc11820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78</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_Toc20631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lang w:val="en-US" w:eastAsia="zh-CN"/>
        </w:rPr>
        <w:t xml:space="preserve">7  </w:t>
      </w:r>
      <w:r>
        <w:rPr>
          <w:rFonts w:hint="default" w:ascii="Times New Roman" w:hAnsi="Times New Roman" w:eastAsia="宋体" w:cs="Times New Roman"/>
          <w:b/>
          <w:bCs/>
          <w:highlight w:val="none"/>
        </w:rPr>
        <w:t>环境保护措施及其可行性论证</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_Toc20631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94</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_Toc17663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7</w:t>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lang w:val="en-US" w:eastAsia="zh-CN"/>
        </w:rPr>
        <w:t xml:space="preserve">  </w:t>
      </w:r>
      <w:r>
        <w:rPr>
          <w:rFonts w:hint="default" w:ascii="Times New Roman" w:hAnsi="Times New Roman" w:eastAsia="宋体" w:cs="Times New Roman"/>
          <w:b w:val="0"/>
          <w:bCs w:val="0"/>
          <w:highlight w:val="none"/>
        </w:rPr>
        <w:t>施工期环境保护措施及</w:t>
      </w:r>
      <w:r>
        <w:rPr>
          <w:rFonts w:hint="default" w:ascii="Times New Roman" w:hAnsi="Times New Roman" w:eastAsia="宋体" w:cs="Times New Roman"/>
          <w:b w:val="0"/>
          <w:bCs w:val="0"/>
          <w:highlight w:val="none"/>
          <w:lang w:eastAsia="zh-CN"/>
        </w:rPr>
        <w:t>其</w:t>
      </w:r>
      <w:r>
        <w:rPr>
          <w:rFonts w:hint="default" w:ascii="Times New Roman" w:hAnsi="Times New Roman" w:eastAsia="宋体" w:cs="Times New Roman"/>
          <w:b w:val="0"/>
          <w:bCs w:val="0"/>
          <w:highlight w:val="none"/>
        </w:rPr>
        <w:t>论证</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_Toc17663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94</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_Toc23229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1"/>
          <w:szCs w:val="28"/>
          <w:highlight w:val="none"/>
          <w:lang w:val="en-US" w:eastAsia="zh-CN"/>
        </w:rPr>
        <w:t>7</w:t>
      </w:r>
      <w:r>
        <w:rPr>
          <w:rFonts w:hint="default" w:ascii="Times New Roman" w:hAnsi="Times New Roman" w:eastAsia="宋体" w:cs="Times New Roman"/>
          <w:b w:val="0"/>
          <w:bCs w:val="0"/>
          <w:spacing w:val="-1"/>
          <w:szCs w:val="28"/>
          <w:highlight w:val="none"/>
        </w:rPr>
        <w:t>.2</w:t>
      </w:r>
      <w:r>
        <w:rPr>
          <w:rFonts w:hint="default" w:ascii="Times New Roman" w:hAnsi="Times New Roman" w:eastAsia="宋体" w:cs="Times New Roman"/>
          <w:b w:val="0"/>
          <w:bCs w:val="0"/>
          <w:spacing w:val="22"/>
          <w:w w:val="101"/>
          <w:szCs w:val="28"/>
          <w:highlight w:val="none"/>
        </w:rPr>
        <w:t xml:space="preserve"> </w:t>
      </w:r>
      <w:r>
        <w:rPr>
          <w:rFonts w:hint="default" w:ascii="Times New Roman" w:hAnsi="Times New Roman" w:eastAsia="宋体" w:cs="Times New Roman"/>
          <w:b w:val="0"/>
          <w:bCs w:val="0"/>
          <w:spacing w:val="22"/>
          <w:w w:val="101"/>
          <w:szCs w:val="28"/>
          <w:highlight w:val="none"/>
          <w:lang w:val="en-US" w:eastAsia="zh-CN"/>
        </w:rPr>
        <w:t xml:space="preserve"> </w:t>
      </w:r>
      <w:r>
        <w:rPr>
          <w:rFonts w:hint="default" w:ascii="Times New Roman" w:hAnsi="Times New Roman" w:eastAsia="宋体" w:cs="Times New Roman"/>
          <w:b w:val="0"/>
          <w:bCs w:val="0"/>
          <w:spacing w:val="-1"/>
          <w:szCs w:val="28"/>
          <w:highlight w:val="none"/>
        </w:rPr>
        <w:t>营运期污染</w:t>
      </w:r>
      <w:r>
        <w:rPr>
          <w:rFonts w:hint="default" w:ascii="Times New Roman" w:hAnsi="Times New Roman" w:eastAsia="宋体" w:cs="Times New Roman"/>
          <w:b w:val="0"/>
          <w:bCs w:val="0"/>
          <w:spacing w:val="-1"/>
          <w:szCs w:val="28"/>
          <w:highlight w:val="none"/>
          <w:lang w:eastAsia="zh-CN"/>
        </w:rPr>
        <w:t>保护</w:t>
      </w:r>
      <w:r>
        <w:rPr>
          <w:rFonts w:hint="default" w:ascii="Times New Roman" w:hAnsi="Times New Roman" w:eastAsia="宋体" w:cs="Times New Roman"/>
          <w:b w:val="0"/>
          <w:bCs w:val="0"/>
          <w:spacing w:val="-1"/>
          <w:szCs w:val="28"/>
          <w:highlight w:val="none"/>
        </w:rPr>
        <w:t>措施</w:t>
      </w:r>
      <w:r>
        <w:rPr>
          <w:rFonts w:hint="default" w:ascii="Times New Roman" w:hAnsi="Times New Roman" w:eastAsia="宋体" w:cs="Times New Roman"/>
          <w:b w:val="0"/>
          <w:bCs w:val="0"/>
          <w:spacing w:val="-1"/>
          <w:szCs w:val="28"/>
          <w:highlight w:val="none"/>
          <w:lang w:eastAsia="zh-CN"/>
        </w:rPr>
        <w:t>及其</w:t>
      </w:r>
      <w:r>
        <w:rPr>
          <w:rFonts w:hint="default" w:ascii="Times New Roman" w:hAnsi="Times New Roman" w:eastAsia="宋体" w:cs="Times New Roman"/>
          <w:b w:val="0"/>
          <w:bCs w:val="0"/>
          <w:spacing w:val="-1"/>
          <w:szCs w:val="28"/>
          <w:highlight w:val="none"/>
        </w:rPr>
        <w:t>可行性</w:t>
      </w:r>
      <w:r>
        <w:rPr>
          <w:rFonts w:hint="default" w:ascii="Times New Roman" w:hAnsi="Times New Roman" w:eastAsia="宋体" w:cs="Times New Roman"/>
          <w:b w:val="0"/>
          <w:bCs w:val="0"/>
          <w:spacing w:val="-1"/>
          <w:szCs w:val="28"/>
          <w:highlight w:val="none"/>
          <w:lang w:eastAsia="zh-CN"/>
        </w:rPr>
        <w:t>论证</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_Toc23229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96</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_Toc28369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spacing w:val="-4"/>
          <w:szCs w:val="32"/>
          <w:highlight w:val="none"/>
          <w:lang w:val="en-US" w:eastAsia="zh-CN"/>
        </w:rPr>
        <w:t xml:space="preserve">8  </w:t>
      </w:r>
      <w:r>
        <w:rPr>
          <w:rFonts w:hint="default" w:ascii="Times New Roman" w:hAnsi="Times New Roman" w:eastAsia="宋体" w:cs="Times New Roman"/>
          <w:b/>
          <w:bCs/>
          <w:spacing w:val="-4"/>
          <w:szCs w:val="32"/>
          <w:highlight w:val="none"/>
        </w:rPr>
        <w:t>环境风险</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_Toc28369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109</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_Toc26651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 xml:space="preserve">8.1  </w:t>
      </w:r>
      <w:r>
        <w:rPr>
          <w:rFonts w:hint="default" w:ascii="Times New Roman" w:hAnsi="Times New Roman" w:eastAsia="宋体" w:cs="Times New Roman"/>
          <w:b w:val="0"/>
          <w:bCs w:val="0"/>
          <w:spacing w:val="-2"/>
          <w:szCs w:val="28"/>
          <w:highlight w:val="none"/>
        </w:rPr>
        <w:t>评价目的和重点</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_Toc26651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109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_Toc31584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 xml:space="preserve">8.2  </w:t>
      </w:r>
      <w:r>
        <w:rPr>
          <w:rFonts w:hint="default" w:ascii="Times New Roman" w:hAnsi="Times New Roman" w:eastAsia="宋体" w:cs="Times New Roman"/>
          <w:b w:val="0"/>
          <w:bCs w:val="0"/>
          <w:spacing w:val="-2"/>
          <w:szCs w:val="28"/>
          <w:highlight w:val="none"/>
        </w:rPr>
        <w:t>环境风险识别</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_Toc31584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109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_Toc9494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8</w:t>
      </w:r>
      <w:r>
        <w:rPr>
          <w:rFonts w:hint="default" w:ascii="Times New Roman" w:hAnsi="Times New Roman" w:eastAsia="宋体" w:cs="Times New Roman"/>
          <w:b w:val="0"/>
          <w:bCs w:val="0"/>
          <w:spacing w:val="-2"/>
          <w:szCs w:val="28"/>
          <w:highlight w:val="none"/>
        </w:rPr>
        <w:t>.</w:t>
      </w:r>
      <w:r>
        <w:rPr>
          <w:rFonts w:hint="default" w:ascii="Times New Roman" w:hAnsi="Times New Roman" w:eastAsia="宋体" w:cs="Times New Roman"/>
          <w:b w:val="0"/>
          <w:bCs w:val="0"/>
          <w:spacing w:val="-2"/>
          <w:szCs w:val="28"/>
          <w:highlight w:val="none"/>
          <w:lang w:val="en-US" w:eastAsia="zh-CN"/>
        </w:rPr>
        <w:t>3</w:t>
      </w:r>
      <w:r>
        <w:rPr>
          <w:rFonts w:hint="default" w:ascii="Times New Roman" w:hAnsi="Times New Roman" w:eastAsia="宋体" w:cs="Times New Roman"/>
          <w:b w:val="0"/>
          <w:bCs w:val="0"/>
          <w:spacing w:val="8"/>
          <w:szCs w:val="28"/>
          <w:highlight w:val="none"/>
        </w:rPr>
        <w:t xml:space="preserve">  </w:t>
      </w:r>
      <w:r>
        <w:rPr>
          <w:rFonts w:hint="default" w:ascii="Times New Roman" w:hAnsi="Times New Roman" w:eastAsia="宋体" w:cs="Times New Roman"/>
          <w:b w:val="0"/>
          <w:bCs w:val="0"/>
          <w:spacing w:val="-2"/>
          <w:szCs w:val="28"/>
          <w:highlight w:val="none"/>
        </w:rPr>
        <w:t>事故后果分析</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_Toc9494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110</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_Toc6803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8</w:t>
      </w:r>
      <w:r>
        <w:rPr>
          <w:rFonts w:hint="default" w:ascii="Times New Roman" w:hAnsi="Times New Roman" w:eastAsia="宋体" w:cs="Times New Roman"/>
          <w:b w:val="0"/>
          <w:bCs w:val="0"/>
          <w:spacing w:val="-2"/>
          <w:szCs w:val="28"/>
          <w:highlight w:val="none"/>
        </w:rPr>
        <w:t>.</w:t>
      </w:r>
      <w:r>
        <w:rPr>
          <w:rFonts w:hint="default" w:ascii="Times New Roman" w:hAnsi="Times New Roman" w:eastAsia="宋体" w:cs="Times New Roman"/>
          <w:b w:val="0"/>
          <w:bCs w:val="0"/>
          <w:spacing w:val="-2"/>
          <w:szCs w:val="28"/>
          <w:highlight w:val="none"/>
          <w:lang w:val="en-US" w:eastAsia="zh-CN"/>
        </w:rPr>
        <w:t>4</w:t>
      </w:r>
      <w:r>
        <w:rPr>
          <w:rFonts w:hint="default" w:ascii="Times New Roman" w:hAnsi="Times New Roman" w:eastAsia="宋体" w:cs="Times New Roman"/>
          <w:b w:val="0"/>
          <w:bCs w:val="0"/>
          <w:spacing w:val="8"/>
          <w:szCs w:val="28"/>
          <w:highlight w:val="none"/>
        </w:rPr>
        <w:t xml:space="preserve">  </w:t>
      </w:r>
      <w:r>
        <w:rPr>
          <w:rFonts w:hint="default" w:ascii="Times New Roman" w:hAnsi="Times New Roman" w:eastAsia="宋体" w:cs="Times New Roman"/>
          <w:b w:val="0"/>
          <w:bCs w:val="0"/>
          <w:spacing w:val="-2"/>
          <w:szCs w:val="28"/>
          <w:highlight w:val="none"/>
        </w:rPr>
        <w:t>事故防范措施</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_Toc6803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_Toc19117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8.5</w:t>
      </w:r>
      <w:r>
        <w:rPr>
          <w:rFonts w:hint="default" w:ascii="Times New Roman" w:hAnsi="Times New Roman" w:eastAsia="宋体" w:cs="Times New Roman"/>
          <w:b w:val="0"/>
          <w:bCs w:val="0"/>
          <w:spacing w:val="8"/>
          <w:szCs w:val="28"/>
          <w:highlight w:val="none"/>
        </w:rPr>
        <w:t xml:space="preserve">  </w:t>
      </w:r>
      <w:r>
        <w:rPr>
          <w:rFonts w:hint="default" w:ascii="Times New Roman" w:hAnsi="Times New Roman" w:eastAsia="宋体" w:cs="Times New Roman"/>
          <w:b w:val="0"/>
          <w:bCs w:val="0"/>
          <w:spacing w:val="-2"/>
          <w:szCs w:val="28"/>
          <w:highlight w:val="none"/>
        </w:rPr>
        <w:t>事故应急预案</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_Toc19117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_Toc3929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8.6</w:t>
      </w:r>
      <w:r>
        <w:rPr>
          <w:rFonts w:hint="default" w:ascii="Times New Roman" w:hAnsi="Times New Roman" w:eastAsia="宋体" w:cs="Times New Roman"/>
          <w:b w:val="0"/>
          <w:bCs w:val="0"/>
          <w:spacing w:val="9"/>
          <w:szCs w:val="28"/>
          <w:highlight w:val="none"/>
        </w:rPr>
        <w:t xml:space="preserve">  </w:t>
      </w:r>
      <w:r>
        <w:rPr>
          <w:rFonts w:hint="default" w:ascii="Times New Roman" w:hAnsi="Times New Roman" w:eastAsia="宋体" w:cs="Times New Roman"/>
          <w:b w:val="0"/>
          <w:bCs w:val="0"/>
          <w:spacing w:val="-2"/>
          <w:szCs w:val="28"/>
          <w:highlight w:val="none"/>
        </w:rPr>
        <w:t>风险分析总结论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_Toc3929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116</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_Toc28247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lang w:val="en-US" w:eastAsia="zh-CN"/>
        </w:rPr>
        <w:t>9</w:t>
      </w:r>
      <w:r>
        <w:rPr>
          <w:rFonts w:hint="default" w:ascii="Times New Roman" w:hAnsi="Times New Roman" w:eastAsia="宋体" w:cs="Times New Roman"/>
          <w:b/>
          <w:bCs/>
          <w:highlight w:val="none"/>
        </w:rPr>
        <w:t xml:space="preserve">  总量控制、达标排放与环境经济损益分析</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_Toc28247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117</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_Toc1674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3"/>
          <w:szCs w:val="28"/>
          <w:highlight w:val="none"/>
          <w:lang w:val="en-US" w:eastAsia="zh-CN"/>
        </w:rPr>
        <w:t>9</w:t>
      </w:r>
      <w:r>
        <w:rPr>
          <w:rFonts w:hint="default" w:ascii="Times New Roman" w:hAnsi="Times New Roman" w:eastAsia="宋体" w:cs="Times New Roman"/>
          <w:b w:val="0"/>
          <w:bCs w:val="0"/>
          <w:spacing w:val="-3"/>
          <w:szCs w:val="28"/>
          <w:highlight w:val="none"/>
        </w:rPr>
        <w:t>.1</w:t>
      </w:r>
      <w:r>
        <w:rPr>
          <w:rFonts w:hint="default" w:ascii="Times New Roman" w:hAnsi="Times New Roman" w:eastAsia="宋体" w:cs="Times New Roman"/>
          <w:b w:val="0"/>
          <w:bCs w:val="0"/>
          <w:spacing w:val="10"/>
          <w:szCs w:val="28"/>
          <w:highlight w:val="none"/>
        </w:rPr>
        <w:t xml:space="preserve">  </w:t>
      </w:r>
      <w:r>
        <w:rPr>
          <w:rFonts w:hint="default" w:ascii="Times New Roman" w:hAnsi="Times New Roman" w:eastAsia="宋体" w:cs="Times New Roman"/>
          <w:b w:val="0"/>
          <w:bCs w:val="0"/>
          <w:spacing w:val="-3"/>
          <w:szCs w:val="28"/>
          <w:highlight w:val="none"/>
        </w:rPr>
        <w:t>总量控制</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_Toc1674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117</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_Toc10717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napToGrid w:val="0"/>
          <w:spacing w:val="-2"/>
          <w:kern w:val="0"/>
          <w:szCs w:val="28"/>
          <w:highlight w:val="none"/>
          <w:lang w:val="en-US" w:eastAsia="zh-CN"/>
        </w:rPr>
        <w:t>9</w:t>
      </w:r>
      <w:r>
        <w:rPr>
          <w:rFonts w:hint="default" w:ascii="Times New Roman" w:hAnsi="Times New Roman" w:eastAsia="宋体" w:cs="Times New Roman"/>
          <w:b w:val="0"/>
          <w:bCs w:val="0"/>
          <w:snapToGrid w:val="0"/>
          <w:spacing w:val="-2"/>
          <w:kern w:val="0"/>
          <w:szCs w:val="28"/>
          <w:highlight w:val="none"/>
        </w:rPr>
        <w:t>.</w:t>
      </w:r>
      <w:r>
        <w:rPr>
          <w:rFonts w:hint="default" w:ascii="Times New Roman" w:hAnsi="Times New Roman" w:eastAsia="宋体" w:cs="Times New Roman"/>
          <w:b w:val="0"/>
          <w:bCs w:val="0"/>
          <w:snapToGrid w:val="0"/>
          <w:spacing w:val="-2"/>
          <w:kern w:val="0"/>
          <w:szCs w:val="28"/>
          <w:highlight w:val="none"/>
          <w:lang w:val="en-US" w:eastAsia="zh-CN"/>
        </w:rPr>
        <w:t>2</w:t>
      </w:r>
      <w:r>
        <w:rPr>
          <w:rFonts w:hint="default" w:ascii="Times New Roman" w:hAnsi="Times New Roman" w:eastAsia="宋体" w:cs="Times New Roman"/>
          <w:b w:val="0"/>
          <w:bCs w:val="0"/>
          <w:snapToGrid w:val="0"/>
          <w:spacing w:val="10"/>
          <w:kern w:val="0"/>
          <w:szCs w:val="28"/>
          <w:highlight w:val="none"/>
        </w:rPr>
        <w:t xml:space="preserve">  </w:t>
      </w:r>
      <w:r>
        <w:rPr>
          <w:rFonts w:hint="default" w:ascii="Times New Roman" w:hAnsi="Times New Roman" w:eastAsia="宋体" w:cs="Times New Roman"/>
          <w:b w:val="0"/>
          <w:bCs w:val="0"/>
          <w:snapToGrid w:val="0"/>
          <w:spacing w:val="-2"/>
          <w:kern w:val="0"/>
          <w:szCs w:val="28"/>
          <w:highlight w:val="none"/>
        </w:rPr>
        <w:t>环境经济损益分析</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_Toc10717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117</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_Toc6608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spacing w:val="9"/>
          <w:szCs w:val="28"/>
          <w:highlight w:val="none"/>
          <w:lang w:val="en-US" w:eastAsia="zh-CN"/>
        </w:rPr>
        <w:t xml:space="preserve">10 </w:t>
      </w:r>
      <w:r>
        <w:rPr>
          <w:rFonts w:hint="default" w:ascii="Times New Roman" w:hAnsi="Times New Roman" w:eastAsia="宋体" w:cs="Times New Roman"/>
          <w:b/>
          <w:bCs/>
          <w:spacing w:val="9"/>
          <w:szCs w:val="28"/>
          <w:highlight w:val="none"/>
        </w:rPr>
        <w:t xml:space="preserve"> </w:t>
      </w:r>
      <w:r>
        <w:rPr>
          <w:rFonts w:hint="default" w:ascii="Times New Roman" w:hAnsi="Times New Roman" w:eastAsia="宋体" w:cs="Times New Roman"/>
          <w:b/>
          <w:bCs/>
          <w:spacing w:val="-2"/>
          <w:szCs w:val="28"/>
          <w:highlight w:val="none"/>
        </w:rPr>
        <w:t>环境管理和监测计划</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_Toc6608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120</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_Toc8992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3"/>
          <w:szCs w:val="28"/>
          <w:highlight w:val="none"/>
          <w:lang w:val="en-US" w:eastAsia="zh-CN"/>
        </w:rPr>
        <w:t>10</w:t>
      </w:r>
      <w:r>
        <w:rPr>
          <w:rFonts w:hint="default" w:ascii="Times New Roman" w:hAnsi="Times New Roman" w:eastAsia="宋体" w:cs="Times New Roman"/>
          <w:b w:val="0"/>
          <w:bCs w:val="0"/>
          <w:spacing w:val="-3"/>
          <w:szCs w:val="28"/>
          <w:highlight w:val="none"/>
        </w:rPr>
        <w:t>.1</w:t>
      </w:r>
      <w:r>
        <w:rPr>
          <w:rFonts w:hint="default" w:ascii="Times New Roman" w:hAnsi="Times New Roman" w:eastAsia="宋体" w:cs="Times New Roman"/>
          <w:b w:val="0"/>
          <w:bCs w:val="0"/>
          <w:spacing w:val="2"/>
          <w:szCs w:val="28"/>
          <w:highlight w:val="none"/>
        </w:rPr>
        <w:t xml:space="preserve"> </w:t>
      </w:r>
      <w:r>
        <w:rPr>
          <w:rFonts w:hint="default" w:ascii="Times New Roman" w:hAnsi="Times New Roman" w:eastAsia="宋体" w:cs="Times New Roman"/>
          <w:b w:val="0"/>
          <w:bCs w:val="0"/>
          <w:spacing w:val="2"/>
          <w:szCs w:val="28"/>
          <w:highlight w:val="none"/>
          <w:lang w:val="en-US" w:eastAsia="zh-CN"/>
        </w:rPr>
        <w:t xml:space="preserve"> </w:t>
      </w:r>
      <w:r>
        <w:rPr>
          <w:rFonts w:hint="default" w:ascii="Times New Roman" w:hAnsi="Times New Roman" w:eastAsia="宋体" w:cs="Times New Roman"/>
          <w:b w:val="0"/>
          <w:bCs w:val="0"/>
          <w:spacing w:val="-3"/>
          <w:szCs w:val="28"/>
          <w:highlight w:val="none"/>
        </w:rPr>
        <w:t>环境管理</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_Toc8992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120</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_Toc1767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lang w:val="en-US" w:eastAsia="zh-CN"/>
        </w:rPr>
        <w:t>10</w:t>
      </w:r>
      <w:r>
        <w:rPr>
          <w:rFonts w:hint="default" w:ascii="Times New Roman" w:hAnsi="Times New Roman" w:eastAsia="宋体" w:cs="Times New Roman"/>
          <w:b w:val="0"/>
          <w:bCs w:val="0"/>
          <w:spacing w:val="-2"/>
          <w:szCs w:val="28"/>
          <w:highlight w:val="none"/>
        </w:rPr>
        <w:t>.2</w:t>
      </w:r>
      <w:r>
        <w:rPr>
          <w:rFonts w:hint="default" w:ascii="Times New Roman" w:hAnsi="Times New Roman" w:eastAsia="宋体" w:cs="Times New Roman"/>
          <w:b w:val="0"/>
          <w:bCs w:val="0"/>
          <w:spacing w:val="3"/>
          <w:szCs w:val="28"/>
          <w:highlight w:val="none"/>
        </w:rPr>
        <w:t xml:space="preserve"> </w:t>
      </w:r>
      <w:r>
        <w:rPr>
          <w:rFonts w:hint="default" w:ascii="Times New Roman" w:hAnsi="Times New Roman" w:eastAsia="宋体" w:cs="Times New Roman"/>
          <w:b w:val="0"/>
          <w:bCs w:val="0"/>
          <w:spacing w:val="3"/>
          <w:szCs w:val="28"/>
          <w:highlight w:val="none"/>
          <w:lang w:val="en-US" w:eastAsia="zh-CN"/>
        </w:rPr>
        <w:t xml:space="preserve"> </w:t>
      </w:r>
      <w:r>
        <w:rPr>
          <w:rFonts w:hint="default" w:ascii="Times New Roman" w:hAnsi="Times New Roman" w:eastAsia="宋体" w:cs="Times New Roman"/>
          <w:b w:val="0"/>
          <w:bCs w:val="0"/>
          <w:spacing w:val="-2"/>
          <w:szCs w:val="28"/>
          <w:highlight w:val="none"/>
        </w:rPr>
        <w:t>环境监测计划</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_Toc1767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_Toc31459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lang w:val="en-US" w:eastAsia="zh-CN"/>
        </w:rPr>
        <w:t>10</w:t>
      </w:r>
      <w:r>
        <w:rPr>
          <w:rFonts w:hint="default" w:ascii="Times New Roman" w:hAnsi="Times New Roman" w:eastAsia="宋体" w:cs="Times New Roman"/>
          <w:b w:val="0"/>
          <w:bCs w:val="0"/>
          <w:highlight w:val="none"/>
        </w:rPr>
        <w:t>.3  排污口规范化</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_Toc31459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122</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_Toc9641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1"/>
          <w:szCs w:val="28"/>
          <w:highlight w:val="none"/>
          <w:lang w:val="en-US" w:eastAsia="zh-CN"/>
        </w:rPr>
        <w:t>10</w:t>
      </w:r>
      <w:r>
        <w:rPr>
          <w:rFonts w:hint="default" w:ascii="Times New Roman" w:hAnsi="Times New Roman" w:eastAsia="宋体" w:cs="Times New Roman"/>
          <w:b w:val="0"/>
          <w:bCs w:val="0"/>
          <w:spacing w:val="-1"/>
          <w:szCs w:val="28"/>
          <w:highlight w:val="none"/>
        </w:rPr>
        <w:t>.4</w:t>
      </w:r>
      <w:r>
        <w:rPr>
          <w:rFonts w:hint="default" w:ascii="Times New Roman" w:hAnsi="Times New Roman" w:eastAsia="宋体" w:cs="Times New Roman"/>
          <w:b w:val="0"/>
          <w:bCs w:val="0"/>
          <w:spacing w:val="8"/>
          <w:szCs w:val="28"/>
          <w:highlight w:val="none"/>
        </w:rPr>
        <w:t xml:space="preserve">  </w:t>
      </w:r>
      <w:r>
        <w:rPr>
          <w:rFonts w:hint="default" w:ascii="Times New Roman" w:hAnsi="Times New Roman" w:eastAsia="宋体" w:cs="Times New Roman"/>
          <w:b w:val="0"/>
          <w:bCs w:val="0"/>
          <w:spacing w:val="-1"/>
          <w:szCs w:val="28"/>
          <w:highlight w:val="none"/>
        </w:rPr>
        <w:t>建设项目竣工环保验收</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_Toc9641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123</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HYPERLINK \l _Toc8980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spacing w:val="-5"/>
          <w:szCs w:val="32"/>
          <w:highlight w:val="none"/>
        </w:rPr>
        <w:t>11</w:t>
      </w:r>
      <w:r>
        <w:rPr>
          <w:rFonts w:hint="default" w:ascii="Times New Roman" w:hAnsi="Times New Roman" w:eastAsia="宋体" w:cs="Times New Roman"/>
          <w:b/>
          <w:bCs/>
          <w:spacing w:val="5"/>
          <w:szCs w:val="32"/>
          <w:highlight w:val="none"/>
        </w:rPr>
        <w:t xml:space="preserve">  </w:t>
      </w:r>
      <w:r>
        <w:rPr>
          <w:rFonts w:hint="default" w:ascii="Times New Roman" w:hAnsi="Times New Roman" w:eastAsia="宋体" w:cs="Times New Roman"/>
          <w:b/>
          <w:bCs/>
          <w:spacing w:val="-5"/>
          <w:szCs w:val="32"/>
          <w:highlight w:val="none"/>
        </w:rPr>
        <w:t>结论与建议</w:t>
      </w:r>
      <w:r>
        <w:rPr>
          <w:rFonts w:hint="default" w:ascii="Times New Roman" w:hAnsi="Times New Roman" w:eastAsia="宋体" w:cs="Times New Roman"/>
          <w:b/>
          <w:bCs/>
          <w:highlight w:val="none"/>
        </w:rPr>
        <w:tab/>
      </w:r>
      <w:r>
        <w:rPr>
          <w:rFonts w:hint="default" w:ascii="Times New Roman" w:hAnsi="Times New Roman" w:eastAsia="宋体" w:cs="Times New Roman"/>
          <w:b/>
          <w:bCs/>
          <w:highlight w:val="none"/>
        </w:rPr>
        <w:fldChar w:fldCharType="begin"/>
      </w:r>
      <w:r>
        <w:rPr>
          <w:rFonts w:hint="default" w:ascii="Times New Roman" w:hAnsi="Times New Roman" w:eastAsia="宋体" w:cs="Times New Roman"/>
          <w:b/>
          <w:bCs/>
          <w:highlight w:val="none"/>
        </w:rPr>
        <w:instrText xml:space="preserve"> PAGEREF _Toc8980 \h </w:instrText>
      </w:r>
      <w:r>
        <w:rPr>
          <w:rFonts w:hint="default" w:ascii="Times New Roman" w:hAnsi="Times New Roman" w:eastAsia="宋体" w:cs="Times New Roman"/>
          <w:b/>
          <w:bCs/>
          <w:highlight w:val="none"/>
        </w:rPr>
        <w:fldChar w:fldCharType="separate"/>
      </w:r>
      <w:r>
        <w:rPr>
          <w:rFonts w:hint="default" w:ascii="Times New Roman" w:hAnsi="Times New Roman" w:eastAsia="宋体" w:cs="Times New Roman"/>
          <w:b/>
          <w:bCs/>
          <w:highlight w:val="none"/>
        </w:rPr>
        <w:t>125</w:t>
      </w: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_Toc15308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4"/>
          <w:szCs w:val="28"/>
          <w:highlight w:val="none"/>
        </w:rPr>
        <w:t>11.1</w:t>
      </w:r>
      <w:r>
        <w:rPr>
          <w:rFonts w:hint="default" w:ascii="Times New Roman" w:hAnsi="Times New Roman" w:eastAsia="宋体" w:cs="Times New Roman"/>
          <w:b w:val="0"/>
          <w:bCs w:val="0"/>
          <w:spacing w:val="6"/>
          <w:szCs w:val="28"/>
          <w:highlight w:val="none"/>
        </w:rPr>
        <w:t xml:space="preserve">  </w:t>
      </w:r>
      <w:r>
        <w:rPr>
          <w:rFonts w:hint="default" w:ascii="Times New Roman" w:hAnsi="Times New Roman" w:eastAsia="宋体" w:cs="Times New Roman"/>
          <w:b w:val="0"/>
          <w:bCs w:val="0"/>
          <w:spacing w:val="-4"/>
          <w:szCs w:val="28"/>
          <w:highlight w:val="none"/>
        </w:rPr>
        <w:t>建设项目概况</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_Toc15308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125</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_Toc24616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3"/>
          <w:szCs w:val="28"/>
          <w:highlight w:val="none"/>
        </w:rPr>
        <w:t>11.2</w:t>
      </w:r>
      <w:r>
        <w:rPr>
          <w:rFonts w:hint="default" w:ascii="Times New Roman" w:hAnsi="Times New Roman" w:eastAsia="宋体" w:cs="Times New Roman"/>
          <w:b w:val="0"/>
          <w:bCs w:val="0"/>
          <w:spacing w:val="5"/>
          <w:szCs w:val="28"/>
          <w:highlight w:val="none"/>
        </w:rPr>
        <w:t xml:space="preserve">  </w:t>
      </w:r>
      <w:r>
        <w:rPr>
          <w:rFonts w:hint="default" w:ascii="Times New Roman" w:hAnsi="Times New Roman" w:eastAsia="宋体" w:cs="Times New Roman"/>
          <w:b w:val="0"/>
          <w:bCs w:val="0"/>
          <w:spacing w:val="-3"/>
          <w:szCs w:val="28"/>
          <w:highlight w:val="none"/>
        </w:rPr>
        <w:t>环境质量现状结论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_Toc24616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125</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_Toc825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3"/>
          <w:szCs w:val="28"/>
          <w:highlight w:val="none"/>
        </w:rPr>
        <w:t>11.3</w:t>
      </w:r>
      <w:r>
        <w:rPr>
          <w:rFonts w:hint="default" w:ascii="Times New Roman" w:hAnsi="Times New Roman" w:eastAsia="宋体" w:cs="Times New Roman"/>
          <w:b w:val="0"/>
          <w:bCs w:val="0"/>
          <w:spacing w:val="12"/>
          <w:szCs w:val="28"/>
          <w:highlight w:val="none"/>
        </w:rPr>
        <w:t xml:space="preserve">  </w:t>
      </w:r>
      <w:r>
        <w:rPr>
          <w:rFonts w:hint="default" w:ascii="Times New Roman" w:hAnsi="Times New Roman" w:eastAsia="宋体" w:cs="Times New Roman"/>
          <w:b w:val="0"/>
          <w:bCs w:val="0"/>
          <w:spacing w:val="-3"/>
          <w:szCs w:val="28"/>
          <w:highlight w:val="none"/>
        </w:rPr>
        <w:t>污染物的产生与达标排放</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_Toc825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126</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_Toc5763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11.4  环境影响预测与评价结论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_Toc5763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127</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_Toc8289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11.5  项目建设可行性评价结论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_Toc8289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128</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_Toc19465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3"/>
          <w:szCs w:val="28"/>
          <w:highlight w:val="none"/>
        </w:rPr>
        <w:t>11.6</w:t>
      </w:r>
      <w:r>
        <w:rPr>
          <w:rFonts w:hint="default" w:ascii="Times New Roman" w:hAnsi="Times New Roman" w:eastAsia="宋体" w:cs="Times New Roman"/>
          <w:b w:val="0"/>
          <w:bCs w:val="0"/>
          <w:spacing w:val="5"/>
          <w:szCs w:val="28"/>
          <w:highlight w:val="none"/>
        </w:rPr>
        <w:t xml:space="preserve">  </w:t>
      </w:r>
      <w:r>
        <w:rPr>
          <w:rFonts w:hint="default" w:ascii="Times New Roman" w:hAnsi="Times New Roman" w:eastAsia="宋体" w:cs="Times New Roman"/>
          <w:b w:val="0"/>
          <w:bCs w:val="0"/>
          <w:spacing w:val="-3"/>
          <w:szCs w:val="28"/>
          <w:highlight w:val="none"/>
        </w:rPr>
        <w:t>环境风险评价结论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_Toc19465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_Toc28670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2"/>
          <w:szCs w:val="28"/>
          <w:highlight w:val="none"/>
        </w:rPr>
        <w:t>11.7</w:t>
      </w:r>
      <w:r>
        <w:rPr>
          <w:rFonts w:hint="default" w:ascii="Times New Roman" w:hAnsi="Times New Roman" w:eastAsia="宋体" w:cs="Times New Roman"/>
          <w:b w:val="0"/>
          <w:bCs w:val="0"/>
          <w:spacing w:val="9"/>
          <w:w w:val="101"/>
          <w:szCs w:val="28"/>
          <w:highlight w:val="none"/>
        </w:rPr>
        <w:t xml:space="preserve"> </w:t>
      </w:r>
      <w:r>
        <w:rPr>
          <w:rFonts w:hint="default" w:ascii="Times New Roman" w:hAnsi="Times New Roman" w:eastAsia="宋体" w:cs="Times New Roman"/>
          <w:b w:val="0"/>
          <w:bCs w:val="0"/>
          <w:spacing w:val="9"/>
          <w:w w:val="101"/>
          <w:szCs w:val="28"/>
          <w:highlight w:val="none"/>
          <w:lang w:val="en-US" w:eastAsia="zh-CN"/>
        </w:rPr>
        <w:t xml:space="preserve"> </w:t>
      </w:r>
      <w:r>
        <w:rPr>
          <w:rFonts w:hint="default" w:ascii="Times New Roman" w:hAnsi="Times New Roman" w:eastAsia="宋体" w:cs="Times New Roman"/>
          <w:b w:val="0"/>
          <w:bCs w:val="0"/>
          <w:spacing w:val="-2"/>
          <w:szCs w:val="28"/>
          <w:highlight w:val="none"/>
        </w:rPr>
        <w:t>清洁生产与总量控制结论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_Toc28670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_Toc18247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5"/>
          <w:szCs w:val="28"/>
          <w:highlight w:val="none"/>
        </w:rPr>
        <w:t>11.8</w:t>
      </w:r>
      <w:r>
        <w:rPr>
          <w:rFonts w:hint="default" w:ascii="Times New Roman" w:hAnsi="Times New Roman" w:eastAsia="宋体" w:cs="Times New Roman"/>
          <w:b w:val="0"/>
          <w:bCs w:val="0"/>
          <w:spacing w:val="11"/>
          <w:szCs w:val="28"/>
          <w:highlight w:val="none"/>
        </w:rPr>
        <w:t xml:space="preserve">  </w:t>
      </w:r>
      <w:r>
        <w:rPr>
          <w:rFonts w:hint="default" w:ascii="Times New Roman" w:hAnsi="Times New Roman" w:eastAsia="宋体" w:cs="Times New Roman"/>
          <w:b w:val="0"/>
          <w:bCs w:val="0"/>
          <w:spacing w:val="-5"/>
          <w:szCs w:val="28"/>
          <w:highlight w:val="none"/>
        </w:rPr>
        <w:t>公众参与结论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_Toc18247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_Toc4132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4"/>
          <w:szCs w:val="28"/>
          <w:highlight w:val="none"/>
        </w:rPr>
        <w:t>11.9</w:t>
      </w:r>
      <w:r>
        <w:rPr>
          <w:rFonts w:hint="default" w:ascii="Times New Roman" w:hAnsi="Times New Roman" w:eastAsia="宋体" w:cs="Times New Roman"/>
          <w:b w:val="0"/>
          <w:bCs w:val="0"/>
          <w:spacing w:val="6"/>
          <w:szCs w:val="28"/>
          <w:highlight w:val="none"/>
        </w:rPr>
        <w:t xml:space="preserve">  </w:t>
      </w:r>
      <w:r>
        <w:rPr>
          <w:rFonts w:hint="default" w:ascii="Times New Roman" w:hAnsi="Times New Roman" w:eastAsia="宋体" w:cs="Times New Roman"/>
          <w:b w:val="0"/>
          <w:bCs w:val="0"/>
          <w:spacing w:val="-4"/>
          <w:szCs w:val="28"/>
          <w:highlight w:val="none"/>
        </w:rPr>
        <w:t>环境制约因素</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_Toc4132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_Toc16599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11.1</w:t>
      </w:r>
      <w:r>
        <w:rPr>
          <w:rFonts w:hint="default" w:ascii="Times New Roman" w:hAnsi="Times New Roman" w:eastAsia="宋体" w:cs="Times New Roman"/>
          <w:b w:val="0"/>
          <w:bCs w:val="0"/>
          <w:highlight w:val="none"/>
          <w:lang w:val="en-US" w:eastAsia="zh-CN"/>
        </w:rPr>
        <w:t>0</w:t>
      </w:r>
      <w:r>
        <w:rPr>
          <w:rFonts w:hint="default" w:ascii="Times New Roman" w:hAnsi="Times New Roman" w:eastAsia="宋体" w:cs="Times New Roman"/>
          <w:b w:val="0"/>
          <w:bCs w:val="0"/>
          <w:highlight w:val="none"/>
        </w:rPr>
        <w:t xml:space="preserve">  总结论</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_Toc16599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129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pStyle w:val="15"/>
        <w:keepNext w:val="0"/>
        <w:keepLines w:val="0"/>
        <w:pageBreakBefore w:val="0"/>
        <w:widowControl w:val="0"/>
        <w:tabs>
          <w:tab w:val="right" w:leader="dot" w:pos="8306"/>
          <w:tab w:val="clear" w:pos="1021"/>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bCs/>
          <w:highlight w:val="none"/>
        </w:rPr>
      </w:pP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HYPERLINK \l _Toc26253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spacing w:val="-6"/>
          <w:szCs w:val="28"/>
          <w:highlight w:val="none"/>
        </w:rPr>
        <w:t>11.1</w:t>
      </w:r>
      <w:r>
        <w:rPr>
          <w:rFonts w:hint="default" w:ascii="Times New Roman" w:hAnsi="Times New Roman" w:eastAsia="宋体" w:cs="Times New Roman"/>
          <w:b w:val="0"/>
          <w:bCs w:val="0"/>
          <w:spacing w:val="-6"/>
          <w:szCs w:val="28"/>
          <w:highlight w:val="none"/>
          <w:lang w:val="en-US" w:eastAsia="zh-CN"/>
        </w:rPr>
        <w:t>1</w:t>
      </w:r>
      <w:r>
        <w:rPr>
          <w:rFonts w:hint="default" w:ascii="Times New Roman" w:hAnsi="Times New Roman" w:eastAsia="宋体" w:cs="Times New Roman"/>
          <w:b w:val="0"/>
          <w:bCs w:val="0"/>
          <w:spacing w:val="8"/>
          <w:w w:val="101"/>
          <w:szCs w:val="28"/>
          <w:highlight w:val="none"/>
        </w:rPr>
        <w:t xml:space="preserve">  </w:t>
      </w:r>
      <w:r>
        <w:rPr>
          <w:rFonts w:hint="default" w:ascii="Times New Roman" w:hAnsi="Times New Roman" w:eastAsia="宋体" w:cs="Times New Roman"/>
          <w:b w:val="0"/>
          <w:bCs w:val="0"/>
          <w:spacing w:val="-6"/>
          <w:szCs w:val="28"/>
          <w:highlight w:val="none"/>
        </w:rPr>
        <w:t>建议</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_Toc26253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130</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highlight w:val="none"/>
        </w:rPr>
        <w:fldChar w:fldCharType="end"/>
      </w:r>
      <w:r>
        <w:rPr>
          <w:rFonts w:hint="default" w:ascii="Times New Roman" w:hAnsi="Times New Roman" w:eastAsia="宋体" w:cs="Times New Roman"/>
          <w:b/>
          <w:bCs/>
          <w:sz w:val="24"/>
          <w:szCs w:val="24"/>
          <w:highlight w:val="none"/>
          <w:lang w:eastAsia="zh-CN"/>
        </w:rPr>
        <w:t>附图：</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eastAsia="zh-CN"/>
        </w:rPr>
        <w:t>附图</w:t>
      </w:r>
      <w:r>
        <w:rPr>
          <w:rFonts w:hint="default" w:ascii="Times New Roman" w:hAns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项目地理位置图</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附图2：</w:t>
      </w:r>
      <w:r>
        <w:rPr>
          <w:rFonts w:hint="default" w:ascii="Times New Roman" w:hAnsi="Times New Roman" w:eastAsia="宋体" w:cs="Times New Roman"/>
          <w:b w:val="0"/>
          <w:bCs w:val="0"/>
          <w:color w:val="auto"/>
          <w:sz w:val="24"/>
          <w:szCs w:val="24"/>
          <w:highlight w:val="none"/>
          <w:lang w:val="en-US" w:eastAsia="zh-CN"/>
        </w:rPr>
        <w:t>项目平面布局示意图</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附图3：</w:t>
      </w:r>
      <w:r>
        <w:rPr>
          <w:rFonts w:hint="default" w:ascii="Times New Roman" w:hAnsi="Times New Roman" w:eastAsia="宋体" w:cs="Times New Roman"/>
          <w:b w:val="0"/>
          <w:bCs w:val="0"/>
          <w:color w:val="auto"/>
          <w:sz w:val="24"/>
          <w:szCs w:val="24"/>
          <w:highlight w:val="none"/>
        </w:rPr>
        <w:t>项目周边敏感目标示意图</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5"/>
          <w:sz w:val="24"/>
          <w:szCs w:val="24"/>
          <w:highlight w:val="none"/>
        </w:rPr>
      </w:pPr>
      <w:r>
        <w:rPr>
          <w:rFonts w:hint="default" w:ascii="Times New Roman" w:hAnsi="Times New Roman" w:eastAsia="宋体" w:cs="Times New Roman"/>
          <w:b w:val="0"/>
          <w:bCs w:val="0"/>
          <w:sz w:val="24"/>
          <w:szCs w:val="24"/>
          <w:highlight w:val="none"/>
          <w:lang w:val="en-US" w:eastAsia="zh-CN"/>
        </w:rPr>
        <w:t>附图4：</w:t>
      </w:r>
      <w:r>
        <w:rPr>
          <w:rFonts w:hint="default" w:ascii="Times New Roman" w:hAnsi="Times New Roman" w:eastAsia="宋体" w:cs="Times New Roman"/>
          <w:b w:val="0"/>
          <w:bCs w:val="0"/>
          <w:color w:val="auto"/>
          <w:sz w:val="24"/>
          <w:szCs w:val="24"/>
          <w:highlight w:val="none"/>
        </w:rPr>
        <w:t>项目</w:t>
      </w:r>
      <w:r>
        <w:rPr>
          <w:rFonts w:hint="default" w:ascii="Times New Roman" w:hAnsi="Times New Roman" w:eastAsia="宋体" w:cs="Times New Roman"/>
          <w:b w:val="0"/>
          <w:bCs w:val="0"/>
          <w:spacing w:val="-5"/>
          <w:sz w:val="24"/>
          <w:szCs w:val="24"/>
          <w:highlight w:val="none"/>
        </w:rPr>
        <w:t>场区分区防渗图</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附图5</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项目现状监测点位示意图</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附件：</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附件1：</w:t>
      </w:r>
      <w:r>
        <w:rPr>
          <w:rFonts w:hint="default" w:ascii="Times New Roman" w:hAnsi="Times New Roman" w:eastAsia="宋体" w:cs="Times New Roman"/>
          <w:b w:val="0"/>
          <w:bCs w:val="0"/>
          <w:color w:val="auto"/>
          <w:spacing w:val="0"/>
          <w:sz w:val="24"/>
          <w:szCs w:val="24"/>
          <w:highlight w:val="none"/>
          <w:lang w:val="en-US" w:eastAsia="zh-CN"/>
        </w:rPr>
        <w:t>环评委托书</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rPr>
      </w:pPr>
      <w:r>
        <w:rPr>
          <w:rFonts w:hint="default" w:ascii="Times New Roman" w:hAnsi="Times New Roman" w:eastAsia="宋体" w:cs="Times New Roman"/>
          <w:b w:val="0"/>
          <w:bCs w:val="0"/>
          <w:color w:val="auto"/>
          <w:spacing w:val="0"/>
          <w:sz w:val="24"/>
          <w:szCs w:val="24"/>
          <w:highlight w:val="none"/>
          <w:lang w:val="en-US" w:eastAsia="zh-CN"/>
        </w:rPr>
        <w:t>附件2：</w:t>
      </w:r>
      <w:r>
        <w:rPr>
          <w:rFonts w:hint="default" w:ascii="Times New Roman" w:hAnsi="Times New Roman" w:eastAsia="宋体" w:cs="Times New Roman"/>
          <w:b w:val="0"/>
          <w:bCs w:val="0"/>
          <w:spacing w:val="0"/>
          <w:sz w:val="24"/>
          <w:szCs w:val="24"/>
          <w:highlight w:val="none"/>
        </w:rPr>
        <w:t>建设单位营业执照</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w:t>
      </w:r>
      <w:r>
        <w:rPr>
          <w:rFonts w:hint="default" w:ascii="Times New Roman" w:hAnsi="Times New Roman" w:eastAsia="宋体" w:cs="Times New Roman"/>
          <w:b w:val="0"/>
          <w:bCs w:val="0"/>
          <w:spacing w:val="0"/>
          <w:sz w:val="24"/>
          <w:szCs w:val="24"/>
          <w:highlight w:val="none"/>
          <w:lang w:val="en-US" w:eastAsia="zh-CN"/>
        </w:rPr>
        <w:t>3：项目</w:t>
      </w:r>
      <w:r>
        <w:rPr>
          <w:rFonts w:hint="default" w:ascii="Times New Roman" w:hAnsi="Times New Roman" w:eastAsia="宋体" w:cs="Times New Roman"/>
          <w:b w:val="0"/>
          <w:bCs w:val="0"/>
          <w:spacing w:val="0"/>
          <w:sz w:val="24"/>
          <w:szCs w:val="24"/>
          <w:highlight w:val="none"/>
          <w:lang w:eastAsia="zh-CN"/>
        </w:rPr>
        <w:t>发改委备案证明</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附件4：关于湖南双宏养殖有限公司永久使用林地有关情况说明</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附件5：使用林地审核同意书</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附件6：设施农业用地备案申请表</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附件7：设施农业用地使用协议</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w:t>
      </w:r>
      <w:r>
        <w:rPr>
          <w:rFonts w:hint="eastAsia" w:ascii="Times New Roman" w:hAnsi="Times New Roman" w:eastAsia="宋体" w:cs="Times New Roman"/>
          <w:b w:val="0"/>
          <w:bCs w:val="0"/>
          <w:spacing w:val="0"/>
          <w:sz w:val="24"/>
          <w:szCs w:val="24"/>
          <w:highlight w:val="none"/>
          <w:lang w:val="en-US" w:eastAsia="zh-CN"/>
        </w:rPr>
        <w:t>8</w:t>
      </w:r>
      <w:r>
        <w:rPr>
          <w:rFonts w:hint="default" w:ascii="Times New Roman" w:hAnsi="Times New Roman" w:eastAsia="宋体" w:cs="Times New Roman"/>
          <w:b w:val="0"/>
          <w:bCs w:val="0"/>
          <w:spacing w:val="0"/>
          <w:sz w:val="24"/>
          <w:szCs w:val="24"/>
          <w:highlight w:val="none"/>
          <w:lang w:val="en-US" w:eastAsia="zh-CN"/>
        </w:rPr>
        <w:t>：</w:t>
      </w:r>
      <w:r>
        <w:rPr>
          <w:rFonts w:hint="default" w:ascii="Times New Roman" w:hAnsi="Times New Roman" w:eastAsia="宋体" w:cs="Times New Roman"/>
          <w:b w:val="0"/>
          <w:bCs w:val="0"/>
          <w:spacing w:val="0"/>
          <w:sz w:val="24"/>
          <w:szCs w:val="24"/>
          <w:highlight w:val="none"/>
          <w:lang w:eastAsia="zh-CN"/>
        </w:rPr>
        <w:t>畜禽养殖场备案登记表</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w:t>
      </w:r>
      <w:r>
        <w:rPr>
          <w:rFonts w:hint="eastAsia" w:cs="Times New Roman"/>
          <w:b w:val="0"/>
          <w:bCs w:val="0"/>
          <w:spacing w:val="0"/>
          <w:sz w:val="24"/>
          <w:szCs w:val="24"/>
          <w:highlight w:val="none"/>
          <w:lang w:val="en-US" w:eastAsia="zh-CN"/>
        </w:rPr>
        <w:t>9：</w:t>
      </w:r>
      <w:r>
        <w:rPr>
          <w:rFonts w:hint="default" w:ascii="Times New Roman" w:hAnsi="Times New Roman" w:eastAsia="宋体" w:cs="Times New Roman"/>
          <w:b w:val="0"/>
          <w:bCs w:val="0"/>
          <w:spacing w:val="0"/>
          <w:sz w:val="24"/>
          <w:szCs w:val="24"/>
          <w:highlight w:val="none"/>
          <w:lang w:val="en-US" w:eastAsia="zh-CN"/>
        </w:rPr>
        <w:t>陈湘林地承包经营合同</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w:t>
      </w:r>
      <w:r>
        <w:rPr>
          <w:rFonts w:hint="eastAsia" w:cs="Times New Roman"/>
          <w:b w:val="0"/>
          <w:bCs w:val="0"/>
          <w:spacing w:val="0"/>
          <w:sz w:val="24"/>
          <w:szCs w:val="24"/>
          <w:highlight w:val="none"/>
          <w:lang w:val="en-US" w:eastAsia="zh-CN"/>
        </w:rPr>
        <w:t>10：</w:t>
      </w:r>
      <w:r>
        <w:rPr>
          <w:rFonts w:hint="default" w:ascii="Times New Roman" w:hAnsi="Times New Roman" w:eastAsia="宋体" w:cs="Times New Roman"/>
          <w:b w:val="0"/>
          <w:bCs w:val="0"/>
          <w:spacing w:val="0"/>
          <w:sz w:val="24"/>
          <w:szCs w:val="24"/>
          <w:highlight w:val="none"/>
          <w:lang w:val="en-US" w:eastAsia="zh-CN"/>
        </w:rPr>
        <w:t>建设单位同陈湘签订的灌溉协议</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eastAsia="zh-CN"/>
        </w:rPr>
      </w:pPr>
      <w:r>
        <w:rPr>
          <w:rFonts w:hint="default" w:ascii="Times New Roman" w:hAnsi="Times New Roman" w:eastAsia="宋体" w:cs="Times New Roman"/>
          <w:b w:val="0"/>
          <w:bCs w:val="0"/>
          <w:spacing w:val="0"/>
          <w:sz w:val="24"/>
          <w:szCs w:val="24"/>
          <w:highlight w:val="none"/>
          <w:lang w:eastAsia="zh-CN"/>
        </w:rPr>
        <w:t>附件</w:t>
      </w:r>
      <w:r>
        <w:rPr>
          <w:rFonts w:hint="eastAsia" w:ascii="Times New Roman" w:hAnsi="Times New Roman" w:eastAsia="宋体" w:cs="Times New Roman"/>
          <w:b w:val="0"/>
          <w:bCs w:val="0"/>
          <w:spacing w:val="0"/>
          <w:sz w:val="24"/>
          <w:szCs w:val="24"/>
          <w:highlight w:val="none"/>
          <w:lang w:val="en-US" w:eastAsia="zh-CN"/>
        </w:rPr>
        <w:t>1</w:t>
      </w:r>
      <w:r>
        <w:rPr>
          <w:rFonts w:hint="eastAsia" w:cs="Times New Roman"/>
          <w:b w:val="0"/>
          <w:bCs w:val="0"/>
          <w:spacing w:val="0"/>
          <w:sz w:val="24"/>
          <w:szCs w:val="24"/>
          <w:highlight w:val="none"/>
          <w:lang w:val="en-US" w:eastAsia="zh-CN"/>
        </w:rPr>
        <w:t>1</w:t>
      </w:r>
      <w:r>
        <w:rPr>
          <w:rFonts w:hint="default" w:ascii="Times New Roman" w:hAnsi="Times New Roman" w:eastAsia="宋体" w:cs="Times New Roman"/>
          <w:b w:val="0"/>
          <w:bCs w:val="0"/>
          <w:spacing w:val="0"/>
          <w:sz w:val="24"/>
          <w:szCs w:val="24"/>
          <w:highlight w:val="none"/>
          <w:lang w:val="en-US" w:eastAsia="zh-CN"/>
        </w:rPr>
        <w:t>：</w:t>
      </w:r>
      <w:r>
        <w:rPr>
          <w:rFonts w:hint="default" w:ascii="Times New Roman" w:hAnsi="Times New Roman" w:eastAsia="宋体" w:cs="Times New Roman"/>
          <w:b w:val="0"/>
          <w:bCs w:val="0"/>
          <w:spacing w:val="0"/>
          <w:sz w:val="24"/>
          <w:szCs w:val="24"/>
          <w:highlight w:val="none"/>
          <w:lang w:eastAsia="zh-CN"/>
        </w:rPr>
        <w:t>村民同意承诺书</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w:t>
      </w:r>
      <w:r>
        <w:rPr>
          <w:rFonts w:hint="eastAsia" w:cs="Times New Roman"/>
          <w:b w:val="0"/>
          <w:bCs w:val="0"/>
          <w:spacing w:val="0"/>
          <w:sz w:val="24"/>
          <w:szCs w:val="24"/>
          <w:highlight w:val="none"/>
          <w:lang w:val="en-US" w:eastAsia="zh-CN"/>
        </w:rPr>
        <w:t>12</w:t>
      </w:r>
      <w:r>
        <w:rPr>
          <w:rFonts w:hint="default" w:ascii="Times New Roman" w:hAnsi="Times New Roman" w:eastAsia="宋体" w:cs="Times New Roman"/>
          <w:b w:val="0"/>
          <w:bCs w:val="0"/>
          <w:spacing w:val="0"/>
          <w:sz w:val="24"/>
          <w:szCs w:val="24"/>
          <w:highlight w:val="none"/>
          <w:lang w:val="en-US" w:eastAsia="zh-CN"/>
        </w:rPr>
        <w:t>：项目提供信息真实性承诺</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3</w:t>
      </w:r>
      <w:r>
        <w:rPr>
          <w:rFonts w:hint="eastAsia" w:ascii="Times New Roman" w:hAnsi="Times New Roman" w:eastAsia="宋体" w:cs="Times New Roman"/>
          <w:b w:val="0"/>
          <w:bCs w:val="0"/>
          <w:spacing w:val="0"/>
          <w:sz w:val="24"/>
          <w:szCs w:val="24"/>
          <w:highlight w:val="none"/>
          <w:lang w:val="en-US" w:eastAsia="zh-CN"/>
        </w:rPr>
        <w:t>：环境质量现状</w:t>
      </w:r>
      <w:r>
        <w:rPr>
          <w:rFonts w:hint="eastAsia" w:cs="Times New Roman"/>
          <w:b w:val="0"/>
          <w:bCs w:val="0"/>
          <w:spacing w:val="0"/>
          <w:sz w:val="24"/>
          <w:szCs w:val="24"/>
          <w:highlight w:val="none"/>
          <w:lang w:val="en-US" w:eastAsia="zh-CN"/>
        </w:rPr>
        <w:t>检</w:t>
      </w:r>
      <w:r>
        <w:rPr>
          <w:rFonts w:hint="eastAsia" w:ascii="Times New Roman" w:hAnsi="Times New Roman" w:eastAsia="宋体" w:cs="Times New Roman"/>
          <w:b w:val="0"/>
          <w:bCs w:val="0"/>
          <w:spacing w:val="0"/>
          <w:sz w:val="24"/>
          <w:szCs w:val="24"/>
          <w:highlight w:val="none"/>
          <w:lang w:val="en-US" w:eastAsia="zh-CN"/>
        </w:rPr>
        <w:t>测</w:t>
      </w:r>
      <w:r>
        <w:rPr>
          <w:rFonts w:hint="eastAsia" w:cs="Times New Roman"/>
          <w:b w:val="0"/>
          <w:bCs w:val="0"/>
          <w:spacing w:val="0"/>
          <w:sz w:val="24"/>
          <w:szCs w:val="24"/>
          <w:highlight w:val="none"/>
          <w:lang w:val="en-US" w:eastAsia="zh-CN"/>
        </w:rPr>
        <w:t>报告</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4</w:t>
      </w:r>
      <w:r>
        <w:rPr>
          <w:rFonts w:hint="eastAsia" w:ascii="Times New Roman" w:hAnsi="Times New Roman" w:eastAsia="宋体" w:cs="Times New Roman"/>
          <w:b w:val="0"/>
          <w:bCs w:val="0"/>
          <w:spacing w:val="0"/>
          <w:sz w:val="24"/>
          <w:szCs w:val="24"/>
          <w:highlight w:val="none"/>
          <w:lang w:val="en-US" w:eastAsia="zh-CN"/>
        </w:rPr>
        <w:t>：</w:t>
      </w:r>
      <w:r>
        <w:rPr>
          <w:rFonts w:hint="default" w:ascii="Times New Roman" w:hAnsi="Times New Roman" w:eastAsia="宋体" w:cs="Times New Roman"/>
          <w:b w:val="0"/>
          <w:bCs w:val="0"/>
          <w:spacing w:val="0"/>
          <w:sz w:val="24"/>
          <w:szCs w:val="24"/>
          <w:highlight w:val="none"/>
          <w:lang w:val="en-US" w:eastAsia="zh-CN"/>
        </w:rPr>
        <w:t>环境质量现状监测质保单</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5</w:t>
      </w:r>
      <w:r>
        <w:rPr>
          <w:rFonts w:hint="eastAsia" w:ascii="Times New Roman" w:hAnsi="Times New Roman" w:eastAsia="宋体" w:cs="Times New Roman"/>
          <w:b w:val="0"/>
          <w:bCs w:val="0"/>
          <w:spacing w:val="0"/>
          <w:sz w:val="24"/>
          <w:szCs w:val="24"/>
          <w:highlight w:val="none"/>
          <w:lang w:val="en-US" w:eastAsia="zh-CN"/>
        </w:rPr>
        <w:t>：</w:t>
      </w:r>
      <w:r>
        <w:rPr>
          <w:rFonts w:hint="eastAsia" w:cs="Times New Roman"/>
          <w:b w:val="0"/>
          <w:bCs w:val="0"/>
          <w:spacing w:val="0"/>
          <w:sz w:val="24"/>
          <w:szCs w:val="24"/>
          <w:highlight w:val="none"/>
          <w:lang w:val="en-US" w:eastAsia="zh-CN"/>
        </w:rPr>
        <w:t>地下水补充监测报告</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6</w:t>
      </w:r>
      <w:r>
        <w:rPr>
          <w:rFonts w:hint="eastAsia" w:ascii="Times New Roman" w:hAnsi="Times New Roman" w:eastAsia="宋体" w:cs="Times New Roman"/>
          <w:b w:val="0"/>
          <w:bCs w:val="0"/>
          <w:spacing w:val="0"/>
          <w:sz w:val="24"/>
          <w:szCs w:val="24"/>
          <w:highlight w:val="none"/>
          <w:lang w:val="en-US" w:eastAsia="zh-CN"/>
        </w:rPr>
        <w:t>：</w:t>
      </w:r>
      <w:r>
        <w:rPr>
          <w:rFonts w:hint="eastAsia" w:cs="Times New Roman"/>
          <w:b w:val="0"/>
          <w:bCs w:val="0"/>
          <w:spacing w:val="0"/>
          <w:sz w:val="24"/>
          <w:szCs w:val="24"/>
          <w:highlight w:val="none"/>
          <w:lang w:val="en-US" w:eastAsia="zh-CN"/>
        </w:rPr>
        <w:t>地表水补充监测报告</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7</w:t>
      </w:r>
      <w:r>
        <w:rPr>
          <w:rFonts w:hint="eastAsia" w:ascii="Times New Roman" w:hAnsi="Times New Roman" w:eastAsia="宋体" w:cs="Times New Roman"/>
          <w:b w:val="0"/>
          <w:bCs w:val="0"/>
          <w:spacing w:val="0"/>
          <w:sz w:val="24"/>
          <w:szCs w:val="24"/>
          <w:highlight w:val="none"/>
          <w:lang w:val="en-US" w:eastAsia="zh-CN"/>
        </w:rPr>
        <w:t>：</w:t>
      </w:r>
      <w:r>
        <w:rPr>
          <w:rFonts w:hint="eastAsia" w:cs="Times New Roman"/>
          <w:b w:val="0"/>
          <w:bCs w:val="0"/>
          <w:spacing w:val="0"/>
          <w:sz w:val="24"/>
          <w:szCs w:val="24"/>
          <w:highlight w:val="none"/>
          <w:lang w:val="en-US" w:eastAsia="zh-CN"/>
        </w:rPr>
        <w:t>病死猪禽畜化无害化处理协议</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8</w:t>
      </w:r>
      <w:r>
        <w:rPr>
          <w:rFonts w:hint="eastAsia" w:ascii="Times New Roman" w:hAnsi="Times New Roman" w:eastAsia="宋体" w:cs="Times New Roman"/>
          <w:b w:val="0"/>
          <w:bCs w:val="0"/>
          <w:spacing w:val="0"/>
          <w:sz w:val="24"/>
          <w:szCs w:val="24"/>
          <w:highlight w:val="none"/>
          <w:lang w:val="en-US" w:eastAsia="zh-CN"/>
        </w:rPr>
        <w:t>：</w:t>
      </w:r>
      <w:r>
        <w:rPr>
          <w:rFonts w:hint="default" w:ascii="Times New Roman" w:hAnsi="Times New Roman" w:eastAsia="宋体" w:cs="Times New Roman"/>
          <w:b w:val="0"/>
          <w:bCs w:val="0"/>
          <w:spacing w:val="0"/>
          <w:sz w:val="24"/>
          <w:szCs w:val="24"/>
          <w:highlight w:val="none"/>
          <w:lang w:val="en-US" w:eastAsia="zh-CN"/>
        </w:rPr>
        <w:t>行政处罚决定书</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firstLine="0" w:firstLineChars="0"/>
        <w:jc w:val="left"/>
        <w:textAlignment w:val="auto"/>
        <w:rPr>
          <w:rFonts w:hint="default" w:ascii="Times New Roman" w:hAnsi="Times New Roman" w:eastAsia="宋体" w:cs="Times New Roman"/>
          <w:b w:val="0"/>
          <w:bCs w:val="0"/>
          <w:spacing w:val="0"/>
          <w:sz w:val="24"/>
          <w:szCs w:val="24"/>
          <w:highlight w:val="none"/>
          <w:lang w:val="en-US" w:eastAsia="zh-CN"/>
        </w:rPr>
      </w:pPr>
      <w:r>
        <w:rPr>
          <w:rFonts w:hint="default" w:ascii="Times New Roman" w:hAnsi="Times New Roman" w:eastAsia="宋体" w:cs="Times New Roman"/>
          <w:b w:val="0"/>
          <w:bCs w:val="0"/>
          <w:spacing w:val="0"/>
          <w:sz w:val="24"/>
          <w:szCs w:val="24"/>
          <w:highlight w:val="none"/>
          <w:lang w:val="en-US" w:eastAsia="zh-CN"/>
        </w:rPr>
        <w:t>附件1</w:t>
      </w:r>
      <w:r>
        <w:rPr>
          <w:rFonts w:hint="eastAsia" w:cs="Times New Roman"/>
          <w:b w:val="0"/>
          <w:bCs w:val="0"/>
          <w:spacing w:val="0"/>
          <w:sz w:val="24"/>
          <w:szCs w:val="24"/>
          <w:highlight w:val="none"/>
          <w:lang w:val="en-US" w:eastAsia="zh-CN"/>
        </w:rPr>
        <w:t>9</w:t>
      </w:r>
      <w:r>
        <w:rPr>
          <w:rFonts w:hint="eastAsia" w:ascii="Times New Roman" w:hAnsi="Times New Roman" w:eastAsia="宋体" w:cs="Times New Roman"/>
          <w:b w:val="0"/>
          <w:bCs w:val="0"/>
          <w:spacing w:val="0"/>
          <w:sz w:val="24"/>
          <w:szCs w:val="24"/>
          <w:highlight w:val="none"/>
          <w:lang w:val="en-US" w:eastAsia="zh-CN"/>
        </w:rPr>
        <w:t>：</w:t>
      </w:r>
      <w:r>
        <w:rPr>
          <w:rFonts w:hint="default" w:ascii="Times New Roman" w:hAnsi="Times New Roman" w:eastAsia="宋体" w:cs="Times New Roman"/>
          <w:b w:val="0"/>
          <w:bCs w:val="0"/>
          <w:spacing w:val="0"/>
          <w:sz w:val="24"/>
          <w:szCs w:val="24"/>
          <w:highlight w:val="none"/>
          <w:lang w:val="en-US" w:eastAsia="zh-CN"/>
        </w:rPr>
        <w:t>行政处罚缴费记录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附表：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附表1  建设项目大气环境影响评价自查表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附表2  建设项目地表水环境影响评价自查表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sz w:val="24"/>
          <w:szCs w:val="24"/>
          <w:highlight w:val="none"/>
        </w:rPr>
        <w:t xml:space="preserve">附表3  </w:t>
      </w:r>
      <w:r>
        <w:rPr>
          <w:rFonts w:hint="default" w:ascii="Times New Roman" w:hAnsi="Times New Roman" w:eastAsia="宋体" w:cs="Times New Roman"/>
          <w:b w:val="0"/>
          <w:bCs w:val="0"/>
          <w:color w:val="auto"/>
          <w:sz w:val="24"/>
          <w:szCs w:val="24"/>
          <w:highlight w:val="none"/>
          <w:lang w:val="en-US" w:eastAsia="zh-CN"/>
        </w:rPr>
        <w:t>土壤环境评价自查表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 xml:space="preserve">附表4  </w:t>
      </w:r>
      <w:r>
        <w:rPr>
          <w:rFonts w:hint="default" w:ascii="Times New Roman" w:hAnsi="Times New Roman" w:eastAsia="宋体" w:cs="Times New Roman"/>
          <w:b w:val="0"/>
          <w:bCs w:val="0"/>
          <w:sz w:val="24"/>
          <w:szCs w:val="24"/>
          <w:highlight w:val="none"/>
        </w:rPr>
        <w:t>环境风险分析自查表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附表</w:t>
      </w:r>
      <w:r>
        <w:rPr>
          <w:rFonts w:hint="default" w:ascii="Times New Roman" w:hAnsi="Times New Roman" w:eastAsia="宋体" w:cs="Times New Roman"/>
          <w:b w:val="0"/>
          <w:bCs w:val="0"/>
          <w:sz w:val="24"/>
          <w:szCs w:val="24"/>
          <w:highlight w:val="none"/>
          <w:lang w:val="en-US" w:eastAsia="zh-CN"/>
        </w:rPr>
        <w:t>5</w:t>
      </w:r>
      <w:r>
        <w:rPr>
          <w:rFonts w:hint="default" w:ascii="Times New Roman" w:hAnsi="Times New Roman" w:eastAsia="宋体" w:cs="Times New Roman"/>
          <w:b w:val="0"/>
          <w:bCs w:val="0"/>
          <w:sz w:val="24"/>
          <w:szCs w:val="24"/>
          <w:highlight w:val="none"/>
        </w:rPr>
        <w:t xml:space="preserve">  建设项目环评审批基础信息表</w:t>
      </w:r>
    </w:p>
    <w:p>
      <w:pPr>
        <w:pStyle w:val="3"/>
        <w:bidi w:val="0"/>
        <w:rPr>
          <w:rFonts w:hint="eastAsia"/>
          <w:highlight w:val="none"/>
          <w:lang w:val="en-US" w:eastAsia="zh-CN"/>
        </w:rPr>
        <w:sectPr>
          <w:headerReference r:id="rId5" w:type="default"/>
          <w:footerReference r:id="rId6" w:type="default"/>
          <w:pgSz w:w="11906" w:h="16838"/>
          <w:pgMar w:top="1417" w:right="1417" w:bottom="1417" w:left="1701" w:header="851" w:footer="850" w:gutter="0"/>
          <w:pgBorders>
            <w:top w:val="none" w:sz="0" w:space="0"/>
            <w:left w:val="none" w:sz="0" w:space="0"/>
            <w:bottom w:val="none" w:sz="0" w:space="0"/>
            <w:right w:val="none" w:sz="0" w:space="0"/>
          </w:pgBorders>
          <w:pgNumType w:fmt="decimal"/>
          <w:cols w:space="720" w:num="1"/>
          <w:docGrid w:type="lines" w:linePitch="312" w:charSpace="0"/>
        </w:sectPr>
      </w:pPr>
      <w:bookmarkStart w:id="0" w:name="_Toc2656"/>
    </w:p>
    <w:p>
      <w:pPr>
        <w:pStyle w:val="3"/>
        <w:bidi w:val="0"/>
        <w:rPr>
          <w:highlight w:val="none"/>
        </w:rPr>
      </w:pPr>
      <w:bookmarkStart w:id="1" w:name="_Toc1341"/>
      <w:r>
        <w:rPr>
          <w:rFonts w:hint="eastAsia"/>
          <w:highlight w:val="none"/>
          <w:lang w:val="en-US" w:eastAsia="zh-CN"/>
        </w:rPr>
        <w:t>1  概述</w:t>
      </w:r>
      <w:bookmarkEnd w:id="0"/>
      <w:bookmarkEnd w:id="1"/>
    </w:p>
    <w:p>
      <w:pPr>
        <w:pStyle w:val="4"/>
        <w:bidi w:val="0"/>
        <w:rPr>
          <w:highlight w:val="none"/>
        </w:rPr>
      </w:pPr>
      <w:bookmarkStart w:id="2" w:name="_Toc9436"/>
      <w:bookmarkStart w:id="3" w:name="_Toc28817"/>
      <w:r>
        <w:rPr>
          <w:highlight w:val="none"/>
        </w:rPr>
        <w:t>1</w:t>
      </w:r>
      <w:r>
        <w:rPr>
          <w:rFonts w:hint="eastAsia"/>
          <w:highlight w:val="none"/>
          <w:lang w:val="en-US" w:eastAsia="zh-CN"/>
        </w:rPr>
        <w:t xml:space="preserve">.1 </w:t>
      </w:r>
      <w:r>
        <w:rPr>
          <w:highlight w:val="none"/>
        </w:rPr>
        <w:t xml:space="preserve"> 项目由来</w:t>
      </w:r>
      <w:bookmarkEnd w:id="2"/>
      <w:bookmarkEnd w:id="3"/>
    </w:p>
    <w:p>
      <w:pPr>
        <w:bidi w:val="0"/>
        <w:rPr>
          <w:highlight w:val="none"/>
          <w:u w:val="single"/>
        </w:rPr>
      </w:pPr>
      <w:r>
        <w:rPr>
          <w:highlight w:val="none"/>
          <w:u w:val="single"/>
        </w:rPr>
        <w:t>生猪生产是农业的重要组成部分。抓好生猪生产，保持生猪的合理供应，对稳定市场供应、满足消费需求、增加农民收入、促进经济发展具有重要意义。党中央和国务院在《关于推进社会主义新农村建设的若干意见》中明确指出要积极推进农业结构调</w:t>
      </w:r>
      <w:r>
        <w:rPr>
          <w:rFonts w:hint="eastAsia" w:ascii="宋体" w:hAnsi="宋体" w:eastAsia="宋体" w:cs="宋体"/>
          <w:highlight w:val="none"/>
          <w:u w:val="single"/>
        </w:rPr>
        <w:t>整“大力发展畜牧业，扩大畜禽良种补贴规模，推广健康养殖方式，安排专项投入支持标准化畜禽养殖小区建设试点”。</w:t>
      </w:r>
    </w:p>
    <w:p>
      <w:pPr>
        <w:bidi w:val="0"/>
        <w:rPr>
          <w:highlight w:val="none"/>
          <w:u w:val="single"/>
        </w:rPr>
      </w:pPr>
      <w:r>
        <w:rPr>
          <w:highlight w:val="none"/>
          <w:u w:val="single"/>
        </w:rPr>
        <w:t>养猪业是农业和农村经济的支柱产业，猪肉是居民的主要副食消费品。大力发展生猪生产，对于增强农业发展后劲，促进农民增收，满足人们消费需求，增强人民体质具有重要的意义。项目位于</w:t>
      </w:r>
      <w:r>
        <w:rPr>
          <w:rFonts w:hint="eastAsia"/>
          <w:highlight w:val="none"/>
          <w:u w:val="single"/>
          <w:lang w:eastAsia="zh-CN"/>
        </w:rPr>
        <w:t>岳阳市华容县东山镇长岗庙村9组002号</w:t>
      </w:r>
      <w:r>
        <w:rPr>
          <w:highlight w:val="none"/>
          <w:u w:val="single"/>
        </w:rPr>
        <w:t>，养猪业</w:t>
      </w:r>
      <w:r>
        <w:rPr>
          <w:rFonts w:hint="eastAsia"/>
          <w:highlight w:val="none"/>
          <w:u w:val="single"/>
          <w:lang w:eastAsia="zh-CN"/>
        </w:rPr>
        <w:t>是</w:t>
      </w:r>
      <w:r>
        <w:rPr>
          <w:highlight w:val="none"/>
          <w:u w:val="single"/>
        </w:rPr>
        <w:t>本地的主要畜牧业之一，但上规模上档次的猪场不多，缺乏优秀的种猪饲养场与商品猪生产基地，发展肉猪产业化生产，对促进当地农村经济建设具有很好的推动作用，也是带动当地农民走养猪致富的好门路。</w:t>
      </w:r>
    </w:p>
    <w:p>
      <w:pPr>
        <w:bidi w:val="0"/>
        <w:rPr>
          <w:highlight w:val="none"/>
          <w:u w:val="single"/>
        </w:rPr>
      </w:pPr>
      <w:r>
        <w:rPr>
          <w:rFonts w:hint="eastAsia"/>
          <w:highlight w:val="none"/>
          <w:u w:val="single"/>
          <w:lang w:val="en-US" w:eastAsia="zh-CN"/>
        </w:rPr>
        <w:t>湖南双宏养殖有限公司</w:t>
      </w:r>
      <w:r>
        <w:rPr>
          <w:highlight w:val="none"/>
          <w:u w:val="single"/>
        </w:rPr>
        <w:t>成立于</w:t>
      </w:r>
      <w:r>
        <w:rPr>
          <w:rFonts w:hint="eastAsia"/>
          <w:highlight w:val="none"/>
          <w:u w:val="single"/>
          <w:lang w:val="en-US" w:eastAsia="zh-CN"/>
        </w:rPr>
        <w:t>2020</w:t>
      </w:r>
      <w:r>
        <w:rPr>
          <w:highlight w:val="none"/>
          <w:u w:val="single"/>
        </w:rPr>
        <w:t>年，是一家集生猪养殖、销售为主营业务的新型生态农业公司。</w:t>
      </w:r>
      <w:r>
        <w:rPr>
          <w:rFonts w:hint="eastAsia"/>
          <w:highlight w:val="none"/>
          <w:u w:val="single"/>
          <w:lang w:eastAsia="zh-CN"/>
        </w:rPr>
        <w:t>公司</w:t>
      </w:r>
      <w:r>
        <w:rPr>
          <w:rFonts w:hint="eastAsia"/>
          <w:highlight w:val="none"/>
          <w:u w:val="single"/>
          <w:lang w:val="en-US" w:eastAsia="zh-CN"/>
        </w:rPr>
        <w:t>拟投资1000万元，</w:t>
      </w:r>
      <w:r>
        <w:rPr>
          <w:rFonts w:hint="eastAsia"/>
          <w:highlight w:val="none"/>
          <w:u w:val="single"/>
          <w:lang w:eastAsia="zh-CN"/>
        </w:rPr>
        <w:t>选址于岳阳市华容县东山镇长岗庙村9组002号</w:t>
      </w:r>
      <w:r>
        <w:rPr>
          <w:highlight w:val="none"/>
          <w:u w:val="single"/>
        </w:rPr>
        <w:t>，建设年出栏</w:t>
      </w:r>
      <w:r>
        <w:rPr>
          <w:rFonts w:hint="eastAsia"/>
          <w:highlight w:val="none"/>
          <w:u w:val="single"/>
          <w:lang w:val="en-US" w:eastAsia="zh-CN"/>
        </w:rPr>
        <w:t>11</w:t>
      </w:r>
      <w:r>
        <w:rPr>
          <w:highlight w:val="none"/>
          <w:u w:val="single"/>
        </w:rPr>
        <w:t>000头生猪养殖项目。</w:t>
      </w:r>
    </w:p>
    <w:p>
      <w:pPr>
        <w:keepNext w:val="0"/>
        <w:keepLines w:val="0"/>
        <w:pageBreakBefore w:val="0"/>
        <w:widowControl w:val="0"/>
        <w:kinsoku/>
        <w:wordWrap/>
        <w:overflowPunct/>
        <w:topLinePunct w:val="0"/>
        <w:autoSpaceDE/>
        <w:autoSpaceDN/>
        <w:bidi w:val="0"/>
        <w:adjustRightInd/>
        <w:snapToGrid/>
        <w:textAlignment w:val="auto"/>
        <w:rPr>
          <w:highlight w:val="none"/>
          <w:u w:val="none"/>
        </w:rPr>
      </w:pPr>
      <w:r>
        <w:rPr>
          <w:highlight w:val="none"/>
          <w:u w:val="none"/>
        </w:rPr>
        <w:t>根据《中华人民共和国环境影响评价法》、国务院</w:t>
      </w:r>
      <w:r>
        <w:rPr>
          <w:rFonts w:hint="eastAsia"/>
          <w:highlight w:val="none"/>
          <w:u w:val="none"/>
          <w:lang w:eastAsia="zh-CN"/>
        </w:rPr>
        <w:t>令</w:t>
      </w:r>
      <w:r>
        <w:rPr>
          <w:highlight w:val="none"/>
          <w:u w:val="none"/>
        </w:rPr>
        <w:t>第682</w:t>
      </w:r>
      <w:r>
        <w:rPr>
          <w:rFonts w:hint="eastAsia"/>
          <w:highlight w:val="none"/>
          <w:u w:val="none"/>
          <w:lang w:eastAsia="zh-CN"/>
        </w:rPr>
        <w:t>号</w:t>
      </w:r>
      <w:r>
        <w:rPr>
          <w:highlight w:val="none"/>
          <w:u w:val="none"/>
        </w:rPr>
        <w:t>《建设项目环境保护管理条例》，本项目属于《建设项目环境影响评价分类管理名录》（2021年版）的有关规定</w:t>
      </w:r>
      <w:r>
        <w:rPr>
          <w:rFonts w:hint="eastAsia" w:ascii="宋体" w:hAnsi="宋体" w:eastAsia="宋体" w:cs="宋体"/>
          <w:highlight w:val="none"/>
          <w:u w:val="none"/>
        </w:rPr>
        <w:t>中“</w:t>
      </w:r>
      <w:r>
        <w:rPr>
          <w:highlight w:val="none"/>
          <w:u w:val="none"/>
        </w:rPr>
        <w:t>二、畜牧业—3 畜禽饲养 031--年出栏生猪 5000 头及以上的规模化畜禽养殖</w:t>
      </w:r>
      <w:r>
        <w:rPr>
          <w:rFonts w:hint="eastAsia" w:ascii="宋体" w:hAnsi="宋体" w:eastAsia="宋体" w:cs="宋体"/>
          <w:highlight w:val="none"/>
          <w:u w:val="none"/>
        </w:rPr>
        <w:t>”</w:t>
      </w:r>
      <w:r>
        <w:rPr>
          <w:highlight w:val="none"/>
          <w:u w:val="none"/>
        </w:rPr>
        <w:t>需编制报告书的类别。2021年</w:t>
      </w:r>
      <w:r>
        <w:rPr>
          <w:rFonts w:hint="eastAsia"/>
          <w:highlight w:val="none"/>
          <w:u w:val="none"/>
          <w:lang w:val="en-US" w:eastAsia="zh-CN"/>
        </w:rPr>
        <w:t>11</w:t>
      </w:r>
      <w:r>
        <w:rPr>
          <w:highlight w:val="none"/>
          <w:u w:val="none"/>
        </w:rPr>
        <w:t>月，</w:t>
      </w:r>
      <w:r>
        <w:rPr>
          <w:rFonts w:hint="eastAsia"/>
          <w:highlight w:val="none"/>
          <w:u w:val="none"/>
          <w:lang w:eastAsia="zh-CN"/>
        </w:rPr>
        <w:t>湖南双宏养殖有限公司</w:t>
      </w:r>
      <w:r>
        <w:rPr>
          <w:highlight w:val="none"/>
          <w:u w:val="none"/>
        </w:rPr>
        <w:t>委托</w:t>
      </w:r>
      <w:r>
        <w:rPr>
          <w:rFonts w:hint="eastAsia"/>
          <w:highlight w:val="none"/>
          <w:u w:val="none"/>
          <w:lang w:eastAsia="zh-CN"/>
        </w:rPr>
        <w:t>湖南秉一环境科技有限公司</w:t>
      </w:r>
      <w:r>
        <w:rPr>
          <w:highlight w:val="none"/>
          <w:u w:val="none"/>
        </w:rPr>
        <w:t>进行环境影响评价报告书的编制工作。评价单位在现场踏勘、现场调查的基础上，组织开展了评价区域的环境质量现状调查和监测工作，掌握了评价区域的环境质量现状。评价单位按照国家环保法律法规和环境影响评价技术导则的要求，编制完成了本项目的环境影响报告书。</w:t>
      </w:r>
    </w:p>
    <w:p>
      <w:pPr>
        <w:pStyle w:val="4"/>
        <w:bidi w:val="0"/>
        <w:rPr>
          <w:highlight w:val="none"/>
        </w:rPr>
      </w:pPr>
      <w:bookmarkStart w:id="4" w:name="_Toc27579"/>
      <w:bookmarkStart w:id="5" w:name="_Toc31035"/>
      <w:r>
        <w:rPr>
          <w:rFonts w:hint="eastAsia"/>
          <w:highlight w:val="none"/>
          <w:lang w:val="en-US" w:eastAsia="zh-CN"/>
        </w:rPr>
        <w:t xml:space="preserve">1.2  </w:t>
      </w:r>
      <w:r>
        <w:rPr>
          <w:highlight w:val="none"/>
        </w:rPr>
        <w:t>建设项目特点</w:t>
      </w:r>
      <w:bookmarkEnd w:id="4"/>
      <w:bookmarkEnd w:id="5"/>
    </w:p>
    <w:p>
      <w:pPr>
        <w:bidi w:val="0"/>
        <w:rPr>
          <w:highlight w:val="none"/>
        </w:rPr>
      </w:pPr>
      <w:r>
        <w:rPr>
          <w:highlight w:val="none"/>
        </w:rPr>
        <w:t>本项目的工程特点：</w:t>
      </w:r>
    </w:p>
    <w:p>
      <w:pPr>
        <w:bidi w:val="0"/>
        <w:rPr>
          <w:highlight w:val="none"/>
        </w:rPr>
      </w:pPr>
      <w:r>
        <w:rPr>
          <w:highlight w:val="none"/>
        </w:rPr>
        <w:t>本项目为年出</w:t>
      </w:r>
      <w:r>
        <w:rPr>
          <w:rFonts w:hint="eastAsia"/>
          <w:highlight w:val="none"/>
          <w:lang w:eastAsia="zh-CN"/>
        </w:rPr>
        <w:t>栏</w:t>
      </w:r>
      <w:r>
        <w:rPr>
          <w:highlight w:val="none"/>
        </w:rPr>
        <w:t xml:space="preserve"> </w:t>
      </w:r>
      <w:r>
        <w:rPr>
          <w:rFonts w:hint="eastAsia"/>
          <w:highlight w:val="none"/>
          <w:lang w:val="en-US" w:eastAsia="zh-CN"/>
        </w:rPr>
        <w:t>11</w:t>
      </w:r>
      <w:r>
        <w:rPr>
          <w:highlight w:val="none"/>
        </w:rPr>
        <w:t>000 头生猪</w:t>
      </w:r>
      <w:r>
        <w:rPr>
          <w:rFonts w:hint="eastAsia"/>
          <w:highlight w:val="none"/>
          <w:lang w:eastAsia="zh-CN"/>
        </w:rPr>
        <w:t>养殖</w:t>
      </w:r>
      <w:r>
        <w:rPr>
          <w:highlight w:val="none"/>
        </w:rPr>
        <w:t>项目。项目自建</w:t>
      </w:r>
      <w:r>
        <w:rPr>
          <w:rFonts w:hint="eastAsia"/>
          <w:highlight w:val="none"/>
          <w:lang w:eastAsia="zh-CN"/>
        </w:rPr>
        <w:t>污水处理、猪</w:t>
      </w:r>
      <w:r>
        <w:rPr>
          <w:highlight w:val="none"/>
        </w:rPr>
        <w:t>粪处理</w:t>
      </w:r>
      <w:r>
        <w:rPr>
          <w:rFonts w:hint="eastAsia"/>
          <w:highlight w:val="none"/>
          <w:lang w:eastAsia="zh-CN"/>
        </w:rPr>
        <w:t>环保</w:t>
      </w:r>
      <w:r>
        <w:rPr>
          <w:highlight w:val="none"/>
        </w:rPr>
        <w:t>设施，综合废水经收集处理后用于周边</w:t>
      </w:r>
      <w:r>
        <w:rPr>
          <w:rFonts w:hint="eastAsia"/>
          <w:highlight w:val="none"/>
          <w:lang w:eastAsia="zh-CN"/>
        </w:rPr>
        <w:t>林地灌溉</w:t>
      </w:r>
      <w:r>
        <w:rPr>
          <w:highlight w:val="none"/>
        </w:rPr>
        <w:t>施肥，不直接外排，实现了对养殖粪污的资源化利用。</w:t>
      </w:r>
    </w:p>
    <w:p>
      <w:pPr>
        <w:bidi w:val="0"/>
        <w:rPr>
          <w:highlight w:val="none"/>
        </w:rPr>
      </w:pPr>
      <w:r>
        <w:rPr>
          <w:highlight w:val="none"/>
        </w:rPr>
        <w:t>本项目的行业特点：</w:t>
      </w:r>
    </w:p>
    <w:p>
      <w:pPr>
        <w:bidi w:val="0"/>
        <w:rPr>
          <w:highlight w:val="none"/>
        </w:rPr>
      </w:pPr>
      <w:r>
        <w:rPr>
          <w:highlight w:val="none"/>
        </w:rPr>
        <w:t>本项目为生猪养殖，根据国民经济行业分类（GB/T4754—2017），本项目属于A0313猪的饲养。</w:t>
      </w:r>
    </w:p>
    <w:p>
      <w:pPr>
        <w:bidi w:val="0"/>
        <w:rPr>
          <w:highlight w:val="none"/>
        </w:rPr>
      </w:pPr>
      <w:r>
        <w:rPr>
          <w:highlight w:val="none"/>
        </w:rPr>
        <w:t>本项目的环境特点：</w:t>
      </w:r>
    </w:p>
    <w:p>
      <w:pPr>
        <w:bidi w:val="0"/>
        <w:rPr>
          <w:highlight w:val="none"/>
        </w:rPr>
      </w:pPr>
      <w:r>
        <w:rPr>
          <w:highlight w:val="none"/>
        </w:rPr>
        <w:t>本项目所在区域环境空气为二类区</w:t>
      </w:r>
      <w:r>
        <w:rPr>
          <w:rFonts w:hint="eastAsia"/>
          <w:highlight w:val="none"/>
          <w:lang w:eastAsia="zh-CN"/>
        </w:rPr>
        <w:t>，</w:t>
      </w:r>
      <w:r>
        <w:rPr>
          <w:highlight w:val="none"/>
        </w:rPr>
        <w:t>地表水为Ⅲ类区，声环境为 2 类区。根据对项目所在区域进行的监测结果，区域环境质量较好。</w:t>
      </w:r>
    </w:p>
    <w:p>
      <w:pPr>
        <w:bidi w:val="0"/>
        <w:rPr>
          <w:highlight w:val="none"/>
        </w:rPr>
      </w:pPr>
      <w:r>
        <w:rPr>
          <w:highlight w:val="none"/>
        </w:rPr>
        <w:t>本项目的排污特点：</w:t>
      </w:r>
    </w:p>
    <w:p>
      <w:pPr>
        <w:bidi w:val="0"/>
        <w:rPr>
          <w:highlight w:val="none"/>
        </w:rPr>
      </w:pPr>
      <w:r>
        <w:rPr>
          <w:highlight w:val="none"/>
        </w:rPr>
        <w:t>（1）废水：本项目自建</w:t>
      </w:r>
      <w:r>
        <w:rPr>
          <w:rFonts w:hint="eastAsia"/>
          <w:highlight w:val="none"/>
          <w:lang w:eastAsia="zh-CN"/>
        </w:rPr>
        <w:t>污水处理、猪</w:t>
      </w:r>
      <w:r>
        <w:rPr>
          <w:highlight w:val="none"/>
        </w:rPr>
        <w:t>粪处理设施，综合废水经收集处理后用于周边</w:t>
      </w:r>
      <w:r>
        <w:rPr>
          <w:rFonts w:hint="eastAsia"/>
          <w:highlight w:val="none"/>
          <w:lang w:eastAsia="zh-CN"/>
        </w:rPr>
        <w:t>林地灌溉</w:t>
      </w:r>
      <w:r>
        <w:rPr>
          <w:highlight w:val="none"/>
        </w:rPr>
        <w:t>施肥，不直接外排。</w:t>
      </w:r>
    </w:p>
    <w:p>
      <w:pPr>
        <w:bidi w:val="0"/>
        <w:rPr>
          <w:highlight w:val="none"/>
        </w:rPr>
      </w:pPr>
      <w:r>
        <w:rPr>
          <w:highlight w:val="none"/>
        </w:rPr>
        <w:t>（2）废气：本项目猪舍采用饲料中通过添加生物菌素、猪舍通风，喷洒生物除臭剂，加强场区绿化等方式除臭。</w:t>
      </w:r>
    </w:p>
    <w:p>
      <w:pPr>
        <w:bidi w:val="0"/>
        <w:rPr>
          <w:highlight w:val="none"/>
        </w:rPr>
      </w:pPr>
      <w:r>
        <w:rPr>
          <w:highlight w:val="none"/>
        </w:rPr>
        <w:t>（3）固废：项目猪粪</w:t>
      </w:r>
      <w:r>
        <w:rPr>
          <w:rFonts w:hint="eastAsia"/>
          <w:highlight w:val="none"/>
        </w:rPr>
        <w:t>分离出来的固态作为有机肥原料</w:t>
      </w:r>
      <w:r>
        <w:rPr>
          <w:rFonts w:hint="eastAsia"/>
          <w:highlight w:val="none"/>
          <w:lang w:eastAsia="zh-CN"/>
        </w:rPr>
        <w:t>外运</w:t>
      </w:r>
      <w:r>
        <w:rPr>
          <w:highlight w:val="none"/>
        </w:rPr>
        <w:t>；病死猪</w:t>
      </w:r>
      <w:r>
        <w:rPr>
          <w:rFonts w:hint="eastAsia"/>
          <w:highlight w:val="none"/>
        </w:rPr>
        <w:t>委托当地畜禽无害化处理中心清运和处理</w:t>
      </w:r>
      <w:r>
        <w:rPr>
          <w:highlight w:val="none"/>
        </w:rPr>
        <w:t>；医疗废物经</w:t>
      </w:r>
      <w:r>
        <w:rPr>
          <w:rFonts w:hint="eastAsia"/>
          <w:highlight w:val="none"/>
          <w:lang w:eastAsia="zh-CN"/>
        </w:rPr>
        <w:t>医疗</w:t>
      </w:r>
      <w:r>
        <w:rPr>
          <w:highlight w:val="none"/>
        </w:rPr>
        <w:t>危废暂存间暂存后送有资质单位处置。</w:t>
      </w:r>
    </w:p>
    <w:p>
      <w:pPr>
        <w:pStyle w:val="4"/>
        <w:bidi w:val="0"/>
        <w:rPr>
          <w:highlight w:val="none"/>
        </w:rPr>
      </w:pPr>
      <w:bookmarkStart w:id="6" w:name="_Toc8537"/>
      <w:bookmarkStart w:id="7" w:name="_Toc13953"/>
      <w:r>
        <w:rPr>
          <w:highlight w:val="none"/>
        </w:rPr>
        <w:t xml:space="preserve">1.3 </w:t>
      </w:r>
      <w:r>
        <w:rPr>
          <w:rFonts w:hint="eastAsia"/>
          <w:highlight w:val="none"/>
          <w:lang w:val="en-US" w:eastAsia="zh-CN"/>
        </w:rPr>
        <w:t xml:space="preserve"> </w:t>
      </w:r>
      <w:r>
        <w:rPr>
          <w:highlight w:val="none"/>
        </w:rPr>
        <w:t>环境影响评价工作过程</w:t>
      </w:r>
      <w:bookmarkEnd w:id="6"/>
      <w:bookmarkEnd w:id="7"/>
    </w:p>
    <w:p>
      <w:pPr>
        <w:bidi w:val="0"/>
        <w:rPr>
          <w:highlight w:val="none"/>
        </w:rPr>
      </w:pPr>
      <w:r>
        <w:rPr>
          <w:rFonts w:hint="eastAsia"/>
          <w:highlight w:val="none"/>
          <w:lang w:val="en-US" w:eastAsia="zh-CN"/>
        </w:rPr>
        <w:t>（</w:t>
      </w:r>
      <w:r>
        <w:rPr>
          <w:rFonts w:hint="default"/>
          <w:highlight w:val="none"/>
          <w:lang w:val="en-US" w:eastAsia="zh-CN"/>
        </w:rPr>
        <w:t>1</w:t>
      </w:r>
      <w:r>
        <w:rPr>
          <w:rFonts w:hint="eastAsia"/>
          <w:highlight w:val="none"/>
          <w:lang w:val="en-US" w:eastAsia="zh-CN"/>
        </w:rPr>
        <w:t>）湖南秉一环境科技有限公司受湖南双宏养殖有限公司委托，承担《湖南双宏养殖有限公司年出栏11000头生猪养殖项目环境影响报告书》的编制工作，接受委托后即成立了项目组。</w:t>
      </w:r>
    </w:p>
    <w:p>
      <w:pPr>
        <w:bidi w:val="0"/>
        <w:rPr>
          <w:rFonts w:hint="eastAsia"/>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）项目组环评技术人员收集了项目相关资料，认真研究后依据《建设项目环境影响评价分类管理名录》</w:t>
      </w:r>
      <w:r>
        <w:rPr>
          <w:highlight w:val="none"/>
        </w:rPr>
        <w:t>（2021年版）</w:t>
      </w:r>
      <w:r>
        <w:rPr>
          <w:rFonts w:hint="eastAsia"/>
          <w:highlight w:val="none"/>
          <w:lang w:val="en-US" w:eastAsia="zh-CN"/>
        </w:rPr>
        <w:t>确定了项目环境影响评文件类型，经初步工程分析，对项目主要环境影响进行了识别，确定了评价重点、评价工作等级及评价范围，制定了环评工作方案。</w:t>
      </w:r>
    </w:p>
    <w:p>
      <w:pPr>
        <w:bidi w:val="0"/>
        <w:rPr>
          <w:highlight w:val="none"/>
        </w:rPr>
      </w:pPr>
      <w:r>
        <w:rPr>
          <w:rFonts w:hint="eastAsia"/>
          <w:highlight w:val="none"/>
          <w:lang w:val="en-US" w:eastAsia="zh-CN"/>
        </w:rPr>
        <w:t>（</w:t>
      </w:r>
      <w:r>
        <w:rPr>
          <w:rFonts w:hint="default"/>
          <w:highlight w:val="none"/>
          <w:lang w:val="en-US" w:eastAsia="zh-CN"/>
        </w:rPr>
        <w:t>3</w:t>
      </w:r>
      <w:r>
        <w:rPr>
          <w:rFonts w:hint="eastAsia"/>
          <w:highlight w:val="none"/>
          <w:lang w:val="en-US" w:eastAsia="zh-CN"/>
        </w:rPr>
        <w:t>）我公司组织项目组环评技术人员深入项目现场进行踏勘，在建设单位以及相关专业单位与部门的协作下，完成了对项目所在地区域地形地貌、周边环境概况及主要环境环保目标等有关情况的调查工作，补充收集了项目相关资料。</w:t>
      </w:r>
    </w:p>
    <w:p>
      <w:pPr>
        <w:bidi w:val="0"/>
        <w:rPr>
          <w:highlight w:val="none"/>
        </w:rPr>
      </w:pPr>
      <w:r>
        <w:rPr>
          <w:rFonts w:hint="eastAsia"/>
          <w:highlight w:val="none"/>
          <w:lang w:val="en-US" w:eastAsia="zh-CN"/>
        </w:rPr>
        <w:t>（</w:t>
      </w:r>
      <w:r>
        <w:rPr>
          <w:rFonts w:hint="default"/>
          <w:highlight w:val="none"/>
          <w:lang w:val="en-US" w:eastAsia="zh-CN"/>
        </w:rPr>
        <w:t>4</w:t>
      </w:r>
      <w:r>
        <w:rPr>
          <w:rFonts w:hint="eastAsia"/>
          <w:highlight w:val="none"/>
          <w:lang w:val="en-US" w:eastAsia="zh-CN"/>
        </w:rPr>
        <w:t>）在充分研究项目设计资料及相关文件的基础上进行了工程分析，结合现场踏勘成果及环境质量现状监测结果进行了各环境要素环境影响预测及评价、各专题环境影响分析与评价，提出了相应的环境保护措施并对其进行了技术经济论证，给出了项目环境影响评价结论，整理、汇总后编制了项目环境影响报告书。</w:t>
      </w:r>
    </w:p>
    <w:p>
      <w:pPr>
        <w:bidi w:val="0"/>
        <w:rPr>
          <w:highlight w:val="none"/>
        </w:rPr>
      </w:pPr>
      <w:r>
        <w:rPr>
          <w:rFonts w:hint="eastAsia"/>
          <w:highlight w:val="none"/>
          <w:lang w:val="en-US" w:eastAsia="zh-CN"/>
        </w:rPr>
        <w:t>（</w:t>
      </w:r>
      <w:r>
        <w:rPr>
          <w:rFonts w:hint="default"/>
          <w:highlight w:val="none"/>
          <w:lang w:val="en-US" w:eastAsia="zh-CN"/>
        </w:rPr>
        <w:t>5</w:t>
      </w:r>
      <w:r>
        <w:rPr>
          <w:rFonts w:hint="eastAsia"/>
          <w:highlight w:val="none"/>
          <w:lang w:val="en-US" w:eastAsia="zh-CN"/>
        </w:rPr>
        <w:t>）该项目环境影响报告书初稿完成，进入湖南秉一环境科技有限公司内审程序，经校核、审核、审定后，完成了《湖南双宏养殖有限公司年出栏11000头生猪养殖项目环境影响报告书》，待审批后作为项目环境管理的主要依据。</w:t>
      </w:r>
    </w:p>
    <w:p>
      <w:pPr>
        <w:bidi w:val="0"/>
        <w:rPr>
          <w:highlight w:val="none"/>
        </w:rPr>
      </w:pPr>
      <w:r>
        <w:rPr>
          <w:rFonts w:hint="eastAsia"/>
          <w:highlight w:val="none"/>
          <w:lang w:val="en-US" w:eastAsia="zh-CN"/>
        </w:rPr>
        <w:t xml:space="preserve">本次环境影响评价的工作程度详见图 </w:t>
      </w:r>
      <w:r>
        <w:rPr>
          <w:rFonts w:hint="default"/>
          <w:highlight w:val="none"/>
          <w:lang w:val="en-US" w:eastAsia="zh-CN"/>
        </w:rPr>
        <w:t>1.</w:t>
      </w:r>
      <w:r>
        <w:rPr>
          <w:rFonts w:hint="eastAsia"/>
          <w:highlight w:val="none"/>
          <w:lang w:val="en-US" w:eastAsia="zh-CN"/>
        </w:rPr>
        <w:t>3</w:t>
      </w:r>
      <w:r>
        <w:rPr>
          <w:rFonts w:hint="default"/>
          <w:highlight w:val="none"/>
          <w:lang w:val="en-US" w:eastAsia="zh-CN"/>
        </w:rPr>
        <w:t>-1</w:t>
      </w:r>
      <w:r>
        <w:rPr>
          <w:rFonts w:hint="eastAsia"/>
          <w:highlight w:val="none"/>
          <w:lang w:val="en-US" w:eastAsia="zh-CN"/>
        </w:rPr>
        <w:t xml:space="preserve">。 </w:t>
      </w:r>
    </w:p>
    <w:p>
      <w:pPr>
        <w:pStyle w:val="24"/>
        <w:jc w:val="center"/>
        <w:rPr>
          <w:highlight w:val="none"/>
        </w:rPr>
      </w:pPr>
      <w:r>
        <w:rPr>
          <w:highlight w:val="none"/>
        </w:rPr>
        <w:drawing>
          <wp:inline distT="0" distB="0" distL="114300" distR="114300">
            <wp:extent cx="4389755" cy="4769485"/>
            <wp:effectExtent l="0" t="0" r="10795" b="12065"/>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11"/>
                    <a:stretch>
                      <a:fillRect/>
                    </a:stretch>
                  </pic:blipFill>
                  <pic:spPr>
                    <a:xfrm>
                      <a:off x="0" y="0"/>
                      <a:ext cx="4389755" cy="4769485"/>
                    </a:xfrm>
                    <a:prstGeom prst="rect">
                      <a:avLst/>
                    </a:prstGeom>
                    <a:noFill/>
                    <a:ln>
                      <a:noFill/>
                    </a:ln>
                  </pic:spPr>
                </pic:pic>
              </a:graphicData>
            </a:graphic>
          </wp:inline>
        </w:drawing>
      </w:r>
    </w:p>
    <w:p>
      <w:pPr>
        <w:pStyle w:val="7"/>
        <w:bidi w:val="0"/>
        <w:rPr>
          <w:highlight w:val="none"/>
        </w:rPr>
      </w:pPr>
      <w:r>
        <w:rPr>
          <w:highlight w:val="none"/>
        </w:rPr>
        <w:t>图</w:t>
      </w:r>
      <w:r>
        <w:rPr>
          <w:rFonts w:hint="eastAsia"/>
          <w:highlight w:val="none"/>
          <w:lang w:val="en-US" w:eastAsia="zh-CN"/>
        </w:rPr>
        <w:t>1.3</w:t>
      </w:r>
      <w:r>
        <w:rPr>
          <w:highlight w:val="none"/>
        </w:rPr>
        <w:t xml:space="preserve">-1 </w:t>
      </w:r>
      <w:r>
        <w:rPr>
          <w:rFonts w:hint="eastAsia"/>
          <w:highlight w:val="none"/>
          <w:lang w:val="en-US" w:eastAsia="zh-CN"/>
        </w:rPr>
        <w:t xml:space="preserve"> </w:t>
      </w:r>
      <w:r>
        <w:rPr>
          <w:highlight w:val="none"/>
        </w:rPr>
        <w:t>本项目环评工作程序图</w:t>
      </w:r>
    </w:p>
    <w:p>
      <w:pPr>
        <w:pStyle w:val="4"/>
        <w:bidi w:val="0"/>
        <w:rPr>
          <w:rFonts w:hint="eastAsia"/>
          <w:highlight w:val="none"/>
          <w:lang w:val="en-US" w:eastAsia="zh-CN"/>
        </w:rPr>
      </w:pPr>
      <w:bookmarkStart w:id="8" w:name="_Toc14910"/>
      <w:bookmarkStart w:id="9" w:name="_Toc4947"/>
      <w:r>
        <w:rPr>
          <w:rFonts w:hint="eastAsia"/>
          <w:highlight w:val="none"/>
          <w:lang w:val="en-US" w:eastAsia="zh-CN"/>
        </w:rPr>
        <w:t>1.4  分析判定相关情况</w:t>
      </w:r>
      <w:bookmarkEnd w:id="8"/>
      <w:bookmarkEnd w:id="9"/>
    </w:p>
    <w:p>
      <w:pPr>
        <w:pStyle w:val="5"/>
        <w:bidi w:val="0"/>
        <w:rPr>
          <w:highlight w:val="none"/>
        </w:rPr>
      </w:pPr>
      <w:r>
        <w:rPr>
          <w:rFonts w:hint="eastAsia"/>
          <w:highlight w:val="none"/>
          <w:lang w:val="en-US" w:eastAsia="zh-CN"/>
        </w:rPr>
        <w:t xml:space="preserve">1.4.1  </w:t>
      </w:r>
      <w:r>
        <w:rPr>
          <w:highlight w:val="none"/>
        </w:rPr>
        <w:t>产业政策符合性分析</w:t>
      </w:r>
    </w:p>
    <w:p>
      <w:pPr>
        <w:bidi w:val="0"/>
        <w:rPr>
          <w:highlight w:val="none"/>
        </w:rPr>
      </w:pPr>
      <w:r>
        <w:rPr>
          <w:highlight w:val="none"/>
        </w:rPr>
        <w:t>本项目主要从事生猪养殖，根据国家发展与改革委员会颁布的《产业结构调整指导目录（2019 年本）》相关的产业政策，本项目属于其鼓励类。</w:t>
      </w:r>
    </w:p>
    <w:p>
      <w:pPr>
        <w:bidi w:val="0"/>
        <w:rPr>
          <w:highlight w:val="none"/>
        </w:rPr>
      </w:pPr>
      <w:r>
        <w:rPr>
          <w:rFonts w:hint="default" w:ascii="Times New Roman" w:hAnsi="Times New Roman" w:eastAsia="宋体" w:cs="Times New Roman"/>
          <w:spacing w:val="-2"/>
          <w:sz w:val="24"/>
          <w:szCs w:val="24"/>
          <w:highlight w:val="none"/>
          <w:lang w:eastAsia="zh-CN"/>
        </w:rPr>
        <w:t>同时，</w:t>
      </w:r>
      <w:r>
        <w:rPr>
          <w:rFonts w:hint="default" w:ascii="Times New Roman" w:hAnsi="Times New Roman" w:eastAsia="宋体" w:cs="Times New Roman"/>
          <w:spacing w:val="-2"/>
          <w:sz w:val="24"/>
          <w:szCs w:val="24"/>
          <w:highlight w:val="none"/>
        </w:rPr>
        <w:t>本项目于</w:t>
      </w:r>
      <w:r>
        <w:rPr>
          <w:rFonts w:hint="default" w:ascii="Times New Roman" w:hAnsi="Times New Roman" w:eastAsia="Times New Roman" w:cs="Times New Roman"/>
          <w:spacing w:val="-2"/>
          <w:sz w:val="24"/>
          <w:szCs w:val="24"/>
          <w:highlight w:val="none"/>
        </w:rPr>
        <w:t>2020</w:t>
      </w:r>
      <w:r>
        <w:rPr>
          <w:rFonts w:hint="default" w:ascii="Times New Roman" w:hAnsi="Times New Roman" w:eastAsia="宋体" w:cs="Times New Roman"/>
          <w:spacing w:val="-2"/>
          <w:sz w:val="24"/>
          <w:szCs w:val="24"/>
          <w:highlight w:val="none"/>
        </w:rPr>
        <w:t>年</w:t>
      </w:r>
      <w:r>
        <w:rPr>
          <w:rFonts w:hint="default" w:ascii="Times New Roman" w:hAnsi="Times New Roman" w:eastAsia="宋体" w:cs="Times New Roman"/>
          <w:spacing w:val="-2"/>
          <w:sz w:val="24"/>
          <w:szCs w:val="24"/>
          <w:highlight w:val="none"/>
          <w:lang w:val="en-US" w:eastAsia="zh-CN"/>
        </w:rPr>
        <w:t>12</w:t>
      </w:r>
      <w:r>
        <w:rPr>
          <w:rFonts w:hint="default" w:ascii="Times New Roman" w:hAnsi="Times New Roman" w:eastAsia="宋体" w:cs="Times New Roman"/>
          <w:spacing w:val="-2"/>
          <w:sz w:val="24"/>
          <w:szCs w:val="24"/>
          <w:highlight w:val="none"/>
        </w:rPr>
        <w:t>月</w:t>
      </w:r>
      <w:r>
        <w:rPr>
          <w:rFonts w:hint="default" w:ascii="Times New Roman" w:hAnsi="Times New Roman" w:eastAsia="Times New Roman" w:cs="Times New Roman"/>
          <w:spacing w:val="-2"/>
          <w:sz w:val="24"/>
          <w:szCs w:val="24"/>
          <w:highlight w:val="none"/>
        </w:rPr>
        <w:t>1</w:t>
      </w:r>
      <w:r>
        <w:rPr>
          <w:rFonts w:hint="default" w:ascii="Times New Roman" w:hAnsi="Times New Roman" w:eastAsia="宋体" w:cs="Times New Roman"/>
          <w:spacing w:val="-2"/>
          <w:sz w:val="24"/>
          <w:szCs w:val="24"/>
          <w:highlight w:val="none"/>
          <w:lang w:val="en-US" w:eastAsia="zh-CN"/>
        </w:rPr>
        <w:t>7</w:t>
      </w:r>
      <w:r>
        <w:rPr>
          <w:rFonts w:hint="default" w:ascii="Times New Roman" w:hAnsi="Times New Roman" w:eastAsia="Times New Roman" w:cs="Times New Roman"/>
          <w:spacing w:val="-10"/>
          <w:sz w:val="24"/>
          <w:szCs w:val="24"/>
          <w:highlight w:val="none"/>
        </w:rPr>
        <w:t xml:space="preserve"> </w:t>
      </w:r>
      <w:r>
        <w:rPr>
          <w:rFonts w:hint="default" w:ascii="Times New Roman" w:hAnsi="Times New Roman" w:eastAsia="宋体" w:cs="Times New Roman"/>
          <w:spacing w:val="-2"/>
          <w:sz w:val="24"/>
          <w:szCs w:val="24"/>
          <w:highlight w:val="none"/>
        </w:rPr>
        <w:t>日取得</w:t>
      </w:r>
      <w:r>
        <w:rPr>
          <w:rFonts w:hint="default" w:ascii="Times New Roman" w:hAnsi="Times New Roman" w:eastAsia="宋体" w:cs="Times New Roman"/>
          <w:spacing w:val="-2"/>
          <w:sz w:val="24"/>
          <w:szCs w:val="24"/>
          <w:highlight w:val="none"/>
          <w:lang w:eastAsia="zh-CN"/>
        </w:rPr>
        <w:t>华容县发展和改革局</w:t>
      </w:r>
      <w:r>
        <w:rPr>
          <w:rFonts w:hint="default" w:ascii="Times New Roman" w:hAnsi="Times New Roman" w:eastAsia="宋体" w:cs="Times New Roman"/>
          <w:spacing w:val="-3"/>
          <w:sz w:val="24"/>
          <w:szCs w:val="24"/>
          <w:highlight w:val="none"/>
        </w:rPr>
        <w:t>出具的</w:t>
      </w:r>
      <w:r>
        <w:rPr>
          <w:rFonts w:hint="default" w:ascii="Times New Roman" w:hAnsi="Times New Roman" w:eastAsia="宋体" w:cs="Times New Roman"/>
          <w:spacing w:val="-3"/>
          <w:sz w:val="24"/>
          <w:szCs w:val="24"/>
          <w:highlight w:val="none"/>
          <w:lang w:eastAsia="zh-CN"/>
        </w:rPr>
        <w:t>华容县企业投资项目备案文件</w:t>
      </w:r>
      <w:r>
        <w:rPr>
          <w:rFonts w:hint="default" w:ascii="Times New Roman" w:hAnsi="Times New Roman" w:eastAsia="宋体" w:cs="Times New Roman"/>
          <w:spacing w:val="-3"/>
          <w:sz w:val="24"/>
          <w:szCs w:val="24"/>
          <w:highlight w:val="none"/>
          <w:lang w:val="en-US" w:eastAsia="zh-CN"/>
        </w:rPr>
        <w:t>NO：</w:t>
      </w:r>
      <w:r>
        <w:rPr>
          <w:rFonts w:hint="default" w:ascii="Times New Roman" w:hAnsi="Times New Roman" w:eastAsia="Times New Roman" w:cs="Times New Roman"/>
          <w:spacing w:val="-3"/>
          <w:sz w:val="24"/>
          <w:szCs w:val="24"/>
          <w:highlight w:val="none"/>
        </w:rPr>
        <w:t>[2020]</w:t>
      </w:r>
      <w:r>
        <w:rPr>
          <w:rFonts w:hint="default" w:ascii="Times New Roman" w:hAnsi="Times New Roman" w:eastAsia="宋体" w:cs="Times New Roman"/>
          <w:spacing w:val="-3"/>
          <w:sz w:val="24"/>
          <w:szCs w:val="24"/>
          <w:highlight w:val="none"/>
          <w:lang w:val="en-US" w:eastAsia="zh-CN"/>
        </w:rPr>
        <w:t>63</w:t>
      </w:r>
      <w:r>
        <w:rPr>
          <w:rFonts w:hint="default" w:ascii="Times New Roman" w:hAnsi="Times New Roman" w:eastAsia="宋体" w:cs="Times New Roman"/>
          <w:spacing w:val="-3"/>
          <w:sz w:val="24"/>
          <w:szCs w:val="24"/>
          <w:highlight w:val="none"/>
        </w:rPr>
        <w:t>号</w:t>
      </w:r>
      <w:r>
        <w:rPr>
          <w:rFonts w:hint="default" w:ascii="Times New Roman" w:hAnsi="Times New Roman" w:eastAsia="宋体" w:cs="Times New Roman"/>
          <w:spacing w:val="-3"/>
          <w:sz w:val="24"/>
          <w:szCs w:val="24"/>
          <w:highlight w:val="none"/>
          <w:lang w:eastAsia="zh-CN"/>
        </w:rPr>
        <w:t>，湖南双</w:t>
      </w:r>
      <w:r>
        <w:rPr>
          <w:rFonts w:hint="eastAsia" w:ascii="宋体" w:hAnsi="宋体" w:eastAsia="宋体" w:cs="宋体"/>
          <w:spacing w:val="-3"/>
          <w:sz w:val="24"/>
          <w:szCs w:val="24"/>
          <w:highlight w:val="none"/>
          <w:lang w:eastAsia="zh-CN"/>
        </w:rPr>
        <w:t>宏养殖有限公司</w:t>
      </w:r>
      <w:r>
        <w:rPr>
          <w:rFonts w:ascii="宋体" w:hAnsi="宋体" w:eastAsia="宋体" w:cs="宋体"/>
          <w:spacing w:val="-3"/>
          <w:sz w:val="24"/>
          <w:szCs w:val="24"/>
          <w:highlight w:val="none"/>
        </w:rPr>
        <w:t>建设项目备案</w:t>
      </w:r>
      <w:r>
        <w:rPr>
          <w:rFonts w:hint="eastAsia" w:ascii="宋体" w:hAnsi="宋体" w:eastAsia="宋体" w:cs="宋体"/>
          <w:spacing w:val="-3"/>
          <w:sz w:val="24"/>
          <w:szCs w:val="24"/>
          <w:highlight w:val="none"/>
          <w:lang w:eastAsia="zh-CN"/>
        </w:rPr>
        <w:t>证明。</w:t>
      </w:r>
    </w:p>
    <w:p>
      <w:pPr>
        <w:bidi w:val="0"/>
        <w:rPr>
          <w:highlight w:val="none"/>
        </w:rPr>
      </w:pPr>
      <w:r>
        <w:rPr>
          <w:highlight w:val="none"/>
        </w:rPr>
        <w:t>因此，本项目符合国家相关的产业政策要求。</w:t>
      </w:r>
    </w:p>
    <w:p>
      <w:pPr>
        <w:pStyle w:val="5"/>
        <w:bidi w:val="0"/>
        <w:rPr>
          <w:highlight w:val="none"/>
        </w:rPr>
      </w:pPr>
      <w:r>
        <w:rPr>
          <w:highlight w:val="none"/>
        </w:rPr>
        <w:t>1</w:t>
      </w:r>
      <w:r>
        <w:rPr>
          <w:rFonts w:hint="eastAsia"/>
          <w:highlight w:val="none"/>
          <w:lang w:val="en-US" w:eastAsia="zh-CN"/>
        </w:rPr>
        <w:t>.4</w:t>
      </w:r>
      <w:r>
        <w:rPr>
          <w:highlight w:val="none"/>
        </w:rPr>
        <w:t>.2  规划相符性分析</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3"/>
          <w:sz w:val="24"/>
          <w:szCs w:val="24"/>
          <w:highlight w:val="none"/>
          <w:lang w:val="en-US" w:eastAsia="zh-CN"/>
        </w:rPr>
        <w:t>1.4</w:t>
      </w:r>
      <w:r>
        <w:rPr>
          <w:rFonts w:ascii="Times New Roman" w:hAnsi="Times New Roman" w:eastAsia="Times New Roman" w:cs="Times New Roman"/>
          <w:b/>
          <w:bCs/>
          <w:spacing w:val="-3"/>
          <w:sz w:val="24"/>
          <w:szCs w:val="24"/>
          <w:highlight w:val="none"/>
        </w:rPr>
        <w:t>.2.1</w:t>
      </w:r>
      <w:r>
        <w:rPr>
          <w:rFonts w:ascii="Times New Roman" w:hAnsi="Times New Roman" w:eastAsia="Times New Roman" w:cs="Times New Roman"/>
          <w:spacing w:val="23"/>
          <w:sz w:val="24"/>
          <w:szCs w:val="24"/>
          <w:highlight w:val="none"/>
        </w:rPr>
        <w:t xml:space="preserve">  </w:t>
      </w:r>
      <w:r>
        <w:rPr>
          <w:rFonts w:ascii="宋体" w:hAnsi="宋体" w:eastAsia="宋体" w:cs="宋体"/>
          <w:spacing w:val="-3"/>
          <w:sz w:val="24"/>
          <w:szCs w:val="24"/>
          <w:highlight w:val="none"/>
        </w:rPr>
        <w:t>国家相关政策符合性分析</w:t>
      </w:r>
    </w:p>
    <w:p>
      <w:pPr>
        <w:bidi w:val="0"/>
        <w:rPr>
          <w:rFonts w:hint="eastAsia"/>
          <w:highlight w:val="none"/>
          <w:lang w:eastAsia="zh-CN"/>
        </w:rPr>
      </w:pPr>
      <w:r>
        <w:rPr>
          <w:rFonts w:hint="eastAsia"/>
          <w:highlight w:val="none"/>
          <w:lang w:eastAsia="zh-CN"/>
        </w:rPr>
        <w:t>一、与</w:t>
      </w:r>
      <w:r>
        <w:rPr>
          <w:highlight w:val="none"/>
        </w:rPr>
        <w:t>农业部2016年4月18日发布的《全国生猪生产发展规划（2016-2020年）》</w:t>
      </w:r>
      <w:r>
        <w:rPr>
          <w:rFonts w:hint="eastAsia"/>
          <w:highlight w:val="none"/>
          <w:lang w:eastAsia="zh-CN"/>
        </w:rPr>
        <w:t>符合性分析</w:t>
      </w:r>
    </w:p>
    <w:p>
      <w:pPr>
        <w:pStyle w:val="7"/>
        <w:bidi w:val="0"/>
        <w:rPr>
          <w:highlight w:val="none"/>
        </w:rPr>
      </w:pPr>
      <w:r>
        <w:rPr>
          <w:highlight w:val="none"/>
        </w:rPr>
        <w:t>表1.</w:t>
      </w:r>
      <w:r>
        <w:rPr>
          <w:rFonts w:hint="eastAsia"/>
          <w:highlight w:val="none"/>
          <w:lang w:val="en-US" w:eastAsia="zh-CN"/>
        </w:rPr>
        <w:t>4</w:t>
      </w:r>
      <w:r>
        <w:rPr>
          <w:highlight w:val="none"/>
        </w:rPr>
        <w:t>-</w:t>
      </w:r>
      <w:r>
        <w:rPr>
          <w:rFonts w:hint="eastAsia"/>
          <w:highlight w:val="none"/>
          <w:lang w:val="en-US" w:eastAsia="zh-CN"/>
        </w:rPr>
        <w:t xml:space="preserve">1 </w:t>
      </w:r>
      <w:r>
        <w:rPr>
          <w:highlight w:val="none"/>
        </w:rPr>
        <w:t xml:space="preserve"> 项目与《全国生猪生产发展规划（2016-2020年）》符合性分析一览表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91"/>
        <w:gridCol w:w="3949"/>
        <w:gridCol w:w="3280"/>
        <w:gridCol w:w="8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序号</w:t>
            </w:r>
          </w:p>
        </w:tc>
        <w:tc>
          <w:tcPr>
            <w:tcW w:w="2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《全国生猪生产发展规划（2016-2020年）》要求</w:t>
            </w:r>
          </w:p>
        </w:tc>
        <w:tc>
          <w:tcPr>
            <w:tcW w:w="1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本项目</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1</w:t>
            </w:r>
          </w:p>
        </w:tc>
        <w:tc>
          <w:tcPr>
            <w:tcW w:w="2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default" w:ascii="Times New Roman" w:hAnsi="Times New Roman" w:eastAsia="宋体" w:cs="Times New Roman"/>
                <w:spacing w:val="0"/>
                <w:sz w:val="21"/>
                <w:szCs w:val="21"/>
                <w:highlight w:val="none"/>
                <w:lang w:eastAsia="zh-CN"/>
              </w:rPr>
            </w:pPr>
            <w:r>
              <w:rPr>
                <w:rFonts w:hint="default" w:ascii="Times New Roman" w:hAnsi="Times New Roman" w:eastAsia="宋体" w:cs="Times New Roman"/>
                <w:spacing w:val="0"/>
                <w:sz w:val="21"/>
                <w:szCs w:val="21"/>
                <w:highlight w:val="none"/>
                <w:lang w:eastAsia="zh-CN"/>
              </w:rPr>
              <w:t>发展标准化规模养殖：坚持良种良法配套、设施工艺结合、增产增效并重，生产生态协调，建立健全标准化生产体系，大力发展生猪适度规模养殖，着力推进生态养殖、清洁养殖，提高规模养殖场自动化装备水平、标准化生产水平和现代化管理水平。继续实施标准化养殖扶持项目，完善生猪调出大县奖励政策，支持养殖场基础设施改造，改进养殖工艺，提高设施化装备水平。完善生猪规模养殖标准，推行精细化管理，加强高效适用技术集成创新与推广，提高母猪繁殖力和仔猪成活率，增强综合生产能力。</w:t>
            </w:r>
          </w:p>
        </w:tc>
        <w:tc>
          <w:tcPr>
            <w:tcW w:w="1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default" w:ascii="Times New Roman" w:hAnsi="Times New Roman" w:eastAsia="宋体" w:cs="Times New Roman"/>
                <w:spacing w:val="0"/>
                <w:sz w:val="21"/>
                <w:szCs w:val="21"/>
                <w:highlight w:val="none"/>
                <w:lang w:eastAsia="zh-CN"/>
              </w:rPr>
            </w:pPr>
            <w:r>
              <w:rPr>
                <w:rFonts w:hint="default" w:ascii="Times New Roman" w:hAnsi="Times New Roman" w:eastAsia="宋体" w:cs="Times New Roman"/>
                <w:spacing w:val="0"/>
                <w:sz w:val="21"/>
                <w:szCs w:val="21"/>
                <w:highlight w:val="none"/>
                <w:lang w:eastAsia="zh-CN"/>
              </w:rPr>
              <w:t>本项目属于标准化养殖场建设</w:t>
            </w:r>
            <w:r>
              <w:rPr>
                <w:rFonts w:hint="eastAsia" w:cs="Times New Roman"/>
                <w:spacing w:val="0"/>
                <w:sz w:val="21"/>
                <w:szCs w:val="21"/>
                <w:highlight w:val="none"/>
                <w:lang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符合</w:t>
            </w:r>
          </w:p>
        </w:tc>
      </w:tr>
    </w:tbl>
    <w:p>
      <w:pPr>
        <w:bidi w:val="0"/>
        <w:rPr>
          <w:highlight w:val="none"/>
        </w:rPr>
      </w:pPr>
      <w:r>
        <w:rPr>
          <w:rFonts w:hint="eastAsia"/>
          <w:highlight w:val="none"/>
          <w:lang w:eastAsia="zh-CN"/>
        </w:rPr>
        <w:t>二、</w:t>
      </w:r>
      <w:r>
        <w:rPr>
          <w:highlight w:val="none"/>
        </w:rPr>
        <w:t>与《国务院办公厅关于加快推进畜禽养殖废弃物资源化利用的意见》 （国办发[2017]48 号）符合性分析</w:t>
      </w:r>
    </w:p>
    <w:p>
      <w:pPr>
        <w:bidi w:val="0"/>
        <w:rPr>
          <w:highlight w:val="none"/>
        </w:rPr>
      </w:pPr>
      <w:r>
        <w:rPr>
          <w:highlight w:val="none"/>
        </w:rPr>
        <w:t>本项目与《国务院办公厅关于加快推进畜禽养殖废弃物资源化利用的意见》（国办发[2017]48 号） 符合性分析如下：</w:t>
      </w:r>
    </w:p>
    <w:p>
      <w:pPr>
        <w:pStyle w:val="7"/>
        <w:bidi w:val="0"/>
        <w:rPr>
          <w:highlight w:val="none"/>
        </w:rPr>
      </w:pPr>
      <w:r>
        <w:rPr>
          <w:highlight w:val="none"/>
        </w:rPr>
        <w:t>表1.</w:t>
      </w:r>
      <w:r>
        <w:rPr>
          <w:rFonts w:hint="eastAsia"/>
          <w:highlight w:val="none"/>
          <w:lang w:val="en-US" w:eastAsia="zh-CN"/>
        </w:rPr>
        <w:t>4</w:t>
      </w:r>
      <w:r>
        <w:rPr>
          <w:highlight w:val="none"/>
        </w:rPr>
        <w:t>-</w:t>
      </w:r>
      <w:r>
        <w:rPr>
          <w:rFonts w:hint="eastAsia"/>
          <w:highlight w:val="none"/>
          <w:lang w:val="en-US" w:eastAsia="zh-CN"/>
        </w:rPr>
        <w:t>2</w:t>
      </w:r>
      <w:r>
        <w:rPr>
          <w:highlight w:val="none"/>
        </w:rPr>
        <w:t xml:space="preserve">  项目与《国务院办公厅关于加快推进畜禽养殖废弃物资源化利用的意见》符合性分析一览表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93"/>
        <w:gridCol w:w="4088"/>
        <w:gridCol w:w="3139"/>
        <w:gridCol w:w="8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33" w:hRule="atLeast"/>
        </w:trPr>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序号</w:t>
            </w:r>
          </w:p>
        </w:tc>
        <w:tc>
          <w:tcPr>
            <w:tcW w:w="23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《国务院办公厅关于加快推进畜禽养殖废弃物资源化利用的意见》要求</w:t>
            </w:r>
          </w:p>
        </w:tc>
        <w:tc>
          <w:tcPr>
            <w:tcW w:w="17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本项目</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cs="Times New Roman"/>
                <w:spacing w:val="0"/>
                <w:sz w:val="21"/>
                <w:szCs w:val="21"/>
                <w:highlight w:val="none"/>
              </w:rPr>
            </w:pPr>
            <w:r>
              <w:rPr>
                <w:rFonts w:ascii="Times New Roman" w:hAnsi="Times New Roman" w:eastAsia="宋体" w:cs="Times New Roman"/>
                <w:spacing w:val="0"/>
                <w:sz w:val="21"/>
                <w:szCs w:val="21"/>
                <w:highlight w:val="none"/>
              </w:rPr>
              <w:t>1</w:t>
            </w:r>
          </w:p>
        </w:tc>
        <w:tc>
          <w:tcPr>
            <w:tcW w:w="23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pacing w:val="0"/>
                <w:sz w:val="21"/>
                <w:szCs w:val="21"/>
                <w:highlight w:val="none"/>
                <w:lang w:eastAsia="zh-CN"/>
              </w:rPr>
            </w:pPr>
            <w:r>
              <w:rPr>
                <w:rFonts w:ascii="宋体" w:hAnsi="宋体" w:eastAsia="宋体" w:cs="宋体"/>
                <w:spacing w:val="0"/>
                <w:sz w:val="21"/>
                <w:szCs w:val="21"/>
                <w:highlight w:val="none"/>
              </w:rPr>
              <w:t>新建或改扩建畜禽规模养殖场，应突出养分综合利用，配套与养殖规模和处理工艺相适应的粪污消纳用地，配备必要的粪污收集、贮存、处理、利用设施，依法进行环境影响评价</w:t>
            </w:r>
            <w:r>
              <w:rPr>
                <w:rFonts w:hint="eastAsia" w:ascii="宋体" w:hAnsi="宋体" w:cs="宋体"/>
                <w:spacing w:val="0"/>
                <w:sz w:val="21"/>
                <w:szCs w:val="21"/>
                <w:highlight w:val="none"/>
                <w:lang w:eastAsia="zh-CN"/>
              </w:rPr>
              <w:t>。</w:t>
            </w:r>
          </w:p>
        </w:tc>
        <w:tc>
          <w:tcPr>
            <w:tcW w:w="17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pacing w:val="0"/>
                <w:sz w:val="21"/>
                <w:szCs w:val="21"/>
                <w:highlight w:val="none"/>
                <w:lang w:eastAsia="zh-CN"/>
              </w:rPr>
            </w:pPr>
            <w:r>
              <w:rPr>
                <w:rFonts w:ascii="宋体" w:hAnsi="宋体" w:eastAsia="宋体" w:cs="宋体"/>
                <w:spacing w:val="0"/>
                <w:sz w:val="21"/>
                <w:szCs w:val="21"/>
                <w:highlight w:val="none"/>
              </w:rPr>
              <w:t>本项目为新建</w:t>
            </w:r>
            <w:r>
              <w:rPr>
                <w:rFonts w:hint="eastAsia" w:ascii="宋体" w:hAnsi="宋体" w:eastAsia="宋体" w:cs="宋体"/>
                <w:spacing w:val="0"/>
                <w:sz w:val="21"/>
                <w:szCs w:val="21"/>
                <w:highlight w:val="none"/>
                <w:lang w:eastAsia="zh-CN"/>
              </w:rPr>
              <w:t>项目</w:t>
            </w:r>
            <w:r>
              <w:rPr>
                <w:rFonts w:ascii="宋体" w:hAnsi="宋体" w:eastAsia="宋体" w:cs="宋体"/>
                <w:spacing w:val="0"/>
                <w:sz w:val="21"/>
                <w:szCs w:val="21"/>
                <w:highlight w:val="none"/>
              </w:rPr>
              <w:t>，</w:t>
            </w:r>
            <w:r>
              <w:rPr>
                <w:rFonts w:hint="default" w:ascii="Times New Roman" w:hAnsi="Times New Roman" w:eastAsia="宋体" w:cs="Times New Roman"/>
                <w:snapToGrid w:val="0"/>
                <w:color w:val="000000"/>
                <w:spacing w:val="0"/>
                <w:kern w:val="0"/>
                <w:sz w:val="21"/>
                <w:szCs w:val="21"/>
                <w:highlight w:val="none"/>
                <w:u w:val="none" w:color="auto"/>
              </w:rPr>
              <w:t>产生的废水治理后用于</w:t>
            </w:r>
            <w:r>
              <w:rPr>
                <w:rFonts w:hint="eastAsia" w:cs="Times New Roman"/>
                <w:snapToGrid w:val="0"/>
                <w:color w:val="000000"/>
                <w:spacing w:val="0"/>
                <w:kern w:val="0"/>
                <w:sz w:val="21"/>
                <w:szCs w:val="21"/>
                <w:highlight w:val="none"/>
                <w:u w:val="none" w:color="auto"/>
                <w:lang w:eastAsia="zh-CN"/>
              </w:rPr>
              <w:t>林地</w:t>
            </w:r>
            <w:r>
              <w:rPr>
                <w:rFonts w:hint="default" w:ascii="Times New Roman" w:hAnsi="Times New Roman" w:eastAsia="宋体" w:cs="Times New Roman"/>
                <w:snapToGrid w:val="0"/>
                <w:color w:val="000000"/>
                <w:spacing w:val="0"/>
                <w:kern w:val="0"/>
                <w:sz w:val="21"/>
                <w:szCs w:val="21"/>
                <w:highlight w:val="none"/>
                <w:u w:val="none" w:color="auto"/>
              </w:rPr>
              <w:t>灌溉，经分析，耕地能够消纳项目产生的废水</w:t>
            </w:r>
            <w:r>
              <w:rPr>
                <w:rFonts w:hint="eastAsia" w:cs="Times New Roman"/>
                <w:snapToGrid w:val="0"/>
                <w:color w:val="000000"/>
                <w:spacing w:val="0"/>
                <w:kern w:val="0"/>
                <w:sz w:val="21"/>
                <w:szCs w:val="21"/>
                <w:highlight w:val="none"/>
                <w:u w:val="none" w:color="auto"/>
                <w:lang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1879" w:hRule="atLeast"/>
        </w:trPr>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cs="Times New Roman"/>
                <w:spacing w:val="0"/>
                <w:sz w:val="21"/>
                <w:szCs w:val="21"/>
                <w:highlight w:val="none"/>
              </w:rPr>
            </w:pPr>
            <w:r>
              <w:rPr>
                <w:rFonts w:ascii="Times New Roman" w:hAnsi="Times New Roman" w:eastAsia="宋体" w:cs="Times New Roman"/>
                <w:spacing w:val="0"/>
                <w:sz w:val="21"/>
                <w:szCs w:val="21"/>
                <w:highlight w:val="none"/>
              </w:rPr>
              <w:t>2</w:t>
            </w:r>
          </w:p>
        </w:tc>
        <w:tc>
          <w:tcPr>
            <w:tcW w:w="23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pacing w:val="0"/>
                <w:sz w:val="21"/>
                <w:szCs w:val="21"/>
                <w:highlight w:val="none"/>
                <w:lang w:eastAsia="zh-CN"/>
              </w:rPr>
            </w:pPr>
            <w:r>
              <w:rPr>
                <w:rFonts w:ascii="宋体" w:hAnsi="宋体" w:eastAsia="宋体" w:cs="宋体"/>
                <w:spacing w:val="0"/>
                <w:sz w:val="21"/>
                <w:szCs w:val="21"/>
                <w:highlight w:val="none"/>
              </w:rPr>
              <w:t>畜禽规模养殖场要严格执行环境保护法、畜禽规模养殖污染防治条例、水污染防治行动计划、土壤污染防治行动计划等法律法规和规定，切实履行环境保护主体责任，建设污染防治配套设施并保持正常运行，或者委托第三方进行粪污处理，确保粪污资源化利用</w:t>
            </w:r>
            <w:r>
              <w:rPr>
                <w:rFonts w:hint="eastAsia" w:ascii="宋体" w:hAnsi="宋体" w:cs="宋体"/>
                <w:spacing w:val="0"/>
                <w:sz w:val="21"/>
                <w:szCs w:val="21"/>
                <w:highlight w:val="none"/>
                <w:lang w:eastAsia="zh-CN"/>
              </w:rPr>
              <w:t>。</w:t>
            </w:r>
          </w:p>
        </w:tc>
        <w:tc>
          <w:tcPr>
            <w:tcW w:w="17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根据环评要求，本项目产生的污染物采取相应措施进行治理后能够满足相关法律法规的要求，且产生的废水治理后用于</w:t>
            </w:r>
            <w:r>
              <w:rPr>
                <w:rFonts w:hint="default" w:ascii="Times New Roman" w:hAnsi="Times New Roman" w:eastAsia="宋体" w:cs="Times New Roman"/>
                <w:snapToGrid w:val="0"/>
                <w:color w:val="000000"/>
                <w:spacing w:val="0"/>
                <w:kern w:val="0"/>
                <w:sz w:val="21"/>
                <w:szCs w:val="21"/>
                <w:highlight w:val="none"/>
                <w:u w:val="none" w:color="auto"/>
              </w:rPr>
              <w:t>周围</w:t>
            </w:r>
            <w:r>
              <w:rPr>
                <w:rFonts w:hint="eastAsia" w:cs="Times New Roman"/>
                <w:snapToGrid w:val="0"/>
                <w:color w:val="000000"/>
                <w:spacing w:val="0"/>
                <w:kern w:val="0"/>
                <w:sz w:val="21"/>
                <w:szCs w:val="21"/>
                <w:highlight w:val="none"/>
                <w:u w:val="none" w:color="auto"/>
                <w:lang w:eastAsia="zh-CN"/>
              </w:rPr>
              <w:t>林地灌溉</w:t>
            </w:r>
            <w:r>
              <w:rPr>
                <w:rFonts w:ascii="宋体" w:hAnsi="宋体" w:eastAsia="宋体" w:cs="宋体"/>
                <w:spacing w:val="0"/>
                <w:sz w:val="21"/>
                <w:szCs w:val="21"/>
                <w:highlight w:val="none"/>
              </w:rPr>
              <w:t>，实现了资源综合利用</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宋体" w:hAnsi="宋体" w:eastAsia="宋体" w:cs="宋体"/>
                <w:spacing w:val="0"/>
                <w:sz w:val="21"/>
                <w:szCs w:val="21"/>
                <w:highlight w:val="none"/>
              </w:rPr>
            </w:pPr>
            <w:r>
              <w:rPr>
                <w:rFonts w:ascii="宋体" w:hAnsi="宋体" w:eastAsia="宋体" w:cs="宋体"/>
                <w:spacing w:val="0"/>
                <w:sz w:val="21"/>
                <w:szCs w:val="21"/>
                <w:highlight w:val="none"/>
              </w:rPr>
              <w:t>符合</w:t>
            </w:r>
          </w:p>
        </w:tc>
      </w:tr>
    </w:tbl>
    <w:p>
      <w:pPr>
        <w:bidi w:val="0"/>
        <w:rPr>
          <w:highlight w:val="none"/>
        </w:rPr>
      </w:pPr>
      <w:r>
        <w:rPr>
          <w:rFonts w:hint="eastAsia"/>
          <w:highlight w:val="none"/>
          <w:lang w:eastAsia="zh-CN"/>
        </w:rPr>
        <w:t>三、</w:t>
      </w:r>
      <w:r>
        <w:rPr>
          <w:highlight w:val="none"/>
        </w:rPr>
        <w:t>与农业农村部办公厅</w:t>
      </w:r>
      <w:r>
        <w:rPr>
          <w:rFonts w:hint="eastAsia"/>
          <w:highlight w:val="none"/>
          <w:lang w:eastAsia="zh-CN"/>
        </w:rPr>
        <w:t>、</w:t>
      </w:r>
      <w:r>
        <w:rPr>
          <w:highlight w:val="none"/>
        </w:rPr>
        <w:t>生态环境部办公厅</w:t>
      </w:r>
      <w:r>
        <w:rPr>
          <w:rFonts w:ascii="Arial" w:hAnsi="Arial" w:eastAsia="宋体" w:cs="Arial"/>
          <w:i w:val="0"/>
          <w:iCs w:val="0"/>
          <w:caps w:val="0"/>
          <w:color w:val="333333"/>
          <w:spacing w:val="0"/>
          <w:sz w:val="24"/>
          <w:szCs w:val="24"/>
          <w:highlight w:val="none"/>
          <w:shd w:val="clear" w:fill="FFFFFF"/>
        </w:rPr>
        <w:t>联合印发</w:t>
      </w:r>
      <w:r>
        <w:rPr>
          <w:highlight w:val="none"/>
        </w:rPr>
        <w:t>《关于进一步明确畜禽粪污还田利用要求强化养殖污染监管的通知》（农办牧[2020]23号）符合性分析</w:t>
      </w:r>
    </w:p>
    <w:p>
      <w:pPr>
        <w:bidi w:val="0"/>
        <w:rPr>
          <w:highlight w:val="none"/>
        </w:rPr>
      </w:pPr>
      <w:r>
        <w:rPr>
          <w:highlight w:val="none"/>
        </w:rPr>
        <w:t>本项目与农业农村部办公厅</w:t>
      </w:r>
      <w:r>
        <w:rPr>
          <w:rFonts w:hint="eastAsia"/>
          <w:highlight w:val="none"/>
          <w:lang w:eastAsia="zh-CN"/>
        </w:rPr>
        <w:t>、</w:t>
      </w:r>
      <w:r>
        <w:rPr>
          <w:highlight w:val="none"/>
        </w:rPr>
        <w:t>生态环境部办公厅</w:t>
      </w:r>
      <w:r>
        <w:rPr>
          <w:rFonts w:ascii="Arial" w:hAnsi="Arial" w:eastAsia="宋体" w:cs="Arial"/>
          <w:i w:val="0"/>
          <w:iCs w:val="0"/>
          <w:caps w:val="0"/>
          <w:color w:val="333333"/>
          <w:spacing w:val="0"/>
          <w:sz w:val="24"/>
          <w:szCs w:val="24"/>
          <w:highlight w:val="none"/>
          <w:shd w:val="clear" w:fill="FFFFFF"/>
        </w:rPr>
        <w:t>联合印发</w:t>
      </w:r>
      <w:r>
        <w:rPr>
          <w:highlight w:val="none"/>
        </w:rPr>
        <w:t>《关于进一步明确畜禽粪污还田利用要求强化养殖污染监管的通知》（农办牧[2020]23号）符合性分析如下：</w:t>
      </w:r>
    </w:p>
    <w:p>
      <w:pPr>
        <w:pStyle w:val="7"/>
        <w:bidi w:val="0"/>
        <w:rPr>
          <w:highlight w:val="none"/>
        </w:rPr>
      </w:pPr>
      <w:r>
        <w:rPr>
          <w:highlight w:val="none"/>
        </w:rPr>
        <w:t>表1.</w:t>
      </w:r>
      <w:r>
        <w:rPr>
          <w:rFonts w:hint="eastAsia"/>
          <w:highlight w:val="none"/>
          <w:lang w:val="en-US" w:eastAsia="zh-CN"/>
        </w:rPr>
        <w:t>4</w:t>
      </w:r>
      <w:r>
        <w:rPr>
          <w:highlight w:val="none"/>
        </w:rPr>
        <w:t>-</w:t>
      </w:r>
      <w:r>
        <w:rPr>
          <w:rFonts w:hint="eastAsia"/>
          <w:highlight w:val="none"/>
          <w:lang w:val="en-US" w:eastAsia="zh-CN"/>
        </w:rPr>
        <w:t xml:space="preserve">3 </w:t>
      </w:r>
      <w:r>
        <w:rPr>
          <w:highlight w:val="none"/>
        </w:rPr>
        <w:t xml:space="preserve"> 项目与《关于进一步明确畜禽粪污还田利用要求强化养殖污染监管的通知》符合性分析一览表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90"/>
        <w:gridCol w:w="3950"/>
        <w:gridCol w:w="3280"/>
        <w:gridCol w:w="8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序号</w:t>
            </w:r>
          </w:p>
        </w:tc>
        <w:tc>
          <w:tcPr>
            <w:tcW w:w="22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《关于进一步明确畜禽粪污还田利用要求强化养殖污染监管的通知》要求</w:t>
            </w:r>
          </w:p>
        </w:tc>
        <w:tc>
          <w:tcPr>
            <w:tcW w:w="1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本项目</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1</w:t>
            </w:r>
          </w:p>
        </w:tc>
        <w:tc>
          <w:tcPr>
            <w:tcW w:w="22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default" w:ascii="Times New Roman" w:hAnsi="Times New Roman" w:eastAsia="宋体" w:cs="Times New Roman"/>
                <w:spacing w:val="0"/>
                <w:sz w:val="21"/>
                <w:szCs w:val="21"/>
                <w:highlight w:val="none"/>
                <w:lang w:eastAsia="zh-CN"/>
              </w:rPr>
            </w:pPr>
            <w:r>
              <w:rPr>
                <w:rFonts w:hint="default" w:ascii="Times New Roman" w:hAnsi="Times New Roman" w:eastAsia="宋体" w:cs="Times New Roman"/>
                <w:spacing w:val="0"/>
                <w:sz w:val="21"/>
                <w:szCs w:val="21"/>
                <w:highlight w:val="none"/>
              </w:rPr>
              <w:t>国家支持畜禽养殖场户建设畜禽粪污无害化处理和资源化利用设施，鼓励采取粪肥还田、制取沼气、生产有机肥等方式进行资源化利用</w:t>
            </w:r>
            <w:r>
              <w:rPr>
                <w:rFonts w:hint="default" w:ascii="Times New Roman" w:hAnsi="Times New Roman" w:cs="Times New Roman"/>
                <w:spacing w:val="0"/>
                <w:sz w:val="21"/>
                <w:szCs w:val="21"/>
                <w:highlight w:val="none"/>
                <w:lang w:eastAsia="zh-CN"/>
              </w:rPr>
              <w:t>。</w:t>
            </w:r>
          </w:p>
        </w:tc>
        <w:tc>
          <w:tcPr>
            <w:tcW w:w="1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default" w:ascii="Times New Roman" w:hAnsi="Times New Roman" w:eastAsia="宋体" w:cs="Times New Roman"/>
                <w:spacing w:val="0"/>
                <w:sz w:val="21"/>
                <w:szCs w:val="21"/>
                <w:highlight w:val="none"/>
                <w:lang w:eastAsia="zh-CN"/>
              </w:rPr>
            </w:pPr>
            <w:r>
              <w:rPr>
                <w:rFonts w:hint="default" w:ascii="Times New Roman" w:hAnsi="Times New Roman" w:eastAsia="宋体" w:cs="Times New Roman"/>
                <w:spacing w:val="0"/>
                <w:sz w:val="21"/>
                <w:szCs w:val="21"/>
                <w:highlight w:val="none"/>
              </w:rPr>
              <w:t>本项目污染物均采取了相应的治理措施，养殖粪污分离出来的固态作为有机肥原料通过罐车外运，不在厂区内堆肥</w:t>
            </w:r>
            <w:r>
              <w:rPr>
                <w:rFonts w:hint="eastAsia" w:cs="Times New Roman"/>
                <w:spacing w:val="0"/>
                <w:sz w:val="21"/>
                <w:szCs w:val="21"/>
                <w:highlight w:val="none"/>
                <w:lang w:eastAsia="zh-CN"/>
              </w:rPr>
              <w:t>，进行了</w:t>
            </w:r>
            <w:r>
              <w:rPr>
                <w:rFonts w:hint="default" w:ascii="Times New Roman" w:hAnsi="Times New Roman" w:eastAsia="宋体" w:cs="Times New Roman"/>
                <w:spacing w:val="0"/>
                <w:sz w:val="21"/>
                <w:szCs w:val="21"/>
                <w:highlight w:val="none"/>
              </w:rPr>
              <w:t>资源化利用</w:t>
            </w:r>
            <w:r>
              <w:rPr>
                <w:rFonts w:hint="default" w:ascii="Times New Roman" w:hAnsi="Times New Roman" w:cs="Times New Roman"/>
                <w:spacing w:val="0"/>
                <w:sz w:val="21"/>
                <w:szCs w:val="21"/>
                <w:highlight w:val="none"/>
                <w:lang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2</w:t>
            </w:r>
          </w:p>
        </w:tc>
        <w:tc>
          <w:tcPr>
            <w:tcW w:w="22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default" w:ascii="Times New Roman" w:hAnsi="Times New Roman" w:eastAsia="宋体" w:cs="Times New Roman"/>
                <w:spacing w:val="0"/>
                <w:sz w:val="21"/>
                <w:szCs w:val="21"/>
                <w:highlight w:val="none"/>
                <w:lang w:eastAsia="zh-CN"/>
              </w:rPr>
            </w:pPr>
            <w:r>
              <w:rPr>
                <w:rFonts w:hint="default" w:ascii="Times New Roman" w:hAnsi="Times New Roman" w:eastAsia="宋体" w:cs="Times New Roman"/>
                <w:spacing w:val="0"/>
                <w:sz w:val="21"/>
                <w:szCs w:val="21"/>
                <w:highlight w:val="none"/>
              </w:rPr>
              <w:t>对配套土地充足的养殖场户，粪污经无害化处理后还田利用具体要求及限量应符合《畜禽粪便无害化处理技术规范》（GB/T 36195）和《畜禽粪便还田技术规范》（GB/T 25246），配套土地面积应达到《畜禽粪污土地承载力测算技术指南》（以下简称《指南》）要求的最小面积</w:t>
            </w:r>
            <w:r>
              <w:rPr>
                <w:rFonts w:hint="default" w:ascii="Times New Roman" w:hAnsi="Times New Roman" w:cs="Times New Roman"/>
                <w:spacing w:val="0"/>
                <w:sz w:val="21"/>
                <w:szCs w:val="21"/>
                <w:highlight w:val="none"/>
                <w:lang w:eastAsia="zh-CN"/>
              </w:rPr>
              <w:t>。</w:t>
            </w:r>
          </w:p>
        </w:tc>
        <w:tc>
          <w:tcPr>
            <w:tcW w:w="1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default" w:ascii="Times New Roman" w:hAnsi="Times New Roman" w:eastAsia="宋体" w:cs="Times New Roman"/>
                <w:spacing w:val="0"/>
                <w:sz w:val="21"/>
                <w:szCs w:val="21"/>
                <w:highlight w:val="none"/>
                <w:lang w:eastAsia="zh-CN"/>
              </w:rPr>
            </w:pPr>
            <w:r>
              <w:rPr>
                <w:rFonts w:hint="default" w:ascii="Times New Roman" w:hAnsi="Times New Roman" w:eastAsia="宋体" w:cs="Times New Roman"/>
                <w:spacing w:val="0"/>
                <w:sz w:val="21"/>
                <w:szCs w:val="21"/>
                <w:highlight w:val="none"/>
              </w:rPr>
              <w:t>经后文分析，本项目粪污经无害化处理后还田利用能够满足《畜禽粪便无害化处理技术规范》（GB/T36195）和《畜禽粪便还田技术规范》（GB/T25246）相关要求，配套土地面积能达到《畜禽粪污土地承载力测算技术指南》（以下简称《指南》）要求的最小面积</w:t>
            </w:r>
            <w:r>
              <w:rPr>
                <w:rFonts w:hint="default" w:ascii="Times New Roman" w:hAnsi="Times New Roman" w:cs="Times New Roman"/>
                <w:spacing w:val="0"/>
                <w:sz w:val="21"/>
                <w:szCs w:val="21"/>
                <w:highlight w:val="none"/>
                <w:lang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符合</w:t>
            </w:r>
          </w:p>
        </w:tc>
      </w:tr>
    </w:tbl>
    <w:p>
      <w:pPr>
        <w:bidi w:val="0"/>
        <w:rPr>
          <w:highlight w:val="none"/>
        </w:rPr>
      </w:pPr>
      <w:r>
        <w:rPr>
          <w:highlight w:val="none"/>
        </w:rPr>
        <w:t>本项目的建设很好的贯彻执行了上述文件精神，符合政策要求。</w:t>
      </w:r>
    </w:p>
    <w:p>
      <w:pPr>
        <w:keepNext w:val="0"/>
        <w:keepLines w:val="0"/>
        <w:widowControl/>
        <w:suppressLineNumbers w:val="0"/>
        <w:jc w:val="left"/>
        <w:rPr>
          <w:u w:val="single" w:color="auto"/>
        </w:rPr>
      </w:pPr>
      <w:r>
        <w:rPr>
          <w:rFonts w:hint="eastAsia"/>
          <w:highlight w:val="none"/>
          <w:u w:val="single" w:color="auto"/>
          <w:lang w:eastAsia="zh-CN"/>
        </w:rPr>
        <w:t>四、</w:t>
      </w:r>
      <w:r>
        <w:rPr>
          <w:rFonts w:hint="eastAsia" w:ascii="宋体" w:hAnsi="宋体" w:eastAsia="宋体" w:cs="宋体"/>
          <w:color w:val="000000"/>
          <w:kern w:val="0"/>
          <w:sz w:val="24"/>
          <w:szCs w:val="24"/>
          <w:u w:val="single" w:color="auto"/>
          <w:lang w:val="en-US" w:eastAsia="zh-CN" w:bidi="ar"/>
        </w:rPr>
        <w:t>与《畜禽养殖业污染治理工程技术规范》（</w:t>
      </w:r>
      <w:r>
        <w:rPr>
          <w:rFonts w:hint="default" w:ascii="Times New Roman" w:hAnsi="Times New Roman" w:eastAsia="宋体" w:cs="Times New Roman"/>
          <w:color w:val="000000"/>
          <w:kern w:val="0"/>
          <w:sz w:val="24"/>
          <w:szCs w:val="24"/>
          <w:u w:val="single" w:color="auto"/>
          <w:lang w:val="en-US" w:eastAsia="zh-CN" w:bidi="ar"/>
        </w:rPr>
        <w:t>HJ497-2009</w:t>
      </w:r>
      <w:r>
        <w:rPr>
          <w:rFonts w:hint="eastAsia" w:ascii="宋体" w:hAnsi="宋体" w:eastAsia="宋体" w:cs="宋体"/>
          <w:color w:val="000000"/>
          <w:kern w:val="0"/>
          <w:sz w:val="24"/>
          <w:szCs w:val="24"/>
          <w:u w:val="single" w:color="auto"/>
          <w:lang w:val="en-US" w:eastAsia="zh-CN" w:bidi="ar"/>
        </w:rPr>
        <w:t>）符合性分析</w:t>
      </w:r>
    </w:p>
    <w:p>
      <w:pPr>
        <w:bidi w:val="0"/>
        <w:rPr>
          <w:u w:val="single" w:color="auto"/>
        </w:rPr>
      </w:pPr>
      <w:r>
        <w:rPr>
          <w:rFonts w:hint="eastAsia"/>
          <w:u w:val="single" w:color="auto"/>
          <w:lang w:val="en-US" w:eastAsia="zh-CN"/>
        </w:rPr>
        <w:t>本项目与《畜禽养殖业污染治理工程技术规范》（</w:t>
      </w:r>
      <w:r>
        <w:rPr>
          <w:rFonts w:hint="default"/>
          <w:u w:val="single" w:color="auto"/>
          <w:lang w:val="en-US" w:eastAsia="zh-CN"/>
        </w:rPr>
        <w:t>HJ497-2009</w:t>
      </w:r>
      <w:r>
        <w:rPr>
          <w:rFonts w:hint="eastAsia"/>
          <w:u w:val="single" w:color="auto"/>
          <w:lang w:val="en-US" w:eastAsia="zh-CN"/>
        </w:rPr>
        <w:t>）符合性见下表1.4-4。</w:t>
      </w:r>
    </w:p>
    <w:p>
      <w:pPr>
        <w:pStyle w:val="7"/>
        <w:bidi w:val="0"/>
        <w:rPr>
          <w:highlight w:val="none"/>
          <w:u w:val="single" w:color="auto"/>
        </w:rPr>
      </w:pPr>
      <w:r>
        <w:rPr>
          <w:highlight w:val="none"/>
          <w:u w:val="single" w:color="auto"/>
        </w:rPr>
        <w:t>表1.</w:t>
      </w:r>
      <w:r>
        <w:rPr>
          <w:rFonts w:hint="eastAsia"/>
          <w:highlight w:val="none"/>
          <w:u w:val="single" w:color="auto"/>
          <w:lang w:val="en-US" w:eastAsia="zh-CN"/>
        </w:rPr>
        <w:t>4</w:t>
      </w:r>
      <w:r>
        <w:rPr>
          <w:highlight w:val="none"/>
          <w:u w:val="single" w:color="auto"/>
        </w:rPr>
        <w:t>-</w:t>
      </w:r>
      <w:r>
        <w:rPr>
          <w:rFonts w:hint="eastAsia"/>
          <w:highlight w:val="none"/>
          <w:u w:val="single" w:color="auto"/>
          <w:lang w:val="en-US" w:eastAsia="zh-CN"/>
        </w:rPr>
        <w:t xml:space="preserve">4 </w:t>
      </w:r>
      <w:r>
        <w:rPr>
          <w:highlight w:val="none"/>
          <w:u w:val="single" w:color="auto"/>
        </w:rPr>
        <w:t xml:space="preserve"> 项目与</w:t>
      </w:r>
      <w:r>
        <w:rPr>
          <w:rFonts w:hint="eastAsia"/>
          <w:highlight w:val="none"/>
          <w:u w:val="single" w:color="auto"/>
        </w:rPr>
        <w:t>《畜禽养殖业污染治理工程技术规范》符合性分析</w:t>
      </w:r>
      <w:r>
        <w:rPr>
          <w:highlight w:val="none"/>
          <w:u w:val="single" w:color="auto"/>
        </w:rPr>
        <w:t>一览表</w:t>
      </w:r>
    </w:p>
    <w:tbl>
      <w:tblPr>
        <w:tblStyle w:val="34"/>
        <w:tblW w:w="5082"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68"/>
        <w:gridCol w:w="1019"/>
        <w:gridCol w:w="3974"/>
        <w:gridCol w:w="2396"/>
        <w:gridCol w:w="9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序号</w:t>
            </w:r>
          </w:p>
        </w:tc>
        <w:tc>
          <w:tcPr>
            <w:tcW w:w="278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《畜禽养殖业污染治理工程技术规范》要求</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本项目</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val="en-US" w:eastAsia="zh-CN"/>
              </w:rPr>
            </w:pPr>
            <w:r>
              <w:rPr>
                <w:rFonts w:hint="eastAsia" w:cs="Times New Roman"/>
                <w:spacing w:val="0"/>
                <w:sz w:val="21"/>
                <w:szCs w:val="21"/>
                <w:highlight w:val="none"/>
                <w:u w:val="single" w:color="auto"/>
                <w:lang w:val="en-US" w:eastAsia="zh-CN"/>
              </w:rPr>
              <w:t>1</w:t>
            </w:r>
          </w:p>
        </w:tc>
        <w:tc>
          <w:tcPr>
            <w:tcW w:w="56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总体设计</w:t>
            </w: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lang w:val="en-US" w:eastAsia="zh-CN"/>
              </w:rPr>
              <w:t>经无害化处理后进行还田综合利用的，粪肥用量不能超过作物当年生长所需的养分量。在确定粪肥的最佳施用量时，应对土壤肥力和粪肥肥效进行测试评价，并符合当地环境容量的要求。同时应有一倍以上的土地用于轮作施肥，不得长期施肥于同一土地</w:t>
            </w:r>
            <w:r>
              <w:rPr>
                <w:rFonts w:hint="eastAsia" w:cs="Times New Roman"/>
                <w:spacing w:val="0"/>
                <w:sz w:val="21"/>
                <w:szCs w:val="21"/>
                <w:highlight w:val="none"/>
                <w:u w:val="single" w:color="auto"/>
                <w:lang w:val="en-US" w:eastAsia="zh-CN"/>
              </w:rPr>
              <w:t>。</w:t>
            </w:r>
          </w:p>
        </w:tc>
        <w:tc>
          <w:tcPr>
            <w:tcW w:w="1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napToGrid w:val="0"/>
                <w:color w:val="000000"/>
                <w:spacing w:val="0"/>
                <w:kern w:val="0"/>
                <w:sz w:val="21"/>
                <w:szCs w:val="21"/>
                <w:highlight w:val="none"/>
                <w:u w:val="single" w:color="auto"/>
              </w:rPr>
              <w:t>养殖粪污分离出来的固态作为有机肥原料通过罐车外运，不在厂区内堆肥。</w:t>
            </w:r>
          </w:p>
        </w:tc>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val="en-US" w:eastAsia="zh-CN"/>
              </w:rPr>
            </w:pPr>
            <w:r>
              <w:rPr>
                <w:rFonts w:hint="default" w:ascii="Times New Roman" w:hAnsi="Times New Roman" w:eastAsia="宋体" w:cs="Times New Roman"/>
                <w:spacing w:val="0"/>
                <w:sz w:val="21"/>
                <w:szCs w:val="21"/>
                <w:highlight w:val="none"/>
                <w:u w:val="single" w:color="auto"/>
                <w:lang w:eastAsia="zh-CN"/>
              </w:rPr>
              <w:t>没有充足土地消纳利用固体粪便的养殖场，应建立集中处理处置畜禽粪便的有机肥厂或处理（处置）设施。生产商品化有机肥和复混肥的应分别满足NY525和GB18877的有关规定</w:t>
            </w:r>
          </w:p>
        </w:tc>
        <w:tc>
          <w:tcPr>
            <w:tcW w:w="1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napToGrid w:val="0"/>
                <w:color w:val="000000"/>
                <w:spacing w:val="0"/>
                <w:kern w:val="0"/>
                <w:sz w:val="21"/>
                <w:szCs w:val="21"/>
                <w:highlight w:val="none"/>
                <w:u w:val="single" w:color="auto"/>
              </w:rPr>
            </w:pPr>
          </w:p>
        </w:tc>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畜禽养殖废水不得排入敏感水域和有特殊功能的水域，排放去向应符合国家和地方的有关规定。排放水质应满足GB18596—2001或有关地方污染物排放标准的规定；处理后用于农田灌溉的，出水水质应满足GB5084的规定</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napToGrid w:val="0"/>
                <w:color w:val="000000"/>
                <w:spacing w:val="0"/>
                <w:kern w:val="0"/>
                <w:sz w:val="21"/>
                <w:szCs w:val="21"/>
                <w:highlight w:val="none"/>
                <w:u w:val="single" w:color="auto"/>
              </w:rPr>
            </w:pPr>
            <w:r>
              <w:rPr>
                <w:rFonts w:hint="default" w:ascii="Times New Roman" w:hAnsi="Times New Roman" w:eastAsia="宋体" w:cs="Times New Roman"/>
                <w:snapToGrid w:val="0"/>
                <w:color w:val="000000"/>
                <w:spacing w:val="0"/>
                <w:kern w:val="0"/>
                <w:sz w:val="21"/>
                <w:szCs w:val="21"/>
                <w:highlight w:val="none"/>
                <w:u w:val="single" w:color="auto"/>
              </w:rPr>
              <w:t>废水进入污水处理站内处理达标后用于周围</w:t>
            </w:r>
            <w:r>
              <w:rPr>
                <w:rFonts w:hint="eastAsia" w:cs="Times New Roman"/>
                <w:snapToGrid w:val="0"/>
                <w:color w:val="000000"/>
                <w:spacing w:val="0"/>
                <w:kern w:val="0"/>
                <w:sz w:val="21"/>
                <w:szCs w:val="21"/>
                <w:highlight w:val="none"/>
                <w:u w:val="single" w:color="auto"/>
                <w:lang w:eastAsia="zh-CN"/>
              </w:rPr>
              <w:t>林地灌溉</w:t>
            </w:r>
            <w:r>
              <w:rPr>
                <w:rFonts w:hint="default" w:ascii="Times New Roman" w:hAnsi="Times New Roman" w:eastAsia="宋体" w:cs="Times New Roman"/>
                <w:snapToGrid w:val="0"/>
                <w:color w:val="000000"/>
                <w:spacing w:val="0"/>
                <w:kern w:val="0"/>
                <w:sz w:val="21"/>
                <w:szCs w:val="21"/>
                <w:highlight w:val="none"/>
                <w:u w:val="single" w:color="auto"/>
              </w:rPr>
              <w:t>，实现资源化利用，实现生产废水零排放。</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畜禽养殖业污染治理工程应采取防治二次污染的措施，废水、废气、废渣、噪声及其他污染物的排放应符合相应的国家或地方排放标准</w:t>
            </w:r>
            <w:r>
              <w:rPr>
                <w:rFonts w:hint="eastAsia" w:cs="Times New Roman"/>
                <w:spacing w:val="0"/>
                <w:sz w:val="21"/>
                <w:szCs w:val="21"/>
                <w:highlight w:val="none"/>
                <w:u w:val="single" w:color="auto"/>
                <w:lang w:eastAsia="zh-CN"/>
              </w:rPr>
              <w:t>。</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napToGrid w:val="0"/>
                <w:color w:val="000000"/>
                <w:spacing w:val="0"/>
                <w:kern w:val="0"/>
                <w:sz w:val="21"/>
                <w:szCs w:val="21"/>
                <w:highlight w:val="none"/>
                <w:u w:val="single" w:color="auto"/>
              </w:rPr>
            </w:pPr>
            <w:r>
              <w:rPr>
                <w:rFonts w:hint="default" w:ascii="Times New Roman" w:hAnsi="Times New Roman" w:eastAsia="宋体" w:cs="Times New Roman"/>
                <w:spacing w:val="0"/>
                <w:sz w:val="21"/>
                <w:szCs w:val="21"/>
                <w:highlight w:val="none"/>
                <w:u w:val="single" w:color="auto"/>
                <w:lang w:eastAsia="zh-CN"/>
              </w:rPr>
              <w:t>项目无废水排放</w:t>
            </w:r>
            <w:r>
              <w:rPr>
                <w:rFonts w:hint="eastAsia" w:cs="Times New Roman"/>
                <w:spacing w:val="0"/>
                <w:sz w:val="21"/>
                <w:szCs w:val="21"/>
                <w:highlight w:val="none"/>
                <w:u w:val="single" w:color="auto"/>
                <w:lang w:eastAsia="zh-CN"/>
              </w:rPr>
              <w:t>，</w:t>
            </w:r>
            <w:r>
              <w:rPr>
                <w:rFonts w:hint="default" w:ascii="Times New Roman" w:hAnsi="Times New Roman" w:eastAsia="宋体" w:cs="Times New Roman"/>
                <w:spacing w:val="0"/>
                <w:sz w:val="21"/>
                <w:szCs w:val="21"/>
                <w:highlight w:val="none"/>
                <w:u w:val="single" w:color="auto"/>
                <w:lang w:eastAsia="zh-CN"/>
              </w:rPr>
              <w:t>废气、废渣、噪声及其他污染物排放符合相应的国家或地方排放标准</w:t>
            </w:r>
            <w:r>
              <w:rPr>
                <w:rFonts w:hint="eastAsia" w:cs="Times New Roman"/>
                <w:spacing w:val="0"/>
                <w:sz w:val="21"/>
                <w:szCs w:val="21"/>
                <w:highlight w:val="none"/>
                <w:u w:val="single" w:color="auto"/>
                <w:lang w:eastAsia="zh-CN"/>
              </w:rPr>
              <w:t>。</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val="en-US" w:eastAsia="zh-CN"/>
              </w:rPr>
            </w:pPr>
            <w:r>
              <w:rPr>
                <w:rFonts w:hint="eastAsia" w:cs="Times New Roman"/>
                <w:spacing w:val="0"/>
                <w:sz w:val="21"/>
                <w:szCs w:val="21"/>
                <w:highlight w:val="none"/>
                <w:u w:val="single" w:color="auto"/>
                <w:lang w:val="en-US" w:eastAsia="zh-CN"/>
              </w:rPr>
              <w:t>2</w:t>
            </w:r>
          </w:p>
        </w:tc>
        <w:tc>
          <w:tcPr>
            <w:tcW w:w="56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工艺选择</w:t>
            </w: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新建、改建、扩建的畜禽养殖场宜采用干清粪工艺。现有采用水冲粪、水泡粪清粪工艺的养殖场，应逐步改为干清粪工艺。</w:t>
            </w:r>
          </w:p>
        </w:tc>
        <w:tc>
          <w:tcPr>
            <w:tcW w:w="133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napToGrid w:val="0"/>
                <w:color w:val="000000"/>
                <w:spacing w:val="0"/>
                <w:kern w:val="0"/>
                <w:sz w:val="21"/>
                <w:szCs w:val="21"/>
                <w:highlight w:val="none"/>
                <w:u w:val="none" w:color="auto"/>
              </w:rPr>
              <w:t>本项目实行雨污分流，项目采用</w:t>
            </w:r>
            <w:r>
              <w:rPr>
                <w:rFonts w:hint="eastAsia" w:cs="Times New Roman"/>
                <w:snapToGrid w:val="0"/>
                <w:color w:val="000000"/>
                <w:spacing w:val="0"/>
                <w:kern w:val="0"/>
                <w:sz w:val="21"/>
                <w:szCs w:val="21"/>
                <w:highlight w:val="none"/>
                <w:u w:val="none" w:color="auto"/>
                <w:lang w:eastAsia="zh-CN"/>
              </w:rPr>
              <w:t>干清粪</w:t>
            </w:r>
            <w:r>
              <w:rPr>
                <w:rFonts w:hint="default" w:ascii="Times New Roman" w:hAnsi="Times New Roman" w:eastAsia="宋体" w:cs="Times New Roman"/>
                <w:snapToGrid w:val="0"/>
                <w:color w:val="000000"/>
                <w:spacing w:val="0"/>
                <w:kern w:val="0"/>
                <w:sz w:val="21"/>
                <w:szCs w:val="21"/>
                <w:highlight w:val="none"/>
                <w:u w:val="none" w:color="auto"/>
              </w:rPr>
              <w:t>处理工艺，</w:t>
            </w:r>
            <w:r>
              <w:rPr>
                <w:rFonts w:hint="eastAsia" w:cs="Times New Roman"/>
                <w:snapToGrid w:val="0"/>
                <w:color w:val="000000"/>
                <w:spacing w:val="0"/>
                <w:kern w:val="0"/>
                <w:sz w:val="21"/>
                <w:szCs w:val="21"/>
                <w:highlight w:val="none"/>
                <w:u w:val="none" w:color="auto"/>
                <w:lang w:eastAsia="zh-CN"/>
              </w:rPr>
              <w:t>采取</w:t>
            </w:r>
            <w:r>
              <w:rPr>
                <w:rFonts w:hint="default" w:ascii="Times New Roman" w:hAnsi="Times New Roman" w:eastAsia="宋体" w:cs="Times New Roman"/>
                <w:snapToGrid w:val="0"/>
                <w:color w:val="000000"/>
                <w:spacing w:val="0"/>
                <w:kern w:val="0"/>
                <w:sz w:val="21"/>
                <w:szCs w:val="21"/>
                <w:highlight w:val="none"/>
                <w:u w:val="none" w:color="auto"/>
              </w:rPr>
              <w:t>固液分离，养殖粪污分离出来的固态作为有机肥原料通过罐车外运，不在厂区内堆肥。废水进入污水处理站内处理达标后用于周围</w:t>
            </w:r>
            <w:r>
              <w:rPr>
                <w:rFonts w:hint="eastAsia" w:cs="Times New Roman"/>
                <w:snapToGrid w:val="0"/>
                <w:color w:val="000000"/>
                <w:spacing w:val="0"/>
                <w:kern w:val="0"/>
                <w:sz w:val="21"/>
                <w:szCs w:val="21"/>
                <w:highlight w:val="none"/>
                <w:u w:val="none" w:color="auto"/>
                <w:lang w:eastAsia="zh-CN"/>
              </w:rPr>
              <w:t>林地灌溉</w:t>
            </w:r>
            <w:r>
              <w:rPr>
                <w:rFonts w:hint="default" w:ascii="Times New Roman" w:hAnsi="Times New Roman" w:eastAsia="宋体" w:cs="Times New Roman"/>
                <w:snapToGrid w:val="0"/>
                <w:color w:val="000000"/>
                <w:spacing w:val="0"/>
                <w:kern w:val="0"/>
                <w:sz w:val="21"/>
                <w:szCs w:val="21"/>
                <w:highlight w:val="none"/>
                <w:u w:val="none" w:color="auto"/>
              </w:rPr>
              <w:t>，实现资源化利用，实现生产废水零排放。</w:t>
            </w:r>
          </w:p>
        </w:tc>
        <w:tc>
          <w:tcPr>
            <w:tcW w:w="50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sz w:val="21"/>
                <w:szCs w:val="21"/>
                <w:highlight w:val="none"/>
                <w:u w:val="single" w:color="auto"/>
              </w:rPr>
            </w:pPr>
            <w:r>
              <w:rPr>
                <w:rFonts w:hint="eastAsia" w:cs="Times New Roman"/>
                <w:snapToGrid w:val="0"/>
                <w:color w:val="000000"/>
                <w:spacing w:val="0"/>
                <w:kern w:val="0"/>
                <w:sz w:val="21"/>
                <w:szCs w:val="21"/>
                <w:highlight w:val="none"/>
                <w:u w:val="none" w:color="auto"/>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选用粪污处理工艺时，应根据养殖场的养殖种类、养殖规模、粪污收集方式、当地的自然地理环境条件以及排水去向等因素确定工艺路线及处理目标，并应充分考虑畜禽养殖废水的特殊性，在实现综合利用或达标排放的情况下，优先选择低运行成本的处理工艺；应慎重选用物化处理工艺。</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本项目采用的污水处理工艺与《畜禽养殖业污染治理工程技术规范》（HJ497—2009）中推荐的模式III工艺基本一致。</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val="en-US" w:eastAsia="zh-CN"/>
              </w:rPr>
            </w:pPr>
            <w:r>
              <w:rPr>
                <w:rFonts w:hint="eastAsia" w:cs="Times New Roman"/>
                <w:spacing w:val="0"/>
                <w:sz w:val="21"/>
                <w:szCs w:val="21"/>
                <w:highlight w:val="none"/>
                <w:u w:val="single" w:color="auto"/>
                <w:lang w:val="en-US" w:eastAsia="zh-CN"/>
              </w:rPr>
              <w:t>3</w:t>
            </w:r>
          </w:p>
        </w:tc>
        <w:tc>
          <w:tcPr>
            <w:tcW w:w="5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废水处理</w:t>
            </w: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畜禽养殖场废水处理前应强化预处理，预处理包括格栅、沉砂池、固液分离系统、水解酸化池等。</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本项目污水</w:t>
            </w:r>
            <w:r>
              <w:rPr>
                <w:rFonts w:hint="default" w:ascii="Times New Roman" w:hAnsi="Times New Roman" w:eastAsia="宋体" w:cs="Times New Roman"/>
                <w:spacing w:val="0"/>
                <w:sz w:val="21"/>
                <w:szCs w:val="21"/>
                <w:highlight w:val="none"/>
                <w:u w:val="single" w:color="auto"/>
                <w:lang w:eastAsia="zh-CN"/>
              </w:rPr>
              <w:t>采用“格栅池+收集池+固液分离+调节池+厌氧处理池+A2/O2池+沉淀池+药剂反应池+大型沉淀池+清水池+氧化塘”</w:t>
            </w:r>
            <w:r>
              <w:rPr>
                <w:rFonts w:hint="eastAsia" w:cs="Times New Roman"/>
                <w:spacing w:val="0"/>
                <w:sz w:val="21"/>
                <w:szCs w:val="21"/>
                <w:highlight w:val="none"/>
                <w:u w:val="single" w:color="auto"/>
                <w:lang w:eastAsia="zh-CN"/>
              </w:rPr>
              <w:t>，污水处理前设置了预处理工序。</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val="en-US" w:eastAsia="zh-CN"/>
              </w:rPr>
            </w:pPr>
            <w:r>
              <w:rPr>
                <w:rFonts w:hint="eastAsia" w:cs="Times New Roman"/>
                <w:spacing w:val="0"/>
                <w:sz w:val="21"/>
                <w:szCs w:val="21"/>
                <w:highlight w:val="none"/>
                <w:u w:val="single" w:color="auto"/>
                <w:lang w:val="en-US" w:eastAsia="zh-CN"/>
              </w:rPr>
              <w:t>4</w:t>
            </w:r>
          </w:p>
        </w:tc>
        <w:tc>
          <w:tcPr>
            <w:tcW w:w="56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固体粪便处理</w:t>
            </w: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畜禽固体粪便宜采用好氧堆肥技术进行无害化处理。</w:t>
            </w:r>
          </w:p>
        </w:tc>
        <w:tc>
          <w:tcPr>
            <w:tcW w:w="1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本项目采用干清粪处理工艺，实现了固液分离，养殖粪污分离出来的固态作为有机肥原料通过罐车外运，不在厂区内堆肥。</w:t>
            </w:r>
          </w:p>
        </w:tc>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不具备堆肥条件的养殖场，可根据畜禽养殖场地理位置、养殖种类、养殖规模及经济情况，选用其他方法对固体粪便进行资源回收利用，但不得对环境造成二次污染。</w:t>
            </w:r>
          </w:p>
        </w:tc>
        <w:tc>
          <w:tcPr>
            <w:tcW w:w="1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未采用干清粪的养殖场，堆肥前应先将粪水进行固液分离，分离出的粪渣进入堆肥场，液体进入废水处理系统。</w:t>
            </w:r>
          </w:p>
        </w:tc>
        <w:tc>
          <w:tcPr>
            <w:tcW w:w="1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val="en-US" w:eastAsia="zh-CN"/>
              </w:rPr>
            </w:pPr>
            <w:r>
              <w:rPr>
                <w:rFonts w:hint="eastAsia" w:cs="Times New Roman"/>
                <w:spacing w:val="0"/>
                <w:sz w:val="21"/>
                <w:szCs w:val="21"/>
                <w:highlight w:val="none"/>
                <w:u w:val="single" w:color="auto"/>
                <w:lang w:val="en-US" w:eastAsia="zh-CN"/>
              </w:rPr>
              <w:t>5</w:t>
            </w:r>
          </w:p>
        </w:tc>
        <w:tc>
          <w:tcPr>
            <w:tcW w:w="56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病死畜禽尸体处理与处置</w:t>
            </w: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病死畜禽尸体应及时处理，不得随意丢弃，不得出售或作为饲料再利用。畜禽尸体的处理与处置应符合HJ/T81—2001第9章的规定。</w:t>
            </w:r>
          </w:p>
        </w:tc>
        <w:tc>
          <w:tcPr>
            <w:tcW w:w="1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场区内产生的病死猪当天委托当地畜禽无害化处理中心清运和处理，不在厂内暂存猪。</w:t>
            </w:r>
          </w:p>
        </w:tc>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c>
          <w:tcPr>
            <w:tcW w:w="56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因高致病性禽流感疫情导致禽类死亡，死禽尸体的处理与处置应符合《高致病性禽流感疫情处置技术规范》（试行）的规定。</w:t>
            </w:r>
          </w:p>
        </w:tc>
        <w:tc>
          <w:tcPr>
            <w:tcW w:w="1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p>
        </w:tc>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pacing w:val="0"/>
                <w:sz w:val="21"/>
                <w:szCs w:val="21"/>
                <w:highlight w:val="none"/>
                <w:u w:val="single" w:color="auto"/>
                <w:lang w:val="en-US" w:eastAsia="zh-CN"/>
              </w:rPr>
            </w:pPr>
            <w:r>
              <w:rPr>
                <w:rFonts w:hint="eastAsia" w:cs="Times New Roman"/>
                <w:spacing w:val="0"/>
                <w:sz w:val="21"/>
                <w:szCs w:val="21"/>
                <w:highlight w:val="none"/>
                <w:u w:val="single" w:color="auto"/>
                <w:lang w:val="en-US" w:eastAsia="zh-CN"/>
              </w:rPr>
              <w:t>6</w:t>
            </w:r>
          </w:p>
        </w:tc>
        <w:tc>
          <w:tcPr>
            <w:tcW w:w="5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恶臭控制</w:t>
            </w:r>
          </w:p>
        </w:tc>
        <w:tc>
          <w:tcPr>
            <w:tcW w:w="2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lang w:eastAsia="zh-CN"/>
              </w:rPr>
            </w:pPr>
            <w:r>
              <w:rPr>
                <w:rFonts w:hint="default" w:ascii="Times New Roman" w:hAnsi="Times New Roman" w:eastAsia="宋体" w:cs="Times New Roman"/>
                <w:spacing w:val="0"/>
                <w:sz w:val="21"/>
                <w:szCs w:val="21"/>
                <w:highlight w:val="none"/>
                <w:u w:val="single" w:color="auto"/>
                <w:lang w:eastAsia="zh-CN"/>
              </w:rPr>
              <w:t>养殖场区应通过控制饲养密度、加强舍内通风、采用节水型饮水器、及时清粪、绿化等措施抑制或减少臭气的产生。</w:t>
            </w:r>
          </w:p>
        </w:tc>
        <w:tc>
          <w:tcPr>
            <w:tcW w:w="1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cs="Times New Roman"/>
                <w:spacing w:val="0"/>
                <w:sz w:val="21"/>
                <w:szCs w:val="21"/>
                <w:highlight w:val="none"/>
                <w:u w:val="single" w:color="auto"/>
                <w:lang w:eastAsia="zh-CN"/>
              </w:rPr>
            </w:pPr>
            <w:r>
              <w:rPr>
                <w:rFonts w:hint="eastAsia" w:cs="Times New Roman"/>
                <w:spacing w:val="0"/>
                <w:sz w:val="21"/>
                <w:szCs w:val="21"/>
                <w:highlight w:val="none"/>
                <w:u w:val="single" w:color="auto"/>
                <w:lang w:eastAsia="zh-CN"/>
              </w:rPr>
              <w:t>项目采用复合微生物菌剂配合饲料；加强对圈舍的清洁卫生管理和通风措施；圈舍区定期喷洒消毒剂及除臭剂；加强场区及场界的绿化，种植花草树木，场界边缘地带种植杨、槐等高大树种形成多层防护林带，以降低恶臭污染的影响程度。</w:t>
            </w:r>
          </w:p>
        </w:tc>
        <w:tc>
          <w:tcPr>
            <w:tcW w:w="5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符合</w:t>
            </w:r>
          </w:p>
        </w:tc>
      </w:tr>
    </w:tbl>
    <w:p>
      <w:pPr>
        <w:pStyle w:val="6"/>
        <w:bidi w:val="0"/>
        <w:rPr>
          <w:highlight w:val="none"/>
        </w:rPr>
      </w:pPr>
      <w:r>
        <w:rPr>
          <w:highlight w:val="none"/>
        </w:rPr>
        <w:t>1</w:t>
      </w:r>
      <w:r>
        <w:rPr>
          <w:rFonts w:hint="eastAsia"/>
          <w:highlight w:val="none"/>
          <w:lang w:val="en-US" w:eastAsia="zh-CN"/>
        </w:rPr>
        <w:t>.4</w:t>
      </w:r>
      <w:r>
        <w:rPr>
          <w:highlight w:val="none"/>
        </w:rPr>
        <w:t>.2.2  地方相关政策文件符合性分析</w:t>
      </w:r>
    </w:p>
    <w:p>
      <w:pPr>
        <w:bidi w:val="0"/>
        <w:rPr>
          <w:highlight w:val="none"/>
        </w:rPr>
      </w:pPr>
      <w:r>
        <w:rPr>
          <w:highlight w:val="none"/>
        </w:rPr>
        <w:t>一、与《湖南省人民政府办公厅关于加快转型升级推进现代畜牧业发展的意见》的符合性分析</w:t>
      </w:r>
    </w:p>
    <w:p>
      <w:pPr>
        <w:bidi w:val="0"/>
        <w:rPr>
          <w:highlight w:val="none"/>
        </w:rPr>
      </w:pPr>
      <w:r>
        <w:rPr>
          <w:highlight w:val="none"/>
        </w:rPr>
        <w:t>为进一步加强畜牧业健康有序发展，湖南省人民政府办公厅印发了《关于加快转型升级推进现代畜牧业发展的意见》（湘政办发[2016]27号）</w:t>
      </w:r>
      <w:r>
        <w:rPr>
          <w:rFonts w:hint="eastAsia"/>
          <w:highlight w:val="none"/>
          <w:lang w:eastAsia="zh-CN"/>
        </w:rPr>
        <w:t>，</w:t>
      </w:r>
      <w:r>
        <w:rPr>
          <w:highlight w:val="none"/>
        </w:rPr>
        <w:t>文件提出</w:t>
      </w:r>
      <w:r>
        <w:rPr>
          <w:rFonts w:hint="eastAsia" w:ascii="宋体" w:hAnsi="宋体" w:eastAsia="宋体" w:cs="宋体"/>
          <w:highlight w:val="none"/>
        </w:rPr>
        <w:t>“</w:t>
      </w:r>
      <w:r>
        <w:rPr>
          <w:highlight w:val="none"/>
        </w:rPr>
        <w:t>湘江长沙综合枢纽库区湘江干流两岸1000米，长沙综合枢纽库区以外湘江干流两岸500米内，洞庭湖内湖沿岸1000米、集中供水地下水源周边1000米以及地表水饮用水水源取水口上游1000米、下游100米范围内及城乡居民重要饮用水源保护区、自然保护区的核心区及缓冲区、风景名胜区，统一划定为禁养区。禁养区内不得新建畜禽规模养殖场，已有规模养殖场要依法限期退出</w:t>
      </w:r>
      <w:r>
        <w:rPr>
          <w:rFonts w:hint="eastAsia" w:ascii="宋体" w:hAnsi="宋体" w:eastAsia="宋体" w:cs="宋体"/>
          <w:highlight w:val="none"/>
        </w:rPr>
        <w:t>”。</w:t>
      </w:r>
      <w:r>
        <w:rPr>
          <w:highlight w:val="none"/>
        </w:rPr>
        <w:t>本项目位于</w:t>
      </w:r>
      <w:r>
        <w:rPr>
          <w:rFonts w:hint="eastAsia"/>
          <w:highlight w:val="none"/>
          <w:lang w:eastAsia="zh-CN"/>
        </w:rPr>
        <w:t>岳阳市华容县东山镇长岗庙村</w:t>
      </w:r>
      <w:r>
        <w:rPr>
          <w:rFonts w:hint="eastAsia"/>
          <w:highlight w:val="none"/>
          <w:lang w:val="en-US" w:eastAsia="zh-CN"/>
        </w:rPr>
        <w:t>9组002号</w:t>
      </w:r>
      <w:r>
        <w:rPr>
          <w:highlight w:val="none"/>
        </w:rPr>
        <w:t>，</w:t>
      </w:r>
      <w:r>
        <w:rPr>
          <w:rFonts w:hint="eastAsia"/>
          <w:highlight w:val="none"/>
          <w:lang w:eastAsia="zh-CN"/>
        </w:rPr>
        <w:t>根据</w:t>
      </w:r>
      <w:r>
        <w:rPr>
          <w:rFonts w:hint="default" w:ascii="Times New Roman" w:hAnsi="Times New Roman" w:eastAsia="宋体" w:cs="Times New Roman"/>
          <w:snapToGrid w:val="0"/>
          <w:color w:val="000000"/>
          <w:kern w:val="0"/>
          <w:sz w:val="24"/>
          <w:szCs w:val="24"/>
          <w:highlight w:val="none"/>
          <w:u w:val="none" w:color="auto"/>
        </w:rPr>
        <w:t>《华容县畜禽养殖禁养区限养区适养区划定方案》</w:t>
      </w:r>
      <w:r>
        <w:rPr>
          <w:rFonts w:hint="eastAsia" w:cs="Times New Roman"/>
          <w:snapToGrid w:val="0"/>
          <w:color w:val="000000"/>
          <w:kern w:val="0"/>
          <w:sz w:val="24"/>
          <w:szCs w:val="24"/>
          <w:highlight w:val="none"/>
          <w:u w:val="none" w:color="auto"/>
          <w:lang w:eastAsia="zh-CN"/>
        </w:rPr>
        <w:t>，本项目选址不在华容县禁养区与限养区内</w:t>
      </w:r>
      <w:r>
        <w:rPr>
          <w:rFonts w:hint="eastAsia" w:ascii="宋体" w:hAnsi="宋体" w:eastAsia="宋体" w:cs="宋体"/>
          <w:spacing w:val="-2"/>
          <w:sz w:val="24"/>
          <w:szCs w:val="24"/>
          <w:highlight w:val="none"/>
          <w:lang w:eastAsia="zh-CN"/>
        </w:rPr>
        <w:t>，</w:t>
      </w:r>
      <w:r>
        <w:rPr>
          <w:highlight w:val="none"/>
        </w:rPr>
        <w:t>符合文件精神。</w:t>
      </w:r>
    </w:p>
    <w:p>
      <w:pPr>
        <w:bidi w:val="0"/>
        <w:rPr>
          <w:highlight w:val="none"/>
        </w:rPr>
      </w:pPr>
      <w:r>
        <w:rPr>
          <w:highlight w:val="none"/>
        </w:rPr>
        <w:t>文件提</w:t>
      </w:r>
      <w:r>
        <w:rPr>
          <w:rFonts w:hint="eastAsia" w:ascii="宋体" w:hAnsi="宋体" w:eastAsia="宋体" w:cs="宋体"/>
          <w:highlight w:val="none"/>
        </w:rPr>
        <w:t>出“加大规模养殖场粪污综合利用设施改造，实行干湿分离、雨污分流，着力推进畜禽粪污统一收集、处理和利用。组织开展畜禽粪便综合利用创建活动，大力推广农牧循环、沼气利用、有机肥加工等养殖废弃物资源化利用措施，优先支持符合条件的畜禽规模养殖场建设大中型沼气工程，促进畜禽养殖污染减量化排放、无害化处理、资源化利用。推广应用养殖场养殖废水净化技术，鼓励养殖企业进行综合利用技术改造，做到循环利用”</w:t>
      </w:r>
      <w:r>
        <w:rPr>
          <w:highlight w:val="none"/>
        </w:rPr>
        <w:t>。</w:t>
      </w:r>
    </w:p>
    <w:p>
      <w:pPr>
        <w:bidi w:val="0"/>
        <w:rPr>
          <w:highlight w:val="none"/>
        </w:rPr>
      </w:pPr>
      <w:r>
        <w:rPr>
          <w:highlight w:val="none"/>
        </w:rPr>
        <w:t>本项目采用</w:t>
      </w:r>
      <w:r>
        <w:rPr>
          <w:rFonts w:hint="eastAsia"/>
          <w:highlight w:val="none"/>
          <w:lang w:eastAsia="zh-CN"/>
        </w:rPr>
        <w:t>干清粪</w:t>
      </w:r>
      <w:r>
        <w:rPr>
          <w:rFonts w:hint="eastAsia" w:ascii="宋体" w:hAnsi="宋体" w:eastAsia="宋体" w:cs="宋体"/>
          <w:spacing w:val="2"/>
          <w:sz w:val="24"/>
          <w:szCs w:val="24"/>
          <w:highlight w:val="none"/>
          <w:lang w:eastAsia="zh-CN"/>
        </w:rPr>
        <w:t>处理</w:t>
      </w:r>
      <w:r>
        <w:rPr>
          <w:highlight w:val="none"/>
        </w:rPr>
        <w:t>工艺，</w:t>
      </w:r>
      <w:r>
        <w:rPr>
          <w:rFonts w:hint="eastAsia"/>
          <w:highlight w:val="none"/>
          <w:lang w:eastAsia="zh-CN"/>
        </w:rPr>
        <w:t>采取固液</w:t>
      </w:r>
      <w:r>
        <w:rPr>
          <w:rFonts w:ascii="宋体" w:hAnsi="宋体" w:eastAsia="宋体" w:cs="宋体"/>
          <w:spacing w:val="-1"/>
          <w:sz w:val="24"/>
          <w:szCs w:val="24"/>
          <w:highlight w:val="none"/>
        </w:rPr>
        <w:t>分离</w:t>
      </w:r>
      <w:r>
        <w:rPr>
          <w:rFonts w:hint="eastAsia" w:ascii="宋体" w:hAnsi="宋体" w:eastAsia="宋体" w:cs="宋体"/>
          <w:spacing w:val="-1"/>
          <w:sz w:val="24"/>
          <w:szCs w:val="24"/>
          <w:highlight w:val="none"/>
          <w:lang w:eastAsia="zh-CN"/>
        </w:rPr>
        <w:t>，</w:t>
      </w:r>
      <w:r>
        <w:rPr>
          <w:rFonts w:hint="eastAsia"/>
          <w:highlight w:val="none"/>
        </w:rPr>
        <w:t>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w:t>
      </w:r>
      <w:r>
        <w:rPr>
          <w:rFonts w:hint="eastAsia" w:ascii="宋体" w:hAnsi="宋体" w:cs="宋体"/>
          <w:color w:val="000000"/>
          <w:kern w:val="0"/>
          <w:sz w:val="24"/>
          <w:szCs w:val="24"/>
          <w:highlight w:val="none"/>
          <w:lang w:val="en-US" w:eastAsia="zh-CN" w:bidi="ar"/>
        </w:rPr>
        <w:t>废水</w:t>
      </w:r>
      <w:r>
        <w:rPr>
          <w:rFonts w:hint="eastAsia" w:ascii="宋体" w:hAnsi="宋体" w:eastAsia="宋体" w:cs="宋体"/>
          <w:color w:val="000000"/>
          <w:kern w:val="0"/>
          <w:sz w:val="24"/>
          <w:szCs w:val="24"/>
          <w:highlight w:val="none"/>
          <w:lang w:val="en-US" w:eastAsia="zh-CN" w:bidi="ar"/>
        </w:rPr>
        <w:t>进入污水处理站内处理达标后用于周围</w:t>
      </w:r>
      <w:r>
        <w:rPr>
          <w:rFonts w:hint="eastAsia" w:ascii="宋体" w:hAnsi="宋体" w:cs="宋体"/>
          <w:color w:val="000000"/>
          <w:kern w:val="0"/>
          <w:sz w:val="24"/>
          <w:szCs w:val="24"/>
          <w:highlight w:val="none"/>
          <w:lang w:val="en-US" w:eastAsia="zh-CN" w:bidi="ar"/>
        </w:rPr>
        <w:t>林地灌溉</w:t>
      </w:r>
      <w:r>
        <w:rPr>
          <w:rFonts w:hint="eastAsia"/>
          <w:highlight w:val="none"/>
          <w:lang w:eastAsia="zh-CN"/>
        </w:rPr>
        <w:t>，</w:t>
      </w:r>
      <w:r>
        <w:rPr>
          <w:highlight w:val="none"/>
        </w:rPr>
        <w:t>实现资源化利用，实现生产废水零排放。</w:t>
      </w:r>
    </w:p>
    <w:p>
      <w:pPr>
        <w:bidi w:val="0"/>
        <w:rPr>
          <w:highlight w:val="none"/>
        </w:rPr>
      </w:pPr>
      <w:r>
        <w:rPr>
          <w:highlight w:val="none"/>
        </w:rPr>
        <w:t>综上，本项目符合《湖南省人民政府办公厅关于加快转型升级推进现代畜牧业发展的意见》。</w:t>
      </w:r>
    </w:p>
    <w:p>
      <w:pPr>
        <w:bidi w:val="0"/>
        <w:rPr>
          <w:highlight w:val="none"/>
        </w:rPr>
      </w:pPr>
      <w:r>
        <w:rPr>
          <w:highlight w:val="none"/>
        </w:rPr>
        <w:t>二、与《湖南省畜禽规模养殖污染防治规定》（湘政办发〔2017〕29号）符合性分析</w:t>
      </w:r>
    </w:p>
    <w:p>
      <w:pPr>
        <w:bidi w:val="0"/>
        <w:rPr>
          <w:rFonts w:hint="eastAsia"/>
          <w:highlight w:val="none"/>
          <w:lang w:eastAsia="zh-CN"/>
        </w:rPr>
      </w:pPr>
      <w:r>
        <w:rPr>
          <w:highlight w:val="none"/>
        </w:rPr>
        <w:t>为加强我省畜禽规模养殖污染防治工作，推进畜禽养殖废弃物综合利用和无害化处理，保护和改善全省生态环境，湖南省人民政府办公厅于2017年5月25日印发了《湖南省畜禽规模养殖污染防治规定》（湘政办发〔2017〕29号）</w:t>
      </w:r>
      <w:r>
        <w:rPr>
          <w:rFonts w:hint="eastAsia"/>
          <w:highlight w:val="none"/>
          <w:lang w:eastAsia="zh-CN"/>
        </w:rPr>
        <w:t>。</w:t>
      </w:r>
    </w:p>
    <w:p>
      <w:pPr>
        <w:pStyle w:val="2"/>
        <w:rPr>
          <w:rFonts w:hint="eastAsia"/>
          <w:lang w:eastAsia="zh-CN"/>
        </w:rPr>
      </w:pPr>
    </w:p>
    <w:p>
      <w:pPr>
        <w:pStyle w:val="7"/>
        <w:bidi w:val="0"/>
        <w:rPr>
          <w:highlight w:val="none"/>
        </w:rPr>
      </w:pPr>
      <w:r>
        <w:rPr>
          <w:highlight w:val="none"/>
        </w:rPr>
        <w:t>表1</w:t>
      </w:r>
      <w:r>
        <w:rPr>
          <w:rFonts w:hint="eastAsia"/>
          <w:highlight w:val="none"/>
          <w:lang w:val="en-US" w:eastAsia="zh-CN"/>
        </w:rPr>
        <w:t>.4</w:t>
      </w:r>
      <w:r>
        <w:rPr>
          <w:highlight w:val="none"/>
        </w:rPr>
        <w:t>-</w:t>
      </w:r>
      <w:r>
        <w:rPr>
          <w:rFonts w:hint="eastAsia"/>
          <w:highlight w:val="none"/>
          <w:lang w:val="en-US" w:eastAsia="zh-CN"/>
        </w:rPr>
        <w:t>5</w:t>
      </w:r>
      <w:r>
        <w:rPr>
          <w:highlight w:val="none"/>
        </w:rPr>
        <w:t xml:space="preserve">  本项目与湘政办发〔2017〕29 号文件要求的符合性分析表</w:t>
      </w:r>
    </w:p>
    <w:tbl>
      <w:tblPr>
        <w:tblStyle w:val="34"/>
        <w:tblW w:w="50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3"/>
        <w:gridCol w:w="3352"/>
        <w:gridCol w:w="1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48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湘政办发〔2017〕2号要求</w:t>
            </w:r>
          </w:p>
        </w:tc>
        <w:tc>
          <w:tcPr>
            <w:tcW w:w="18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本项目建设情况</w:t>
            </w:r>
          </w:p>
        </w:tc>
        <w:tc>
          <w:tcPr>
            <w:tcW w:w="6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8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禁养区内禁止建设养殖场、养殖小区。禁养区内现有不符合要求的养殖场、养殖小区应由当地人民政府在国家规定时限内依法关停或搬迁。</w:t>
            </w:r>
          </w:p>
        </w:tc>
        <w:tc>
          <w:tcPr>
            <w:tcW w:w="18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default" w:ascii="Times New Roman" w:hAnsi="Times New Roman" w:eastAsia="宋体" w:cs="Times New Roman"/>
                <w:snapToGrid w:val="0"/>
                <w:color w:val="000000"/>
                <w:spacing w:val="0"/>
                <w:kern w:val="0"/>
                <w:sz w:val="21"/>
                <w:szCs w:val="21"/>
                <w:highlight w:val="none"/>
                <w:u w:val="none" w:color="auto"/>
              </w:rPr>
              <w:t>《华容县畜禽养殖禁养区限养区适养区划定方案》</w:t>
            </w:r>
            <w:r>
              <w:rPr>
                <w:rFonts w:hint="eastAsia" w:cs="Times New Roman"/>
                <w:snapToGrid w:val="0"/>
                <w:color w:val="000000"/>
                <w:spacing w:val="0"/>
                <w:kern w:val="0"/>
                <w:sz w:val="21"/>
                <w:szCs w:val="21"/>
                <w:highlight w:val="none"/>
                <w:u w:val="none" w:color="auto"/>
                <w:lang w:eastAsia="zh-CN"/>
              </w:rPr>
              <w:t>，</w:t>
            </w:r>
            <w:r>
              <w:rPr>
                <w:rFonts w:hint="default" w:ascii="Times New Roman" w:hAnsi="Times New Roman" w:eastAsia="宋体" w:cs="Times New Roman"/>
                <w:snapToGrid w:val="0"/>
                <w:color w:val="000000"/>
                <w:spacing w:val="0"/>
                <w:kern w:val="0"/>
                <w:sz w:val="21"/>
                <w:szCs w:val="21"/>
                <w:highlight w:val="none"/>
                <w:u w:val="none" w:color="auto"/>
              </w:rPr>
              <w:t>本项目所在地均不在禁养区划定的范围内</w:t>
            </w:r>
            <w:r>
              <w:rPr>
                <w:rFonts w:hint="eastAsia" w:cs="Times New Roman"/>
                <w:snapToGrid w:val="0"/>
                <w:color w:val="000000"/>
                <w:spacing w:val="0"/>
                <w:kern w:val="0"/>
                <w:sz w:val="21"/>
                <w:szCs w:val="21"/>
                <w:highlight w:val="none"/>
                <w:u w:val="none" w:color="auto"/>
                <w:lang w:eastAsia="zh-CN"/>
              </w:rPr>
              <w:t>。</w:t>
            </w:r>
          </w:p>
        </w:tc>
        <w:tc>
          <w:tcPr>
            <w:tcW w:w="6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eastAsia" w:cs="Times New Roman"/>
                <w:snapToGrid w:val="0"/>
                <w:color w:val="000000"/>
                <w:spacing w:val="0"/>
                <w:kern w:val="0"/>
                <w:sz w:val="21"/>
                <w:szCs w:val="21"/>
                <w:highlight w:val="none"/>
                <w:u w:val="none" w:color="auto"/>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8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新建、改建、扩建畜禽养殖场、养殖小区要实施雨污分流，建设必要的畜禽养殖废弃物资源化利用和无害化处理设施。</w:t>
            </w:r>
          </w:p>
        </w:tc>
        <w:tc>
          <w:tcPr>
            <w:tcW w:w="18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default" w:ascii="Times New Roman" w:hAnsi="Times New Roman" w:eastAsia="宋体" w:cs="Times New Roman"/>
                <w:snapToGrid w:val="0"/>
                <w:color w:val="000000"/>
                <w:spacing w:val="0"/>
                <w:kern w:val="0"/>
                <w:sz w:val="21"/>
                <w:szCs w:val="21"/>
                <w:highlight w:val="none"/>
                <w:u w:val="none" w:color="auto"/>
              </w:rPr>
              <w:t>本项目实行雨污分流，项目采用</w:t>
            </w:r>
            <w:r>
              <w:rPr>
                <w:rFonts w:hint="eastAsia" w:cs="Times New Roman"/>
                <w:snapToGrid w:val="0"/>
                <w:color w:val="000000"/>
                <w:spacing w:val="0"/>
                <w:kern w:val="0"/>
                <w:sz w:val="21"/>
                <w:szCs w:val="21"/>
                <w:highlight w:val="none"/>
                <w:u w:val="none" w:color="auto"/>
                <w:lang w:eastAsia="zh-CN"/>
              </w:rPr>
              <w:t>干清粪</w:t>
            </w:r>
            <w:r>
              <w:rPr>
                <w:rFonts w:hint="default" w:ascii="Times New Roman" w:hAnsi="Times New Roman" w:eastAsia="宋体" w:cs="Times New Roman"/>
                <w:snapToGrid w:val="0"/>
                <w:color w:val="000000"/>
                <w:spacing w:val="0"/>
                <w:kern w:val="0"/>
                <w:sz w:val="21"/>
                <w:szCs w:val="21"/>
                <w:highlight w:val="none"/>
                <w:u w:val="none" w:color="auto"/>
              </w:rPr>
              <w:t>处理工艺，</w:t>
            </w:r>
            <w:r>
              <w:rPr>
                <w:rFonts w:hint="eastAsia" w:cs="Times New Roman"/>
                <w:snapToGrid w:val="0"/>
                <w:color w:val="000000"/>
                <w:spacing w:val="0"/>
                <w:kern w:val="0"/>
                <w:sz w:val="21"/>
                <w:szCs w:val="21"/>
                <w:highlight w:val="none"/>
                <w:u w:val="none" w:color="auto"/>
                <w:lang w:eastAsia="zh-CN"/>
              </w:rPr>
              <w:t>采取</w:t>
            </w:r>
            <w:r>
              <w:rPr>
                <w:rFonts w:hint="default" w:ascii="Times New Roman" w:hAnsi="Times New Roman" w:eastAsia="宋体" w:cs="Times New Roman"/>
                <w:snapToGrid w:val="0"/>
                <w:color w:val="000000"/>
                <w:spacing w:val="0"/>
                <w:kern w:val="0"/>
                <w:sz w:val="21"/>
                <w:szCs w:val="21"/>
                <w:highlight w:val="none"/>
                <w:u w:val="none" w:color="auto"/>
              </w:rPr>
              <w:t>固液分离，养殖粪污分离出来的固态作为有机肥原料通过罐车外运，不在厂区内堆肥。废水进入污水处理站内处理达标后用于周围</w:t>
            </w:r>
            <w:r>
              <w:rPr>
                <w:rFonts w:hint="eastAsia" w:cs="Times New Roman"/>
                <w:snapToGrid w:val="0"/>
                <w:color w:val="000000"/>
                <w:spacing w:val="0"/>
                <w:kern w:val="0"/>
                <w:sz w:val="21"/>
                <w:szCs w:val="21"/>
                <w:highlight w:val="none"/>
                <w:u w:val="none" w:color="auto"/>
                <w:lang w:eastAsia="zh-CN"/>
              </w:rPr>
              <w:t>林地灌溉</w:t>
            </w:r>
            <w:r>
              <w:rPr>
                <w:rFonts w:hint="default" w:ascii="Times New Roman" w:hAnsi="Times New Roman" w:eastAsia="宋体" w:cs="Times New Roman"/>
                <w:snapToGrid w:val="0"/>
                <w:color w:val="000000"/>
                <w:spacing w:val="0"/>
                <w:kern w:val="0"/>
                <w:sz w:val="21"/>
                <w:szCs w:val="21"/>
                <w:highlight w:val="none"/>
                <w:u w:val="none" w:color="auto"/>
              </w:rPr>
              <w:t>，实现资源化利用，实现生产废水零排放。</w:t>
            </w:r>
          </w:p>
        </w:tc>
        <w:tc>
          <w:tcPr>
            <w:tcW w:w="6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eastAsia" w:cs="Times New Roman"/>
                <w:snapToGrid w:val="0"/>
                <w:color w:val="000000"/>
                <w:spacing w:val="0"/>
                <w:kern w:val="0"/>
                <w:sz w:val="21"/>
                <w:szCs w:val="21"/>
                <w:highlight w:val="none"/>
                <w:u w:val="none" w:color="auto"/>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48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病死畜禽尸体及其排泄物，要严格按照《国务院办公厅关于建立病死畜禽无害化处理机制的意见》（国办发〔2014〕47号）有关规定处理，严禁私自未经任何处理随意抛弃、掩埋等。鼓励养殖场、养殖小区委托有资质的病死畜禽无害化处理中心集中处理病死畜禽。</w:t>
            </w:r>
          </w:p>
        </w:tc>
        <w:tc>
          <w:tcPr>
            <w:tcW w:w="18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eastAsia" w:ascii="Times New Roman" w:hAnsi="Times New Roman" w:eastAsia="宋体" w:cs="Times New Roman"/>
                <w:snapToGrid w:val="0"/>
                <w:color w:val="000000"/>
                <w:spacing w:val="0"/>
                <w:kern w:val="0"/>
                <w:sz w:val="21"/>
                <w:szCs w:val="21"/>
                <w:highlight w:val="none"/>
                <w:u w:val="none" w:color="auto"/>
                <w:lang w:eastAsia="zh-CN"/>
              </w:rPr>
              <w:t>本项目</w:t>
            </w:r>
            <w:r>
              <w:rPr>
                <w:rFonts w:hint="default" w:ascii="Times New Roman" w:hAnsi="Times New Roman" w:eastAsia="宋体" w:cs="Times New Roman"/>
                <w:snapToGrid w:val="0"/>
                <w:color w:val="000000"/>
                <w:spacing w:val="0"/>
                <w:kern w:val="0"/>
                <w:sz w:val="21"/>
                <w:szCs w:val="21"/>
                <w:highlight w:val="none"/>
                <w:u w:val="none" w:color="auto"/>
              </w:rPr>
              <w:t>病死猪委托当地畜禽无害化处理中心清运和处理</w:t>
            </w:r>
            <w:r>
              <w:rPr>
                <w:rFonts w:hint="eastAsia" w:ascii="Times New Roman" w:hAnsi="Times New Roman" w:eastAsia="宋体" w:cs="Times New Roman"/>
                <w:snapToGrid w:val="0"/>
                <w:color w:val="000000"/>
                <w:spacing w:val="0"/>
                <w:kern w:val="0"/>
                <w:sz w:val="21"/>
                <w:szCs w:val="21"/>
                <w:highlight w:val="none"/>
                <w:u w:val="none" w:color="auto"/>
                <w:lang w:eastAsia="zh-CN"/>
              </w:rPr>
              <w:t>。</w:t>
            </w:r>
          </w:p>
        </w:tc>
        <w:tc>
          <w:tcPr>
            <w:tcW w:w="6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eastAsia" w:cs="Times New Roman"/>
                <w:snapToGrid w:val="0"/>
                <w:color w:val="000000"/>
                <w:spacing w:val="0"/>
                <w:kern w:val="0"/>
                <w:sz w:val="21"/>
                <w:szCs w:val="21"/>
                <w:highlight w:val="none"/>
                <w:u w:val="none" w:color="auto"/>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248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color="auto"/>
              </w:rPr>
            </w:pPr>
            <w:r>
              <w:rPr>
                <w:rFonts w:hint="default" w:ascii="Times New Roman" w:hAnsi="Times New Roman" w:eastAsia="宋体" w:cs="Times New Roman"/>
                <w:snapToGrid w:val="0"/>
                <w:color w:val="000000"/>
                <w:spacing w:val="0"/>
                <w:kern w:val="0"/>
                <w:sz w:val="21"/>
                <w:szCs w:val="21"/>
                <w:highlight w:val="none"/>
                <w:u w:val="none" w:color="auto"/>
              </w:rPr>
              <w:t>畜禽养殖污染治理应按照资源化、减量化、无害化的原则，从源头控制，采取合适的技术对畜禽养殖废弃物进行处理，并通过粪肥还田、制取沼气、制造有机肥等方式提高畜禽养殖废弃物的资源化利用率。将畜禽养殖废弃物用作肥料的，应做好无害化处理，并与土地的消纳能力相适应，确保不产生二次环境污染。</w:t>
            </w:r>
          </w:p>
        </w:tc>
        <w:tc>
          <w:tcPr>
            <w:tcW w:w="18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eastAsia" w:ascii="Times New Roman" w:hAnsi="Times New Roman" w:eastAsia="宋体" w:cs="Times New Roman"/>
                <w:snapToGrid w:val="0"/>
                <w:color w:val="000000"/>
                <w:spacing w:val="0"/>
                <w:kern w:val="0"/>
                <w:sz w:val="21"/>
                <w:szCs w:val="21"/>
                <w:highlight w:val="none"/>
                <w:u w:val="none" w:color="auto"/>
                <w:lang w:eastAsia="zh-CN"/>
              </w:rPr>
              <w:t>养殖粪污分离出来的固态作为有机肥原料通过罐车外运，不在厂区内堆肥。</w:t>
            </w:r>
          </w:p>
        </w:tc>
        <w:tc>
          <w:tcPr>
            <w:tcW w:w="6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u w:val="none" w:color="auto"/>
                <w:lang w:eastAsia="zh-CN"/>
              </w:rPr>
            </w:pPr>
            <w:r>
              <w:rPr>
                <w:rFonts w:hint="eastAsia" w:cs="Times New Roman"/>
                <w:snapToGrid w:val="0"/>
                <w:color w:val="000000"/>
                <w:spacing w:val="0"/>
                <w:kern w:val="0"/>
                <w:sz w:val="21"/>
                <w:szCs w:val="21"/>
                <w:highlight w:val="none"/>
                <w:u w:val="none" w:color="auto"/>
                <w:lang w:eastAsia="zh-CN"/>
              </w:rPr>
              <w:t>符合</w:t>
            </w:r>
          </w:p>
        </w:tc>
      </w:tr>
    </w:tbl>
    <w:p>
      <w:pPr>
        <w:bidi w:val="0"/>
        <w:rPr>
          <w:highlight w:val="none"/>
        </w:rPr>
      </w:pPr>
      <w:r>
        <w:rPr>
          <w:highlight w:val="none"/>
        </w:rPr>
        <w:t>本项目实现了雨污分流，</w:t>
      </w:r>
      <w:r>
        <w:rPr>
          <w:rFonts w:hint="eastAsia"/>
          <w:highlight w:val="none"/>
        </w:rPr>
        <w:t>项目采用</w:t>
      </w:r>
      <w:r>
        <w:rPr>
          <w:rFonts w:hint="eastAsia"/>
          <w:highlight w:val="none"/>
          <w:lang w:eastAsia="zh-CN"/>
        </w:rPr>
        <w:t>干清粪</w:t>
      </w:r>
      <w:r>
        <w:rPr>
          <w:rFonts w:hint="eastAsia"/>
          <w:highlight w:val="none"/>
        </w:rPr>
        <w:t>处理工艺，</w:t>
      </w:r>
      <w:r>
        <w:rPr>
          <w:rFonts w:hint="eastAsia"/>
          <w:highlight w:val="none"/>
          <w:lang w:eastAsia="zh-CN"/>
        </w:rPr>
        <w:t>采取</w:t>
      </w:r>
      <w:r>
        <w:rPr>
          <w:rFonts w:hint="eastAsia"/>
          <w:highlight w:val="none"/>
        </w:rPr>
        <w:t>固液分离，养殖粪污分离出来的固态作为有机肥原料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w:t>
      </w:r>
      <w:r>
        <w:rPr>
          <w:rFonts w:hint="eastAsia"/>
          <w:highlight w:val="none"/>
        </w:rPr>
        <w:t>废水进入污水处理站内处理达标后用于周围</w:t>
      </w:r>
      <w:r>
        <w:rPr>
          <w:rFonts w:hint="eastAsia"/>
          <w:highlight w:val="none"/>
          <w:lang w:eastAsia="zh-CN"/>
        </w:rPr>
        <w:t>林地灌溉</w:t>
      </w:r>
      <w:r>
        <w:rPr>
          <w:rFonts w:hint="eastAsia"/>
          <w:highlight w:val="none"/>
        </w:rPr>
        <w:t>，实现资源化利用，实现生产废水零排放</w:t>
      </w:r>
      <w:r>
        <w:rPr>
          <w:highlight w:val="none"/>
        </w:rPr>
        <w:t>。项目的建设符合《湖南省畜禽规模养殖污染防治规定》。</w:t>
      </w:r>
    </w:p>
    <w:p>
      <w:pPr>
        <w:bidi w:val="0"/>
        <w:rPr>
          <w:rFonts w:hint="eastAsia" w:ascii="宋体" w:hAnsi="宋体" w:eastAsia="宋体" w:cs="宋体"/>
          <w:highlight w:val="none"/>
        </w:rPr>
      </w:pPr>
      <w:r>
        <w:rPr>
          <w:rFonts w:hint="eastAsia" w:ascii="宋体" w:hAnsi="宋体" w:eastAsia="宋体" w:cs="宋体"/>
          <w:highlight w:val="none"/>
        </w:rPr>
        <w:t>三、与《湖南省“十四五”农业农村现代化规划》的符合性分析</w:t>
      </w:r>
    </w:p>
    <w:p>
      <w:pPr>
        <w:bidi w:val="0"/>
        <w:rPr>
          <w:rFonts w:hint="eastAsia" w:ascii="宋体" w:hAnsi="宋体" w:eastAsia="宋体" w:cs="宋体"/>
          <w:highlight w:val="none"/>
          <w:lang w:eastAsia="zh-CN"/>
        </w:rPr>
      </w:pPr>
      <w:r>
        <w:rPr>
          <w:rFonts w:hint="eastAsia" w:ascii="宋体" w:hAnsi="宋体" w:eastAsia="宋体" w:cs="宋体"/>
          <w:highlight w:val="none"/>
        </w:rPr>
        <w:t>《湖南省“十四五”农业农村现代化规划》中指出，</w:t>
      </w:r>
      <w:r>
        <w:rPr>
          <w:rFonts w:hint="eastAsia" w:ascii="宋体" w:hAnsi="宋体" w:cs="宋体"/>
          <w:highlight w:val="none"/>
          <w:lang w:eastAsia="zh-CN"/>
        </w:rPr>
        <w:t>“完善乡村发展布局。打造集约高效生产空间，加强粮食生产功能区、重要农产品生产保护区建设管护，严格永久基本农田划定和用途管制，科学划定养殖业禁养区域，促进不同类型产业集聚发展。”“</w:t>
      </w:r>
      <w:r>
        <w:rPr>
          <w:rFonts w:hint="eastAsia" w:ascii="宋体" w:hAnsi="宋体" w:eastAsia="宋体" w:cs="宋体"/>
          <w:highlight w:val="none"/>
        </w:rPr>
        <w:t>支持建设智慧农场、无人农场及“数字大米”项目，完善畜禽水产养殖、农产品产地初加工和肉类、水产品冷链配套设施。加快推进年出栏生猪1万头以上、存栏蛋鸡5万羽以上的规模养殖场养殖全程机械化，提高畜禽养殖圈舍环境调控、精准饲喂、生物安全防护、畜禽产品追溯等机械化、智能化水平。</w:t>
      </w:r>
      <w:r>
        <w:rPr>
          <w:rFonts w:hint="eastAsia" w:ascii="宋体" w:hAnsi="宋体" w:cs="宋体"/>
          <w:highlight w:val="none"/>
          <w:lang w:eastAsia="zh-CN"/>
        </w:rPr>
        <w:t>”“持续开展畜禽粪污资源化利用，完善病死畜禽无害化处理机制。”</w:t>
      </w:r>
    </w:p>
    <w:p>
      <w:pPr>
        <w:bidi w:val="0"/>
        <w:rPr>
          <w:highlight w:val="none"/>
        </w:rPr>
      </w:pPr>
      <w:r>
        <w:rPr>
          <w:rFonts w:hint="eastAsia" w:ascii="宋体" w:hAnsi="宋体" w:eastAsia="宋体" w:cs="宋体"/>
          <w:highlight w:val="none"/>
        </w:rPr>
        <w:t>本项目属于规模化、自动化、规范化的畜禽养殖项目，项目位于适养区，项目采用</w:t>
      </w:r>
      <w:r>
        <w:rPr>
          <w:rFonts w:hint="eastAsia" w:ascii="宋体" w:hAnsi="宋体" w:cs="宋体"/>
          <w:highlight w:val="none"/>
          <w:lang w:eastAsia="zh-CN"/>
        </w:rPr>
        <w:t>干清粪</w:t>
      </w:r>
      <w:r>
        <w:rPr>
          <w:rFonts w:hint="eastAsia" w:ascii="宋体" w:hAnsi="宋体" w:eastAsia="宋体" w:cs="宋体"/>
          <w:highlight w:val="none"/>
        </w:rPr>
        <w:t>处理工艺，</w:t>
      </w:r>
      <w:r>
        <w:rPr>
          <w:rFonts w:hint="eastAsia" w:ascii="宋体" w:hAnsi="宋体" w:cs="宋体"/>
          <w:highlight w:val="none"/>
          <w:lang w:eastAsia="zh-CN"/>
        </w:rPr>
        <w:t>采取</w:t>
      </w:r>
      <w:r>
        <w:rPr>
          <w:rFonts w:hint="eastAsia" w:ascii="宋体" w:hAnsi="宋体" w:eastAsia="宋体" w:cs="宋体"/>
          <w:highlight w:val="none"/>
        </w:rPr>
        <w:t>固液分离，</w:t>
      </w:r>
      <w:r>
        <w:rPr>
          <w:rFonts w:hint="eastAsia"/>
          <w:highlight w:val="none"/>
        </w:rPr>
        <w:t>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w:t>
      </w:r>
      <w:r>
        <w:rPr>
          <w:rFonts w:hint="eastAsia" w:ascii="宋体" w:hAnsi="宋体" w:eastAsia="宋体" w:cs="宋体"/>
          <w:highlight w:val="none"/>
        </w:rPr>
        <w:t>废水进入污水处理站内处理达标后用于周围</w:t>
      </w:r>
      <w:r>
        <w:rPr>
          <w:rFonts w:hint="eastAsia" w:ascii="宋体" w:hAnsi="宋体" w:cs="宋体"/>
          <w:highlight w:val="none"/>
          <w:lang w:eastAsia="zh-CN"/>
        </w:rPr>
        <w:t>林地灌溉</w:t>
      </w:r>
      <w:r>
        <w:rPr>
          <w:rFonts w:hint="eastAsia" w:ascii="宋体" w:hAnsi="宋体" w:eastAsia="宋体" w:cs="宋体"/>
          <w:highlight w:val="none"/>
        </w:rPr>
        <w:t>，实现资源化利用，实现生产废水零排放</w:t>
      </w:r>
      <w:r>
        <w:rPr>
          <w:highlight w:val="none"/>
        </w:rPr>
        <w:t>。</w:t>
      </w:r>
      <w:r>
        <w:rPr>
          <w:rFonts w:hint="eastAsia"/>
          <w:highlight w:val="none"/>
        </w:rPr>
        <w:t>病死猪当天委托当地畜禽无害化处理中心清运和处理，不在厂内暂存</w:t>
      </w:r>
      <w:r>
        <w:rPr>
          <w:rFonts w:hint="eastAsia" w:ascii="宋体" w:hAnsi="宋体" w:eastAsia="宋体" w:cs="宋体"/>
          <w:highlight w:val="none"/>
        </w:rPr>
        <w:t>。因此，本项目的建设符合《湖南省“十四五”农业农村现代化规划》的要求。</w:t>
      </w:r>
    </w:p>
    <w:p>
      <w:pPr>
        <w:pStyle w:val="5"/>
        <w:bidi w:val="0"/>
        <w:rPr>
          <w:highlight w:val="none"/>
        </w:rPr>
      </w:pPr>
      <w:r>
        <w:rPr>
          <w:highlight w:val="none"/>
        </w:rPr>
        <w:t>1</w:t>
      </w:r>
      <w:r>
        <w:rPr>
          <w:rFonts w:hint="eastAsia"/>
          <w:highlight w:val="none"/>
          <w:lang w:val="en-US" w:eastAsia="zh-CN"/>
        </w:rPr>
        <w:t>.4</w:t>
      </w:r>
      <w:r>
        <w:rPr>
          <w:highlight w:val="none"/>
        </w:rPr>
        <w:t>.3  选址可行性分析</w:t>
      </w:r>
    </w:p>
    <w:p>
      <w:pPr>
        <w:pStyle w:val="6"/>
        <w:bidi w:val="0"/>
        <w:rPr>
          <w:highlight w:val="none"/>
        </w:rPr>
      </w:pPr>
      <w:r>
        <w:rPr>
          <w:highlight w:val="none"/>
        </w:rPr>
        <w:t>1</w:t>
      </w:r>
      <w:r>
        <w:rPr>
          <w:rFonts w:hint="eastAsia"/>
          <w:highlight w:val="none"/>
          <w:lang w:val="en-US" w:eastAsia="zh-CN"/>
        </w:rPr>
        <w:t>.4</w:t>
      </w:r>
      <w:r>
        <w:rPr>
          <w:highlight w:val="none"/>
        </w:rPr>
        <w:t>.3.1  土地利用规划的符合性</w:t>
      </w:r>
    </w:p>
    <w:p>
      <w:pPr>
        <w:bidi w:val="0"/>
        <w:rPr>
          <w:highlight w:val="none"/>
        </w:rPr>
      </w:pPr>
      <w:r>
        <w:rPr>
          <w:highlight w:val="none"/>
        </w:rPr>
        <w:t>本项目位于</w:t>
      </w:r>
      <w:r>
        <w:rPr>
          <w:rFonts w:hint="eastAsia"/>
          <w:highlight w:val="none"/>
          <w:lang w:eastAsia="zh-CN"/>
        </w:rPr>
        <w:t>岳阳市华容县东山镇长岗庙村9组002号</w:t>
      </w:r>
      <w:r>
        <w:rPr>
          <w:highlight w:val="none"/>
        </w:rPr>
        <w:t>，项目所在地的环境为典型的农村环境。</w:t>
      </w:r>
      <w:r>
        <w:rPr>
          <w:rFonts w:hint="eastAsia"/>
          <w:highlight w:val="none"/>
          <w:lang w:eastAsia="zh-CN"/>
        </w:rPr>
        <w:t>本项目</w:t>
      </w:r>
      <w:r>
        <w:rPr>
          <w:rFonts w:hint="eastAsia"/>
          <w:highlight w:val="none"/>
        </w:rPr>
        <w:t>不违反</w:t>
      </w:r>
      <w:r>
        <w:rPr>
          <w:rFonts w:hint="eastAsia"/>
          <w:highlight w:val="none"/>
          <w:lang w:val="en-US" w:eastAsia="zh-CN"/>
        </w:rPr>
        <w:t>《</w:t>
      </w:r>
      <w:r>
        <w:rPr>
          <w:rFonts w:hint="eastAsia" w:ascii="Arial" w:hAnsi="Arial" w:eastAsia="Arial" w:cs="Arial"/>
          <w:i w:val="0"/>
          <w:iCs w:val="0"/>
          <w:caps w:val="0"/>
          <w:color w:val="191919"/>
          <w:spacing w:val="0"/>
          <w:sz w:val="24"/>
          <w:szCs w:val="24"/>
          <w:highlight w:val="none"/>
          <w:shd w:val="clear" w:fill="FFFFFF"/>
        </w:rPr>
        <w:t>自然资源开发利用限制和禁止目录（2021年本）</w:t>
      </w:r>
      <w:r>
        <w:rPr>
          <w:rFonts w:hint="eastAsia"/>
          <w:highlight w:val="none"/>
          <w:lang w:val="en-US" w:eastAsia="zh-CN"/>
        </w:rPr>
        <w:t>》</w:t>
      </w:r>
      <w:r>
        <w:rPr>
          <w:rFonts w:hint="eastAsia"/>
          <w:highlight w:val="none"/>
        </w:rPr>
        <w:t>的规定，符合国家土地政策要求。</w:t>
      </w:r>
    </w:p>
    <w:p>
      <w:pPr>
        <w:pStyle w:val="6"/>
        <w:bidi w:val="0"/>
        <w:rPr>
          <w:highlight w:val="none"/>
          <w:u w:val="none"/>
        </w:rPr>
      </w:pPr>
      <w:r>
        <w:rPr>
          <w:highlight w:val="none"/>
          <w:u w:val="none"/>
        </w:rPr>
        <w:t>1</w:t>
      </w:r>
      <w:r>
        <w:rPr>
          <w:rFonts w:hint="eastAsia"/>
          <w:highlight w:val="none"/>
          <w:u w:val="none"/>
          <w:lang w:val="en-US" w:eastAsia="zh-CN"/>
        </w:rPr>
        <w:t>.4</w:t>
      </w:r>
      <w:r>
        <w:rPr>
          <w:highlight w:val="none"/>
          <w:u w:val="none"/>
        </w:rPr>
        <w:t>.3.2  与 《畜禽养殖业污染防治技术规范》</w:t>
      </w:r>
      <w:r>
        <w:rPr>
          <w:rFonts w:hint="eastAsia"/>
          <w:highlight w:val="none"/>
          <w:u w:val="none"/>
        </w:rPr>
        <w:t>（HJ/T 81-2001）</w:t>
      </w:r>
      <w:r>
        <w:rPr>
          <w:highlight w:val="none"/>
          <w:u w:val="none"/>
        </w:rPr>
        <w:t xml:space="preserve"> 中选址符合性分析</w:t>
      </w:r>
    </w:p>
    <w:p>
      <w:pPr>
        <w:bidi w:val="0"/>
        <w:rPr>
          <w:highlight w:val="none"/>
          <w:u w:val="none"/>
        </w:rPr>
      </w:pPr>
      <w:r>
        <w:rPr>
          <w:highlight w:val="none"/>
          <w:u w:val="none"/>
        </w:rPr>
        <w:t>根据《畜禽养殖业污染防治技术规范》</w:t>
      </w:r>
      <w:r>
        <w:rPr>
          <w:rFonts w:hint="eastAsia"/>
          <w:highlight w:val="none"/>
          <w:u w:val="none"/>
          <w:lang w:eastAsia="zh-CN"/>
        </w:rPr>
        <w:t>（</w:t>
      </w:r>
      <w:r>
        <w:rPr>
          <w:rFonts w:hint="eastAsia"/>
          <w:highlight w:val="none"/>
          <w:u w:val="none"/>
        </w:rPr>
        <w:t>HJ/T 81-2001</w:t>
      </w:r>
      <w:r>
        <w:rPr>
          <w:rFonts w:hint="eastAsia"/>
          <w:highlight w:val="none"/>
          <w:u w:val="none"/>
          <w:lang w:eastAsia="zh-CN"/>
        </w:rPr>
        <w:t>）</w:t>
      </w:r>
      <w:r>
        <w:rPr>
          <w:highlight w:val="none"/>
          <w:u w:val="none"/>
        </w:rPr>
        <w:t>，畜禽养殖业选址必须符合下列要求：</w:t>
      </w:r>
    </w:p>
    <w:p>
      <w:pPr>
        <w:bidi w:val="0"/>
        <w:rPr>
          <w:highlight w:val="none"/>
          <w:u w:val="none"/>
        </w:rPr>
      </w:pPr>
      <w:r>
        <w:rPr>
          <w:highlight w:val="none"/>
          <w:u w:val="none"/>
        </w:rPr>
        <w:t>（1）禁止在下列区域内建设畜禽养殖场：</w:t>
      </w:r>
    </w:p>
    <w:p>
      <w:pPr>
        <w:bidi w:val="0"/>
        <w:rPr>
          <w:highlight w:val="none"/>
          <w:u w:val="none"/>
        </w:rPr>
      </w:pPr>
      <w:r>
        <w:rPr>
          <w:highlight w:val="none"/>
          <w:u w:val="none"/>
        </w:rPr>
        <w:t>①生活饮用水水源保护区、风景名胜区、自然保护区的核心区及缓冲区；</w:t>
      </w:r>
    </w:p>
    <w:p>
      <w:pPr>
        <w:bidi w:val="0"/>
        <w:rPr>
          <w:highlight w:val="none"/>
          <w:u w:val="none"/>
        </w:rPr>
      </w:pPr>
      <w:r>
        <w:rPr>
          <w:highlight w:val="none"/>
          <w:u w:val="none"/>
        </w:rPr>
        <w:t>②城市和城镇居民区，包括文教科研区、医疗区、商业区、工业区、游览区等人口集中地区；</w:t>
      </w:r>
    </w:p>
    <w:p>
      <w:pPr>
        <w:bidi w:val="0"/>
        <w:rPr>
          <w:highlight w:val="none"/>
          <w:u w:val="none"/>
        </w:rPr>
      </w:pPr>
      <w:r>
        <w:rPr>
          <w:highlight w:val="none"/>
          <w:u w:val="none"/>
        </w:rPr>
        <w:t>③县级人民政府依法划定的禁养区域；</w:t>
      </w:r>
    </w:p>
    <w:p>
      <w:pPr>
        <w:bidi w:val="0"/>
        <w:rPr>
          <w:highlight w:val="none"/>
          <w:u w:val="none"/>
        </w:rPr>
      </w:pPr>
      <w:r>
        <w:rPr>
          <w:highlight w:val="none"/>
          <w:u w:val="none"/>
        </w:rPr>
        <w:t>④国家或地方法律、法规规定需特殊保护的其它区域。</w:t>
      </w:r>
    </w:p>
    <w:p>
      <w:pPr>
        <w:bidi w:val="0"/>
        <w:rPr>
          <w:highlight w:val="none"/>
          <w:u w:val="none"/>
        </w:rPr>
      </w:pPr>
      <w:r>
        <w:rPr>
          <w:highlight w:val="none"/>
          <w:u w:val="none"/>
        </w:rPr>
        <w:t>（2）新建改建、扩建的畜禽养殖场选址应避开（1）中规定的禁建区域，在禁建区域附近建设的，应设在（1）中规定的禁建区域常年主导风向的下风向或侧风向处，场界与禁建区域边界的最小距离不得小于500m。</w:t>
      </w:r>
    </w:p>
    <w:p>
      <w:pPr>
        <w:pStyle w:val="7"/>
        <w:bidi w:val="0"/>
        <w:rPr>
          <w:highlight w:val="none"/>
          <w:u w:val="none"/>
        </w:rPr>
      </w:pPr>
      <w:r>
        <w:rPr>
          <w:highlight w:val="none"/>
          <w:u w:val="none"/>
        </w:rPr>
        <w:t>表1</w:t>
      </w:r>
      <w:r>
        <w:rPr>
          <w:rFonts w:hint="eastAsia"/>
          <w:highlight w:val="none"/>
          <w:u w:val="none"/>
          <w:lang w:val="en-US" w:eastAsia="zh-CN"/>
        </w:rPr>
        <w:t>.4</w:t>
      </w:r>
      <w:r>
        <w:rPr>
          <w:highlight w:val="none"/>
          <w:u w:val="none"/>
        </w:rPr>
        <w:t>-</w:t>
      </w:r>
      <w:r>
        <w:rPr>
          <w:rFonts w:hint="eastAsia"/>
          <w:highlight w:val="none"/>
          <w:u w:val="none"/>
          <w:lang w:val="en-US" w:eastAsia="zh-CN"/>
        </w:rPr>
        <w:t>6</w:t>
      </w:r>
      <w:r>
        <w:rPr>
          <w:highlight w:val="none"/>
          <w:u w:val="none"/>
        </w:rPr>
        <w:t xml:space="preserve">  本项目场址与选址要求的符合性分析表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009"/>
        <w:gridCol w:w="3876"/>
        <w:gridCol w:w="9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选址条件</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本项目情况</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禁止在生活饮用水水源保护区、风景名胜区、自然保护区的核心区及缓冲区建设</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本项目所在地不是生活饮用水水源保护区、风景名胜区、自然保护区的核心区及缓冲区</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禁止城市和城镇居民区，包括文教科研区、医疗区、商业区、工业区、游览区等人口集中地区建设</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本项目所在地不位于城市和城镇居民区</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禁止在县级人民政府依法划定的禁养区域建设</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本项目所在地不是县级人民政府依法划定的禁养区域</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禁止在国家或地方法律、法规规定需特殊保护的其它区域建设</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本项目所在地不属于国家或地方法律、法规规定需特殊保护的其它区域</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场界与禁建区域边界的最小距离不得小于500m</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本项目周围500m范围内无禁建区</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none"/>
              </w:rPr>
            </w:pPr>
            <w:r>
              <w:rPr>
                <w:rFonts w:hint="default" w:ascii="Times New Roman" w:hAnsi="Times New Roman" w:eastAsia="宋体" w:cs="Times New Roman"/>
                <w:snapToGrid w:val="0"/>
                <w:color w:val="000000"/>
                <w:spacing w:val="0"/>
                <w:kern w:val="0"/>
                <w:sz w:val="21"/>
                <w:szCs w:val="21"/>
                <w:highlight w:val="none"/>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2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single"/>
              </w:rPr>
            </w:pPr>
            <w:r>
              <w:rPr>
                <w:rFonts w:hint="default" w:ascii="Times New Roman" w:hAnsi="Times New Roman" w:eastAsia="宋体" w:cs="Times New Roman"/>
                <w:snapToGrid w:val="0"/>
                <w:color w:val="000000"/>
                <w:spacing w:val="0"/>
                <w:kern w:val="0"/>
                <w:sz w:val="21"/>
                <w:szCs w:val="21"/>
                <w:highlight w:val="none"/>
                <w:u w:val="none"/>
              </w:rPr>
              <w:t>畜禽养殖场产生的畜禽粪便贮存设施的位置必须远离各类功能地表水体</w:t>
            </w:r>
            <w:r>
              <w:rPr>
                <w:rFonts w:hint="eastAsia" w:cs="Times New Roman"/>
                <w:snapToGrid w:val="0"/>
                <w:color w:val="000000"/>
                <w:spacing w:val="0"/>
                <w:kern w:val="0"/>
                <w:sz w:val="21"/>
                <w:szCs w:val="21"/>
                <w:highlight w:val="none"/>
                <w:u w:val="none"/>
                <w:lang w:eastAsia="zh-CN"/>
              </w:rPr>
              <w:t>（</w:t>
            </w:r>
            <w:r>
              <w:rPr>
                <w:rFonts w:hint="default" w:ascii="Times New Roman" w:hAnsi="Times New Roman" w:eastAsia="宋体" w:cs="Times New Roman"/>
                <w:snapToGrid w:val="0"/>
                <w:color w:val="000000"/>
                <w:spacing w:val="0"/>
                <w:kern w:val="0"/>
                <w:sz w:val="21"/>
                <w:szCs w:val="21"/>
                <w:highlight w:val="none"/>
                <w:u w:val="none"/>
              </w:rPr>
              <w:t>距离不得小于400m</w:t>
            </w:r>
            <w:r>
              <w:rPr>
                <w:rFonts w:hint="eastAsia" w:cs="Times New Roman"/>
                <w:snapToGrid w:val="0"/>
                <w:color w:val="000000"/>
                <w:spacing w:val="0"/>
                <w:kern w:val="0"/>
                <w:sz w:val="21"/>
                <w:szCs w:val="21"/>
                <w:highlight w:val="none"/>
                <w:u w:val="none"/>
                <w:lang w:eastAsia="zh-CN"/>
              </w:rPr>
              <w:t>）</w:t>
            </w:r>
            <w:r>
              <w:rPr>
                <w:rFonts w:hint="default" w:ascii="Times New Roman" w:hAnsi="Times New Roman" w:eastAsia="宋体" w:cs="Times New Roman"/>
                <w:snapToGrid w:val="0"/>
                <w:color w:val="000000"/>
                <w:spacing w:val="0"/>
                <w:kern w:val="0"/>
                <w:sz w:val="21"/>
                <w:szCs w:val="21"/>
                <w:highlight w:val="none"/>
                <w:u w:val="none"/>
              </w:rPr>
              <w:t>，并应设在养殖场生产及生活管理区的常年主导风向的下风向或侧风向处</w:t>
            </w:r>
          </w:p>
        </w:tc>
        <w:tc>
          <w:tcPr>
            <w:tcW w:w="21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single"/>
              </w:rPr>
            </w:pPr>
            <w:r>
              <w:rPr>
                <w:rFonts w:hint="default" w:ascii="Times New Roman" w:hAnsi="Times New Roman" w:eastAsia="宋体" w:cs="Times New Roman"/>
                <w:snapToGrid w:val="0"/>
                <w:color w:val="000000"/>
                <w:spacing w:val="0"/>
                <w:kern w:val="0"/>
                <w:sz w:val="21"/>
                <w:szCs w:val="21"/>
                <w:highlight w:val="none"/>
                <w:u w:val="single"/>
              </w:rPr>
              <w:t>项目</w:t>
            </w:r>
            <w:r>
              <w:rPr>
                <w:rFonts w:hint="eastAsia" w:cs="Times New Roman"/>
                <w:snapToGrid w:val="0"/>
                <w:color w:val="000000"/>
                <w:spacing w:val="0"/>
                <w:kern w:val="0"/>
                <w:sz w:val="21"/>
                <w:szCs w:val="21"/>
                <w:highlight w:val="none"/>
                <w:u w:val="single"/>
                <w:lang w:eastAsia="zh-CN"/>
              </w:rPr>
              <w:t>北</w:t>
            </w:r>
            <w:r>
              <w:rPr>
                <w:rFonts w:hint="default" w:ascii="Times New Roman" w:hAnsi="Times New Roman" w:eastAsia="宋体" w:cs="Times New Roman"/>
                <w:snapToGrid w:val="0"/>
                <w:color w:val="000000"/>
                <w:spacing w:val="0"/>
                <w:kern w:val="0"/>
                <w:sz w:val="21"/>
                <w:szCs w:val="21"/>
                <w:highlight w:val="none"/>
                <w:u w:val="single"/>
              </w:rPr>
              <w:t>面农灌渠不属于功能地表水体，项目</w:t>
            </w:r>
            <w:r>
              <w:rPr>
                <w:rFonts w:hint="eastAsia" w:cs="Times New Roman"/>
                <w:snapToGrid w:val="0"/>
                <w:color w:val="000000"/>
                <w:spacing w:val="0"/>
                <w:kern w:val="0"/>
                <w:sz w:val="21"/>
                <w:szCs w:val="21"/>
                <w:highlight w:val="none"/>
                <w:u w:val="single"/>
                <w:lang w:eastAsia="zh-CN"/>
              </w:rPr>
              <w:t>东北面</w:t>
            </w:r>
            <w:r>
              <w:rPr>
                <w:rFonts w:hint="eastAsia" w:cs="Times New Roman"/>
                <w:snapToGrid w:val="0"/>
                <w:color w:val="000000"/>
                <w:spacing w:val="0"/>
                <w:kern w:val="0"/>
                <w:sz w:val="21"/>
                <w:szCs w:val="21"/>
                <w:highlight w:val="none"/>
                <w:u w:val="single"/>
                <w:lang w:val="en-US" w:eastAsia="zh-CN"/>
              </w:rPr>
              <w:t>320米处存在一个</w:t>
            </w:r>
            <w:r>
              <w:rPr>
                <w:rFonts w:hint="default" w:ascii="Times New Roman" w:hAnsi="Times New Roman" w:eastAsia="宋体" w:cs="Times New Roman"/>
                <w:snapToGrid w:val="0"/>
                <w:color w:val="000000"/>
                <w:spacing w:val="0"/>
                <w:kern w:val="0"/>
                <w:sz w:val="21"/>
                <w:szCs w:val="21"/>
                <w:highlight w:val="none"/>
                <w:u w:val="single"/>
              </w:rPr>
              <w:t>白龙湾水库，</w:t>
            </w:r>
            <w:r>
              <w:rPr>
                <w:rFonts w:hint="eastAsia" w:cs="Times New Roman"/>
                <w:snapToGrid w:val="0"/>
                <w:color w:val="000000"/>
                <w:spacing w:val="0"/>
                <w:kern w:val="0"/>
                <w:sz w:val="21"/>
                <w:szCs w:val="21"/>
                <w:highlight w:val="none"/>
                <w:u w:val="single"/>
                <w:lang w:eastAsia="zh-CN"/>
              </w:rPr>
              <w:t>由于项目与</w:t>
            </w:r>
            <w:r>
              <w:rPr>
                <w:rFonts w:hint="default" w:ascii="Times New Roman" w:hAnsi="Times New Roman" w:eastAsia="宋体" w:cs="Times New Roman"/>
                <w:snapToGrid w:val="0"/>
                <w:color w:val="000000"/>
                <w:spacing w:val="0"/>
                <w:kern w:val="0"/>
                <w:sz w:val="21"/>
                <w:szCs w:val="21"/>
                <w:highlight w:val="none"/>
                <w:u w:val="single"/>
              </w:rPr>
              <w:t>白龙湾水库</w:t>
            </w:r>
            <w:r>
              <w:rPr>
                <w:rFonts w:hint="eastAsia" w:cs="Times New Roman"/>
                <w:snapToGrid w:val="0"/>
                <w:color w:val="000000"/>
                <w:spacing w:val="0"/>
                <w:kern w:val="0"/>
                <w:sz w:val="21"/>
                <w:szCs w:val="21"/>
                <w:highlight w:val="none"/>
                <w:u w:val="single"/>
                <w:lang w:eastAsia="zh-CN"/>
              </w:rPr>
              <w:t>之间有山地阻隔，本项目与山体高差为</w:t>
            </w:r>
            <w:r>
              <w:rPr>
                <w:rFonts w:hint="eastAsia" w:cs="Times New Roman"/>
                <w:snapToGrid w:val="0"/>
                <w:color w:val="000000"/>
                <w:spacing w:val="0"/>
                <w:kern w:val="0"/>
                <w:sz w:val="21"/>
                <w:szCs w:val="21"/>
                <w:highlight w:val="none"/>
                <w:u w:val="single"/>
                <w:lang w:val="en-US" w:eastAsia="zh-CN"/>
              </w:rPr>
              <w:t>16m，且白龙湾水库位于</w:t>
            </w:r>
            <w:r>
              <w:rPr>
                <w:rFonts w:hint="eastAsia" w:cs="Times New Roman"/>
                <w:snapToGrid w:val="0"/>
                <w:color w:val="000000"/>
                <w:spacing w:val="0"/>
                <w:kern w:val="0"/>
                <w:sz w:val="21"/>
                <w:szCs w:val="21"/>
                <w:highlight w:val="none"/>
                <w:u w:val="single"/>
                <w:lang w:eastAsia="zh-CN"/>
              </w:rPr>
              <w:t>项目上游，项目</w:t>
            </w:r>
            <w:r>
              <w:rPr>
                <w:rFonts w:hint="default" w:ascii="Times New Roman" w:hAnsi="Times New Roman" w:eastAsia="宋体" w:cs="Times New Roman"/>
                <w:snapToGrid w:val="0"/>
                <w:color w:val="000000"/>
                <w:spacing w:val="0"/>
                <w:kern w:val="0"/>
                <w:sz w:val="21"/>
                <w:szCs w:val="21"/>
                <w:highlight w:val="none"/>
                <w:u w:val="single"/>
              </w:rPr>
              <w:t>畜禽粪便贮存设施</w:t>
            </w:r>
            <w:r>
              <w:rPr>
                <w:rFonts w:hint="eastAsia" w:cs="Times New Roman"/>
                <w:snapToGrid w:val="0"/>
                <w:color w:val="000000"/>
                <w:spacing w:val="0"/>
                <w:kern w:val="0"/>
                <w:sz w:val="21"/>
                <w:szCs w:val="21"/>
                <w:highlight w:val="none"/>
                <w:u w:val="single"/>
                <w:lang w:eastAsia="zh-CN"/>
              </w:rPr>
              <w:t>对</w:t>
            </w:r>
            <w:r>
              <w:rPr>
                <w:rFonts w:hint="default" w:ascii="Times New Roman" w:hAnsi="Times New Roman" w:eastAsia="宋体" w:cs="Times New Roman"/>
                <w:snapToGrid w:val="0"/>
                <w:color w:val="000000"/>
                <w:spacing w:val="0"/>
                <w:kern w:val="0"/>
                <w:sz w:val="21"/>
                <w:szCs w:val="21"/>
                <w:highlight w:val="none"/>
                <w:u w:val="single"/>
              </w:rPr>
              <w:t>白龙湾水库</w:t>
            </w:r>
            <w:r>
              <w:rPr>
                <w:rFonts w:hint="eastAsia" w:cs="Times New Roman"/>
                <w:snapToGrid w:val="0"/>
                <w:color w:val="000000"/>
                <w:spacing w:val="0"/>
                <w:kern w:val="0"/>
                <w:sz w:val="21"/>
                <w:szCs w:val="21"/>
                <w:highlight w:val="none"/>
                <w:u w:val="single"/>
                <w:lang w:eastAsia="zh-CN"/>
              </w:rPr>
              <w:t>影响较小。</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kern w:val="0"/>
                <w:sz w:val="21"/>
                <w:szCs w:val="21"/>
                <w:highlight w:val="none"/>
                <w:u w:val="single"/>
              </w:rPr>
            </w:pPr>
            <w:r>
              <w:rPr>
                <w:rFonts w:hint="default" w:ascii="Times New Roman" w:hAnsi="Times New Roman" w:eastAsia="宋体" w:cs="Times New Roman"/>
                <w:snapToGrid w:val="0"/>
                <w:color w:val="000000"/>
                <w:spacing w:val="0"/>
                <w:kern w:val="0"/>
                <w:sz w:val="21"/>
                <w:szCs w:val="21"/>
                <w:highlight w:val="none"/>
                <w:u w:val="single"/>
              </w:rPr>
              <w:t>符合</w:t>
            </w:r>
          </w:p>
        </w:tc>
      </w:tr>
    </w:tbl>
    <w:p>
      <w:pPr>
        <w:pStyle w:val="6"/>
        <w:bidi w:val="0"/>
        <w:rPr>
          <w:highlight w:val="none"/>
          <w:u w:val="none" w:color="auto"/>
        </w:rPr>
      </w:pPr>
      <w:r>
        <w:rPr>
          <w:highlight w:val="none"/>
          <w:u w:val="none" w:color="auto"/>
        </w:rPr>
        <w:t>1</w:t>
      </w:r>
      <w:r>
        <w:rPr>
          <w:rFonts w:hint="eastAsia"/>
          <w:highlight w:val="none"/>
          <w:u w:val="none" w:color="auto"/>
          <w:lang w:val="en-US" w:eastAsia="zh-CN"/>
        </w:rPr>
        <w:t>.4</w:t>
      </w:r>
      <w:r>
        <w:rPr>
          <w:highlight w:val="none"/>
          <w:u w:val="none" w:color="auto"/>
        </w:rPr>
        <w:t>.3.3  与《</w:t>
      </w:r>
      <w:r>
        <w:rPr>
          <w:rFonts w:hint="eastAsia"/>
          <w:highlight w:val="none"/>
          <w:u w:val="none" w:color="auto"/>
        </w:rPr>
        <w:t>华容县畜禽养殖禁养区限养区适养区划定方案</w:t>
      </w:r>
      <w:r>
        <w:rPr>
          <w:highlight w:val="none"/>
          <w:u w:val="none" w:color="auto"/>
        </w:rPr>
        <w:t>》符合性分析</w:t>
      </w:r>
    </w:p>
    <w:p>
      <w:pPr>
        <w:bidi w:val="0"/>
        <w:rPr>
          <w:rFonts w:hint="eastAsia"/>
          <w:highlight w:val="none"/>
          <w:u w:val="none" w:color="auto"/>
          <w:lang w:eastAsia="zh-CN"/>
        </w:rPr>
      </w:pPr>
      <w:r>
        <w:rPr>
          <w:highlight w:val="none"/>
          <w:u w:val="none" w:color="auto"/>
        </w:rPr>
        <w:t>根据《</w:t>
      </w:r>
      <w:r>
        <w:rPr>
          <w:rFonts w:hint="eastAsia"/>
          <w:highlight w:val="none"/>
          <w:u w:val="none" w:color="auto"/>
        </w:rPr>
        <w:t>华容县畜禽养殖禁养区限养区适养区划定方案</w:t>
      </w:r>
      <w:r>
        <w:rPr>
          <w:highlight w:val="none"/>
          <w:u w:val="none" w:color="auto"/>
        </w:rPr>
        <w:t>》</w:t>
      </w:r>
      <w:r>
        <w:rPr>
          <w:rFonts w:hint="eastAsia"/>
          <w:highlight w:val="none"/>
          <w:u w:val="none" w:color="auto"/>
          <w:lang w:eastAsia="zh-CN"/>
        </w:rPr>
        <w:t>（</w:t>
      </w:r>
      <w:r>
        <w:rPr>
          <w:rFonts w:hint="eastAsia"/>
          <w:highlight w:val="none"/>
          <w:u w:val="none" w:color="auto"/>
        </w:rPr>
        <w:t>华政办发〔2018〕23号</w:t>
      </w:r>
      <w:r>
        <w:rPr>
          <w:rFonts w:hint="eastAsia"/>
          <w:highlight w:val="none"/>
          <w:u w:val="none" w:color="auto"/>
          <w:lang w:eastAsia="zh-CN"/>
        </w:rPr>
        <w:t>）</w:t>
      </w:r>
      <w:r>
        <w:rPr>
          <w:highlight w:val="none"/>
          <w:u w:val="none" w:color="auto"/>
        </w:rPr>
        <w:t>，</w:t>
      </w:r>
      <w:r>
        <w:rPr>
          <w:rFonts w:hint="eastAsia"/>
          <w:highlight w:val="none"/>
          <w:u w:val="none" w:color="auto"/>
        </w:rPr>
        <w:t>华容县</w:t>
      </w:r>
      <w:r>
        <w:rPr>
          <w:highlight w:val="none"/>
          <w:u w:val="none" w:color="auto"/>
        </w:rPr>
        <w:t>划分了畜禽养殖禁养区</w:t>
      </w:r>
      <w:r>
        <w:rPr>
          <w:rFonts w:hint="eastAsia"/>
          <w:highlight w:val="none"/>
          <w:u w:val="none" w:color="auto"/>
          <w:lang w:eastAsia="zh-CN"/>
        </w:rPr>
        <w:t>和</w:t>
      </w:r>
      <w:r>
        <w:rPr>
          <w:highlight w:val="none"/>
          <w:u w:val="none" w:color="auto"/>
        </w:rPr>
        <w:t>限养区</w:t>
      </w:r>
      <w:r>
        <w:rPr>
          <w:rFonts w:hint="eastAsia"/>
          <w:highlight w:val="none"/>
          <w:u w:val="none" w:color="auto"/>
          <w:lang w:eastAsia="zh-CN"/>
        </w:rPr>
        <w:t>。</w:t>
      </w:r>
    </w:p>
    <w:p>
      <w:pPr>
        <w:bidi w:val="0"/>
        <w:rPr>
          <w:rFonts w:hint="eastAsia"/>
          <w:highlight w:val="none"/>
          <w:u w:val="none" w:color="auto"/>
          <w:lang w:eastAsia="zh-CN"/>
        </w:rPr>
      </w:pPr>
      <w:r>
        <w:rPr>
          <w:highlight w:val="none"/>
          <w:u w:val="none" w:color="auto"/>
        </w:rPr>
        <w:t>划定为畜禽养殖禁养范围的区域严禁新建、扩建畜禽规模养殖场、养殖小区。划定方案公布前在禁养范围内已建成的畜禽规模养殖场、养殖小区，根据国家法律、法规和县级以上人民政府文件要求逐步退出畜禽养殖，并拆除养殖设施</w:t>
      </w:r>
      <w:r>
        <w:rPr>
          <w:rFonts w:hint="eastAsia"/>
          <w:highlight w:val="none"/>
          <w:u w:val="none" w:color="auto"/>
          <w:lang w:eastAsia="zh-CN"/>
        </w:rPr>
        <w:t>；</w:t>
      </w:r>
    </w:p>
    <w:p>
      <w:pPr>
        <w:bidi w:val="0"/>
        <w:rPr>
          <w:rFonts w:hint="eastAsia"/>
          <w:highlight w:val="none"/>
          <w:u w:val="none" w:color="auto"/>
          <w:lang w:eastAsia="zh-CN"/>
        </w:rPr>
      </w:pPr>
      <w:r>
        <w:rPr>
          <w:highlight w:val="none"/>
          <w:u w:val="none" w:color="auto"/>
        </w:rPr>
        <w:t>划定为畜禽养殖限养范围的区域限定畜禽养殖数量，严禁新建、扩建畜禽规模养殖场、养殖小区。划定方案公布前在限养区范围内已建成的畜禽规模养殖场、养殖小区，根据国家法律、法规和县级以上人民政府文件要求逐步调减畜禽养殖数量或退出畜禽规模养殖。</w:t>
      </w:r>
    </w:p>
    <w:p>
      <w:pPr>
        <w:pStyle w:val="7"/>
        <w:bidi w:val="0"/>
        <w:rPr>
          <w:highlight w:val="none"/>
          <w:u w:val="none" w:color="auto"/>
        </w:rPr>
      </w:pPr>
      <w:r>
        <w:rPr>
          <w:highlight w:val="none"/>
          <w:u w:val="none" w:color="auto"/>
        </w:rPr>
        <w:t>表1</w:t>
      </w:r>
      <w:r>
        <w:rPr>
          <w:rFonts w:hint="eastAsia"/>
          <w:highlight w:val="none"/>
          <w:u w:val="none" w:color="auto"/>
          <w:lang w:val="en-US" w:eastAsia="zh-CN"/>
        </w:rPr>
        <w:t>.4</w:t>
      </w:r>
      <w:r>
        <w:rPr>
          <w:highlight w:val="none"/>
          <w:u w:val="none" w:color="auto"/>
        </w:rPr>
        <w:t>-</w:t>
      </w:r>
      <w:r>
        <w:rPr>
          <w:rFonts w:hint="eastAsia"/>
          <w:highlight w:val="none"/>
          <w:u w:val="none" w:color="auto"/>
          <w:lang w:val="en-US" w:eastAsia="zh-CN"/>
        </w:rPr>
        <w:t>7</w:t>
      </w:r>
      <w:r>
        <w:rPr>
          <w:highlight w:val="none"/>
          <w:u w:val="none" w:color="auto"/>
        </w:rPr>
        <w:t xml:space="preserve">  本项目场址与</w:t>
      </w:r>
      <w:r>
        <w:rPr>
          <w:rFonts w:hint="eastAsia"/>
          <w:highlight w:val="none"/>
          <w:u w:val="none" w:color="auto"/>
          <w:lang w:eastAsia="zh-CN"/>
        </w:rPr>
        <w:t>华容县</w:t>
      </w:r>
      <w:r>
        <w:rPr>
          <w:highlight w:val="none"/>
          <w:u w:val="none" w:color="auto"/>
        </w:rPr>
        <w:t>禁养区、限养区的符合性分析表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172"/>
        <w:gridCol w:w="1686"/>
        <w:gridCol w:w="9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5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划定范围</w:t>
            </w:r>
          </w:p>
        </w:tc>
        <w:tc>
          <w:tcPr>
            <w:tcW w:w="95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本项目情况</w:t>
            </w:r>
          </w:p>
        </w:tc>
        <w:tc>
          <w:tcPr>
            <w:tcW w:w="5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禁养区的划定：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1、生活饮用水源保护区：华一水库、东山水库、金鱼垱水库水域周边水平纵深1000米范围内，长江水源地、华容河水源地取水口上游3000米，下游200米堤岸水平纵深1000米范围内，农村集中式饮用水地下水源取水点周边水平纵深1000米范围内（具体范围详见华容县农村千人以上集中式饮用水源取水点名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2、风景名胜区、自然保护区：小墨山核电站站址、何长工故居、华容道、烈士陵园、白果树、明碧山革命纪念地、鼎山、博物馆、车轱山遗址、刘大夏墓、墨山、望夫山、七女峰、雷打岩、禹山、小墨山等风景名胜区用地范围及周边500米范围内；舵杆洲东洞庭湿地保护区、集成麋鹿自然保护区的核心区、缓冲区及周边500米范围内；桃花山生态保护区、东湖国家湿地公园保护区的核心区及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3、城市总体规划和乡镇中心集镇规划区域：县城城市总体规划和建设规划用地建成区范围及周边500米范围内；乡镇中心集镇总体规划和建设规划用地范围及周边500米范围内。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4、产业集聚区：三封工业园、石伏工业园和洪山头工业园规划用地范围及周边500米范围内。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5、主要交通道路：高速公路、荆岳铁路两侧各500米范围内。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6、水功能区：东湖、中西湖、下西湖、塌西湖（万庾镇、鲇鱼须镇）、赤眼湖、牛氏湖、罗帐湖、北汊湖、蔡田湖、东湾湖、大荆湖、沉塌湖等主要内湖堤岸水平纵深1000米范围内；长江堤岸水平纵深500米范围内，华容河、隆庆河、东浃河、胡子口河（注滋口镇）等主要江河两侧堤岸水平纵深1000米范围内；北汊水库（原南山乡）、板桥湖水库、马安水库、关山水库、佛寺水库、沙河水库库坝上游水域周边水平纵深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7、农村文化教育和科学研究区：农村学校、幼儿园、医院周边500米范围内。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8、国家基本农田保护区范围内。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9、种畜禽场周边1000米、动物无害化处理场所周边3000米范围内；动物屠宰加工场所、动物和动物产品集贸市场等周边500米范围内。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10、法律法规规定的其他禁养区域。</w:t>
            </w:r>
          </w:p>
        </w:tc>
        <w:tc>
          <w:tcPr>
            <w:tcW w:w="95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对照禁养区划定情况，本项目所在地均不在禁养区划定的范围内</w:t>
            </w:r>
          </w:p>
        </w:tc>
        <w:tc>
          <w:tcPr>
            <w:tcW w:w="5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5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none" w:color="auto"/>
                <w14:textFill>
                  <w14:solidFill>
                    <w14:schemeClr w14:val="tx1"/>
                  </w14:solidFill>
                </w14:textFill>
              </w:rPr>
              <w:t>限养区的划定：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1、生活饮用水源保护区外延限养区：生活饮用水源保护区畜禽养殖禁养区范围外延1000米范围内及乡镇其他生活饮用水源保护区外延500米范围内。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2、风景名胜区、自然保护区外延限养区：风景名胜区、自然保护区畜禽养殖禁养区范围外延500米范围内；县内其它风景名胜旅游资源评价分级为Ⅰ、Ⅱ级的旅游资源核心区域（具体地点详见华容县风景名胜旅游资源评价分级表）范围及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3、城市总体规划和乡镇中心集镇规划区域限养区：城市总体规划和乡镇中心集镇建设规划用地畜禽养殖禁养区外延1000米范围内。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4、农村文化教育和居民集中居住点限养区：农村学校、幼儿园、医院禁养区外延500米范围内，居民集中居住点周边500米范围内。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5、产业集聚区限养区：产业集聚区畜禽养殖禁养区范围外延500米范围内。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6、主要交通道路限养区：主要交通道路禁养区外延500米； S306省道、S202省道道路两侧500米范围内；所有县级主要公路两侧500米范围内。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7、水功能区限养区：水功能区畜禽养殖禁养区外延500米范围内。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8、过境河流沿岸限养区：洞庭湖、藕池河县境内堤岸水平纵深1000米范围内。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9、全县国家级、省级生态公益林保护区范围内。</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i w:val="0"/>
                <w:iCs w:val="0"/>
                <w:caps w:val="0"/>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10、蓄滞洪垸限养区：蓄滞洪垸不适宜发展畜禽规模养殖，严格控制新建大中型畜禽规模养殖场（具体范围详见华容县蓄滞洪垸名录）。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Times New Roman" w:hAnsi="Times New Roman" w:eastAsia="宋体" w:cs="Times New Roman"/>
                <w:snapToGrid w:val="0"/>
                <w:color w:val="000000" w:themeColor="text1"/>
                <w:spacing w:val="0"/>
                <w:kern w:val="0"/>
                <w:sz w:val="21"/>
                <w:szCs w:val="21"/>
                <w:highlight w:val="none"/>
                <w:u w:val="single" w:color="auto"/>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u w:val="none" w:color="auto"/>
                <w:shd w:val="clear" w:fill="FFFFFF"/>
                <w14:textFill>
                  <w14:solidFill>
                    <w14:schemeClr w14:val="tx1"/>
                  </w14:solidFill>
                </w14:textFill>
              </w:rPr>
              <w:t>11、周边水体无足够环境容量的区域以及实行污染物总量控制的区域。</w:t>
            </w:r>
          </w:p>
        </w:tc>
        <w:tc>
          <w:tcPr>
            <w:tcW w:w="95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singl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single" w:color="auto"/>
                <w14:textFill>
                  <w14:solidFill>
                    <w14:schemeClr w14:val="tx1"/>
                  </w14:solidFill>
                </w14:textFill>
              </w:rPr>
              <w:t>对照限养区划定情况，</w:t>
            </w:r>
            <w:r>
              <w:rPr>
                <w:rFonts w:hint="eastAsia" w:cs="Times New Roman"/>
                <w:snapToGrid w:val="0"/>
                <w:color w:val="000000" w:themeColor="text1"/>
                <w:spacing w:val="0"/>
                <w:kern w:val="0"/>
                <w:sz w:val="21"/>
                <w:szCs w:val="21"/>
                <w:highlight w:val="none"/>
                <w:u w:val="single" w:color="auto"/>
                <w:lang w:eastAsia="zh-CN"/>
                <w14:textFill>
                  <w14:solidFill>
                    <w14:schemeClr w14:val="tx1"/>
                  </w14:solidFill>
                </w14:textFill>
              </w:rPr>
              <w:t>本项目最近环境敏感点为北面</w:t>
            </w:r>
            <w:r>
              <w:rPr>
                <w:rFonts w:hint="eastAsia" w:cs="Times New Roman"/>
                <w:b w:val="0"/>
                <w:bCs w:val="0"/>
                <w:sz w:val="21"/>
                <w:szCs w:val="21"/>
                <w:highlight w:val="none"/>
                <w:u w:val="single" w:color="auto"/>
                <w:lang w:eastAsia="zh-CN"/>
              </w:rPr>
              <w:t>南泥湾</w:t>
            </w:r>
            <w:r>
              <w:rPr>
                <w:rFonts w:hint="default" w:ascii="Times New Roman" w:hAnsi="Times New Roman" w:eastAsia="宋体" w:cs="Times New Roman"/>
                <w:b w:val="0"/>
                <w:bCs w:val="0"/>
                <w:sz w:val="21"/>
                <w:szCs w:val="21"/>
                <w:highlight w:val="none"/>
                <w:u w:val="single" w:color="auto"/>
              </w:rPr>
              <w:t>居民</w:t>
            </w:r>
            <w:r>
              <w:rPr>
                <w:rFonts w:hint="eastAsia" w:cs="Times New Roman"/>
                <w:b w:val="0"/>
                <w:bCs w:val="0"/>
                <w:sz w:val="21"/>
                <w:szCs w:val="21"/>
                <w:highlight w:val="none"/>
                <w:u w:val="single" w:color="auto"/>
                <w:lang w:eastAsia="zh-CN"/>
              </w:rPr>
              <w:t>散户，约</w:t>
            </w:r>
            <w:r>
              <w:rPr>
                <w:rFonts w:hint="eastAsia" w:cs="Times New Roman"/>
                <w:b w:val="0"/>
                <w:bCs w:val="0"/>
                <w:sz w:val="21"/>
                <w:szCs w:val="21"/>
                <w:highlight w:val="none"/>
                <w:u w:val="single" w:color="auto"/>
                <w:lang w:val="en-US" w:eastAsia="zh-CN"/>
              </w:rPr>
              <w:t>4户，为零星散户，不属于</w:t>
            </w:r>
            <w:r>
              <w:rPr>
                <w:rFonts w:hint="default" w:ascii="Times New Roman" w:hAnsi="Times New Roman" w:eastAsia="宋体" w:cs="Times New Roman"/>
                <w:i w:val="0"/>
                <w:iCs w:val="0"/>
                <w:caps w:val="0"/>
                <w:color w:val="000000" w:themeColor="text1"/>
                <w:spacing w:val="0"/>
                <w:sz w:val="21"/>
                <w:szCs w:val="21"/>
                <w:highlight w:val="none"/>
                <w:u w:val="single" w:color="auto"/>
                <w:shd w:val="clear" w:fill="FFFFFF"/>
                <w14:textFill>
                  <w14:solidFill>
                    <w14:schemeClr w14:val="tx1"/>
                  </w14:solidFill>
                </w14:textFill>
              </w:rPr>
              <w:t>居民集中居住点</w:t>
            </w:r>
            <w:r>
              <w:rPr>
                <w:rFonts w:hint="eastAsia" w:cs="Times New Roman"/>
                <w:i w:val="0"/>
                <w:iCs w:val="0"/>
                <w:caps w:val="0"/>
                <w:color w:val="000000" w:themeColor="text1"/>
                <w:spacing w:val="0"/>
                <w:sz w:val="21"/>
                <w:szCs w:val="21"/>
                <w:highlight w:val="none"/>
                <w:u w:val="single" w:color="auto"/>
                <w:shd w:val="clear" w:fill="FFFFFF"/>
                <w:lang w:eastAsia="zh-CN"/>
                <w14:textFill>
                  <w14:solidFill>
                    <w14:schemeClr w14:val="tx1"/>
                  </w14:solidFill>
                </w14:textFill>
              </w:rPr>
              <w:t>，因此</w:t>
            </w:r>
            <w:r>
              <w:rPr>
                <w:rFonts w:hint="default" w:ascii="Times New Roman" w:hAnsi="Times New Roman" w:eastAsia="宋体" w:cs="Times New Roman"/>
                <w:snapToGrid w:val="0"/>
                <w:color w:val="000000" w:themeColor="text1"/>
                <w:spacing w:val="0"/>
                <w:kern w:val="0"/>
                <w:sz w:val="21"/>
                <w:szCs w:val="21"/>
                <w:highlight w:val="none"/>
                <w:u w:val="single" w:color="auto"/>
                <w14:textFill>
                  <w14:solidFill>
                    <w14:schemeClr w14:val="tx1"/>
                  </w14:solidFill>
                </w14:textFill>
              </w:rPr>
              <w:t>本项目所在地不在限养区划定的范围内</w:t>
            </w:r>
          </w:p>
        </w:tc>
        <w:tc>
          <w:tcPr>
            <w:tcW w:w="5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u w:val="single" w:color="auto"/>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u w:val="single" w:color="auto"/>
                <w14:textFill>
                  <w14:solidFill>
                    <w14:schemeClr w14:val="tx1"/>
                  </w14:solidFill>
                </w14:textFill>
              </w:rPr>
              <w:t>符合</w:t>
            </w:r>
          </w:p>
        </w:tc>
      </w:tr>
    </w:tbl>
    <w:p>
      <w:pPr>
        <w:bidi w:val="0"/>
        <w:rPr>
          <w:highlight w:val="none"/>
          <w:u w:val="none" w:color="auto"/>
        </w:rPr>
      </w:pPr>
      <w:r>
        <w:rPr>
          <w:highlight w:val="none"/>
          <w:u w:val="none" w:color="auto"/>
        </w:rPr>
        <w:t>根据表 1</w:t>
      </w:r>
      <w:r>
        <w:rPr>
          <w:rFonts w:hint="eastAsia"/>
          <w:highlight w:val="none"/>
          <w:u w:val="none" w:color="auto"/>
          <w:lang w:val="en-US" w:eastAsia="zh-CN"/>
        </w:rPr>
        <w:t>.4</w:t>
      </w:r>
      <w:r>
        <w:rPr>
          <w:highlight w:val="none"/>
          <w:u w:val="none" w:color="auto"/>
        </w:rPr>
        <w:t>-</w:t>
      </w:r>
      <w:r>
        <w:rPr>
          <w:rFonts w:hint="eastAsia"/>
          <w:highlight w:val="none"/>
          <w:u w:val="none" w:color="auto"/>
          <w:lang w:val="en-US" w:eastAsia="zh-CN"/>
        </w:rPr>
        <w:t>7</w:t>
      </w:r>
      <w:r>
        <w:rPr>
          <w:highlight w:val="none"/>
          <w:u w:val="none" w:color="auto"/>
        </w:rPr>
        <w:t xml:space="preserve"> 可知，本项目选址不</w:t>
      </w:r>
      <w:r>
        <w:rPr>
          <w:rFonts w:hint="eastAsia"/>
          <w:highlight w:val="none"/>
          <w:u w:val="none" w:color="auto"/>
          <w:lang w:eastAsia="zh-CN"/>
        </w:rPr>
        <w:t>在华容县</w:t>
      </w:r>
      <w:r>
        <w:rPr>
          <w:highlight w:val="none"/>
          <w:u w:val="none" w:color="auto"/>
        </w:rPr>
        <w:t>禁养区与限养区内，选址符合《</w:t>
      </w:r>
      <w:r>
        <w:rPr>
          <w:rFonts w:hint="eastAsia"/>
          <w:highlight w:val="none"/>
          <w:u w:val="none" w:color="auto"/>
        </w:rPr>
        <w:t>华容县畜禽养殖禁养区限养区适养区划定方案</w:t>
      </w:r>
      <w:r>
        <w:rPr>
          <w:highlight w:val="none"/>
          <w:u w:val="none" w:color="auto"/>
        </w:rPr>
        <w:t>》要求。</w:t>
      </w:r>
    </w:p>
    <w:p>
      <w:pPr>
        <w:pStyle w:val="6"/>
        <w:bidi w:val="0"/>
        <w:rPr>
          <w:highlight w:val="none"/>
        </w:rPr>
      </w:pPr>
      <w:r>
        <w:rPr>
          <w:highlight w:val="none"/>
        </w:rPr>
        <w:t>1</w:t>
      </w:r>
      <w:r>
        <w:rPr>
          <w:rFonts w:hint="eastAsia"/>
          <w:highlight w:val="none"/>
          <w:lang w:val="en-US" w:eastAsia="zh-CN"/>
        </w:rPr>
        <w:t>.4</w:t>
      </w:r>
      <w:r>
        <w:rPr>
          <w:highlight w:val="none"/>
        </w:rPr>
        <w:t>.3.4</w:t>
      </w:r>
      <w:r>
        <w:rPr>
          <w:rFonts w:hint="eastAsia"/>
          <w:highlight w:val="none"/>
          <w:lang w:val="en-US" w:eastAsia="zh-CN"/>
        </w:rPr>
        <w:t xml:space="preserve"> </w:t>
      </w:r>
      <w:r>
        <w:rPr>
          <w:highlight w:val="none"/>
        </w:rPr>
        <w:t xml:space="preserve"> </w:t>
      </w:r>
      <w:r>
        <w:rPr>
          <w:rFonts w:hint="eastAsia" w:ascii="宋体" w:hAnsi="宋体" w:eastAsia="宋体" w:cs="宋体"/>
          <w:highlight w:val="none"/>
        </w:rPr>
        <w:t>“三线一单”</w:t>
      </w:r>
      <w:r>
        <w:rPr>
          <w:highlight w:val="none"/>
        </w:rPr>
        <w:t>相符性分析</w:t>
      </w:r>
    </w:p>
    <w:p>
      <w:pPr>
        <w:bidi w:val="0"/>
        <w:rPr>
          <w:highlight w:val="none"/>
        </w:rPr>
      </w:pPr>
      <w:r>
        <w:rPr>
          <w:highlight w:val="none"/>
        </w:rPr>
        <w:t>本项目与</w:t>
      </w:r>
      <w:r>
        <w:rPr>
          <w:rFonts w:hint="eastAsia" w:ascii="宋体" w:hAnsi="宋体" w:eastAsia="宋体" w:cs="宋体"/>
          <w:highlight w:val="none"/>
        </w:rPr>
        <w:t>“三线一单”</w:t>
      </w:r>
      <w:r>
        <w:rPr>
          <w:highlight w:val="none"/>
        </w:rPr>
        <w:t>文件相符性分析具体见下表</w:t>
      </w:r>
      <w:r>
        <w:rPr>
          <w:rFonts w:hint="eastAsia"/>
          <w:highlight w:val="none"/>
          <w:lang w:val="en-US" w:eastAsia="zh-CN"/>
        </w:rPr>
        <w:t>1.4-8</w:t>
      </w:r>
      <w:r>
        <w:rPr>
          <w:highlight w:val="none"/>
        </w:rPr>
        <w:t>。</w:t>
      </w:r>
    </w:p>
    <w:p>
      <w:pPr>
        <w:pStyle w:val="7"/>
        <w:bidi w:val="0"/>
        <w:rPr>
          <w:highlight w:val="none"/>
        </w:rPr>
      </w:pPr>
      <w:r>
        <w:rPr>
          <w:highlight w:val="none"/>
        </w:rPr>
        <w:t>表1</w:t>
      </w:r>
      <w:r>
        <w:rPr>
          <w:rFonts w:hint="eastAsia"/>
          <w:highlight w:val="none"/>
          <w:lang w:val="en-US" w:eastAsia="zh-CN"/>
        </w:rPr>
        <w:t>.4</w:t>
      </w:r>
      <w:r>
        <w:rPr>
          <w:highlight w:val="none"/>
        </w:rPr>
        <w:t>-</w:t>
      </w:r>
      <w:r>
        <w:rPr>
          <w:rFonts w:hint="eastAsia"/>
          <w:highlight w:val="none"/>
          <w:lang w:val="en-US" w:eastAsia="zh-CN"/>
        </w:rPr>
        <w:t>8</w:t>
      </w:r>
      <w:r>
        <w:rPr>
          <w:highlight w:val="none"/>
        </w:rPr>
        <w:t xml:space="preserve">  项目与“三线一单”文件相符性分析</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305"/>
        <w:gridCol w:w="3993"/>
        <w:gridCol w:w="5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类别</w:t>
            </w:r>
          </w:p>
        </w:tc>
        <w:tc>
          <w:tcPr>
            <w:tcW w:w="226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项目与</w:t>
            </w: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“三线一单”文</w:t>
            </w: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件相符性分析</w:t>
            </w:r>
          </w:p>
        </w:tc>
        <w:tc>
          <w:tcPr>
            <w:tcW w:w="2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生态保护红线</w:t>
            </w:r>
            <w:r>
              <w:rPr>
                <w:rFonts w:hint="default" w:ascii="Times New Roman" w:hAnsi="Times New Roman" w:eastAsia="宋体" w:cs="Times New Roman"/>
                <w:sz w:val="21"/>
                <w:szCs w:val="21"/>
                <w:highlight w:val="none"/>
                <w:lang w:eastAsia="zh-CN"/>
              </w:rPr>
              <w:t>：</w:t>
            </w:r>
          </w:p>
          <w:p>
            <w:pPr>
              <w:pStyle w:val="24"/>
              <w:spacing w:line="240" w:lineRule="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岳阳市总面积为14884.72平方公里，目前划定红线面积为3386.58平方公里，占国土面积的22.75%。“划定生态保护红线，将为全市生态保护与建设、自然资源有序开发和产业合理布局提供重要支撑，有利逐步形成具有岳阳特色的生态保护空间格局”。</w:t>
            </w:r>
          </w:p>
        </w:tc>
        <w:tc>
          <w:tcPr>
            <w:tcW w:w="226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不在</w:t>
            </w:r>
            <w:r>
              <w:rPr>
                <w:rFonts w:hint="default" w:ascii="Times New Roman" w:hAnsi="Times New Roman" w:eastAsia="宋体" w:cs="Times New Roman"/>
                <w:snapToGrid w:val="0"/>
                <w:color w:val="000000" w:themeColor="text1"/>
                <w:spacing w:val="0"/>
                <w:kern w:val="0"/>
                <w:sz w:val="21"/>
                <w:szCs w:val="21"/>
                <w:highlight w:val="none"/>
                <w:lang w:eastAsia="zh-CN"/>
                <w14:textFill>
                  <w14:solidFill>
                    <w14:schemeClr w14:val="tx1"/>
                  </w14:solidFill>
                </w14:textFill>
              </w:rPr>
              <w:t>岳阳市华容县</w:t>
            </w: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生态红线范围内</w:t>
            </w:r>
          </w:p>
        </w:tc>
        <w:tc>
          <w:tcPr>
            <w:tcW w:w="2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环境质量底线</w:t>
            </w:r>
            <w:r>
              <w:rPr>
                <w:rFonts w:hint="default" w:ascii="Times New Roman" w:hAnsi="Times New Roman" w:eastAsia="宋体" w:cs="Times New Roman"/>
                <w:sz w:val="21"/>
                <w:szCs w:val="21"/>
                <w:highlight w:val="none"/>
                <w:lang w:eastAsia="zh-CN"/>
              </w:rPr>
              <w:t>：</w:t>
            </w:r>
          </w:p>
          <w:p>
            <w:pPr>
              <w:pStyle w:val="24"/>
              <w:spacing w:line="240" w:lineRule="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2"/>
                <w:sz w:val="21"/>
                <w:szCs w:val="21"/>
                <w:highlight w:val="none"/>
              </w:rPr>
              <w:t>环境质量底线是国家和地方设置</w:t>
            </w:r>
            <w:r>
              <w:rPr>
                <w:rFonts w:hint="default" w:ascii="Times New Roman" w:hAnsi="Times New Roman" w:eastAsia="宋体" w:cs="Times New Roman"/>
                <w:spacing w:val="-3"/>
                <w:sz w:val="21"/>
                <w:szCs w:val="21"/>
                <w:highlight w:val="none"/>
              </w:rPr>
              <w:t>的大气、水和土壤环境质量目标，也是改善环境质量的基准线。有关规划环评应落实区域环境质量目标管理要求，提</w:t>
            </w:r>
            <w:r>
              <w:rPr>
                <w:rFonts w:hint="default" w:ascii="Times New Roman" w:hAnsi="Times New Roman" w:eastAsia="宋体" w:cs="Times New Roman"/>
                <w:spacing w:val="10"/>
                <w:sz w:val="21"/>
                <w:szCs w:val="21"/>
                <w:highlight w:val="none"/>
              </w:rPr>
              <w:t>出区域或者行业污染物排放总量管控</w:t>
            </w:r>
            <w:r>
              <w:rPr>
                <w:rFonts w:hint="default" w:ascii="Times New Roman" w:hAnsi="Times New Roman" w:eastAsia="宋体" w:cs="Times New Roman"/>
                <w:spacing w:val="-3"/>
                <w:sz w:val="21"/>
                <w:szCs w:val="21"/>
                <w:highlight w:val="none"/>
              </w:rPr>
              <w:t>建议以及优化区域或行业发展布局、结构和规模的对策措施。项目环评应对照区域环境质量目标，深入分析预测项目建设对环境质量的影响，强化污染防治措施和污染物排放控制要求。</w:t>
            </w:r>
          </w:p>
        </w:tc>
        <w:tc>
          <w:tcPr>
            <w:tcW w:w="226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本项目营运后对区域内环境影响较小，环境质量可以保持现有水平</w:t>
            </w:r>
          </w:p>
        </w:tc>
        <w:tc>
          <w:tcPr>
            <w:tcW w:w="2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资源利用上线</w:t>
            </w:r>
            <w:r>
              <w:rPr>
                <w:rFonts w:hint="default" w:ascii="Times New Roman" w:hAnsi="Times New Roman" w:eastAsia="宋体" w:cs="Times New Roman"/>
                <w:sz w:val="21"/>
                <w:szCs w:val="21"/>
                <w:highlight w:val="none"/>
                <w:lang w:eastAsia="zh-CN"/>
              </w:rPr>
              <w:t>：</w:t>
            </w:r>
          </w:p>
          <w:p>
            <w:pPr>
              <w:pStyle w:val="24"/>
              <w:spacing w:line="240" w:lineRule="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4"/>
                <w:sz w:val="21"/>
                <w:szCs w:val="21"/>
                <w:highlight w:val="none"/>
              </w:rPr>
              <w:t>资源是环境的载体，资源利用上线</w:t>
            </w:r>
            <w:r>
              <w:rPr>
                <w:rFonts w:hint="default" w:ascii="Times New Roman" w:hAnsi="Times New Roman" w:eastAsia="宋体" w:cs="Times New Roman"/>
                <w:spacing w:val="8"/>
                <w:sz w:val="21"/>
                <w:szCs w:val="21"/>
                <w:highlight w:val="none"/>
              </w:rPr>
              <w:t xml:space="preserve"> </w:t>
            </w:r>
            <w:r>
              <w:rPr>
                <w:rFonts w:hint="default" w:ascii="Times New Roman" w:hAnsi="Times New Roman" w:eastAsia="宋体" w:cs="Times New Roman"/>
                <w:spacing w:val="-3"/>
                <w:sz w:val="21"/>
                <w:szCs w:val="21"/>
                <w:highlight w:val="none"/>
              </w:rPr>
              <w:t>是各地区能源、水、土地等资源消耗不</w:t>
            </w:r>
            <w:r>
              <w:rPr>
                <w:rFonts w:hint="default" w:ascii="Times New Roman" w:hAnsi="Times New Roman" w:eastAsia="宋体" w:cs="Times New Roman"/>
                <w:spacing w:val="7"/>
                <w:sz w:val="21"/>
                <w:szCs w:val="21"/>
                <w:highlight w:val="none"/>
              </w:rPr>
              <w:t xml:space="preserve"> </w:t>
            </w:r>
            <w:r>
              <w:rPr>
                <w:rFonts w:hint="default" w:ascii="Times New Roman" w:hAnsi="Times New Roman" w:eastAsia="宋体" w:cs="Times New Roman"/>
                <w:spacing w:val="-1"/>
                <w:sz w:val="21"/>
                <w:szCs w:val="21"/>
                <w:highlight w:val="none"/>
              </w:rPr>
              <w:t>得突破的“天花板”。</w:t>
            </w:r>
          </w:p>
        </w:tc>
        <w:tc>
          <w:tcPr>
            <w:tcW w:w="226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本项目采用</w:t>
            </w:r>
            <w:r>
              <w:rPr>
                <w:rFonts w:hint="eastAsia" w:cs="Times New Roman"/>
                <w:snapToGrid w:val="0"/>
                <w:color w:val="000000" w:themeColor="text1"/>
                <w:spacing w:val="0"/>
                <w:kern w:val="0"/>
                <w:sz w:val="21"/>
                <w:szCs w:val="21"/>
                <w:highlight w:val="none"/>
                <w:lang w:eastAsia="zh-CN"/>
                <w14:textFill>
                  <w14:solidFill>
                    <w14:schemeClr w14:val="tx1"/>
                  </w14:solidFill>
                </w14:textFill>
              </w:rPr>
              <w:t>干清粪</w:t>
            </w: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处理工艺，</w:t>
            </w:r>
            <w:r>
              <w:rPr>
                <w:rFonts w:hint="eastAsia" w:cs="Times New Roman"/>
                <w:snapToGrid w:val="0"/>
                <w:color w:val="000000" w:themeColor="text1"/>
                <w:spacing w:val="0"/>
                <w:kern w:val="0"/>
                <w:sz w:val="21"/>
                <w:szCs w:val="21"/>
                <w:highlight w:val="none"/>
                <w:lang w:eastAsia="zh-CN"/>
                <w14:textFill>
                  <w14:solidFill>
                    <w14:schemeClr w14:val="tx1"/>
                  </w14:solidFill>
                </w14:textFill>
              </w:rPr>
              <w:t>采取</w:t>
            </w: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固液分离，养殖粪污分离出来的固态作为有机肥原料通过罐车外运，不在厂区内堆肥。废水进入污水处理站内处理达标后用于周围</w:t>
            </w:r>
            <w:r>
              <w:rPr>
                <w:rFonts w:hint="eastAsia" w:cs="Times New Roman"/>
                <w:snapToGrid w:val="0"/>
                <w:color w:val="000000" w:themeColor="text1"/>
                <w:spacing w:val="0"/>
                <w:kern w:val="0"/>
                <w:sz w:val="21"/>
                <w:szCs w:val="21"/>
                <w:highlight w:val="none"/>
                <w:lang w:eastAsia="zh-CN"/>
                <w14:textFill>
                  <w14:solidFill>
                    <w14:schemeClr w14:val="tx1"/>
                  </w14:solidFill>
                </w14:textFill>
              </w:rPr>
              <w:t>林地灌溉</w:t>
            </w: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，实现资源化利用，实现生产废水零排放。</w:t>
            </w:r>
          </w:p>
        </w:tc>
        <w:tc>
          <w:tcPr>
            <w:tcW w:w="2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环境准入负面清单</w:t>
            </w:r>
          </w:p>
        </w:tc>
        <w:tc>
          <w:tcPr>
            <w:tcW w:w="226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0"/>
                <w:kern w:val="0"/>
                <w:sz w:val="21"/>
                <w:szCs w:val="21"/>
                <w:highlight w:val="none"/>
                <w:lang w:eastAsia="zh-CN"/>
                <w14:textFill>
                  <w14:solidFill>
                    <w14:schemeClr w14:val="tx1"/>
                  </w14:solidFill>
                </w14:textFill>
              </w:rPr>
              <w:t>见表</w:t>
            </w:r>
            <w:r>
              <w:rPr>
                <w:rFonts w:hint="eastAsia" w:ascii="Times New Roman" w:hAnsi="Times New Roman" w:eastAsia="宋体" w:cs="Times New Roman"/>
                <w:snapToGrid w:val="0"/>
                <w:color w:val="000000" w:themeColor="text1"/>
                <w:spacing w:val="0"/>
                <w:kern w:val="0"/>
                <w:sz w:val="21"/>
                <w:szCs w:val="21"/>
                <w:highlight w:val="none"/>
                <w:lang w:val="en-US" w:eastAsia="zh-CN"/>
                <w14:textFill>
                  <w14:solidFill>
                    <w14:schemeClr w14:val="tx1"/>
                  </w14:solidFill>
                </w14:textFill>
              </w:rPr>
              <w:t>1.4-</w:t>
            </w:r>
            <w:r>
              <w:rPr>
                <w:rFonts w:hint="eastAsia" w:cs="Times New Roman"/>
                <w:snapToGrid w:val="0"/>
                <w:color w:val="000000" w:themeColor="text1"/>
                <w:spacing w:val="0"/>
                <w:kern w:val="0"/>
                <w:sz w:val="21"/>
                <w:szCs w:val="21"/>
                <w:highlight w:val="none"/>
                <w:lang w:val="en-US" w:eastAsia="zh-CN"/>
                <w14:textFill>
                  <w14:solidFill>
                    <w14:schemeClr w14:val="tx1"/>
                  </w14:solidFill>
                </w14:textFill>
              </w:rPr>
              <w:t>9</w:t>
            </w:r>
          </w:p>
        </w:tc>
        <w:tc>
          <w:tcPr>
            <w:tcW w:w="2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pacing w:val="0"/>
                <w:kern w:val="0"/>
                <w:sz w:val="21"/>
                <w:szCs w:val="21"/>
                <w:highlight w:val="none"/>
                <w14:textFill>
                  <w14:solidFill>
                    <w14:schemeClr w14:val="tx1"/>
                  </w14:solidFill>
                </w14:textFill>
              </w:rPr>
              <w:t>符合</w:t>
            </w:r>
          </w:p>
        </w:tc>
      </w:tr>
    </w:tbl>
    <w:p>
      <w:pPr>
        <w:widowControl/>
        <w:kinsoku w:val="0"/>
        <w:autoSpaceDE w:val="0"/>
        <w:autoSpaceDN w:val="0"/>
        <w:adjustRightInd w:val="0"/>
        <w:snapToGrid w:val="0"/>
        <w:spacing w:line="35" w:lineRule="exact"/>
        <w:ind w:firstLine="0" w:firstLineChars="0"/>
        <w:jc w:val="left"/>
        <w:textAlignment w:val="baseline"/>
        <w:rPr>
          <w:rFonts w:ascii="Arial" w:hAnsi="Arial" w:eastAsia="Arial" w:cs="Arial"/>
          <w:snapToGrid w:val="0"/>
          <w:color w:val="000000"/>
          <w:kern w:val="0"/>
          <w:sz w:val="21"/>
          <w:szCs w:val="21"/>
          <w:highlight w:val="none"/>
        </w:rPr>
      </w:pPr>
    </w:p>
    <w:p>
      <w:pPr>
        <w:bidi w:val="0"/>
        <w:rPr>
          <w:rFonts w:hint="eastAsia"/>
          <w:highlight w:val="none"/>
        </w:rPr>
      </w:pPr>
      <w:r>
        <w:rPr>
          <w:rFonts w:hint="eastAsia" w:ascii="宋体" w:hAnsi="宋体" w:eastAsia="宋体" w:cs="宋体"/>
          <w:color w:val="auto"/>
          <w:spacing w:val="11"/>
          <w:sz w:val="24"/>
          <w:highlight w:val="none"/>
        </w:rPr>
        <w:t>生态环境准入清单是基于生态保护红线、环境质量底线和资源利用上线，以清单方式列出的禁止、限制等差别化环境准入条件和要求。根据《岳阳市“三线一单”生态环境分区管控的意见》（岳政发</w:t>
      </w:r>
      <w:r>
        <w:rPr>
          <w:rFonts w:hint="default" w:ascii="Times New Roman" w:hAnsi="Times New Roman" w:eastAsia="宋体" w:cs="Times New Roman"/>
          <w:color w:val="auto"/>
          <w:spacing w:val="11"/>
          <w:sz w:val="24"/>
          <w:highlight w:val="none"/>
        </w:rPr>
        <w:t>〔2021〕2</w:t>
      </w:r>
      <w:r>
        <w:rPr>
          <w:rFonts w:hint="eastAsia" w:ascii="宋体" w:hAnsi="宋体" w:eastAsia="宋体" w:cs="宋体"/>
          <w:color w:val="auto"/>
          <w:spacing w:val="11"/>
          <w:sz w:val="24"/>
          <w:highlight w:val="none"/>
        </w:rPr>
        <w:t>号）中“附件</w:t>
      </w:r>
      <w:r>
        <w:rPr>
          <w:rFonts w:hint="default" w:ascii="Times New Roman" w:hAnsi="Times New Roman" w:eastAsia="宋体" w:cs="Times New Roman"/>
          <w:color w:val="auto"/>
          <w:spacing w:val="11"/>
          <w:sz w:val="24"/>
          <w:highlight w:val="none"/>
          <w:lang w:val="en-US" w:eastAsia="zh-CN"/>
        </w:rPr>
        <w:t>1</w:t>
      </w:r>
      <w:r>
        <w:rPr>
          <w:rFonts w:hint="eastAsia" w:ascii="宋体" w:hAnsi="宋体" w:eastAsia="宋体" w:cs="宋体"/>
          <w:color w:val="auto"/>
          <w:spacing w:val="11"/>
          <w:sz w:val="24"/>
          <w:highlight w:val="none"/>
          <w:lang w:val="en-US" w:eastAsia="zh-CN"/>
        </w:rPr>
        <w:t>岳阳市生态环境管控基本要求</w:t>
      </w:r>
      <w:r>
        <w:rPr>
          <w:rFonts w:hint="eastAsia" w:ascii="宋体" w:hAnsi="宋体" w:eastAsia="宋体" w:cs="宋体"/>
          <w:color w:val="auto"/>
          <w:spacing w:val="11"/>
          <w:sz w:val="24"/>
          <w:highlight w:val="none"/>
        </w:rPr>
        <w:t>”，本项目</w:t>
      </w:r>
      <w:r>
        <w:rPr>
          <w:rFonts w:hint="eastAsia" w:ascii="宋体" w:hAnsi="宋体" w:eastAsia="宋体" w:cs="宋体"/>
          <w:color w:val="auto"/>
          <w:spacing w:val="11"/>
          <w:sz w:val="24"/>
          <w:highlight w:val="none"/>
          <w:lang w:eastAsia="zh-CN"/>
        </w:rPr>
        <w:t>所在地为优先管控单元，其</w:t>
      </w:r>
      <w:r>
        <w:rPr>
          <w:rFonts w:hint="eastAsia" w:ascii="宋体" w:hAnsi="宋体" w:eastAsia="宋体" w:cs="宋体"/>
          <w:color w:val="auto"/>
          <w:spacing w:val="11"/>
          <w:sz w:val="24"/>
          <w:highlight w:val="none"/>
        </w:rPr>
        <w:t>生态环境准入清单符合性见下表：</w:t>
      </w:r>
    </w:p>
    <w:p>
      <w:pPr>
        <w:pStyle w:val="7"/>
        <w:bidi w:val="0"/>
        <w:rPr>
          <w:b/>
          <w:bCs/>
          <w:color w:val="auto"/>
          <w:sz w:val="24"/>
          <w:szCs w:val="24"/>
          <w:highlight w:val="none"/>
        </w:rPr>
      </w:pPr>
      <w:r>
        <w:rPr>
          <w:rFonts w:hint="eastAsia" w:ascii="Times New Roman" w:eastAsia="宋体"/>
          <w:b/>
          <w:bCs/>
          <w:color w:val="auto"/>
          <w:sz w:val="24"/>
          <w:szCs w:val="24"/>
          <w:highlight w:val="none"/>
          <w:lang w:val="en-US" w:eastAsia="zh-CN"/>
        </w:rPr>
        <w:t>表1.4-</w:t>
      </w:r>
      <w:r>
        <w:rPr>
          <w:rFonts w:hint="eastAsia"/>
          <w:b/>
          <w:bCs/>
          <w:color w:val="auto"/>
          <w:sz w:val="24"/>
          <w:szCs w:val="24"/>
          <w:highlight w:val="none"/>
          <w:lang w:val="en-US" w:eastAsia="zh-CN"/>
        </w:rPr>
        <w:t>9</w:t>
      </w:r>
      <w:r>
        <w:rPr>
          <w:rFonts w:hint="eastAsia" w:ascii="Times New Roman" w:eastAsia="宋体"/>
          <w:b/>
          <w:bCs/>
          <w:color w:val="auto"/>
          <w:sz w:val="24"/>
          <w:szCs w:val="24"/>
          <w:highlight w:val="none"/>
          <w:lang w:val="en-US" w:eastAsia="zh-CN"/>
        </w:rPr>
        <w:t xml:space="preserve">  </w:t>
      </w:r>
      <w:r>
        <w:rPr>
          <w:b/>
          <w:bCs/>
          <w:color w:val="auto"/>
          <w:sz w:val="24"/>
          <w:szCs w:val="24"/>
          <w:highlight w:val="none"/>
        </w:rPr>
        <w:t>本项目生态环境准入清单</w:t>
      </w:r>
    </w:p>
    <w:tbl>
      <w:tblPr>
        <w:tblStyle w:val="19"/>
        <w:tblW w:w="503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84"/>
        <w:gridCol w:w="1260"/>
        <w:gridCol w:w="3763"/>
        <w:gridCol w:w="2422"/>
        <w:gridCol w:w="9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8"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管控维度</w:t>
            </w:r>
          </w:p>
        </w:tc>
        <w:tc>
          <w:tcPr>
            <w:tcW w:w="21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清单中管控要求</w:t>
            </w:r>
          </w:p>
        </w:tc>
        <w:tc>
          <w:tcPr>
            <w:tcW w:w="13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项目相关情况</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空间布局约束</w:t>
            </w:r>
          </w:p>
        </w:tc>
        <w:tc>
          <w:tcPr>
            <w:tcW w:w="2118" w:type="pct"/>
            <w:tcBorders>
              <w:tl2br w:val="nil"/>
              <w:tr2bl w:val="nil"/>
            </w:tcBorders>
            <w:noWrap w:val="0"/>
            <w:vAlign w:val="center"/>
          </w:tcPr>
          <w:p>
            <w:pPr>
              <w:keepNext w:val="0"/>
              <w:keepLines w:val="0"/>
              <w:pageBreakBefore w:val="0"/>
              <w:widowControl w:val="0"/>
              <w:numPr>
                <w:ilvl w:val="1"/>
                <w:numId w:val="1"/>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在湖南集成麋鹿自然保护区内：①严禁擅自进入保护区的核心区、缓冲区从事生产生活活动；②严禁在保护区实施畜禽养殖；③ 严禁在保护区构建矮围、网围；④严禁在保护区内非法开垦、挖沟、筑坝、堆山、挖砂、取土等破坏保护区地形地貌的行为，未经审批实 施的各类项目建设一律停建并自行拆除；⑤严禁在保护区捕捞、猎捕野生动物、捡拾鸟卵、买卖野生动物及其制品，破坏野生珍贵稀有植物和文物古迹</w:t>
            </w:r>
            <w:r>
              <w:rPr>
                <w:rFonts w:hint="eastAsia" w:ascii="Times New Roman" w:hAnsi="Times New Roman" w:eastAsia="宋体" w:cs="Times New Roman"/>
                <w:sz w:val="21"/>
                <w:szCs w:val="21"/>
                <w:highlight w:val="none"/>
                <w:lang w:eastAsia="zh-CN"/>
              </w:rPr>
              <w:t>。</w:t>
            </w:r>
          </w:p>
          <w:p>
            <w:pPr>
              <w:keepNext w:val="0"/>
              <w:keepLines w:val="0"/>
              <w:pageBreakBefore w:val="0"/>
              <w:widowControl w:val="0"/>
              <w:numPr>
                <w:ilvl w:val="1"/>
                <w:numId w:val="1"/>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依法划定畜禽养殖禁养区，依法处理违规畜禽养殖行为</w:t>
            </w:r>
            <w:r>
              <w:rPr>
                <w:rFonts w:hint="eastAsia" w:ascii="Times New Roman" w:hAnsi="Times New Roman" w:eastAsia="宋体" w:cs="Times New Roman"/>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highlight w:val="none"/>
              </w:rPr>
              <w:t>1.3 严格禁养区管理，禁养区内禁止新建畜禽规模养殖场（小区）和养殖专业户</w:t>
            </w:r>
            <w:r>
              <w:rPr>
                <w:rFonts w:hint="eastAsia" w:ascii="Times New Roman" w:hAnsi="Times New Roman" w:eastAsia="宋体" w:cs="Times New Roman"/>
                <w:sz w:val="21"/>
                <w:szCs w:val="21"/>
                <w:highlight w:val="none"/>
                <w:lang w:eastAsia="zh-CN"/>
              </w:rPr>
              <w:t>。</w:t>
            </w:r>
          </w:p>
        </w:tc>
        <w:tc>
          <w:tcPr>
            <w:tcW w:w="13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本项目为畜禽规模养殖场，但其项目所在地不在</w:t>
            </w:r>
            <w:r>
              <w:rPr>
                <w:rFonts w:hint="default" w:ascii="Times New Roman" w:hAnsi="Times New Roman" w:eastAsia="宋体" w:cs="Times New Roman"/>
                <w:sz w:val="21"/>
                <w:szCs w:val="21"/>
                <w:highlight w:val="none"/>
              </w:rPr>
              <w:t>禁养区</w:t>
            </w:r>
            <w:r>
              <w:rPr>
                <w:rFonts w:hint="default" w:ascii="Times New Roman" w:hAnsi="Times New Roman" w:eastAsia="宋体" w:cs="Times New Roman"/>
                <w:sz w:val="21"/>
                <w:szCs w:val="21"/>
                <w:highlight w:val="none"/>
                <w:lang w:eastAsia="zh-CN"/>
              </w:rPr>
              <w:t>及限养区范围内。</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污染物排放管控</w:t>
            </w:r>
          </w:p>
        </w:tc>
        <w:tc>
          <w:tcPr>
            <w:tcW w:w="21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sz w:val="21"/>
                <w:szCs w:val="21"/>
                <w:highlight w:val="none"/>
              </w:rPr>
              <w:t>2 加快推进规模化畜禽养殖场（小区）配套建设畜禽粪污贮存、处理、利用设施。全面推动畜禽养殖废弃物资源化利用</w:t>
            </w:r>
            <w:r>
              <w:rPr>
                <w:rFonts w:hint="eastAsia" w:ascii="Times New Roman" w:hAnsi="Times New Roman" w:eastAsia="宋体" w:cs="Times New Roman"/>
                <w:sz w:val="21"/>
                <w:szCs w:val="21"/>
                <w:highlight w:val="none"/>
                <w:lang w:eastAsia="zh-CN"/>
              </w:rPr>
              <w:t>。</w:t>
            </w:r>
          </w:p>
        </w:tc>
        <w:tc>
          <w:tcPr>
            <w:tcW w:w="13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本项目采用</w:t>
            </w:r>
            <w:r>
              <w:rPr>
                <w:rFonts w:hint="eastAsia" w:cs="Times New Roman"/>
                <w:color w:val="auto"/>
                <w:sz w:val="21"/>
                <w:szCs w:val="21"/>
                <w:highlight w:val="none"/>
                <w:lang w:eastAsia="zh-CN"/>
              </w:rPr>
              <w:t>干清粪</w:t>
            </w:r>
            <w:r>
              <w:rPr>
                <w:rFonts w:hint="default" w:ascii="Times New Roman" w:hAnsi="Times New Roman" w:eastAsia="宋体" w:cs="Times New Roman"/>
                <w:color w:val="auto"/>
                <w:sz w:val="21"/>
                <w:szCs w:val="21"/>
                <w:highlight w:val="none"/>
              </w:rPr>
              <w:t>处理工艺，</w:t>
            </w:r>
            <w:r>
              <w:rPr>
                <w:rFonts w:hint="eastAsia" w:cs="Times New Roman"/>
                <w:color w:val="auto"/>
                <w:sz w:val="21"/>
                <w:szCs w:val="21"/>
                <w:highlight w:val="none"/>
                <w:lang w:eastAsia="zh-CN"/>
              </w:rPr>
              <w:t>采取</w:t>
            </w:r>
            <w:r>
              <w:rPr>
                <w:rFonts w:hint="default" w:ascii="Times New Roman" w:hAnsi="Times New Roman" w:eastAsia="宋体" w:cs="Times New Roman"/>
                <w:color w:val="auto"/>
                <w:sz w:val="21"/>
                <w:szCs w:val="21"/>
                <w:highlight w:val="none"/>
              </w:rPr>
              <w:t>固液分离，养殖粪污分离出来的固态作为有机肥原料通过罐车外运，不在厂区内堆肥。废水进入污水处理站内处理达标后用于周围</w:t>
            </w:r>
            <w:r>
              <w:rPr>
                <w:rFonts w:hint="eastAsia" w:cs="Times New Roman"/>
                <w:color w:val="auto"/>
                <w:sz w:val="21"/>
                <w:szCs w:val="21"/>
                <w:highlight w:val="none"/>
                <w:lang w:eastAsia="zh-CN"/>
              </w:rPr>
              <w:t>林地灌溉</w:t>
            </w:r>
            <w:r>
              <w:rPr>
                <w:rFonts w:hint="default" w:ascii="Times New Roman" w:hAnsi="Times New Roman" w:eastAsia="宋体" w:cs="Times New Roman"/>
                <w:color w:val="auto"/>
                <w:sz w:val="21"/>
                <w:szCs w:val="21"/>
                <w:highlight w:val="none"/>
              </w:rPr>
              <w:t>，实现资源化利用，实现生产废水零排放。</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环境风险防控</w:t>
            </w:r>
          </w:p>
        </w:tc>
        <w:tc>
          <w:tcPr>
            <w:tcW w:w="21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3.1 推进长江干流（华容段）以及洞庭湖（县境内）周边一定范围划定生态缓冲带，依法严厉打击侵占河湖水域岸线、围垦湖泊、填湖造地等行为，积极开展生态缓冲带综合整治，大力保护修复沿河环湖湿地生态系统</w:t>
            </w:r>
            <w:r>
              <w:rPr>
                <w:rFonts w:hint="eastAsia" w:ascii="Times New Roman" w:hAnsi="Times New Roman" w:eastAsia="宋体"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sz w:val="21"/>
                <w:szCs w:val="21"/>
                <w:highlight w:val="none"/>
              </w:rPr>
              <w:t>3.2 以解决废弃矿山（指历史遗留、责任人灭失、强制关闭矿山）和在生产矿山弃渣场地质环境问题为突破口，采取种植生物、工程治理等措施，优先推进生态修复。建</w:t>
            </w:r>
            <w:r>
              <w:rPr>
                <w:rFonts w:hint="eastAsia" w:ascii="宋体" w:hAnsi="宋体" w:eastAsia="宋体" w:cs="宋体"/>
                <w:sz w:val="21"/>
                <w:szCs w:val="21"/>
                <w:highlight w:val="none"/>
              </w:rPr>
              <w:t>立“政府出资引导、优惠政策扶持、企业依规治理、社会资金参与”</w:t>
            </w:r>
            <w:r>
              <w:rPr>
                <w:rFonts w:hint="default" w:ascii="Times New Roman" w:hAnsi="Times New Roman" w:eastAsia="宋体" w:cs="Times New Roman"/>
                <w:sz w:val="21"/>
                <w:szCs w:val="21"/>
                <w:highlight w:val="none"/>
              </w:rPr>
              <w:t>的矿山地质环境治理新机制。探索建立社会资本投入的矿山地质环境恢复治理市场化机制，鼓励支持民间资本进入矿山地质环境恢复治理</w:t>
            </w:r>
            <w:r>
              <w:rPr>
                <w:rFonts w:hint="eastAsia" w:ascii="Times New Roman" w:hAnsi="Times New Roman" w:eastAsia="宋体" w:cs="Times New Roman"/>
                <w:sz w:val="21"/>
                <w:szCs w:val="21"/>
                <w:highlight w:val="none"/>
                <w:lang w:eastAsia="zh-CN"/>
              </w:rPr>
              <w:t>。</w:t>
            </w:r>
          </w:p>
        </w:tc>
        <w:tc>
          <w:tcPr>
            <w:tcW w:w="13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企业环境风险防控措施随项目建设落实到位，并计划定期开展突发环境事件应急演练</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7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资源开发效率要求</w:t>
            </w:r>
          </w:p>
        </w:tc>
        <w:tc>
          <w:tcPr>
            <w:tcW w:w="21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4.1 水资源：2020年，华容县万元国内生产总值用水量99m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/万元，万元工业增加值用水量32m</w:t>
            </w:r>
            <w:r>
              <w:rPr>
                <w:rFonts w:hint="default" w:ascii="Times New Roman" w:hAnsi="Times New Roman" w:eastAsia="宋体" w:cs="Times New Roman"/>
                <w:sz w:val="21"/>
                <w:szCs w:val="21"/>
                <w:highlight w:val="none"/>
                <w:vertAlign w:val="superscript"/>
              </w:rPr>
              <w:t>3</w:t>
            </w:r>
            <w:r>
              <w:rPr>
                <w:rFonts w:hint="default" w:ascii="Times New Roman" w:hAnsi="Times New Roman" w:eastAsia="宋体" w:cs="Times New Roman"/>
                <w:sz w:val="21"/>
                <w:szCs w:val="21"/>
                <w:highlight w:val="none"/>
              </w:rPr>
              <w:t>/万元，农田灌溉水有效利用系数0.52</w:t>
            </w:r>
            <w:r>
              <w:rPr>
                <w:rFonts w:hint="eastAsia" w:ascii="Times New Roman" w:hAnsi="Times New Roman" w:eastAsia="宋体"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4.2 能源：华容县</w:t>
            </w:r>
            <w:r>
              <w:rPr>
                <w:rFonts w:hint="eastAsia" w:ascii="宋体" w:hAnsi="宋体" w:eastAsia="宋体" w:cs="宋体"/>
                <w:sz w:val="21"/>
                <w:szCs w:val="21"/>
                <w:highlight w:val="none"/>
              </w:rPr>
              <w:t>“十三五”</w:t>
            </w:r>
            <w:r>
              <w:rPr>
                <w:rFonts w:hint="default" w:ascii="Times New Roman" w:hAnsi="Times New Roman" w:eastAsia="宋体" w:cs="Times New Roman"/>
                <w:sz w:val="21"/>
                <w:szCs w:val="21"/>
                <w:highlight w:val="none"/>
              </w:rPr>
              <w:t>能耗强度降低目标18.5%，</w:t>
            </w:r>
            <w:r>
              <w:rPr>
                <w:rFonts w:hint="eastAsia" w:ascii="宋体" w:hAnsi="宋体" w:eastAsia="宋体" w:cs="宋体"/>
                <w:sz w:val="21"/>
                <w:szCs w:val="21"/>
                <w:highlight w:val="none"/>
              </w:rPr>
              <w:t>“十三五”</w:t>
            </w:r>
            <w:r>
              <w:rPr>
                <w:rFonts w:hint="default" w:ascii="Times New Roman" w:hAnsi="Times New Roman" w:eastAsia="宋体" w:cs="Times New Roman"/>
                <w:sz w:val="21"/>
                <w:szCs w:val="21"/>
                <w:highlight w:val="none"/>
              </w:rPr>
              <w:t>能耗控制目标 20 万吨标准煤</w:t>
            </w:r>
            <w:r>
              <w:rPr>
                <w:rFonts w:hint="eastAsia" w:ascii="Times New Roman" w:hAnsi="Times New Roman" w:eastAsia="宋体"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highlight w:val="none"/>
              </w:rPr>
              <w:t>4.3 土地资源：耕地保有量 9620 公顷，基本农田保护面积 7530 公顷，城乡建设用地规模 2157.12 公顷</w:t>
            </w:r>
          </w:p>
        </w:tc>
        <w:tc>
          <w:tcPr>
            <w:tcW w:w="13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本项目用水为地下井水提供，项目占地不占用基本农田。</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left"/>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综上所述，本项目符合</w:t>
      </w:r>
      <w:r>
        <w:rPr>
          <w:rFonts w:hint="eastAsia" w:ascii="宋体" w:hAnsi="宋体" w:eastAsia="宋体" w:cs="宋体"/>
          <w:color w:val="auto"/>
          <w:spacing w:val="11"/>
          <w:sz w:val="24"/>
          <w:highlight w:val="none"/>
        </w:rPr>
        <w:t>《岳阳市“三线一单”生态环境分区管控的意见》（岳政发</w:t>
      </w:r>
      <w:r>
        <w:rPr>
          <w:rFonts w:hint="default" w:ascii="Times New Roman" w:hAnsi="Times New Roman" w:eastAsia="宋体" w:cs="Times New Roman"/>
          <w:color w:val="auto"/>
          <w:spacing w:val="11"/>
          <w:sz w:val="24"/>
          <w:highlight w:val="none"/>
        </w:rPr>
        <w:t>〔2021〕2</w:t>
      </w:r>
      <w:r>
        <w:rPr>
          <w:rFonts w:hint="eastAsia" w:ascii="宋体" w:hAnsi="宋体" w:eastAsia="宋体" w:cs="宋体"/>
          <w:color w:val="auto"/>
          <w:spacing w:val="11"/>
          <w:sz w:val="24"/>
          <w:highlight w:val="none"/>
        </w:rPr>
        <w:t>号）中“附件</w:t>
      </w:r>
      <w:r>
        <w:rPr>
          <w:rFonts w:hint="default" w:ascii="Times New Roman" w:hAnsi="Times New Roman" w:eastAsia="宋体" w:cs="Times New Roman"/>
          <w:color w:val="auto"/>
          <w:spacing w:val="11"/>
          <w:sz w:val="24"/>
          <w:highlight w:val="none"/>
          <w:lang w:val="en-US" w:eastAsia="zh-CN"/>
        </w:rPr>
        <w:t>1</w:t>
      </w:r>
      <w:r>
        <w:rPr>
          <w:rFonts w:hint="eastAsia" w:ascii="宋体" w:hAnsi="宋体" w:eastAsia="宋体" w:cs="宋体"/>
          <w:color w:val="auto"/>
          <w:spacing w:val="11"/>
          <w:sz w:val="24"/>
          <w:highlight w:val="none"/>
          <w:lang w:val="en-US" w:eastAsia="zh-CN"/>
        </w:rPr>
        <w:t>岳阳市生态环境管控基本要求</w:t>
      </w:r>
      <w:r>
        <w:rPr>
          <w:rFonts w:hint="eastAsia" w:ascii="宋体" w:hAnsi="宋体" w:eastAsia="宋体" w:cs="宋体"/>
          <w:color w:val="auto"/>
          <w:spacing w:val="11"/>
          <w:sz w:val="24"/>
          <w:highlight w:val="none"/>
        </w:rPr>
        <w:t>”</w:t>
      </w:r>
      <w:r>
        <w:rPr>
          <w:rFonts w:hint="eastAsia" w:ascii="宋体" w:hAnsi="宋体" w:eastAsia="宋体" w:cs="宋体"/>
          <w:color w:val="auto"/>
          <w:spacing w:val="11"/>
          <w:sz w:val="24"/>
          <w:szCs w:val="24"/>
          <w:highlight w:val="none"/>
        </w:rPr>
        <w:t>的相关要求。</w:t>
      </w:r>
    </w:p>
    <w:p>
      <w:pPr>
        <w:bidi w:val="0"/>
        <w:rPr>
          <w:rFonts w:hint="eastAsia"/>
          <w:highlight w:val="none"/>
        </w:rPr>
      </w:pPr>
      <w:r>
        <w:rPr>
          <w:rFonts w:hint="eastAsia"/>
          <w:highlight w:val="none"/>
        </w:rPr>
        <w:t>同时，项目选址已获得</w:t>
      </w:r>
      <w:r>
        <w:rPr>
          <w:rFonts w:hint="eastAsia"/>
          <w:highlight w:val="none"/>
          <w:lang w:eastAsia="zh-CN"/>
        </w:rPr>
        <w:t>当地村民委员会、乡镇人民政府、生态环境局、自然资源局、林业局、水利局、农业农村局的联审联批</w:t>
      </w:r>
      <w:r>
        <w:rPr>
          <w:rFonts w:hint="eastAsia"/>
          <w:highlight w:val="none"/>
        </w:rPr>
        <w:t>。</w:t>
      </w:r>
      <w:r>
        <w:rPr>
          <w:rFonts w:hint="eastAsia"/>
          <w:highlight w:val="none"/>
          <w:lang w:eastAsia="zh-CN"/>
        </w:rPr>
        <w:t>项目的</w:t>
      </w:r>
      <w:r>
        <w:rPr>
          <w:rFonts w:hint="eastAsia" w:ascii="宋体" w:hAnsi="宋体" w:eastAsia="宋体" w:cs="宋体"/>
          <w:spacing w:val="-7"/>
          <w:sz w:val="24"/>
          <w:szCs w:val="24"/>
          <w:highlight w:val="none"/>
          <w:lang w:eastAsia="zh-CN"/>
        </w:rPr>
        <w:t>设施农用地备案申请表</w:t>
      </w:r>
      <w:r>
        <w:rPr>
          <w:rFonts w:hint="eastAsia" w:ascii="宋体" w:hAnsi="宋体" w:cs="宋体"/>
          <w:spacing w:val="-7"/>
          <w:sz w:val="24"/>
          <w:szCs w:val="24"/>
          <w:highlight w:val="none"/>
          <w:lang w:eastAsia="zh-CN"/>
        </w:rPr>
        <w:t>已取得</w:t>
      </w:r>
      <w:r>
        <w:rPr>
          <w:rFonts w:hint="eastAsia"/>
          <w:highlight w:val="none"/>
          <w:lang w:eastAsia="zh-CN"/>
        </w:rPr>
        <w:t>华容县自然资源局的同意意见</w:t>
      </w:r>
      <w:r>
        <w:rPr>
          <w:rFonts w:ascii="宋体" w:hAnsi="宋体" w:eastAsia="宋体" w:cs="宋体"/>
          <w:spacing w:val="-7"/>
          <w:sz w:val="24"/>
          <w:szCs w:val="24"/>
          <w:highlight w:val="none"/>
        </w:rPr>
        <w:t>，并与村民签署了《</w:t>
      </w:r>
      <w:r>
        <w:rPr>
          <w:rFonts w:hint="eastAsia" w:ascii="宋体" w:hAnsi="宋体" w:eastAsia="宋体" w:cs="宋体"/>
          <w:spacing w:val="-7"/>
          <w:sz w:val="24"/>
          <w:szCs w:val="24"/>
          <w:highlight w:val="none"/>
          <w:lang w:eastAsia="zh-CN"/>
        </w:rPr>
        <w:t>设施农业用地使用协议</w:t>
      </w:r>
      <w:r>
        <w:rPr>
          <w:rFonts w:ascii="宋体" w:hAnsi="宋体" w:eastAsia="宋体" w:cs="宋体"/>
          <w:spacing w:val="-7"/>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（详见附件）。</w:t>
      </w:r>
      <w:r>
        <w:rPr>
          <w:rFonts w:hint="eastAsia"/>
          <w:highlight w:val="none"/>
        </w:rPr>
        <w:t>综上所述，本项目选址基本合理。</w:t>
      </w:r>
    </w:p>
    <w:p>
      <w:pPr>
        <w:pStyle w:val="5"/>
        <w:bidi w:val="0"/>
        <w:rPr>
          <w:highlight w:val="none"/>
        </w:rPr>
      </w:pPr>
      <w:r>
        <w:rPr>
          <w:highlight w:val="none"/>
        </w:rPr>
        <w:t>1</w:t>
      </w:r>
      <w:r>
        <w:rPr>
          <w:rFonts w:hint="eastAsia"/>
          <w:highlight w:val="none"/>
          <w:lang w:val="en-US" w:eastAsia="zh-CN"/>
        </w:rPr>
        <w:t>.4</w:t>
      </w:r>
      <w:r>
        <w:rPr>
          <w:highlight w:val="none"/>
        </w:rPr>
        <w:t>.4  环境承载力分析</w:t>
      </w:r>
    </w:p>
    <w:p>
      <w:pPr>
        <w:bidi w:val="0"/>
        <w:rPr>
          <w:highlight w:val="none"/>
        </w:rPr>
      </w:pPr>
      <w:r>
        <w:rPr>
          <w:rFonts w:hint="eastAsia"/>
          <w:highlight w:val="none"/>
        </w:rPr>
        <w:t>湖南谱实检测技术有限公司</w:t>
      </w:r>
      <w:r>
        <w:rPr>
          <w:highlight w:val="none"/>
        </w:rPr>
        <w:t>于202</w:t>
      </w:r>
      <w:r>
        <w:rPr>
          <w:rFonts w:hint="eastAsia"/>
          <w:highlight w:val="none"/>
          <w:lang w:val="en-US" w:eastAsia="zh-CN"/>
        </w:rPr>
        <w:t>1</w:t>
      </w:r>
      <w:r>
        <w:rPr>
          <w:highlight w:val="none"/>
        </w:rPr>
        <w:t>年</w:t>
      </w:r>
      <w:r>
        <w:rPr>
          <w:rFonts w:hint="eastAsia"/>
          <w:highlight w:val="none"/>
          <w:lang w:val="en-US" w:eastAsia="zh-CN"/>
        </w:rPr>
        <w:t>12</w:t>
      </w:r>
      <w:r>
        <w:rPr>
          <w:highlight w:val="none"/>
        </w:rPr>
        <w:t>月</w:t>
      </w:r>
      <w:r>
        <w:rPr>
          <w:rFonts w:hint="eastAsia"/>
          <w:highlight w:val="none"/>
          <w:lang w:val="en-US" w:eastAsia="zh-CN"/>
        </w:rPr>
        <w:t>7</w:t>
      </w:r>
      <w:r>
        <w:rPr>
          <w:highlight w:val="none"/>
        </w:rPr>
        <w:t>日至</w:t>
      </w:r>
      <w:r>
        <w:rPr>
          <w:rFonts w:hint="eastAsia"/>
          <w:highlight w:val="none"/>
          <w:lang w:val="en-US" w:eastAsia="zh-CN"/>
        </w:rPr>
        <w:t>12</w:t>
      </w:r>
      <w:r>
        <w:rPr>
          <w:highlight w:val="none"/>
        </w:rPr>
        <w:t>月</w:t>
      </w:r>
      <w:r>
        <w:rPr>
          <w:rFonts w:hint="eastAsia"/>
          <w:highlight w:val="none"/>
          <w:lang w:val="en-US" w:eastAsia="zh-CN"/>
        </w:rPr>
        <w:t>13</w:t>
      </w:r>
      <w:r>
        <w:rPr>
          <w:highlight w:val="none"/>
        </w:rPr>
        <w:t>日对该项目地表水、地下水、环境空气、声环境进行了现状监测，监测结果表明，评价区域内各污染物的单因子指数均小于1，均能达到相应标准要求，项目所在地环境质量较好，且有较大环境容量。项目建成和运营过程中只要落实本环评提出的各项环保措施，均能达标排放，对周围环境产生影响较小，占用环境容量的比例不大，不会超过当地环境承载力。因此从环境容量、环境承载力角度考虑，其选址合理。</w:t>
      </w:r>
    </w:p>
    <w:p>
      <w:pPr>
        <w:pStyle w:val="4"/>
        <w:bidi w:val="0"/>
        <w:rPr>
          <w:highlight w:val="none"/>
        </w:rPr>
      </w:pPr>
      <w:bookmarkStart w:id="10" w:name="_bookmark39"/>
      <w:bookmarkEnd w:id="10"/>
      <w:bookmarkStart w:id="11" w:name="_Toc12192"/>
      <w:bookmarkStart w:id="12" w:name="_Toc30981"/>
      <w:r>
        <w:rPr>
          <w:rFonts w:hint="eastAsia"/>
          <w:highlight w:val="none"/>
          <w:lang w:val="en-US" w:eastAsia="zh-CN"/>
        </w:rPr>
        <w:t xml:space="preserve">1.5  </w:t>
      </w:r>
      <w:r>
        <w:rPr>
          <w:highlight w:val="none"/>
          <w:lang w:val="en-US" w:eastAsia="zh-CN"/>
        </w:rPr>
        <w:t>评价关注的主要环境问题及环境影响</w:t>
      </w:r>
      <w:bookmarkEnd w:id="11"/>
      <w:bookmarkEnd w:id="12"/>
    </w:p>
    <w:p>
      <w:pPr>
        <w:bidi w:val="0"/>
        <w:adjustRightInd w:val="0"/>
        <w:snapToGrid w:val="0"/>
        <w:jc w:val="left"/>
        <w:rPr>
          <w:highlight w:val="none"/>
        </w:rPr>
      </w:pPr>
      <w:r>
        <w:rPr>
          <w:rFonts w:hint="eastAsia"/>
          <w:highlight w:val="none"/>
          <w:lang w:val="en-US" w:eastAsia="zh-CN"/>
        </w:rPr>
        <w:t>本次环评主要关注项目实施过程中可能会产生的污染，从环保的角度分析建设项目选址的合理合法性，详细调查项目实施区的环境现状，重点分析项目实施后对大气环境、水环境的影响，针对项目可能产生的不利影响提出可行的防范对策措施，其主要关注环境问题体现为以下：</w:t>
      </w:r>
    </w:p>
    <w:p>
      <w:pPr>
        <w:numPr>
          <w:ilvl w:val="0"/>
          <w:numId w:val="2"/>
        </w:numPr>
        <w:bidi w:val="0"/>
        <w:adjustRightInd w:val="0"/>
        <w:snapToGrid w:val="0"/>
        <w:jc w:val="left"/>
        <w:rPr>
          <w:rFonts w:hint="eastAsia"/>
          <w:highlight w:val="none"/>
          <w:lang w:val="en-US" w:eastAsia="zh-CN"/>
        </w:rPr>
      </w:pPr>
      <w:r>
        <w:rPr>
          <w:rFonts w:hint="eastAsia"/>
          <w:highlight w:val="none"/>
          <w:lang w:val="en-US" w:eastAsia="zh-CN"/>
        </w:rPr>
        <w:t>本项目属于畜禽养殖类建设项目，废水的收集、处理、排放及对地表水、地下水环境的影响为本项目的重点。</w:t>
      </w:r>
    </w:p>
    <w:p>
      <w:pPr>
        <w:bidi w:val="0"/>
        <w:adjustRightInd w:val="0"/>
        <w:snapToGrid w:val="0"/>
        <w:ind w:firstLine="480" w:firstLineChars="200"/>
        <w:jc w:val="left"/>
        <w:rPr>
          <w:rFonts w:hint="eastAsia" w:ascii="Times New Roman" w:hAnsi="Times New Roman" w:eastAsia="宋体"/>
          <w:highlight w:val="none"/>
        </w:rPr>
      </w:pPr>
      <w:r>
        <w:rPr>
          <w:rFonts w:hint="eastAsia" w:ascii="Times New Roman" w:hAnsi="Times New Roman" w:eastAsia="宋体"/>
          <w:highlight w:val="none"/>
          <w:lang w:val="en-US" w:eastAsia="zh-CN"/>
        </w:rPr>
        <w:t>（2）运营期会产生恶臭气体，恶臭气体对大气环境的影响及降低恶臭气体的措施是本次评价重点关注的问题。</w:t>
      </w:r>
    </w:p>
    <w:p>
      <w:pPr>
        <w:bidi w:val="0"/>
        <w:adjustRightInd w:val="0"/>
        <w:snapToGrid w:val="0"/>
        <w:jc w:val="left"/>
        <w:rPr>
          <w:highlight w:val="none"/>
        </w:rPr>
      </w:pPr>
      <w:r>
        <w:rPr>
          <w:rFonts w:hint="eastAsia"/>
          <w:highlight w:val="none"/>
          <w:lang w:val="en-US" w:eastAsia="zh-CN"/>
        </w:rPr>
        <w:t>（</w:t>
      </w:r>
      <w:r>
        <w:rPr>
          <w:rFonts w:hint="default"/>
          <w:highlight w:val="none"/>
          <w:lang w:val="en-US" w:eastAsia="zh-CN"/>
        </w:rPr>
        <w:t>3</w:t>
      </w:r>
      <w:r>
        <w:rPr>
          <w:rFonts w:hint="eastAsia"/>
          <w:highlight w:val="none"/>
          <w:lang w:val="en-US" w:eastAsia="zh-CN"/>
        </w:rPr>
        <w:t>）运营期将产生猪粪、病死猪便等固体废弃物，固体废物的收集、无害化处理及综合利用是本次环评关注的问题。</w:t>
      </w:r>
    </w:p>
    <w:p>
      <w:pPr>
        <w:bidi w:val="0"/>
        <w:adjustRightInd w:val="0"/>
        <w:snapToGrid w:val="0"/>
        <w:jc w:val="left"/>
        <w:rPr>
          <w:highlight w:val="none"/>
        </w:rPr>
      </w:pPr>
      <w:r>
        <w:rPr>
          <w:rFonts w:hint="eastAsia"/>
          <w:highlight w:val="none"/>
          <w:lang w:val="en-US" w:eastAsia="zh-CN"/>
        </w:rPr>
        <w:t>（</w:t>
      </w:r>
      <w:r>
        <w:rPr>
          <w:rFonts w:hint="default"/>
          <w:highlight w:val="none"/>
          <w:lang w:val="en-US" w:eastAsia="zh-CN"/>
        </w:rPr>
        <w:t>4</w:t>
      </w:r>
      <w:r>
        <w:rPr>
          <w:rFonts w:hint="eastAsia"/>
          <w:highlight w:val="none"/>
          <w:lang w:val="en-US" w:eastAsia="zh-CN"/>
        </w:rPr>
        <w:t>）项目选址的环境可行性。</w:t>
      </w:r>
    </w:p>
    <w:p>
      <w:pPr>
        <w:pStyle w:val="4"/>
        <w:bidi w:val="0"/>
        <w:rPr>
          <w:highlight w:val="none"/>
        </w:rPr>
      </w:pPr>
      <w:bookmarkStart w:id="13" w:name="_Toc12385"/>
      <w:bookmarkStart w:id="14" w:name="_Toc15421"/>
      <w:r>
        <w:rPr>
          <w:rFonts w:hint="eastAsia"/>
          <w:highlight w:val="none"/>
          <w:lang w:val="en-US" w:eastAsia="zh-CN"/>
        </w:rPr>
        <w:t xml:space="preserve">1.6 </w:t>
      </w:r>
      <w:r>
        <w:rPr>
          <w:highlight w:val="none"/>
        </w:rPr>
        <w:t xml:space="preserve"> 环境影响评价主要结论</w:t>
      </w:r>
      <w:bookmarkEnd w:id="13"/>
      <w:bookmarkEnd w:id="14"/>
    </w:p>
    <w:p>
      <w:pPr>
        <w:bidi w:val="0"/>
        <w:rPr>
          <w:highlight w:val="none"/>
        </w:rPr>
      </w:pPr>
      <w:r>
        <w:rPr>
          <w:highlight w:val="none"/>
        </w:rPr>
        <w:t>本次环境影响评价的主要结论如下：</w:t>
      </w:r>
    </w:p>
    <w:p>
      <w:pPr>
        <w:bidi w:val="0"/>
        <w:rPr>
          <w:highlight w:val="none"/>
        </w:rPr>
      </w:pPr>
      <w:r>
        <w:rPr>
          <w:highlight w:val="none"/>
        </w:rPr>
        <w:t>（1）项目不违背国家及地方的产业政策，选址符合土地利用规划，符合《畜禽养殖业污染防治技术规范》</w:t>
      </w:r>
      <w:r>
        <w:rPr>
          <w:rFonts w:hint="eastAsia"/>
          <w:highlight w:val="none"/>
        </w:rPr>
        <w:t>（HJ/T 81-2001）</w:t>
      </w:r>
      <w:r>
        <w:rPr>
          <w:highlight w:val="none"/>
        </w:rPr>
        <w:t>选址要求，符合《畜禽养殖产地环境评价规范》</w:t>
      </w:r>
      <w:r>
        <w:rPr>
          <w:rFonts w:hint="eastAsia"/>
          <w:highlight w:val="none"/>
          <w:lang w:eastAsia="zh-CN"/>
        </w:rPr>
        <w:t>（</w:t>
      </w:r>
      <w:r>
        <w:rPr>
          <w:rFonts w:hint="eastAsia"/>
          <w:highlight w:val="none"/>
        </w:rPr>
        <w:t>HJ568—2010</w:t>
      </w:r>
      <w:r>
        <w:rPr>
          <w:rFonts w:hint="eastAsia"/>
          <w:highlight w:val="none"/>
          <w:lang w:eastAsia="zh-CN"/>
        </w:rPr>
        <w:t>）</w:t>
      </w:r>
      <w:r>
        <w:rPr>
          <w:highlight w:val="none"/>
        </w:rPr>
        <w:t>要求，符合《</w:t>
      </w:r>
      <w:r>
        <w:rPr>
          <w:rFonts w:hint="eastAsia"/>
          <w:highlight w:val="none"/>
        </w:rPr>
        <w:t>华容县畜禽养殖禁养区限养区适养区划定方案</w:t>
      </w:r>
      <w:r>
        <w:rPr>
          <w:highlight w:val="none"/>
        </w:rPr>
        <w:t>》</w:t>
      </w:r>
      <w:r>
        <w:rPr>
          <w:rFonts w:hint="eastAsia"/>
          <w:highlight w:val="none"/>
          <w:lang w:eastAsia="zh-CN"/>
        </w:rPr>
        <w:t>（</w:t>
      </w:r>
      <w:r>
        <w:rPr>
          <w:rFonts w:hint="eastAsia"/>
          <w:highlight w:val="none"/>
        </w:rPr>
        <w:t>华政办发〔2018〕23号</w:t>
      </w:r>
      <w:r>
        <w:rPr>
          <w:rFonts w:hint="eastAsia"/>
          <w:highlight w:val="none"/>
          <w:lang w:eastAsia="zh-CN"/>
        </w:rPr>
        <w:t>）</w:t>
      </w:r>
      <w:r>
        <w:rPr>
          <w:highlight w:val="none"/>
        </w:rPr>
        <w:t>要求，项目选址合理。</w:t>
      </w:r>
    </w:p>
    <w:p>
      <w:pPr>
        <w:bidi w:val="0"/>
        <w:rPr>
          <w:highlight w:val="none"/>
        </w:rPr>
      </w:pPr>
      <w:r>
        <w:rPr>
          <w:highlight w:val="none"/>
        </w:rPr>
        <w:t>（2）现状环境质量能满足本项目的要求，项目区域具有充足的环境容量，产生污染物对周边环境影响较小。</w:t>
      </w:r>
    </w:p>
    <w:p>
      <w:pPr>
        <w:bidi w:val="0"/>
        <w:rPr>
          <w:highlight w:val="none"/>
        </w:rPr>
      </w:pPr>
      <w:r>
        <w:rPr>
          <w:highlight w:val="none"/>
        </w:rPr>
        <w:t>（3）施工场地四周设置临时排水沟、临时沉沙池对施工废水进行处理；项目场地距周边居民较远，施工噪声污染不会对周边居民造成影响；项目施工建筑垃圾用于地基回填，不随意堆放及外运。</w:t>
      </w:r>
    </w:p>
    <w:p>
      <w:pPr>
        <w:bidi w:val="0"/>
        <w:rPr>
          <w:highlight w:val="none"/>
        </w:rPr>
      </w:pPr>
      <w:r>
        <w:rPr>
          <w:highlight w:val="none"/>
        </w:rPr>
        <w:t>（4）项目综合废水经收集处理后用于周边</w:t>
      </w:r>
      <w:r>
        <w:rPr>
          <w:rFonts w:hint="eastAsia"/>
          <w:highlight w:val="none"/>
          <w:lang w:eastAsia="zh-CN"/>
        </w:rPr>
        <w:t>林地灌溉</w:t>
      </w:r>
      <w:r>
        <w:rPr>
          <w:highlight w:val="none"/>
        </w:rPr>
        <w:t>施肥，不外排。因此本项目污水不会对地表水环境造成明显影响。</w:t>
      </w:r>
    </w:p>
    <w:p>
      <w:pPr>
        <w:bidi w:val="0"/>
        <w:rPr>
          <w:highlight w:val="none"/>
        </w:rPr>
      </w:pPr>
      <w:r>
        <w:rPr>
          <w:highlight w:val="none"/>
        </w:rPr>
        <w:t>（5）本项目区域环境中NH</w:t>
      </w:r>
      <w:r>
        <w:rPr>
          <w:highlight w:val="none"/>
          <w:vertAlign w:val="subscript"/>
        </w:rPr>
        <w:t>3</w:t>
      </w:r>
      <w:r>
        <w:rPr>
          <w:highlight w:val="none"/>
        </w:rPr>
        <w:t>和H</w:t>
      </w:r>
      <w:r>
        <w:rPr>
          <w:highlight w:val="none"/>
          <w:vertAlign w:val="subscript"/>
        </w:rPr>
        <w:t>2</w:t>
      </w:r>
      <w:r>
        <w:rPr>
          <w:highlight w:val="none"/>
        </w:rPr>
        <w:t>S浓度叠加背景值后，贡献值满足《畜禽养殖产地环境评价规范》</w:t>
      </w:r>
      <w:r>
        <w:rPr>
          <w:rFonts w:hint="eastAsia"/>
          <w:highlight w:val="none"/>
          <w:lang w:eastAsia="zh-CN"/>
        </w:rPr>
        <w:t>（</w:t>
      </w:r>
      <w:r>
        <w:rPr>
          <w:rFonts w:hint="eastAsia"/>
          <w:highlight w:val="none"/>
        </w:rPr>
        <w:t>HJ568—2010</w:t>
      </w:r>
      <w:r>
        <w:rPr>
          <w:rFonts w:hint="eastAsia"/>
          <w:highlight w:val="none"/>
          <w:lang w:eastAsia="zh-CN"/>
        </w:rPr>
        <w:t>）</w:t>
      </w:r>
      <w:r>
        <w:rPr>
          <w:highlight w:val="none"/>
        </w:rPr>
        <w:t>中畜禽养殖场和养殖小区环境空气质量评价指标限值和</w:t>
      </w:r>
      <w:r>
        <w:rPr>
          <w:rFonts w:hint="eastAsia"/>
          <w:highlight w:val="none"/>
          <w:lang w:eastAsia="zh-CN"/>
        </w:rPr>
        <w:t>《</w:t>
      </w:r>
      <w:r>
        <w:rPr>
          <w:highlight w:val="none"/>
        </w:rPr>
        <w:t>环境影响评价技术导则——大气环境》（HJ2.2-2018）附录D中标准限值，同时也满足《恶臭污染物排放标准》（GB14554-93）中无组织排放厂界标准值二级要求，对场区内和外界环境都影响不大。</w:t>
      </w:r>
    </w:p>
    <w:p>
      <w:pPr>
        <w:bidi w:val="0"/>
        <w:rPr>
          <w:highlight w:val="none"/>
        </w:rPr>
      </w:pPr>
      <w:r>
        <w:rPr>
          <w:highlight w:val="none"/>
        </w:rPr>
        <w:t>（6）养殖场噪声主要来源于猪群生活叫声、猪舍排气扇以及综合利用设施中鼓风机、水泵产生的噪声，声值在75～</w:t>
      </w:r>
      <w:r>
        <w:rPr>
          <w:rFonts w:hint="eastAsia"/>
          <w:highlight w:val="none"/>
          <w:lang w:val="en-US" w:eastAsia="zh-CN"/>
        </w:rPr>
        <w:t>90</w:t>
      </w:r>
      <w:r>
        <w:rPr>
          <w:highlight w:val="none"/>
        </w:rPr>
        <w:t>dB之间。从预测结果可以看出，本项目生产设备噪声迭加本底后场界噪声无超标，因此本项目噪声不会造成污染影响。</w:t>
      </w:r>
    </w:p>
    <w:p>
      <w:pPr>
        <w:bidi w:val="0"/>
        <w:rPr>
          <w:rFonts w:hint="eastAsia" w:eastAsia="宋体"/>
          <w:highlight w:val="none"/>
          <w:lang w:eastAsia="zh-CN"/>
        </w:rPr>
      </w:pPr>
      <w:r>
        <w:rPr>
          <w:highlight w:val="none"/>
        </w:rPr>
        <w:t>（7）</w:t>
      </w:r>
      <w:r>
        <w:rPr>
          <w:rFonts w:hint="eastAsia"/>
          <w:highlight w:val="none"/>
        </w:rPr>
        <w:t>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病死猪</w:t>
      </w:r>
      <w:r>
        <w:rPr>
          <w:rFonts w:hint="eastAsia"/>
          <w:highlight w:val="none"/>
        </w:rPr>
        <w:t>委托当地畜禽无害化处理中心清运和处理</w:t>
      </w:r>
      <w:r>
        <w:rPr>
          <w:highlight w:val="none"/>
        </w:rPr>
        <w:t>；生活垃圾定期送城镇垃圾填埋场卫生填埋</w:t>
      </w:r>
      <w:r>
        <w:rPr>
          <w:rFonts w:hint="eastAsia"/>
          <w:highlight w:val="none"/>
          <w:lang w:eastAsia="zh-CN"/>
        </w:rPr>
        <w:t>。</w:t>
      </w:r>
    </w:p>
    <w:p>
      <w:pPr>
        <w:bidi w:val="0"/>
        <w:rPr>
          <w:highlight w:val="none"/>
        </w:rPr>
      </w:pPr>
      <w:r>
        <w:rPr>
          <w:highlight w:val="none"/>
        </w:rPr>
        <w:t>医疗固废临时存放在</w:t>
      </w:r>
      <w:r>
        <w:rPr>
          <w:rFonts w:hint="eastAsia"/>
          <w:highlight w:val="none"/>
          <w:lang w:eastAsia="zh-CN"/>
        </w:rPr>
        <w:t>医疗</w:t>
      </w:r>
      <w:r>
        <w:rPr>
          <w:highlight w:val="none"/>
        </w:rPr>
        <w:t>危废暂存间，一定量后交由有资质的单位处置。本项目固体废物在采取上述措施进行处置后对环境影响不大。</w:t>
      </w:r>
    </w:p>
    <w:p>
      <w:pPr>
        <w:bidi w:val="0"/>
        <w:rPr>
          <w:highlight w:val="none"/>
        </w:rPr>
      </w:pPr>
      <w:r>
        <w:rPr>
          <w:highlight w:val="none"/>
        </w:rPr>
        <w:t>本项目建设符合国家产业政策，项目选址合理、可行。环保措施应当按本报告书要求，污染物排放严格执行现阶段污染物的排放标准，项目实施后各污染物达标排放，对环境影响小，能满足区域环境功能区划的要求。经广泛的公众参与调查，均赞成本工程的建设。工程贯彻</w:t>
      </w:r>
      <w:r>
        <w:rPr>
          <w:rFonts w:hint="eastAsia" w:ascii="宋体" w:hAnsi="宋体" w:eastAsia="宋体" w:cs="宋体"/>
          <w:highlight w:val="none"/>
        </w:rPr>
        <w:t>“清洁生产、污染全程控制、达标排放”</w:t>
      </w:r>
      <w:r>
        <w:rPr>
          <w:highlight w:val="none"/>
        </w:rPr>
        <w:t>的环保方针，具有显著的经济效益、社会效益和环境效益。项目没有制约因素。因此，从环保的角度衡量，本项目建设是可行的。</w:t>
      </w:r>
    </w:p>
    <w:p>
      <w:pPr>
        <w:pStyle w:val="17"/>
        <w:rPr>
          <w:highlight w:val="none"/>
        </w:rPr>
      </w:pPr>
    </w:p>
    <w:p>
      <w:pPr>
        <w:pStyle w:val="18"/>
        <w:rPr>
          <w:highlight w:val="none"/>
        </w:rPr>
      </w:pPr>
    </w:p>
    <w:p>
      <w:pPr>
        <w:pStyle w:val="17"/>
        <w:rPr>
          <w:highlight w:val="none"/>
        </w:rPr>
      </w:pPr>
    </w:p>
    <w:p>
      <w:pPr>
        <w:pStyle w:val="3"/>
        <w:bidi w:val="0"/>
        <w:rPr>
          <w:highlight w:val="none"/>
        </w:rPr>
      </w:pPr>
      <w:bookmarkStart w:id="15" w:name="_Toc9045"/>
      <w:bookmarkStart w:id="16" w:name="_Toc24605"/>
      <w:r>
        <w:rPr>
          <w:rFonts w:hint="eastAsia"/>
          <w:highlight w:val="none"/>
          <w:lang w:val="en-US" w:eastAsia="zh-CN"/>
        </w:rPr>
        <w:t xml:space="preserve">2  </w:t>
      </w:r>
      <w:r>
        <w:rPr>
          <w:highlight w:val="none"/>
        </w:rPr>
        <w:t>总论</w:t>
      </w:r>
      <w:bookmarkEnd w:id="15"/>
      <w:bookmarkEnd w:id="16"/>
    </w:p>
    <w:p>
      <w:pPr>
        <w:pStyle w:val="4"/>
        <w:bidi w:val="0"/>
        <w:rPr>
          <w:highlight w:val="none"/>
        </w:rPr>
      </w:pPr>
      <w:bookmarkStart w:id="17" w:name="_Toc18494"/>
      <w:bookmarkStart w:id="18" w:name="_Toc10070"/>
      <w:r>
        <w:rPr>
          <w:rFonts w:hint="eastAsia"/>
          <w:highlight w:val="none"/>
          <w:lang w:val="en-US" w:eastAsia="zh-CN"/>
        </w:rPr>
        <w:t>2</w:t>
      </w:r>
      <w:r>
        <w:rPr>
          <w:highlight w:val="none"/>
        </w:rPr>
        <w:t>.1</w:t>
      </w:r>
      <w:r>
        <w:rPr>
          <w:rFonts w:hint="eastAsia"/>
          <w:highlight w:val="none"/>
          <w:lang w:val="en-US" w:eastAsia="zh-CN"/>
        </w:rPr>
        <w:t xml:space="preserve">  </w:t>
      </w:r>
      <w:r>
        <w:rPr>
          <w:highlight w:val="none"/>
        </w:rPr>
        <w:t>编制依据</w:t>
      </w:r>
      <w:bookmarkEnd w:id="17"/>
      <w:bookmarkEnd w:id="18"/>
    </w:p>
    <w:p>
      <w:pPr>
        <w:pStyle w:val="5"/>
        <w:bidi w:val="0"/>
        <w:rPr>
          <w:highlight w:val="none"/>
          <w:u w:val="none"/>
        </w:rPr>
      </w:pPr>
      <w:r>
        <w:rPr>
          <w:rFonts w:hint="eastAsia"/>
          <w:highlight w:val="none"/>
          <w:u w:val="none"/>
          <w:lang w:val="en-US" w:eastAsia="zh-CN"/>
        </w:rPr>
        <w:t>2</w:t>
      </w:r>
      <w:r>
        <w:rPr>
          <w:highlight w:val="none"/>
          <w:u w:val="none"/>
        </w:rPr>
        <w:t>.1.1</w:t>
      </w:r>
      <w:r>
        <w:rPr>
          <w:rFonts w:hint="eastAsia"/>
          <w:highlight w:val="none"/>
          <w:u w:val="none"/>
          <w:lang w:val="en-US" w:eastAsia="zh-CN"/>
        </w:rPr>
        <w:t xml:space="preserve">  </w:t>
      </w:r>
      <w:r>
        <w:rPr>
          <w:highlight w:val="none"/>
          <w:u w:val="none"/>
        </w:rPr>
        <w:t>法律法规、政策性文件</w:t>
      </w:r>
    </w:p>
    <w:p>
      <w:pPr>
        <w:bidi w:val="0"/>
        <w:rPr>
          <w:highlight w:val="none"/>
          <w:u w:val="none"/>
        </w:rPr>
      </w:pPr>
      <w:r>
        <w:rPr>
          <w:highlight w:val="none"/>
          <w:u w:val="none"/>
        </w:rPr>
        <w:t>（1）《中华人民共和国环境保护法》，2015年1月1日；</w:t>
      </w:r>
    </w:p>
    <w:p>
      <w:pPr>
        <w:bidi w:val="0"/>
        <w:rPr>
          <w:highlight w:val="none"/>
          <w:u w:val="none"/>
        </w:rPr>
      </w:pPr>
      <w:r>
        <w:rPr>
          <w:highlight w:val="none"/>
          <w:u w:val="none"/>
        </w:rPr>
        <w:t>（2）《中华人民共和国水污染防治法》，2018年1月1日；</w:t>
      </w:r>
    </w:p>
    <w:p>
      <w:pPr>
        <w:bidi w:val="0"/>
        <w:rPr>
          <w:highlight w:val="none"/>
          <w:u w:val="none"/>
        </w:rPr>
      </w:pPr>
      <w:r>
        <w:rPr>
          <w:highlight w:val="none"/>
          <w:u w:val="none"/>
        </w:rPr>
        <w:t>（3）《中华人民共和国大气污染防治法》，2018年10月26日；</w:t>
      </w:r>
    </w:p>
    <w:p>
      <w:pPr>
        <w:bidi w:val="0"/>
        <w:rPr>
          <w:highlight w:val="none"/>
          <w:u w:val="none"/>
        </w:rPr>
      </w:pPr>
      <w:r>
        <w:rPr>
          <w:highlight w:val="none"/>
          <w:u w:val="none"/>
        </w:rPr>
        <w:t>（4）《中华人民共和国土壤污染防治法》，2019年1月1日；</w:t>
      </w:r>
    </w:p>
    <w:p>
      <w:pPr>
        <w:bidi w:val="0"/>
        <w:rPr>
          <w:highlight w:val="none"/>
          <w:u w:val="none"/>
        </w:rPr>
      </w:pPr>
      <w:r>
        <w:rPr>
          <w:highlight w:val="none"/>
          <w:u w:val="none"/>
        </w:rPr>
        <w:t>（5）《中华人民共和国固体废物污染环境防治法》，2019年6月5日；</w:t>
      </w:r>
    </w:p>
    <w:p>
      <w:pPr>
        <w:bidi w:val="0"/>
        <w:rPr>
          <w:rFonts w:hint="eastAsia"/>
          <w:highlight w:val="none"/>
          <w:u w:val="single"/>
        </w:rPr>
      </w:pPr>
      <w:r>
        <w:rPr>
          <w:highlight w:val="none"/>
          <w:u w:val="single"/>
        </w:rPr>
        <w:t>（6）</w:t>
      </w:r>
      <w:r>
        <w:rPr>
          <w:rFonts w:hint="eastAsia"/>
          <w:highlight w:val="none"/>
          <w:u w:val="single"/>
        </w:rPr>
        <w:t>《中华人民共和国环境噪声污染防治法》，2021年12月14日</w:t>
      </w:r>
    </w:p>
    <w:p>
      <w:pPr>
        <w:bidi w:val="0"/>
        <w:rPr>
          <w:highlight w:val="none"/>
          <w:u w:val="none"/>
        </w:rPr>
      </w:pPr>
      <w:r>
        <w:rPr>
          <w:highlight w:val="none"/>
          <w:u w:val="none"/>
        </w:rPr>
        <w:t>（7）《中华人民共和国水污染防治法实施细则》，2000年3月20日；</w:t>
      </w:r>
    </w:p>
    <w:p>
      <w:pPr>
        <w:bidi w:val="0"/>
        <w:rPr>
          <w:highlight w:val="none"/>
          <w:u w:val="none"/>
        </w:rPr>
      </w:pPr>
      <w:r>
        <w:rPr>
          <w:highlight w:val="none"/>
          <w:u w:val="none"/>
        </w:rPr>
        <w:t>（8）《大气污染防治行动计划》（国发[2013]37号），2013年9月10日；</w:t>
      </w:r>
    </w:p>
    <w:p>
      <w:pPr>
        <w:bidi w:val="0"/>
        <w:rPr>
          <w:highlight w:val="none"/>
          <w:u w:val="none"/>
        </w:rPr>
      </w:pPr>
      <w:r>
        <w:rPr>
          <w:highlight w:val="none"/>
          <w:u w:val="none"/>
        </w:rPr>
        <w:t>（9）《水污染防治行动计划》，2015年4月2日；</w:t>
      </w:r>
    </w:p>
    <w:p>
      <w:pPr>
        <w:bidi w:val="0"/>
        <w:rPr>
          <w:highlight w:val="none"/>
          <w:u w:val="none"/>
        </w:rPr>
      </w:pPr>
      <w:r>
        <w:rPr>
          <w:highlight w:val="none"/>
          <w:u w:val="none"/>
        </w:rPr>
        <w:t>（10）《土壤污染防治行动计划》，2016年5月28日；</w:t>
      </w:r>
    </w:p>
    <w:p>
      <w:pPr>
        <w:bidi w:val="0"/>
        <w:rPr>
          <w:highlight w:val="none"/>
          <w:u w:val="none"/>
        </w:rPr>
      </w:pPr>
      <w:r>
        <w:rPr>
          <w:highlight w:val="none"/>
          <w:u w:val="none"/>
        </w:rPr>
        <w:t>（11）《中华人民共和国水土保持法》，2011年3月1日；</w:t>
      </w:r>
    </w:p>
    <w:p>
      <w:pPr>
        <w:bidi w:val="0"/>
        <w:rPr>
          <w:highlight w:val="none"/>
          <w:u w:val="none"/>
        </w:rPr>
      </w:pPr>
      <w:r>
        <w:rPr>
          <w:highlight w:val="none"/>
          <w:u w:val="none"/>
        </w:rPr>
        <w:t>（12）《中华人民共和国水法》2002年10月1日；</w:t>
      </w:r>
    </w:p>
    <w:p>
      <w:pPr>
        <w:bidi w:val="0"/>
        <w:rPr>
          <w:highlight w:val="none"/>
          <w:u w:val="none"/>
        </w:rPr>
      </w:pPr>
      <w:r>
        <w:rPr>
          <w:highlight w:val="none"/>
          <w:u w:val="none"/>
        </w:rPr>
        <w:t>（13）《中华人民共和国畜牧法》2006年7月1日（2015年4月修订版）；</w:t>
      </w:r>
    </w:p>
    <w:p>
      <w:pPr>
        <w:bidi w:val="0"/>
        <w:rPr>
          <w:highlight w:val="none"/>
          <w:u w:val="none"/>
        </w:rPr>
      </w:pPr>
      <w:r>
        <w:rPr>
          <w:highlight w:val="none"/>
          <w:u w:val="none"/>
        </w:rPr>
        <w:t>（14）《中华人民共和国动物防疫法》2008年1月1日；</w:t>
      </w:r>
    </w:p>
    <w:p>
      <w:pPr>
        <w:bidi w:val="0"/>
        <w:rPr>
          <w:highlight w:val="none"/>
          <w:u w:val="none"/>
        </w:rPr>
      </w:pPr>
      <w:r>
        <w:rPr>
          <w:highlight w:val="none"/>
          <w:u w:val="none"/>
        </w:rPr>
        <w:t>（15）《中华人民共和国环境影响评价法》2018年12月29日；</w:t>
      </w:r>
    </w:p>
    <w:p>
      <w:pPr>
        <w:bidi w:val="0"/>
        <w:rPr>
          <w:highlight w:val="none"/>
          <w:u w:val="none"/>
        </w:rPr>
      </w:pPr>
      <w:r>
        <w:rPr>
          <w:highlight w:val="none"/>
          <w:u w:val="none"/>
        </w:rPr>
        <w:t>（16）《中华人民共和国清洁生产促进法》2012年7月1日；</w:t>
      </w:r>
    </w:p>
    <w:p>
      <w:pPr>
        <w:bidi w:val="0"/>
        <w:rPr>
          <w:highlight w:val="none"/>
          <w:u w:val="none"/>
        </w:rPr>
      </w:pPr>
      <w:r>
        <w:rPr>
          <w:highlight w:val="none"/>
          <w:u w:val="none"/>
        </w:rPr>
        <w:t>（17）《环境影响评价公众参与办法》（部令第4号），2019年1月1日；</w:t>
      </w:r>
    </w:p>
    <w:p>
      <w:pPr>
        <w:bidi w:val="0"/>
        <w:rPr>
          <w:highlight w:val="none"/>
          <w:u w:val="none"/>
        </w:rPr>
      </w:pPr>
      <w:r>
        <w:rPr>
          <w:highlight w:val="none"/>
          <w:u w:val="none"/>
        </w:rPr>
        <w:t>（1</w:t>
      </w:r>
      <w:r>
        <w:rPr>
          <w:rFonts w:hint="eastAsia"/>
          <w:highlight w:val="none"/>
          <w:u w:val="none"/>
          <w:lang w:val="en-US" w:eastAsia="zh-CN"/>
        </w:rPr>
        <w:t>8</w:t>
      </w:r>
      <w:r>
        <w:rPr>
          <w:highlight w:val="none"/>
          <w:u w:val="none"/>
        </w:rPr>
        <w:t>）《建设项目环境保护管理条例》（国务院令第682号），2017年10月1日；</w:t>
      </w:r>
    </w:p>
    <w:p>
      <w:pPr>
        <w:bidi w:val="0"/>
        <w:rPr>
          <w:highlight w:val="none"/>
          <w:u w:val="none"/>
        </w:rPr>
      </w:pPr>
      <w:r>
        <w:rPr>
          <w:highlight w:val="none"/>
          <w:u w:val="none"/>
        </w:rPr>
        <w:t>（</w:t>
      </w:r>
      <w:r>
        <w:rPr>
          <w:rFonts w:hint="eastAsia"/>
          <w:highlight w:val="none"/>
          <w:u w:val="none"/>
          <w:lang w:val="en-US" w:eastAsia="zh-CN"/>
        </w:rPr>
        <w:t>19</w:t>
      </w:r>
      <w:r>
        <w:rPr>
          <w:highlight w:val="none"/>
          <w:u w:val="none"/>
        </w:rPr>
        <w:t>）《建设项目环境影响评价分类管理名录》（2021年版），生态环境部第16号令，2021年1月1日；</w:t>
      </w:r>
    </w:p>
    <w:p>
      <w:pPr>
        <w:bidi w:val="0"/>
        <w:rPr>
          <w:highlight w:val="none"/>
          <w:u w:val="none"/>
        </w:rPr>
      </w:pPr>
      <w:r>
        <w:rPr>
          <w:rFonts w:hint="eastAsia"/>
          <w:highlight w:val="none"/>
          <w:u w:val="none"/>
        </w:rPr>
        <w:t>（</w:t>
      </w:r>
      <w:r>
        <w:rPr>
          <w:rFonts w:hint="eastAsia"/>
          <w:highlight w:val="none"/>
          <w:u w:val="none"/>
          <w:lang w:val="en-US" w:eastAsia="zh-CN"/>
        </w:rPr>
        <w:t>20</w:t>
      </w:r>
      <w:r>
        <w:rPr>
          <w:rFonts w:hint="eastAsia"/>
          <w:highlight w:val="none"/>
          <w:u w:val="none"/>
        </w:rPr>
        <w:t>）</w:t>
      </w:r>
      <w:r>
        <w:rPr>
          <w:highlight w:val="none"/>
          <w:u w:val="none"/>
        </w:rPr>
        <w:t>《清洁生产审核办法》（国家发展和改革委员会、国家环境保护部令第38号）2016年5月16日；</w:t>
      </w:r>
    </w:p>
    <w:p>
      <w:pPr>
        <w:bidi w:val="0"/>
        <w:rPr>
          <w:highlight w:val="none"/>
          <w:u w:val="none"/>
        </w:rPr>
      </w:pPr>
      <w:r>
        <w:rPr>
          <w:highlight w:val="none"/>
          <w:u w:val="none"/>
        </w:rPr>
        <w:t>（2</w:t>
      </w:r>
      <w:r>
        <w:rPr>
          <w:rFonts w:hint="eastAsia"/>
          <w:highlight w:val="none"/>
          <w:u w:val="none"/>
          <w:lang w:val="en-US" w:eastAsia="zh-CN"/>
        </w:rPr>
        <w:t>1</w:t>
      </w:r>
      <w:r>
        <w:rPr>
          <w:highlight w:val="none"/>
          <w:u w:val="none"/>
        </w:rPr>
        <w:t>）《关于进一步加强环境影响评价管理防范环境风险的通知》（环发[2012]77号）；</w:t>
      </w:r>
    </w:p>
    <w:p>
      <w:pPr>
        <w:bidi w:val="0"/>
        <w:rPr>
          <w:highlight w:val="none"/>
          <w:u w:val="none"/>
        </w:rPr>
      </w:pPr>
      <w:r>
        <w:rPr>
          <w:highlight w:val="none"/>
          <w:u w:val="none"/>
        </w:rPr>
        <w:t>（2</w:t>
      </w:r>
      <w:r>
        <w:rPr>
          <w:rFonts w:hint="eastAsia"/>
          <w:highlight w:val="none"/>
          <w:u w:val="none"/>
          <w:lang w:val="en-US" w:eastAsia="zh-CN"/>
        </w:rPr>
        <w:t>2</w:t>
      </w:r>
      <w:r>
        <w:rPr>
          <w:highlight w:val="none"/>
          <w:u w:val="none"/>
        </w:rPr>
        <w:t>）《关于切实加强风险防范严格环境影响评价管理的通知》（环发[2012]98号）；</w:t>
      </w:r>
    </w:p>
    <w:p>
      <w:pPr>
        <w:bidi w:val="0"/>
        <w:rPr>
          <w:rFonts w:hint="eastAsia"/>
          <w:highlight w:val="none"/>
          <w:u w:val="none"/>
        </w:rPr>
      </w:pPr>
      <w:r>
        <w:rPr>
          <w:rFonts w:hint="eastAsia"/>
          <w:highlight w:val="none"/>
          <w:u w:val="none"/>
        </w:rPr>
        <w:t>（2</w:t>
      </w:r>
      <w:r>
        <w:rPr>
          <w:rFonts w:hint="eastAsia"/>
          <w:highlight w:val="none"/>
          <w:u w:val="none"/>
          <w:lang w:val="en-US" w:eastAsia="zh-CN"/>
        </w:rPr>
        <w:t>3</w:t>
      </w:r>
      <w:r>
        <w:rPr>
          <w:rFonts w:hint="eastAsia"/>
          <w:highlight w:val="none"/>
          <w:u w:val="none"/>
        </w:rPr>
        <w:t>）国家环保部办公厅关于病害动物无害化处理有关意见的复函，环办函 〔2014〕789号，2014年6月26日；</w:t>
      </w:r>
    </w:p>
    <w:p>
      <w:pPr>
        <w:bidi w:val="0"/>
        <w:rPr>
          <w:rFonts w:hint="eastAsia"/>
          <w:highlight w:val="none"/>
          <w:u w:val="none"/>
        </w:rPr>
      </w:pPr>
      <w:r>
        <w:rPr>
          <w:rFonts w:hint="eastAsia"/>
          <w:highlight w:val="none"/>
          <w:u w:val="none"/>
        </w:rPr>
        <w:t>（2</w:t>
      </w:r>
      <w:r>
        <w:rPr>
          <w:rFonts w:hint="eastAsia"/>
          <w:highlight w:val="none"/>
          <w:u w:val="none"/>
          <w:lang w:val="en-US" w:eastAsia="zh-CN"/>
        </w:rPr>
        <w:t>4</w:t>
      </w:r>
      <w:r>
        <w:rPr>
          <w:rFonts w:hint="eastAsia"/>
          <w:highlight w:val="none"/>
          <w:u w:val="none"/>
        </w:rPr>
        <w:t>）国务院办公厅关于加快推进畜禽养殖废弃物资源化利用的意见</w:t>
      </w:r>
      <w:r>
        <w:rPr>
          <w:rFonts w:hint="eastAsia"/>
          <w:highlight w:val="none"/>
          <w:u w:val="none"/>
          <w:lang w:eastAsia="zh-CN"/>
        </w:rPr>
        <w:t>，</w:t>
      </w:r>
      <w:r>
        <w:rPr>
          <w:rFonts w:hint="eastAsia"/>
          <w:highlight w:val="none"/>
          <w:u w:val="none"/>
        </w:rPr>
        <w:t>国办发〔2017〕48号；</w:t>
      </w:r>
    </w:p>
    <w:p>
      <w:pPr>
        <w:bidi w:val="0"/>
        <w:rPr>
          <w:rFonts w:hint="eastAsia"/>
          <w:highlight w:val="none"/>
          <w:u w:val="none"/>
        </w:rPr>
      </w:pPr>
      <w:r>
        <w:rPr>
          <w:rFonts w:hint="eastAsia"/>
          <w:highlight w:val="none"/>
          <w:u w:val="none"/>
        </w:rPr>
        <w:t>（2</w:t>
      </w:r>
      <w:r>
        <w:rPr>
          <w:rFonts w:hint="eastAsia"/>
          <w:highlight w:val="none"/>
          <w:u w:val="none"/>
          <w:lang w:val="en-US" w:eastAsia="zh-CN"/>
        </w:rPr>
        <w:t>5</w:t>
      </w:r>
      <w:r>
        <w:rPr>
          <w:rFonts w:hint="eastAsia"/>
          <w:highlight w:val="none"/>
          <w:u w:val="none"/>
        </w:rPr>
        <w:t>）生态环境部部长信箱关于畜禽养殖业选址问题的回复，2018年02年26 日；</w:t>
      </w:r>
    </w:p>
    <w:p>
      <w:pPr>
        <w:bidi w:val="0"/>
        <w:rPr>
          <w:rFonts w:hint="eastAsia"/>
          <w:highlight w:val="none"/>
          <w:u w:val="none"/>
        </w:rPr>
      </w:pPr>
      <w:r>
        <w:rPr>
          <w:rFonts w:hint="eastAsia"/>
          <w:highlight w:val="none"/>
          <w:u w:val="none"/>
        </w:rPr>
        <w:t>（2</w:t>
      </w:r>
      <w:r>
        <w:rPr>
          <w:rFonts w:hint="eastAsia"/>
          <w:highlight w:val="none"/>
          <w:u w:val="none"/>
          <w:lang w:val="en-US" w:eastAsia="zh-CN"/>
        </w:rPr>
        <w:t>6</w:t>
      </w:r>
      <w:r>
        <w:rPr>
          <w:rFonts w:hint="eastAsia"/>
          <w:highlight w:val="none"/>
          <w:u w:val="none"/>
        </w:rPr>
        <w:t>）生态环境部部长信箱关于急需答复的规模以下的养殖户执行标准问题 的回复，2019年1月15日；</w:t>
      </w:r>
    </w:p>
    <w:p>
      <w:pPr>
        <w:bidi w:val="0"/>
        <w:rPr>
          <w:rFonts w:hint="eastAsia"/>
          <w:highlight w:val="none"/>
          <w:u w:val="none"/>
        </w:rPr>
      </w:pPr>
      <w:r>
        <w:rPr>
          <w:rFonts w:hint="eastAsia"/>
          <w:highlight w:val="none"/>
          <w:u w:val="none"/>
        </w:rPr>
        <w:t>（2</w:t>
      </w:r>
      <w:r>
        <w:rPr>
          <w:rFonts w:hint="eastAsia"/>
          <w:highlight w:val="none"/>
          <w:u w:val="none"/>
          <w:lang w:val="en-US" w:eastAsia="zh-CN"/>
        </w:rPr>
        <w:t>7</w:t>
      </w:r>
      <w:r>
        <w:rPr>
          <w:rFonts w:hint="eastAsia"/>
          <w:highlight w:val="none"/>
          <w:u w:val="none"/>
        </w:rPr>
        <w:t>）生态环境部办公厅农业农村部办公厅</w:t>
      </w:r>
      <w:r>
        <w:rPr>
          <w:rFonts w:hint="eastAsia"/>
          <w:highlight w:val="none"/>
          <w:u w:val="none"/>
          <w:lang w:eastAsia="zh-CN"/>
        </w:rPr>
        <w:t>《</w:t>
      </w:r>
      <w:r>
        <w:rPr>
          <w:rFonts w:hint="eastAsia"/>
          <w:highlight w:val="none"/>
          <w:u w:val="none"/>
        </w:rPr>
        <w:t>关于进一步规范畜禽养殖禁养区 划定和管理促进生猪生产发展的通知</w:t>
      </w:r>
      <w:r>
        <w:rPr>
          <w:rFonts w:hint="eastAsia"/>
          <w:highlight w:val="none"/>
          <w:u w:val="none"/>
          <w:lang w:eastAsia="zh-CN"/>
        </w:rPr>
        <w:t>》</w:t>
      </w:r>
      <w:r>
        <w:rPr>
          <w:rFonts w:hint="eastAsia"/>
          <w:highlight w:val="none"/>
          <w:u w:val="none"/>
        </w:rPr>
        <w:t>，环办土壤〔2019〕55号，2019年9月3日；</w:t>
      </w:r>
    </w:p>
    <w:p>
      <w:pPr>
        <w:bidi w:val="0"/>
        <w:rPr>
          <w:rFonts w:hint="eastAsia"/>
          <w:highlight w:val="none"/>
          <w:u w:val="none"/>
        </w:rPr>
      </w:pPr>
      <w:r>
        <w:rPr>
          <w:rFonts w:hint="eastAsia"/>
          <w:highlight w:val="none"/>
          <w:u w:val="none"/>
        </w:rPr>
        <w:t>（2</w:t>
      </w:r>
      <w:r>
        <w:rPr>
          <w:rFonts w:hint="eastAsia"/>
          <w:highlight w:val="none"/>
          <w:u w:val="none"/>
          <w:lang w:val="en-US" w:eastAsia="zh-CN"/>
        </w:rPr>
        <w:t>8</w:t>
      </w:r>
      <w:r>
        <w:rPr>
          <w:rFonts w:hint="eastAsia"/>
          <w:highlight w:val="none"/>
          <w:u w:val="none"/>
        </w:rPr>
        <w:t>）自然资源部办公厅</w:t>
      </w:r>
      <w:r>
        <w:rPr>
          <w:rFonts w:hint="eastAsia"/>
          <w:highlight w:val="none"/>
          <w:u w:val="none"/>
          <w:lang w:eastAsia="zh-CN"/>
        </w:rPr>
        <w:t>《</w:t>
      </w:r>
      <w:r>
        <w:rPr>
          <w:rFonts w:hint="eastAsia"/>
          <w:highlight w:val="none"/>
          <w:u w:val="none"/>
        </w:rPr>
        <w:t>关于保障生猪养殖用地有关问题的通知，2019年9 月5日</w:t>
      </w:r>
      <w:r>
        <w:rPr>
          <w:rFonts w:hint="eastAsia"/>
          <w:highlight w:val="none"/>
          <w:u w:val="none"/>
          <w:lang w:eastAsia="zh-CN"/>
        </w:rPr>
        <w:t>》</w:t>
      </w:r>
      <w:r>
        <w:rPr>
          <w:rFonts w:hint="eastAsia"/>
          <w:highlight w:val="none"/>
          <w:u w:val="none"/>
        </w:rPr>
        <w:t>；</w:t>
      </w:r>
    </w:p>
    <w:p>
      <w:pPr>
        <w:bidi w:val="0"/>
        <w:rPr>
          <w:rFonts w:hint="eastAsia"/>
          <w:highlight w:val="none"/>
          <w:u w:val="none"/>
        </w:rPr>
      </w:pPr>
      <w:r>
        <w:rPr>
          <w:rFonts w:hint="eastAsia"/>
          <w:highlight w:val="none"/>
          <w:u w:val="none"/>
        </w:rPr>
        <w:t>（</w:t>
      </w:r>
      <w:r>
        <w:rPr>
          <w:rFonts w:hint="eastAsia"/>
          <w:highlight w:val="none"/>
          <w:u w:val="none"/>
          <w:lang w:val="en-US" w:eastAsia="zh-CN"/>
        </w:rPr>
        <w:t>29</w:t>
      </w:r>
      <w:r>
        <w:rPr>
          <w:rFonts w:hint="eastAsia"/>
          <w:highlight w:val="none"/>
          <w:u w:val="none"/>
        </w:rPr>
        <w:t>）国务院办公厅关于稳定生猪生产促进转型升级的意见，国办发〔2019〕44号，2019年9月10日；</w:t>
      </w:r>
    </w:p>
    <w:p>
      <w:pPr>
        <w:bidi w:val="0"/>
        <w:rPr>
          <w:rFonts w:hint="eastAsia"/>
          <w:highlight w:val="none"/>
          <w:u w:val="none"/>
        </w:rPr>
      </w:pPr>
      <w:r>
        <w:rPr>
          <w:rFonts w:hint="eastAsia"/>
          <w:highlight w:val="none"/>
          <w:u w:val="none"/>
        </w:rPr>
        <w:t>（</w:t>
      </w:r>
      <w:r>
        <w:rPr>
          <w:rFonts w:hint="eastAsia"/>
          <w:highlight w:val="none"/>
          <w:u w:val="none"/>
          <w:lang w:val="en-US" w:eastAsia="zh-CN"/>
        </w:rPr>
        <w:t>30</w:t>
      </w:r>
      <w:r>
        <w:rPr>
          <w:rFonts w:hint="eastAsia"/>
          <w:highlight w:val="none"/>
          <w:u w:val="none"/>
        </w:rPr>
        <w:t>）生态环境部办公厅关于进一步做好当前生猪规模养殖环评管理相关工作的通知，环办环评函〔2019〕872号，2019年11月29日；</w:t>
      </w:r>
    </w:p>
    <w:p>
      <w:pPr>
        <w:bidi w:val="0"/>
        <w:rPr>
          <w:rFonts w:hint="eastAsia"/>
          <w:highlight w:val="none"/>
          <w:u w:val="none"/>
        </w:rPr>
      </w:pPr>
      <w:r>
        <w:rPr>
          <w:rFonts w:hint="eastAsia"/>
          <w:highlight w:val="none"/>
          <w:u w:val="none"/>
        </w:rPr>
        <w:t>（</w:t>
      </w:r>
      <w:r>
        <w:rPr>
          <w:rFonts w:hint="eastAsia"/>
          <w:highlight w:val="none"/>
          <w:u w:val="none"/>
          <w:lang w:val="en-US" w:eastAsia="zh-CN"/>
        </w:rPr>
        <w:t>31</w:t>
      </w:r>
      <w:r>
        <w:rPr>
          <w:rFonts w:hint="eastAsia"/>
          <w:highlight w:val="none"/>
          <w:u w:val="none"/>
        </w:rPr>
        <w:t>）国家发展改革委农业农村部关于支持民营企业发展生猪生产及相关产业的实施意见，发改农经〔2020〕350号，2020年3月10日；</w:t>
      </w:r>
    </w:p>
    <w:p>
      <w:pPr>
        <w:bidi w:val="0"/>
        <w:rPr>
          <w:rFonts w:hint="eastAsia"/>
          <w:highlight w:val="none"/>
          <w:u w:val="none"/>
        </w:rPr>
      </w:pPr>
      <w:r>
        <w:rPr>
          <w:rFonts w:hint="eastAsia"/>
          <w:highlight w:val="none"/>
          <w:u w:val="none"/>
        </w:rPr>
        <w:t>（</w:t>
      </w:r>
      <w:r>
        <w:rPr>
          <w:rFonts w:hint="eastAsia"/>
          <w:highlight w:val="none"/>
          <w:u w:val="none"/>
          <w:lang w:val="en-US" w:eastAsia="zh-CN"/>
        </w:rPr>
        <w:t>32</w:t>
      </w:r>
      <w:r>
        <w:rPr>
          <w:rFonts w:hint="eastAsia"/>
          <w:highlight w:val="none"/>
          <w:u w:val="none"/>
        </w:rPr>
        <w:t>）农业农村部办公厅 生态环境部办公厅</w:t>
      </w:r>
      <w:r>
        <w:rPr>
          <w:rFonts w:hint="eastAsia"/>
          <w:highlight w:val="none"/>
          <w:u w:val="none"/>
          <w:lang w:eastAsia="zh-CN"/>
        </w:rPr>
        <w:t>《</w:t>
      </w:r>
      <w:r>
        <w:rPr>
          <w:rFonts w:hint="eastAsia"/>
          <w:highlight w:val="none"/>
          <w:u w:val="none"/>
        </w:rPr>
        <w:t>关于进一步明确畜禽粪污还田利用要求强化养殖污染监管的通知</w:t>
      </w:r>
      <w:r>
        <w:rPr>
          <w:rFonts w:hint="eastAsia"/>
          <w:highlight w:val="none"/>
          <w:u w:val="none"/>
          <w:lang w:eastAsia="zh-CN"/>
        </w:rPr>
        <w:t>》</w:t>
      </w:r>
      <w:r>
        <w:rPr>
          <w:rFonts w:hint="eastAsia"/>
          <w:highlight w:val="none"/>
          <w:u w:val="none"/>
        </w:rPr>
        <w:t>，农办牧〔2020〕23号，2020年6月4日；</w:t>
      </w:r>
    </w:p>
    <w:p>
      <w:pPr>
        <w:bidi w:val="0"/>
        <w:rPr>
          <w:highlight w:val="none"/>
          <w:u w:val="none"/>
        </w:rPr>
      </w:pPr>
      <w:r>
        <w:rPr>
          <w:highlight w:val="none"/>
          <w:u w:val="none"/>
        </w:rPr>
        <w:t>（3</w:t>
      </w:r>
      <w:r>
        <w:rPr>
          <w:rFonts w:hint="eastAsia"/>
          <w:highlight w:val="none"/>
          <w:u w:val="none"/>
          <w:lang w:val="en-US" w:eastAsia="zh-CN"/>
        </w:rPr>
        <w:t>3</w:t>
      </w:r>
      <w:r>
        <w:rPr>
          <w:highlight w:val="none"/>
          <w:u w:val="none"/>
        </w:rPr>
        <w:t>）《工业项目建设用地控制指标（试行）》（国土资发〔2004〕232号）；</w:t>
      </w:r>
    </w:p>
    <w:p>
      <w:pPr>
        <w:bidi w:val="0"/>
        <w:rPr>
          <w:highlight w:val="none"/>
          <w:u w:val="none"/>
        </w:rPr>
      </w:pPr>
      <w:r>
        <w:rPr>
          <w:highlight w:val="none"/>
          <w:u w:val="none"/>
        </w:rPr>
        <w:t>（3</w:t>
      </w:r>
      <w:r>
        <w:rPr>
          <w:rFonts w:hint="eastAsia"/>
          <w:highlight w:val="none"/>
          <w:u w:val="none"/>
          <w:lang w:val="en-US" w:eastAsia="zh-CN"/>
        </w:rPr>
        <w:t>4</w:t>
      </w:r>
      <w:r>
        <w:rPr>
          <w:highlight w:val="none"/>
          <w:u w:val="none"/>
        </w:rPr>
        <w:t>）《产业结构调整指导目录（2019年本）》，2020年1月1日；</w:t>
      </w:r>
    </w:p>
    <w:p>
      <w:pPr>
        <w:bidi w:val="0"/>
        <w:rPr>
          <w:rFonts w:hint="eastAsia"/>
          <w:highlight w:val="none"/>
          <w:u w:val="none"/>
        </w:rPr>
      </w:pPr>
      <w:r>
        <w:rPr>
          <w:highlight w:val="none"/>
          <w:u w:val="none"/>
        </w:rPr>
        <w:t>（</w:t>
      </w:r>
      <w:r>
        <w:rPr>
          <w:rFonts w:hint="eastAsia"/>
          <w:highlight w:val="none"/>
          <w:u w:val="none"/>
          <w:lang w:val="en-US" w:eastAsia="zh-CN"/>
        </w:rPr>
        <w:t>35</w:t>
      </w:r>
      <w:r>
        <w:rPr>
          <w:highlight w:val="none"/>
          <w:u w:val="none"/>
        </w:rPr>
        <w:t>）</w:t>
      </w:r>
      <w:r>
        <w:rPr>
          <w:rFonts w:hint="eastAsia"/>
          <w:highlight w:val="none"/>
          <w:u w:val="none"/>
        </w:rPr>
        <w:t>《关于加快转型升级推进现代畜牧业发展的意见》（湘政办发[2016]27号）</w:t>
      </w:r>
    </w:p>
    <w:p>
      <w:pPr>
        <w:bidi w:val="0"/>
        <w:rPr>
          <w:rFonts w:hint="eastAsia"/>
          <w:highlight w:val="none"/>
          <w:u w:val="none"/>
        </w:rPr>
      </w:pPr>
      <w:r>
        <w:rPr>
          <w:rFonts w:hint="eastAsia"/>
          <w:highlight w:val="none"/>
          <w:u w:val="none"/>
          <w:lang w:eastAsia="zh-CN"/>
        </w:rPr>
        <w:t>（</w:t>
      </w:r>
      <w:r>
        <w:rPr>
          <w:rFonts w:hint="eastAsia"/>
          <w:highlight w:val="none"/>
          <w:u w:val="none"/>
          <w:lang w:val="en-US" w:eastAsia="zh-CN"/>
        </w:rPr>
        <w:t>36</w:t>
      </w:r>
      <w:r>
        <w:rPr>
          <w:rFonts w:hint="eastAsia"/>
          <w:highlight w:val="none"/>
          <w:u w:val="none"/>
          <w:lang w:eastAsia="zh-CN"/>
        </w:rPr>
        <w:t>）</w:t>
      </w:r>
      <w:r>
        <w:rPr>
          <w:rFonts w:hint="eastAsia"/>
          <w:highlight w:val="none"/>
          <w:u w:val="none"/>
        </w:rPr>
        <w:t>《湖南省畜禽规模养殖污染防治规定》（湘政办发〔2017〕29号）</w:t>
      </w:r>
    </w:p>
    <w:p>
      <w:pPr>
        <w:bidi w:val="0"/>
        <w:rPr>
          <w:highlight w:val="none"/>
          <w:u w:val="none"/>
        </w:rPr>
      </w:pPr>
      <w:r>
        <w:rPr>
          <w:rFonts w:hint="eastAsia"/>
          <w:highlight w:val="none"/>
          <w:u w:val="none"/>
          <w:lang w:eastAsia="zh-CN"/>
        </w:rPr>
        <w:t>（</w:t>
      </w:r>
      <w:r>
        <w:rPr>
          <w:rFonts w:hint="eastAsia"/>
          <w:highlight w:val="none"/>
          <w:u w:val="none"/>
          <w:lang w:val="en-US" w:eastAsia="zh-CN"/>
        </w:rPr>
        <w:t>37</w:t>
      </w:r>
      <w:r>
        <w:rPr>
          <w:rFonts w:hint="eastAsia"/>
          <w:highlight w:val="none"/>
          <w:u w:val="none"/>
          <w:lang w:eastAsia="zh-CN"/>
        </w:rPr>
        <w:t>）</w:t>
      </w:r>
      <w:r>
        <w:rPr>
          <w:rFonts w:hint="eastAsia"/>
          <w:highlight w:val="none"/>
          <w:u w:val="none"/>
        </w:rPr>
        <w:t>《湖南省“十四五”农业农村现代化规划》</w:t>
      </w:r>
    </w:p>
    <w:p>
      <w:pPr>
        <w:bidi w:val="0"/>
        <w:rPr>
          <w:highlight w:val="none"/>
          <w:u w:val="none"/>
        </w:rPr>
      </w:pPr>
      <w:r>
        <w:rPr>
          <w:highlight w:val="none"/>
          <w:u w:val="none"/>
        </w:rPr>
        <w:t>（</w:t>
      </w:r>
      <w:r>
        <w:rPr>
          <w:rFonts w:hint="eastAsia"/>
          <w:highlight w:val="none"/>
          <w:u w:val="none"/>
          <w:lang w:val="en-US" w:eastAsia="zh-CN"/>
        </w:rPr>
        <w:t>38</w:t>
      </w:r>
      <w:r>
        <w:rPr>
          <w:highlight w:val="none"/>
          <w:u w:val="none"/>
        </w:rPr>
        <w:t>）《湖南省主要水系地表水环境功能区划》（DB 43/023-2005）；</w:t>
      </w:r>
    </w:p>
    <w:p>
      <w:pPr>
        <w:bidi w:val="0"/>
        <w:rPr>
          <w:highlight w:val="none"/>
          <w:u w:val="none"/>
        </w:rPr>
      </w:pPr>
      <w:r>
        <w:rPr>
          <w:highlight w:val="none"/>
          <w:u w:val="none"/>
        </w:rPr>
        <w:t>（</w:t>
      </w:r>
      <w:r>
        <w:rPr>
          <w:rFonts w:hint="eastAsia"/>
          <w:highlight w:val="none"/>
          <w:u w:val="none"/>
          <w:lang w:val="en-US" w:eastAsia="zh-CN"/>
        </w:rPr>
        <w:t>39</w:t>
      </w:r>
      <w:r>
        <w:rPr>
          <w:highlight w:val="none"/>
          <w:u w:val="none"/>
        </w:rPr>
        <w:t>）《湖南省建设项目环境保护管理办法》（湖南省人民政府令（第215号））；</w:t>
      </w:r>
    </w:p>
    <w:p>
      <w:pPr>
        <w:bidi w:val="0"/>
        <w:rPr>
          <w:highlight w:val="none"/>
          <w:u w:val="none"/>
        </w:rPr>
      </w:pPr>
      <w:r>
        <w:rPr>
          <w:highlight w:val="none"/>
          <w:u w:val="none"/>
        </w:rPr>
        <w:t>（4</w:t>
      </w:r>
      <w:r>
        <w:rPr>
          <w:rFonts w:hint="eastAsia"/>
          <w:highlight w:val="none"/>
          <w:u w:val="none"/>
          <w:lang w:val="en-US" w:eastAsia="zh-CN"/>
        </w:rPr>
        <w:t>0</w:t>
      </w:r>
      <w:r>
        <w:rPr>
          <w:highlight w:val="none"/>
          <w:u w:val="none"/>
        </w:rPr>
        <w:t>）《湖南省环境保护条例（2013 年修正）》湖南省人大常委会；</w:t>
      </w:r>
    </w:p>
    <w:p>
      <w:pPr>
        <w:bidi w:val="0"/>
        <w:rPr>
          <w:highlight w:val="none"/>
          <w:u w:val="none"/>
        </w:rPr>
      </w:pPr>
      <w:r>
        <w:rPr>
          <w:highlight w:val="none"/>
          <w:u w:val="none"/>
        </w:rPr>
        <w:t>（4</w:t>
      </w:r>
      <w:r>
        <w:rPr>
          <w:rFonts w:hint="eastAsia"/>
          <w:highlight w:val="none"/>
          <w:u w:val="none"/>
          <w:lang w:val="en-US" w:eastAsia="zh-CN"/>
        </w:rPr>
        <w:t>1</w:t>
      </w:r>
      <w:r>
        <w:rPr>
          <w:highlight w:val="none"/>
          <w:u w:val="none"/>
        </w:rPr>
        <w:t>）</w:t>
      </w:r>
      <w:r>
        <w:rPr>
          <w:rFonts w:hint="eastAsia"/>
          <w:highlight w:val="none"/>
          <w:u w:val="none"/>
        </w:rPr>
        <w:t>岳阳市人民政府关于印发岳阳市畜禽规模养殖管理暂行办法的通知（岳政发[2012]3号）</w:t>
      </w:r>
      <w:r>
        <w:rPr>
          <w:highlight w:val="none"/>
          <w:u w:val="none"/>
        </w:rPr>
        <w:t>；</w:t>
      </w:r>
    </w:p>
    <w:p>
      <w:pPr>
        <w:bidi w:val="0"/>
        <w:rPr>
          <w:rFonts w:hint="eastAsia"/>
          <w:highlight w:val="none"/>
          <w:u w:val="none"/>
        </w:rPr>
      </w:pPr>
      <w:r>
        <w:rPr>
          <w:rFonts w:hint="eastAsia"/>
          <w:highlight w:val="none"/>
          <w:u w:val="none"/>
          <w:lang w:eastAsia="zh-CN"/>
        </w:rPr>
        <w:t>（</w:t>
      </w:r>
      <w:r>
        <w:rPr>
          <w:rFonts w:hint="eastAsia"/>
          <w:highlight w:val="none"/>
          <w:u w:val="none"/>
          <w:lang w:val="en-US" w:eastAsia="zh-CN"/>
        </w:rPr>
        <w:t>42</w:t>
      </w:r>
      <w:r>
        <w:rPr>
          <w:rFonts w:hint="eastAsia"/>
          <w:highlight w:val="none"/>
          <w:u w:val="none"/>
          <w:lang w:eastAsia="zh-CN"/>
        </w:rPr>
        <w:t>）</w:t>
      </w:r>
      <w:r>
        <w:rPr>
          <w:rFonts w:hint="eastAsia"/>
          <w:highlight w:val="none"/>
          <w:u w:val="none"/>
        </w:rPr>
        <w:t>《规模畜禽养殖场污染防治最佳可行技术指南（试行） 》（HJ-BAT- 10） 征求意见稿编制说明</w:t>
      </w:r>
    </w:p>
    <w:p>
      <w:pPr>
        <w:bidi w:val="0"/>
        <w:rPr>
          <w:highlight w:val="none"/>
          <w:u w:val="none"/>
        </w:rPr>
      </w:pPr>
      <w:r>
        <w:rPr>
          <w:rFonts w:hint="eastAsia"/>
          <w:highlight w:val="none"/>
          <w:u w:val="none"/>
          <w:lang w:eastAsia="zh-CN"/>
        </w:rPr>
        <w:t>（</w:t>
      </w:r>
      <w:r>
        <w:rPr>
          <w:rFonts w:hint="eastAsia"/>
          <w:highlight w:val="none"/>
          <w:u w:val="none"/>
          <w:lang w:val="en-US" w:eastAsia="zh-CN"/>
        </w:rPr>
        <w:t>43</w:t>
      </w:r>
      <w:r>
        <w:rPr>
          <w:rFonts w:hint="eastAsia"/>
          <w:highlight w:val="none"/>
          <w:u w:val="none"/>
          <w:lang w:eastAsia="zh-CN"/>
        </w:rPr>
        <w:t>）</w:t>
      </w:r>
      <w:r>
        <w:rPr>
          <w:rFonts w:hint="eastAsia"/>
          <w:highlight w:val="none"/>
          <w:u w:val="none"/>
        </w:rPr>
        <w:t>《规模猪场建设》（GB/T17824.1-2008）</w:t>
      </w:r>
    </w:p>
    <w:p>
      <w:pPr>
        <w:pStyle w:val="5"/>
        <w:bidi w:val="0"/>
        <w:rPr>
          <w:highlight w:val="none"/>
          <w:u w:val="none"/>
        </w:rPr>
      </w:pPr>
      <w:r>
        <w:rPr>
          <w:rFonts w:hint="eastAsia"/>
          <w:highlight w:val="none"/>
          <w:u w:val="none"/>
          <w:lang w:val="en-US" w:eastAsia="zh-CN"/>
        </w:rPr>
        <w:t>2</w:t>
      </w:r>
      <w:r>
        <w:rPr>
          <w:highlight w:val="none"/>
          <w:u w:val="none"/>
        </w:rPr>
        <w:t>.1.2</w:t>
      </w:r>
      <w:r>
        <w:rPr>
          <w:rFonts w:hint="eastAsia"/>
          <w:highlight w:val="none"/>
          <w:u w:val="none"/>
          <w:lang w:val="en-US" w:eastAsia="zh-CN"/>
        </w:rPr>
        <w:t xml:space="preserve">  </w:t>
      </w:r>
      <w:r>
        <w:rPr>
          <w:highlight w:val="none"/>
          <w:u w:val="none"/>
        </w:rPr>
        <w:t>环境影响评价技术导则与规范</w:t>
      </w:r>
    </w:p>
    <w:p>
      <w:pPr>
        <w:bidi w:val="0"/>
        <w:rPr>
          <w:highlight w:val="none"/>
          <w:u w:val="none"/>
        </w:rPr>
      </w:pPr>
      <w:r>
        <w:rPr>
          <w:highlight w:val="none"/>
          <w:u w:val="none"/>
        </w:rPr>
        <w:t>（1）《环境影响评价技术导则——总纲》（HJ2.1-2016）</w:t>
      </w:r>
    </w:p>
    <w:p>
      <w:pPr>
        <w:bidi w:val="0"/>
        <w:rPr>
          <w:highlight w:val="none"/>
          <w:u w:val="none"/>
        </w:rPr>
      </w:pPr>
      <w:r>
        <w:rPr>
          <w:highlight w:val="none"/>
          <w:u w:val="none"/>
        </w:rPr>
        <w:t>（2）《环境影响评价技术导则——大气环境》（HJ2.2-2018）</w:t>
      </w:r>
    </w:p>
    <w:p>
      <w:pPr>
        <w:bidi w:val="0"/>
        <w:rPr>
          <w:highlight w:val="none"/>
          <w:u w:val="none"/>
        </w:rPr>
      </w:pPr>
      <w:r>
        <w:rPr>
          <w:highlight w:val="none"/>
          <w:u w:val="none"/>
        </w:rPr>
        <w:t>（3）《环境影响评价技术导则——地面水环境》（HJ2.3-2019）</w:t>
      </w:r>
    </w:p>
    <w:p>
      <w:pPr>
        <w:bidi w:val="0"/>
        <w:rPr>
          <w:highlight w:val="none"/>
          <w:u w:val="none"/>
        </w:rPr>
      </w:pPr>
      <w:r>
        <w:rPr>
          <w:highlight w:val="none"/>
          <w:u w:val="none"/>
        </w:rPr>
        <w:t>（4）《环境影响评价技术导则——地下水环境》（HJ 610-2016）；</w:t>
      </w:r>
    </w:p>
    <w:p>
      <w:pPr>
        <w:bidi w:val="0"/>
        <w:rPr>
          <w:rFonts w:hint="eastAsia" w:eastAsia="宋体"/>
          <w:highlight w:val="none"/>
          <w:u w:val="single"/>
          <w:lang w:eastAsia="zh-CN"/>
        </w:rPr>
      </w:pPr>
      <w:r>
        <w:rPr>
          <w:highlight w:val="none"/>
          <w:u w:val="single"/>
        </w:rPr>
        <w:t>（5）《环境影响评价技术导则——声环境》（HJ2.4-20</w:t>
      </w:r>
      <w:r>
        <w:rPr>
          <w:rFonts w:hint="eastAsia"/>
          <w:highlight w:val="none"/>
          <w:u w:val="single"/>
          <w:lang w:val="en-US" w:eastAsia="zh-CN"/>
        </w:rPr>
        <w:t>21</w:t>
      </w:r>
      <w:r>
        <w:rPr>
          <w:highlight w:val="none"/>
          <w:u w:val="single"/>
        </w:rPr>
        <w:t>）</w:t>
      </w:r>
      <w:r>
        <w:rPr>
          <w:rFonts w:hint="eastAsia"/>
          <w:highlight w:val="none"/>
          <w:u w:val="single"/>
          <w:lang w:eastAsia="zh-CN"/>
        </w:rPr>
        <w:t>；</w:t>
      </w:r>
    </w:p>
    <w:p>
      <w:pPr>
        <w:bidi w:val="0"/>
        <w:rPr>
          <w:rFonts w:hint="eastAsia" w:eastAsia="宋体"/>
          <w:highlight w:val="none"/>
          <w:u w:val="single"/>
          <w:lang w:eastAsia="zh-CN"/>
        </w:rPr>
      </w:pPr>
      <w:r>
        <w:rPr>
          <w:rFonts w:hint="eastAsia"/>
          <w:highlight w:val="none"/>
          <w:u w:val="single"/>
          <w:lang w:eastAsia="zh-CN"/>
        </w:rPr>
        <w:t>（</w:t>
      </w:r>
      <w:r>
        <w:rPr>
          <w:rFonts w:hint="eastAsia"/>
          <w:highlight w:val="none"/>
          <w:u w:val="single"/>
          <w:lang w:val="en-US" w:eastAsia="zh-CN"/>
        </w:rPr>
        <w:t>6</w:t>
      </w:r>
      <w:r>
        <w:rPr>
          <w:rFonts w:hint="eastAsia"/>
          <w:highlight w:val="none"/>
          <w:u w:val="single"/>
          <w:lang w:eastAsia="zh-CN"/>
        </w:rPr>
        <w:t>）《</w:t>
      </w:r>
      <w:r>
        <w:rPr>
          <w:rFonts w:hint="eastAsia"/>
          <w:highlight w:val="none"/>
          <w:u w:val="single"/>
        </w:rPr>
        <w:t>环境影响评价技术导则 土壤环境（试行）</w:t>
      </w:r>
      <w:r>
        <w:rPr>
          <w:rFonts w:hint="eastAsia"/>
          <w:highlight w:val="none"/>
          <w:u w:val="single"/>
          <w:lang w:eastAsia="zh-CN"/>
        </w:rPr>
        <w:t>》（</w:t>
      </w:r>
      <w:r>
        <w:rPr>
          <w:rFonts w:hint="eastAsia"/>
          <w:highlight w:val="none"/>
          <w:u w:val="single"/>
        </w:rPr>
        <w:t>HJ 964—2018</w:t>
      </w:r>
      <w:r>
        <w:rPr>
          <w:rFonts w:hint="eastAsia"/>
          <w:highlight w:val="none"/>
          <w:u w:val="single"/>
          <w:lang w:eastAsia="zh-CN"/>
        </w:rPr>
        <w:t>）；</w:t>
      </w:r>
    </w:p>
    <w:p>
      <w:pPr>
        <w:bidi w:val="0"/>
        <w:rPr>
          <w:rFonts w:hint="eastAsia" w:eastAsia="宋体"/>
          <w:highlight w:val="none"/>
          <w:u w:val="single"/>
          <w:lang w:eastAsia="zh-CN"/>
        </w:rPr>
      </w:pPr>
      <w:r>
        <w:rPr>
          <w:highlight w:val="none"/>
          <w:u w:val="single"/>
        </w:rPr>
        <w:t>（</w:t>
      </w:r>
      <w:r>
        <w:rPr>
          <w:rFonts w:hint="eastAsia"/>
          <w:highlight w:val="none"/>
          <w:u w:val="single"/>
          <w:lang w:val="en-US" w:eastAsia="zh-CN"/>
        </w:rPr>
        <w:t>7</w:t>
      </w:r>
      <w:r>
        <w:rPr>
          <w:highlight w:val="none"/>
          <w:u w:val="single"/>
        </w:rPr>
        <w:t>）《环境影响评价技术导则——生态影响》（HJ19-20</w:t>
      </w:r>
      <w:r>
        <w:rPr>
          <w:rFonts w:hint="eastAsia"/>
          <w:highlight w:val="none"/>
          <w:u w:val="single"/>
          <w:lang w:val="en-US" w:eastAsia="zh-CN"/>
        </w:rPr>
        <w:t>22</w:t>
      </w:r>
      <w:r>
        <w:rPr>
          <w:highlight w:val="none"/>
          <w:u w:val="single"/>
        </w:rPr>
        <w:t>）</w:t>
      </w:r>
      <w:r>
        <w:rPr>
          <w:rFonts w:hint="eastAsia"/>
          <w:highlight w:val="none"/>
          <w:u w:val="single"/>
          <w:lang w:eastAsia="zh-CN"/>
        </w:rPr>
        <w:t>；</w:t>
      </w:r>
    </w:p>
    <w:p>
      <w:pPr>
        <w:bidi w:val="0"/>
        <w:rPr>
          <w:highlight w:val="none"/>
          <w:u w:val="none"/>
        </w:rPr>
      </w:pPr>
      <w:r>
        <w:rPr>
          <w:highlight w:val="none"/>
          <w:u w:val="none"/>
        </w:rPr>
        <w:t>（</w:t>
      </w:r>
      <w:r>
        <w:rPr>
          <w:rFonts w:hint="eastAsia"/>
          <w:highlight w:val="none"/>
          <w:u w:val="none"/>
          <w:lang w:val="en-US" w:eastAsia="zh-CN"/>
        </w:rPr>
        <w:t>8</w:t>
      </w:r>
      <w:r>
        <w:rPr>
          <w:highlight w:val="none"/>
          <w:u w:val="none"/>
        </w:rPr>
        <w:t>）《建设项目环境风险评价技术导则》（HJ169-2018）；</w:t>
      </w:r>
    </w:p>
    <w:p>
      <w:pPr>
        <w:bidi w:val="0"/>
        <w:rPr>
          <w:highlight w:val="none"/>
          <w:u w:val="none"/>
        </w:rPr>
      </w:pPr>
      <w:r>
        <w:rPr>
          <w:highlight w:val="none"/>
          <w:u w:val="none"/>
        </w:rPr>
        <w:t>（</w:t>
      </w:r>
      <w:r>
        <w:rPr>
          <w:rFonts w:hint="eastAsia"/>
          <w:highlight w:val="none"/>
          <w:u w:val="none"/>
          <w:lang w:val="en-US" w:eastAsia="zh-CN"/>
        </w:rPr>
        <w:t>9</w:t>
      </w:r>
      <w:r>
        <w:rPr>
          <w:highlight w:val="none"/>
          <w:u w:val="none"/>
        </w:rPr>
        <w:t>）《危险化学品重大危险源辨识》（GB18218-2018）；</w:t>
      </w:r>
    </w:p>
    <w:p>
      <w:pPr>
        <w:bidi w:val="0"/>
        <w:rPr>
          <w:highlight w:val="none"/>
          <w:u w:val="none"/>
        </w:rPr>
      </w:pPr>
      <w:r>
        <w:rPr>
          <w:highlight w:val="none"/>
          <w:u w:val="none"/>
        </w:rPr>
        <w:t>（</w:t>
      </w:r>
      <w:r>
        <w:rPr>
          <w:rFonts w:hint="eastAsia"/>
          <w:highlight w:val="none"/>
          <w:u w:val="none"/>
          <w:lang w:val="en-US" w:eastAsia="zh-CN"/>
        </w:rPr>
        <w:t>10</w:t>
      </w:r>
      <w:r>
        <w:rPr>
          <w:highlight w:val="none"/>
          <w:u w:val="none"/>
        </w:rPr>
        <w:t>）《病害动物和病害动物产品生物安全处理规程》（GB16548-2006）；</w:t>
      </w:r>
    </w:p>
    <w:p>
      <w:pPr>
        <w:bidi w:val="0"/>
        <w:rPr>
          <w:highlight w:val="none"/>
          <w:u w:val="none"/>
        </w:rPr>
      </w:pPr>
      <w:r>
        <w:rPr>
          <w:highlight w:val="none"/>
          <w:u w:val="none"/>
        </w:rPr>
        <w:t>（1</w:t>
      </w:r>
      <w:r>
        <w:rPr>
          <w:rFonts w:hint="eastAsia"/>
          <w:highlight w:val="none"/>
          <w:u w:val="none"/>
          <w:lang w:val="en-US" w:eastAsia="zh-CN"/>
        </w:rPr>
        <w:t>1</w:t>
      </w:r>
      <w:r>
        <w:rPr>
          <w:highlight w:val="none"/>
          <w:u w:val="none"/>
        </w:rPr>
        <w:t>）《病死动物无害化处理技术规范》（农医发[2013]34号）；</w:t>
      </w:r>
    </w:p>
    <w:p>
      <w:pPr>
        <w:bidi w:val="0"/>
        <w:rPr>
          <w:highlight w:val="none"/>
          <w:u w:val="none"/>
        </w:rPr>
      </w:pPr>
      <w:r>
        <w:rPr>
          <w:highlight w:val="none"/>
          <w:u w:val="none"/>
        </w:rPr>
        <w:t>（1</w:t>
      </w:r>
      <w:r>
        <w:rPr>
          <w:rFonts w:hint="eastAsia"/>
          <w:highlight w:val="none"/>
          <w:u w:val="none"/>
          <w:lang w:val="en-US" w:eastAsia="zh-CN"/>
        </w:rPr>
        <w:t>2</w:t>
      </w:r>
      <w:r>
        <w:rPr>
          <w:highlight w:val="none"/>
          <w:u w:val="none"/>
        </w:rPr>
        <w:t>）《畜禽养殖业污染防治办法》（原国家环境保护总局第9号）；</w:t>
      </w:r>
    </w:p>
    <w:p>
      <w:pPr>
        <w:bidi w:val="0"/>
        <w:rPr>
          <w:highlight w:val="none"/>
          <w:u w:val="none"/>
        </w:rPr>
      </w:pPr>
      <w:r>
        <w:rPr>
          <w:highlight w:val="none"/>
          <w:u w:val="none"/>
        </w:rPr>
        <w:t>（1</w:t>
      </w:r>
      <w:r>
        <w:rPr>
          <w:rFonts w:hint="eastAsia"/>
          <w:highlight w:val="none"/>
          <w:u w:val="none"/>
          <w:lang w:val="en-US" w:eastAsia="zh-CN"/>
        </w:rPr>
        <w:t>3</w:t>
      </w:r>
      <w:r>
        <w:rPr>
          <w:highlight w:val="none"/>
          <w:u w:val="none"/>
        </w:rPr>
        <w:t>）《畜禽养殖业污染防治技术规范》（HJ/T81—2001）；</w:t>
      </w:r>
    </w:p>
    <w:p>
      <w:pPr>
        <w:bidi w:val="0"/>
        <w:rPr>
          <w:highlight w:val="none"/>
          <w:u w:val="none"/>
        </w:rPr>
      </w:pPr>
      <w:r>
        <w:rPr>
          <w:highlight w:val="none"/>
          <w:u w:val="none"/>
        </w:rPr>
        <w:t>（1</w:t>
      </w:r>
      <w:r>
        <w:rPr>
          <w:rFonts w:hint="eastAsia"/>
          <w:highlight w:val="none"/>
          <w:u w:val="none"/>
          <w:lang w:val="en-US" w:eastAsia="zh-CN"/>
        </w:rPr>
        <w:t>4</w:t>
      </w:r>
      <w:r>
        <w:rPr>
          <w:highlight w:val="none"/>
          <w:u w:val="none"/>
        </w:rPr>
        <w:t>）《畜禽养殖业污染治理工程技术规范》（HJ497—2009）；</w:t>
      </w:r>
    </w:p>
    <w:p>
      <w:pPr>
        <w:bidi w:val="0"/>
        <w:rPr>
          <w:highlight w:val="none"/>
          <w:u w:val="none"/>
        </w:rPr>
      </w:pPr>
      <w:r>
        <w:rPr>
          <w:highlight w:val="none"/>
          <w:u w:val="none"/>
        </w:rPr>
        <w:t>（1</w:t>
      </w:r>
      <w:r>
        <w:rPr>
          <w:rFonts w:hint="eastAsia"/>
          <w:highlight w:val="none"/>
          <w:u w:val="none"/>
          <w:lang w:val="en-US" w:eastAsia="zh-CN"/>
        </w:rPr>
        <w:t>5</w:t>
      </w:r>
      <w:r>
        <w:rPr>
          <w:highlight w:val="none"/>
          <w:u w:val="none"/>
        </w:rPr>
        <w:t>）《畜禽粪便无害化处理技术规范》（NY/T1168-2006）；</w:t>
      </w:r>
    </w:p>
    <w:p>
      <w:pPr>
        <w:bidi w:val="0"/>
        <w:rPr>
          <w:highlight w:val="none"/>
          <w:u w:val="none"/>
        </w:rPr>
      </w:pPr>
      <w:r>
        <w:rPr>
          <w:highlight w:val="none"/>
          <w:u w:val="none"/>
        </w:rPr>
        <w:t>（1</w:t>
      </w:r>
      <w:r>
        <w:rPr>
          <w:rFonts w:hint="eastAsia"/>
          <w:highlight w:val="none"/>
          <w:u w:val="none"/>
          <w:lang w:val="en-US" w:eastAsia="zh-CN"/>
        </w:rPr>
        <w:t>6</w:t>
      </w:r>
      <w:r>
        <w:rPr>
          <w:highlight w:val="none"/>
          <w:u w:val="none"/>
        </w:rPr>
        <w:t>）《畜禽养殖业污水排放系数》国家环保总局环发[2004]43号文件；</w:t>
      </w:r>
    </w:p>
    <w:p>
      <w:pPr>
        <w:bidi w:val="0"/>
        <w:rPr>
          <w:highlight w:val="none"/>
          <w:u w:val="none"/>
        </w:rPr>
      </w:pPr>
      <w:r>
        <w:rPr>
          <w:highlight w:val="none"/>
          <w:u w:val="none"/>
        </w:rPr>
        <w:t>（1</w:t>
      </w:r>
      <w:r>
        <w:rPr>
          <w:rFonts w:hint="eastAsia"/>
          <w:highlight w:val="none"/>
          <w:u w:val="none"/>
          <w:lang w:val="en-US" w:eastAsia="zh-CN"/>
        </w:rPr>
        <w:t>7</w:t>
      </w:r>
      <w:r>
        <w:rPr>
          <w:highlight w:val="none"/>
          <w:u w:val="none"/>
        </w:rPr>
        <w:t>）《畜禽养殖产地环境评价规范》（HJ568—2010）；</w:t>
      </w:r>
    </w:p>
    <w:p>
      <w:pPr>
        <w:bidi w:val="0"/>
        <w:rPr>
          <w:highlight w:val="none"/>
          <w:u w:val="none"/>
        </w:rPr>
      </w:pPr>
      <w:r>
        <w:rPr>
          <w:highlight w:val="none"/>
          <w:u w:val="none"/>
        </w:rPr>
        <w:t>（1</w:t>
      </w:r>
      <w:r>
        <w:rPr>
          <w:rFonts w:hint="eastAsia"/>
          <w:highlight w:val="none"/>
          <w:u w:val="none"/>
          <w:lang w:val="en-US" w:eastAsia="zh-CN"/>
        </w:rPr>
        <w:t>8</w:t>
      </w:r>
      <w:r>
        <w:rPr>
          <w:highlight w:val="none"/>
          <w:u w:val="none"/>
        </w:rPr>
        <w:t>）《规模化畜禽养殖场沼气工程设计规范》（NY/T1222-2006）。</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2</w:t>
      </w:r>
      <w:r>
        <w:rPr>
          <w:rFonts w:ascii="Times New Roman" w:hAnsi="Times New Roman" w:eastAsia="Times New Roman" w:cs="Times New Roman"/>
          <w:b/>
          <w:bCs/>
          <w:spacing w:val="-2"/>
          <w:sz w:val="28"/>
          <w:szCs w:val="28"/>
          <w:highlight w:val="none"/>
        </w:rPr>
        <w:t>.1.3</w:t>
      </w:r>
      <w:r>
        <w:rPr>
          <w:rFonts w:hint="eastAsia" w:cs="Times New Roman"/>
          <w:spacing w:val="12"/>
          <w:sz w:val="28"/>
          <w:szCs w:val="28"/>
          <w:highlight w:val="none"/>
          <w:lang w:val="en-US" w:eastAsia="zh-CN"/>
        </w:rPr>
        <w:t xml:space="preserve">  </w:t>
      </w:r>
      <w:r>
        <w:rPr>
          <w:rFonts w:ascii="宋体" w:hAnsi="宋体" w:eastAsia="宋体" w:cs="宋体"/>
          <w:spacing w:val="-2"/>
          <w:sz w:val="28"/>
          <w:szCs w:val="28"/>
          <w:highlight w:val="none"/>
        </w:rPr>
        <w:t>技术性文件及相关资料</w:t>
      </w:r>
    </w:p>
    <w:p>
      <w:pPr>
        <w:bidi w:val="0"/>
        <w:rPr>
          <w:highlight w:val="none"/>
        </w:rPr>
      </w:pPr>
      <w:r>
        <w:rPr>
          <w:highlight w:val="none"/>
        </w:rPr>
        <w:t>（1）《环境影响评价委托函》</w:t>
      </w:r>
      <w:r>
        <w:rPr>
          <w:rFonts w:hint="eastAsia"/>
          <w:highlight w:val="none"/>
          <w:lang w:eastAsia="zh-CN"/>
        </w:rPr>
        <w:t>湖南双宏养殖有限公司</w:t>
      </w:r>
      <w:r>
        <w:rPr>
          <w:highlight w:val="none"/>
        </w:rPr>
        <w:t>；</w:t>
      </w:r>
    </w:p>
    <w:p>
      <w:pPr>
        <w:bidi w:val="0"/>
        <w:rPr>
          <w:highlight w:val="none"/>
        </w:rPr>
      </w:pPr>
      <w:r>
        <w:rPr>
          <w:highlight w:val="none"/>
        </w:rPr>
        <w:t>（2）项目环境现状监测报告及质量保证单；</w:t>
      </w:r>
    </w:p>
    <w:p>
      <w:pPr>
        <w:bidi w:val="0"/>
        <w:rPr>
          <w:highlight w:val="none"/>
        </w:rPr>
      </w:pPr>
      <w:r>
        <w:rPr>
          <w:highlight w:val="none"/>
        </w:rPr>
        <w:t>（</w:t>
      </w:r>
      <w:r>
        <w:rPr>
          <w:rFonts w:hint="eastAsia"/>
          <w:highlight w:val="none"/>
          <w:lang w:val="en-US" w:eastAsia="zh-CN"/>
        </w:rPr>
        <w:t>3</w:t>
      </w:r>
      <w:r>
        <w:rPr>
          <w:highlight w:val="none"/>
        </w:rPr>
        <w:t>）建设单位提供的其它相关资料。</w:t>
      </w:r>
    </w:p>
    <w:p>
      <w:pPr>
        <w:pStyle w:val="4"/>
        <w:bidi w:val="0"/>
        <w:rPr>
          <w:highlight w:val="none"/>
        </w:rPr>
      </w:pPr>
      <w:bookmarkStart w:id="19" w:name="_Toc1748"/>
      <w:bookmarkStart w:id="20" w:name="_Toc2018"/>
      <w:r>
        <w:rPr>
          <w:rFonts w:hint="eastAsia"/>
          <w:highlight w:val="none"/>
          <w:lang w:val="en-US" w:eastAsia="zh-CN"/>
        </w:rPr>
        <w:t>2</w:t>
      </w:r>
      <w:r>
        <w:rPr>
          <w:highlight w:val="none"/>
        </w:rPr>
        <w:t>.2  评价目的及原则</w:t>
      </w:r>
      <w:bookmarkEnd w:id="19"/>
      <w:bookmarkEnd w:id="20"/>
    </w:p>
    <w:p>
      <w:pPr>
        <w:pStyle w:val="5"/>
        <w:bidi w:val="0"/>
        <w:rPr>
          <w:highlight w:val="none"/>
        </w:rPr>
      </w:pPr>
      <w:r>
        <w:rPr>
          <w:rFonts w:hint="eastAsia"/>
          <w:highlight w:val="none"/>
          <w:lang w:val="en-US" w:eastAsia="zh-CN"/>
        </w:rPr>
        <w:t>2</w:t>
      </w:r>
      <w:r>
        <w:rPr>
          <w:highlight w:val="none"/>
        </w:rPr>
        <w:t>.2.1  评价目的</w:t>
      </w:r>
    </w:p>
    <w:p>
      <w:pPr>
        <w:bidi w:val="0"/>
        <w:rPr>
          <w:highlight w:val="none"/>
        </w:rPr>
      </w:pPr>
      <w:r>
        <w:rPr>
          <w:highlight w:val="none"/>
        </w:rPr>
        <w:t>为了贯彻</w:t>
      </w:r>
      <w:r>
        <w:rPr>
          <w:rFonts w:hint="eastAsia" w:ascii="宋体" w:hAnsi="宋体" w:eastAsia="宋体" w:cs="宋体"/>
          <w:highlight w:val="none"/>
        </w:rPr>
        <w:t>“以防为主，防治结合，综合利用”</w:t>
      </w:r>
      <w:r>
        <w:rPr>
          <w:highlight w:val="none"/>
        </w:rPr>
        <w:t>环境管理方针，使项目的建设达到经济效益、社会效益与环境效益的统一按照国家建设项目《环境影响评价技术导则》的规定开展环境影响评价工作，针对建设项目的特点，本评价的目的主要为：</w:t>
      </w:r>
    </w:p>
    <w:p>
      <w:pPr>
        <w:bidi w:val="0"/>
        <w:rPr>
          <w:highlight w:val="none"/>
        </w:rPr>
      </w:pPr>
      <w:r>
        <w:rPr>
          <w:highlight w:val="none"/>
        </w:rPr>
        <w:t>（1）、通过对评价区域内环境空气、地表水、地下水、声环境、土壤进行现状监测，评价该区域的环境质量现状是否符合当地环境功能要求；</w:t>
      </w:r>
    </w:p>
    <w:p>
      <w:pPr>
        <w:bidi w:val="0"/>
        <w:rPr>
          <w:highlight w:val="none"/>
        </w:rPr>
      </w:pPr>
      <w:r>
        <w:rPr>
          <w:highlight w:val="none"/>
        </w:rPr>
        <w:t>（2）、通过对评价区域自然环境，社会环境及污染源的调查，了解场区周围的自然环境，社会环境和污染状况，分析存在的环境问题及项目建设的环境制约因素并提出解决的办法；</w:t>
      </w:r>
    </w:p>
    <w:p>
      <w:pPr>
        <w:bidi w:val="0"/>
        <w:rPr>
          <w:highlight w:val="none"/>
        </w:rPr>
      </w:pPr>
      <w:r>
        <w:rPr>
          <w:highlight w:val="none"/>
        </w:rPr>
        <w:t>（3）、对项目进行工程分析，确定各污染源的位置与源强，核算主要污染物的排放量，为环境影响分析、防治对策和</w:t>
      </w:r>
      <w:r>
        <w:rPr>
          <w:rFonts w:hint="eastAsia" w:ascii="宋体" w:hAnsi="宋体" w:eastAsia="宋体" w:cs="宋体"/>
          <w:highlight w:val="none"/>
        </w:rPr>
        <w:t>“总量控制”提</w:t>
      </w:r>
      <w:r>
        <w:rPr>
          <w:highlight w:val="none"/>
        </w:rPr>
        <w:t>供基础资料，遵循总量控制原则，分析项目实施后，区域内污染物变化情况；</w:t>
      </w:r>
    </w:p>
    <w:p>
      <w:pPr>
        <w:bidi w:val="0"/>
        <w:rPr>
          <w:highlight w:val="none"/>
        </w:rPr>
      </w:pPr>
      <w:r>
        <w:rPr>
          <w:highlight w:val="none"/>
        </w:rPr>
        <w:t>（4）、选择合适的预测模式，预测和评价本工程污染物排放可能给受纳环境造成的影响范围、程度，并提出相应的防治措施。</w:t>
      </w:r>
    </w:p>
    <w:p>
      <w:pPr>
        <w:bidi w:val="0"/>
        <w:rPr>
          <w:highlight w:val="none"/>
        </w:rPr>
      </w:pPr>
      <w:r>
        <w:rPr>
          <w:highlight w:val="none"/>
        </w:rPr>
        <w:t>（5）、对项目拟采取的环保措施进行可行性与可靠性的分析论证，对其达标情况、环保投资及运行费用等进行环境影响损益分析。</w:t>
      </w:r>
    </w:p>
    <w:p>
      <w:pPr>
        <w:bidi w:val="0"/>
        <w:rPr>
          <w:highlight w:val="none"/>
        </w:rPr>
      </w:pPr>
      <w:r>
        <w:rPr>
          <w:highlight w:val="none"/>
        </w:rPr>
        <w:t>（6）、从区域规划、环境功能区划及畜禽养殖产地规范要求分析场址选择的可行性。</w:t>
      </w:r>
    </w:p>
    <w:p>
      <w:pPr>
        <w:bidi w:val="0"/>
        <w:rPr>
          <w:highlight w:val="none"/>
        </w:rPr>
      </w:pPr>
      <w:r>
        <w:rPr>
          <w:highlight w:val="none"/>
        </w:rPr>
        <w:t>（7）、根据规模化养猪场建设规范和当地自然环境、社会环境情况，分析平面布局的合理性；</w:t>
      </w:r>
    </w:p>
    <w:p>
      <w:pPr>
        <w:bidi w:val="0"/>
        <w:rPr>
          <w:highlight w:val="none"/>
        </w:rPr>
      </w:pPr>
      <w:r>
        <w:rPr>
          <w:highlight w:val="none"/>
        </w:rPr>
        <w:t>（8）、对周边居民和行政团体进行公众参与及公示，了解周边居民的意见，并进行分析。</w:t>
      </w:r>
    </w:p>
    <w:p>
      <w:pPr>
        <w:bidi w:val="0"/>
        <w:rPr>
          <w:highlight w:val="none"/>
        </w:rPr>
      </w:pPr>
      <w:r>
        <w:rPr>
          <w:highlight w:val="none"/>
        </w:rPr>
        <w:t>（9）、提出项目建成后公司环境管理与监测机构的设置方案，提出运行期环境管理与监控计划。</w:t>
      </w:r>
    </w:p>
    <w:p>
      <w:pPr>
        <w:bidi w:val="0"/>
        <w:rPr>
          <w:highlight w:val="none"/>
        </w:rPr>
      </w:pPr>
      <w:r>
        <w:rPr>
          <w:highlight w:val="none"/>
        </w:rPr>
        <w:t>（10）、从环境效益、经济效益、社会效益三方面论述项目建设的必要性，得出项目建设的环境可行性结论，为有关部门决策及环境管理提供科学依据。</w:t>
      </w:r>
    </w:p>
    <w:p>
      <w:pPr>
        <w:pStyle w:val="5"/>
        <w:bidi w:val="0"/>
        <w:rPr>
          <w:highlight w:val="none"/>
        </w:rPr>
      </w:pPr>
      <w:r>
        <w:rPr>
          <w:rFonts w:hint="eastAsia"/>
          <w:highlight w:val="none"/>
          <w:lang w:val="en-US" w:eastAsia="zh-CN"/>
        </w:rPr>
        <w:t>2</w:t>
      </w:r>
      <w:r>
        <w:rPr>
          <w:highlight w:val="none"/>
        </w:rPr>
        <w:t>.2.2  评价原则</w:t>
      </w:r>
    </w:p>
    <w:p>
      <w:pPr>
        <w:bidi w:val="0"/>
        <w:rPr>
          <w:highlight w:val="none"/>
        </w:rPr>
      </w:pPr>
      <w:r>
        <w:rPr>
          <w:highlight w:val="none"/>
        </w:rPr>
        <w:t>根据工程排放污染物的特点，依据国家、行业部门和湖南省的环境保护法律法规，分析工程排放的各类污染物能否达标排放，工程设计中是否采用了清洁生产工艺，对拟采取的环保治理措施进行合理性、可行性论证，做到针对性强、措施得力。评价中贯</w:t>
      </w:r>
      <w:r>
        <w:rPr>
          <w:rFonts w:hint="eastAsia" w:ascii="宋体" w:hAnsi="宋体" w:eastAsia="宋体" w:cs="宋体"/>
          <w:highlight w:val="none"/>
        </w:rPr>
        <w:t>彻“达标排放”、“清洁生产”、“总量控制”和“可持续发展”的原则</w:t>
      </w:r>
      <w:r>
        <w:rPr>
          <w:highlight w:val="none"/>
        </w:rPr>
        <w:t>，评价结论力求做到科学、公正、明确、客观。同时依据《环境影响评价技术导则》要求，合理确定评价范围、监测项目，并根据工程特点，选择有代表性的监测点位、监测因子和预测模式，确保圆满完成本项目的环境影响评价工作。</w:t>
      </w:r>
    </w:p>
    <w:p>
      <w:pPr>
        <w:pStyle w:val="4"/>
        <w:bidi w:val="0"/>
        <w:rPr>
          <w:highlight w:val="none"/>
        </w:rPr>
      </w:pPr>
      <w:bookmarkStart w:id="21" w:name="_Toc8142"/>
      <w:bookmarkStart w:id="22" w:name="_Toc1742"/>
      <w:r>
        <w:rPr>
          <w:rFonts w:hint="eastAsia"/>
          <w:highlight w:val="none"/>
          <w:lang w:val="en-US" w:eastAsia="zh-CN"/>
        </w:rPr>
        <w:t>2</w:t>
      </w:r>
      <w:r>
        <w:rPr>
          <w:highlight w:val="none"/>
        </w:rPr>
        <w:t>.3  评价时段</w:t>
      </w:r>
      <w:bookmarkEnd w:id="21"/>
      <w:bookmarkEnd w:id="22"/>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项目为新建，根据该项目工程特点、污染物排放特征，本次评价在工程分析的基础上，重点进行营运期环境影响评价、环境风险评价、污染防治措施可行性分析、产业政策及清洁生产评述等。</w:t>
      </w:r>
    </w:p>
    <w:p>
      <w:pPr>
        <w:pStyle w:val="4"/>
        <w:bidi w:val="0"/>
        <w:rPr>
          <w:highlight w:val="none"/>
        </w:rPr>
      </w:pPr>
      <w:bookmarkStart w:id="23" w:name="_Toc13746"/>
      <w:bookmarkStart w:id="24" w:name="_Toc27057"/>
      <w:r>
        <w:rPr>
          <w:rFonts w:hint="eastAsia"/>
          <w:highlight w:val="none"/>
          <w:lang w:val="en-US" w:eastAsia="zh-CN"/>
        </w:rPr>
        <w:t>2</w:t>
      </w:r>
      <w:r>
        <w:rPr>
          <w:highlight w:val="none"/>
        </w:rPr>
        <w:t>.4  环境影响因素识别和评价因子筛选</w:t>
      </w:r>
      <w:bookmarkEnd w:id="23"/>
      <w:bookmarkEnd w:id="24"/>
    </w:p>
    <w:p>
      <w:pPr>
        <w:pStyle w:val="5"/>
        <w:bidi w:val="0"/>
        <w:rPr>
          <w:highlight w:val="none"/>
        </w:rPr>
      </w:pPr>
      <w:r>
        <w:rPr>
          <w:rFonts w:hint="eastAsia"/>
          <w:highlight w:val="none"/>
          <w:lang w:val="en-US" w:eastAsia="zh-CN"/>
        </w:rPr>
        <w:t>2</w:t>
      </w:r>
      <w:r>
        <w:rPr>
          <w:highlight w:val="none"/>
        </w:rPr>
        <w:t>.4.1  环境影响因素识别</w:t>
      </w:r>
    </w:p>
    <w:p>
      <w:pPr>
        <w:bidi w:val="0"/>
        <w:rPr>
          <w:highlight w:val="none"/>
        </w:rPr>
      </w:pPr>
      <w:r>
        <w:rPr>
          <w:highlight w:val="none"/>
        </w:rPr>
        <w:t>根据本项目特点及实地踏勘，采用矩阵法对可能受本项目影响的环境要素进行识别和筛选。项目施工期主要为施工扬尘、施工废水、弃渣和生态影响。项目运营期对环境的影响主要表现在以下几个方面：</w:t>
      </w:r>
    </w:p>
    <w:p>
      <w:pPr>
        <w:bidi w:val="0"/>
        <w:rPr>
          <w:highlight w:val="none"/>
        </w:rPr>
      </w:pPr>
      <w:r>
        <w:rPr>
          <w:highlight w:val="none"/>
        </w:rPr>
        <w:t>①生活垃圾、猪粪便及病死猪等固体废物处置不当可能对环境的影响；</w:t>
      </w:r>
    </w:p>
    <w:p>
      <w:pPr>
        <w:bidi w:val="0"/>
        <w:rPr>
          <w:highlight w:val="none"/>
        </w:rPr>
      </w:pPr>
      <w:r>
        <w:rPr>
          <w:highlight w:val="none"/>
        </w:rPr>
        <w:t>②生产、生活污水可能对地表水及地下水环境的影响；</w:t>
      </w:r>
    </w:p>
    <w:p>
      <w:pPr>
        <w:bidi w:val="0"/>
        <w:rPr>
          <w:highlight w:val="none"/>
        </w:rPr>
      </w:pPr>
      <w:r>
        <w:rPr>
          <w:highlight w:val="none"/>
        </w:rPr>
        <w:t>③猪舍以及污水处理设施产生的恶臭气体对环境空气的影响；</w:t>
      </w:r>
    </w:p>
    <w:p>
      <w:pPr>
        <w:bidi w:val="0"/>
        <w:rPr>
          <w:highlight w:val="none"/>
        </w:rPr>
      </w:pPr>
      <w:r>
        <w:rPr>
          <w:highlight w:val="none"/>
        </w:rPr>
        <w:t>④设备噪声等对声环境的影响。</w:t>
      </w:r>
    </w:p>
    <w:p>
      <w:pPr>
        <w:bidi w:val="0"/>
        <w:rPr>
          <w:highlight w:val="none"/>
        </w:rPr>
      </w:pPr>
      <w:r>
        <w:rPr>
          <w:highlight w:val="none"/>
        </w:rPr>
        <w:t>工程运营期的影响是长期的，部分影响是不可逆的，主要评价因素是地表水、大气、声环境、固体废物及生态环境，环境影响因素识别见表</w:t>
      </w:r>
      <w:r>
        <w:rPr>
          <w:rFonts w:hint="eastAsia"/>
          <w:highlight w:val="none"/>
          <w:lang w:val="en-US" w:eastAsia="zh-CN"/>
        </w:rPr>
        <w:t>2.4</w:t>
      </w:r>
      <w:r>
        <w:rPr>
          <w:highlight w:val="none"/>
        </w:rPr>
        <w:t>-1。</w:t>
      </w:r>
    </w:p>
    <w:p>
      <w:pPr>
        <w:pStyle w:val="7"/>
        <w:bidi w:val="0"/>
        <w:rPr>
          <w:highlight w:val="none"/>
        </w:rPr>
      </w:pPr>
      <w:r>
        <w:rPr>
          <w:highlight w:val="none"/>
        </w:rPr>
        <w:t>表</w:t>
      </w:r>
      <w:r>
        <w:rPr>
          <w:rFonts w:hint="eastAsia"/>
          <w:highlight w:val="none"/>
          <w:lang w:val="en-US" w:eastAsia="zh-CN"/>
        </w:rPr>
        <w:t xml:space="preserve">2.4-1  </w:t>
      </w:r>
      <w:r>
        <w:rPr>
          <w:highlight w:val="none"/>
        </w:rPr>
        <w:t>项目主要环境影响因素</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17"/>
        <w:gridCol w:w="1040"/>
        <w:gridCol w:w="570"/>
        <w:gridCol w:w="577"/>
        <w:gridCol w:w="547"/>
        <w:gridCol w:w="520"/>
        <w:gridCol w:w="626"/>
        <w:gridCol w:w="626"/>
        <w:gridCol w:w="635"/>
        <w:gridCol w:w="626"/>
        <w:gridCol w:w="628"/>
        <w:gridCol w:w="628"/>
        <w:gridCol w:w="630"/>
        <w:gridCol w:w="6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84" w:type="pct"/>
            <w:gridSpan w:val="2"/>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sz w:val="21"/>
                <w:szCs w:val="21"/>
                <w:highlight w:val="none"/>
                <w:u w:val="none" w:color="auto"/>
                <w:lang w:eastAsia="zh-CN"/>
              </w:rPr>
            </w:pPr>
            <w:r>
              <w:rPr>
                <w:rFonts w:hint="eastAsia" w:cs="Times New Roman"/>
                <w:sz w:val="21"/>
                <w:szCs w:val="21"/>
                <w:highlight w:val="none"/>
                <w:u w:val="none" w:color="auto"/>
                <w:lang w:eastAsia="zh-CN"/>
              </w:rPr>
              <w:t>项目</w:t>
            </w:r>
          </w:p>
        </w:tc>
        <w:tc>
          <w:tcPr>
            <w:tcW w:w="1255" w:type="pct"/>
            <w:gridSpan w:val="4"/>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自然资源</w:t>
            </w:r>
          </w:p>
        </w:tc>
        <w:tc>
          <w:tcPr>
            <w:tcW w:w="1070" w:type="pct"/>
            <w:gridSpan w:val="3"/>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社会发展</w:t>
            </w:r>
          </w:p>
        </w:tc>
        <w:tc>
          <w:tcPr>
            <w:tcW w:w="1789" w:type="pct"/>
            <w:gridSpan w:val="5"/>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居民生活质量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 w:type="pct"/>
            <w:gridSpan w:val="2"/>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植被生态</w:t>
            </w: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自然景观</w:t>
            </w: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地表水体</w:t>
            </w: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土壤</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劳动就业</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经济发展</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土地利用</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空气质量</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地表水质</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声学环境</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居住条件</w:t>
            </w: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经济收入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4"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施工 期</w:t>
            </w: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占地</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基础工程</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材料运输</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营运 期</w:t>
            </w: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废水排放</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废气排放</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废渣排放</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风险事故</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原料运输</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生猪养殖</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生猪运输</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9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绿化</w:t>
            </w:r>
          </w:p>
        </w:tc>
        <w:tc>
          <w:tcPr>
            <w:tcW w:w="3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2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3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bl>
    <w:p>
      <w:pPr>
        <w:widowControl/>
        <w:kinsoku w:val="0"/>
        <w:autoSpaceDE w:val="0"/>
        <w:autoSpaceDN w:val="0"/>
        <w:adjustRightInd w:val="0"/>
        <w:snapToGrid w:val="0"/>
        <w:spacing w:before="32" w:line="240" w:lineRule="auto"/>
        <w:ind w:left="23" w:right="12" w:firstLine="409" w:firstLineChars="0"/>
        <w:jc w:val="left"/>
        <w:textAlignment w:val="baseline"/>
        <w:rPr>
          <w:rFonts w:ascii="宋体" w:hAnsi="宋体" w:eastAsia="宋体" w:cs="宋体"/>
          <w:snapToGrid w:val="0"/>
          <w:color w:val="000000"/>
          <w:kern w:val="0"/>
          <w:sz w:val="21"/>
          <w:szCs w:val="21"/>
          <w:highlight w:val="none"/>
        </w:rPr>
      </w:pPr>
      <w:r>
        <w:rPr>
          <w:rFonts w:ascii="宋体" w:hAnsi="宋体" w:eastAsia="宋体" w:cs="宋体"/>
          <w:snapToGrid w:val="0"/>
          <w:color w:val="000000"/>
          <w:spacing w:val="-8"/>
          <w:kern w:val="0"/>
          <w:sz w:val="21"/>
          <w:szCs w:val="21"/>
          <w:highlight w:val="none"/>
        </w:rPr>
        <w:t>注：▲/△表示短期负效应/短期正效应；■/□表示长期负效应/长期正效应，空格表示影</w:t>
      </w:r>
      <w:r>
        <w:rPr>
          <w:rFonts w:ascii="宋体" w:hAnsi="宋体" w:eastAsia="宋体" w:cs="宋体"/>
          <w:snapToGrid w:val="0"/>
          <w:color w:val="000000"/>
          <w:spacing w:val="-3"/>
          <w:kern w:val="0"/>
          <w:sz w:val="21"/>
          <w:szCs w:val="21"/>
          <w:highlight w:val="none"/>
        </w:rPr>
        <w:t>响不明显或没有影响</w:t>
      </w:r>
    </w:p>
    <w:p>
      <w:pPr>
        <w:pStyle w:val="5"/>
        <w:bidi w:val="0"/>
        <w:rPr>
          <w:highlight w:val="none"/>
        </w:rPr>
      </w:pPr>
      <w:r>
        <w:rPr>
          <w:rFonts w:hint="eastAsia"/>
          <w:highlight w:val="none"/>
          <w:lang w:val="en-US" w:eastAsia="zh-CN"/>
        </w:rPr>
        <w:t>2</w:t>
      </w:r>
      <w:r>
        <w:rPr>
          <w:highlight w:val="none"/>
        </w:rPr>
        <w:t>.4.2  评价因子筛选</w:t>
      </w:r>
    </w:p>
    <w:p>
      <w:pPr>
        <w:bidi w:val="0"/>
        <w:rPr>
          <w:highlight w:val="none"/>
          <w:u w:val="none" w:color="auto"/>
        </w:rPr>
      </w:pPr>
      <w:r>
        <w:rPr>
          <w:highlight w:val="none"/>
          <w:u w:val="none" w:color="auto"/>
        </w:rPr>
        <w:t>根据项目工程分析和环境影响因子识别结果，结合当地环境特征和本工程情况，筛选出本次评价因子见表</w:t>
      </w:r>
      <w:r>
        <w:rPr>
          <w:rFonts w:hint="eastAsia"/>
          <w:highlight w:val="none"/>
          <w:u w:val="none" w:color="auto"/>
          <w:lang w:val="en-US" w:eastAsia="zh-CN"/>
        </w:rPr>
        <w:t>2</w:t>
      </w:r>
      <w:r>
        <w:rPr>
          <w:highlight w:val="none"/>
          <w:u w:val="none" w:color="auto"/>
        </w:rPr>
        <w:t>.4-2。</w:t>
      </w:r>
    </w:p>
    <w:p>
      <w:pPr>
        <w:pStyle w:val="7"/>
        <w:bidi w:val="0"/>
        <w:rPr>
          <w:highlight w:val="none"/>
          <w:u w:val="none" w:color="auto"/>
        </w:rPr>
      </w:pPr>
      <w:r>
        <w:rPr>
          <w:highlight w:val="none"/>
          <w:u w:val="none" w:color="auto"/>
        </w:rPr>
        <w:t>表</w:t>
      </w:r>
      <w:r>
        <w:rPr>
          <w:rFonts w:hint="eastAsia"/>
          <w:highlight w:val="none"/>
          <w:u w:val="none" w:color="auto"/>
          <w:lang w:val="en-US" w:eastAsia="zh-CN"/>
        </w:rPr>
        <w:t>2</w:t>
      </w:r>
      <w:r>
        <w:rPr>
          <w:highlight w:val="none"/>
          <w:u w:val="none" w:color="auto"/>
        </w:rPr>
        <w:t>.4-2</w:t>
      </w:r>
      <w:r>
        <w:rPr>
          <w:rFonts w:hint="eastAsia"/>
          <w:highlight w:val="none"/>
          <w:u w:val="none" w:color="auto"/>
          <w:lang w:val="en-US" w:eastAsia="zh-CN"/>
        </w:rPr>
        <w:t xml:space="preserve">  </w:t>
      </w:r>
      <w:r>
        <w:rPr>
          <w:highlight w:val="none"/>
          <w:u w:val="none" w:color="auto"/>
        </w:rPr>
        <w:t>评价因子识别结果表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8"/>
        <w:gridCol w:w="1462"/>
        <w:gridCol w:w="58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环境要素</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评价类别</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评价因子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8"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大气环境</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现状评价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SO</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、NO</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、PM</w:t>
            </w:r>
            <w:r>
              <w:rPr>
                <w:rFonts w:hint="eastAsia" w:cs="Times New Roman"/>
                <w:sz w:val="21"/>
                <w:szCs w:val="21"/>
                <w:highlight w:val="none"/>
                <w:u w:val="none" w:color="auto"/>
                <w:vertAlign w:val="subscript"/>
                <w:lang w:val="en-US" w:eastAsia="zh-CN"/>
              </w:rPr>
              <w:t>2.5</w:t>
            </w:r>
            <w:r>
              <w:rPr>
                <w:rFonts w:hint="default" w:ascii="Times New Roman" w:hAnsi="Times New Roman" w:eastAsia="宋体" w:cs="Times New Roman"/>
                <w:sz w:val="21"/>
                <w:szCs w:val="21"/>
                <w:highlight w:val="none"/>
                <w:u w:val="none" w:color="auto"/>
              </w:rPr>
              <w:t>、PM</w:t>
            </w:r>
            <w:r>
              <w:rPr>
                <w:rFonts w:hint="default" w:ascii="Times New Roman" w:hAnsi="Times New Roman" w:eastAsia="宋体" w:cs="Times New Roman"/>
                <w:sz w:val="21"/>
                <w:szCs w:val="21"/>
                <w:highlight w:val="none"/>
                <w:u w:val="none" w:color="auto"/>
                <w:vertAlign w:val="subscript"/>
              </w:rPr>
              <w:t>10</w:t>
            </w:r>
            <w:r>
              <w:rPr>
                <w:rFonts w:hint="default" w:ascii="Times New Roman" w:hAnsi="Times New Roman" w:eastAsia="宋体" w:cs="Times New Roman"/>
                <w:sz w:val="21"/>
                <w:szCs w:val="21"/>
                <w:highlight w:val="none"/>
                <w:u w:val="none" w:color="auto"/>
              </w:rPr>
              <w:t>、CO</w:t>
            </w:r>
            <w:r>
              <w:rPr>
                <w:rFonts w:hint="eastAsia"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O</w:t>
            </w:r>
            <w:r>
              <w:rPr>
                <w:rFonts w:hint="default" w:ascii="Times New Roman" w:hAnsi="Times New Roman" w:eastAsia="宋体" w:cs="Times New Roman"/>
                <w:sz w:val="21"/>
                <w:szCs w:val="21"/>
                <w:highlight w:val="none"/>
                <w:u w:val="none" w:color="auto"/>
                <w:vertAlign w:val="subscript"/>
              </w:rPr>
              <w:t>3</w:t>
            </w:r>
            <w:r>
              <w:rPr>
                <w:rFonts w:hint="eastAsia"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NH</w:t>
            </w:r>
            <w:r>
              <w:rPr>
                <w:rFonts w:hint="default" w:ascii="Times New Roman" w:hAnsi="Times New Roman" w:eastAsia="宋体" w:cs="Times New Roman"/>
                <w:sz w:val="21"/>
                <w:szCs w:val="21"/>
                <w:highlight w:val="none"/>
                <w:u w:val="none" w:color="auto"/>
                <w:vertAlign w:val="subscript"/>
              </w:rPr>
              <w:t>3</w:t>
            </w:r>
            <w:r>
              <w:rPr>
                <w:rFonts w:hint="default" w:ascii="Times New Roman" w:hAnsi="Times New Roman" w:eastAsia="宋体" w:cs="Times New Roman"/>
                <w:sz w:val="21"/>
                <w:szCs w:val="21"/>
                <w:highlight w:val="none"/>
                <w:u w:val="none" w:color="auto"/>
              </w:rPr>
              <w:t>、H</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影响评价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NH</w:t>
            </w:r>
            <w:r>
              <w:rPr>
                <w:rFonts w:hint="default" w:ascii="Times New Roman" w:hAnsi="Times New Roman" w:eastAsia="宋体" w:cs="Times New Roman"/>
                <w:sz w:val="21"/>
                <w:szCs w:val="21"/>
                <w:highlight w:val="none"/>
                <w:u w:val="none" w:color="auto"/>
                <w:vertAlign w:val="subscript"/>
              </w:rPr>
              <w:t>3</w:t>
            </w:r>
            <w:r>
              <w:rPr>
                <w:rFonts w:hint="default" w:ascii="Times New Roman" w:hAnsi="Times New Roman" w:eastAsia="宋体" w:cs="Times New Roman"/>
                <w:sz w:val="21"/>
                <w:szCs w:val="21"/>
                <w:highlight w:val="none"/>
                <w:u w:val="none" w:color="auto"/>
              </w:rPr>
              <w:t>、H</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地表水环境</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现状评价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pH值、水温、悬浮物、化学需氧量、生化需氧量、</w:t>
            </w:r>
            <w:r>
              <w:rPr>
                <w:rFonts w:hint="eastAsia" w:cs="Times New Roman"/>
                <w:sz w:val="21"/>
                <w:szCs w:val="21"/>
                <w:highlight w:val="none"/>
                <w:u w:val="single" w:color="auto"/>
                <w:lang w:eastAsia="zh-CN"/>
              </w:rPr>
              <w:t>氨氮、总磷、</w:t>
            </w:r>
            <w:r>
              <w:rPr>
                <w:rFonts w:hint="default" w:ascii="Times New Roman" w:hAnsi="Times New Roman" w:eastAsia="宋体" w:cs="Times New Roman"/>
                <w:sz w:val="21"/>
                <w:szCs w:val="21"/>
                <w:highlight w:val="none"/>
                <w:u w:val="single" w:color="auto"/>
              </w:rPr>
              <w:t>阴离子表面活性剂、氯化物、硫化物、全盐量、总铅、总镉、铬（六价）、总汞、总砷、粪大肠菌群、蛔虫卵数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影响评价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定性分析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8"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地下水环境</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现状评价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K</w:t>
            </w:r>
            <w:r>
              <w:rPr>
                <w:rFonts w:hint="default" w:ascii="Times New Roman" w:hAnsi="Times New Roman" w:eastAsia="宋体" w:cs="Times New Roman"/>
                <w:sz w:val="21"/>
                <w:szCs w:val="21"/>
                <w:highlight w:val="none"/>
                <w:u w:val="single" w:color="auto"/>
                <w:vertAlign w:val="superscript"/>
              </w:rPr>
              <w:t>+</w:t>
            </w:r>
            <w:r>
              <w:rPr>
                <w:rFonts w:hint="default" w:ascii="Times New Roman" w:hAnsi="Times New Roman" w:eastAsia="宋体" w:cs="Times New Roman"/>
                <w:sz w:val="21"/>
                <w:szCs w:val="21"/>
                <w:highlight w:val="none"/>
                <w:u w:val="single" w:color="auto"/>
              </w:rPr>
              <w:t>、Na</w:t>
            </w:r>
            <w:r>
              <w:rPr>
                <w:rFonts w:hint="default" w:ascii="Times New Roman" w:hAnsi="Times New Roman" w:eastAsia="宋体" w:cs="Times New Roman"/>
                <w:sz w:val="21"/>
                <w:szCs w:val="21"/>
                <w:highlight w:val="none"/>
                <w:u w:val="single" w:color="auto"/>
                <w:vertAlign w:val="superscript"/>
              </w:rPr>
              <w:t>+</w:t>
            </w:r>
            <w:r>
              <w:rPr>
                <w:rFonts w:hint="default" w:ascii="Times New Roman" w:hAnsi="Times New Roman" w:eastAsia="宋体" w:cs="Times New Roman"/>
                <w:sz w:val="21"/>
                <w:szCs w:val="21"/>
                <w:highlight w:val="none"/>
                <w:u w:val="single" w:color="auto"/>
              </w:rPr>
              <w:t>、Ca</w:t>
            </w:r>
            <w:r>
              <w:rPr>
                <w:rFonts w:hint="default" w:ascii="Times New Roman" w:hAnsi="Times New Roman" w:eastAsia="宋体" w:cs="Times New Roman"/>
                <w:sz w:val="21"/>
                <w:szCs w:val="21"/>
                <w:highlight w:val="none"/>
                <w:u w:val="single" w:color="auto"/>
                <w:vertAlign w:val="superscript"/>
              </w:rPr>
              <w:t>2+</w:t>
            </w:r>
            <w:r>
              <w:rPr>
                <w:rFonts w:hint="default" w:ascii="Times New Roman" w:hAnsi="Times New Roman" w:eastAsia="宋体" w:cs="Times New Roman"/>
                <w:sz w:val="21"/>
                <w:szCs w:val="21"/>
                <w:highlight w:val="none"/>
                <w:u w:val="single" w:color="auto"/>
              </w:rPr>
              <w:t>、Mg</w:t>
            </w:r>
            <w:r>
              <w:rPr>
                <w:rFonts w:hint="default" w:ascii="Times New Roman" w:hAnsi="Times New Roman" w:eastAsia="宋体" w:cs="Times New Roman"/>
                <w:sz w:val="21"/>
                <w:szCs w:val="21"/>
                <w:highlight w:val="none"/>
                <w:u w:val="single" w:color="auto"/>
                <w:vertAlign w:val="superscript"/>
              </w:rPr>
              <w:t>2+</w:t>
            </w:r>
            <w:r>
              <w:rPr>
                <w:rFonts w:hint="default" w:ascii="Times New Roman" w:hAnsi="Times New Roman" w:eastAsia="宋体" w:cs="Times New Roman"/>
                <w:sz w:val="21"/>
                <w:szCs w:val="21"/>
                <w:highlight w:val="none"/>
                <w:u w:val="single" w:color="auto"/>
              </w:rPr>
              <w:t>、CO</w:t>
            </w:r>
            <w:r>
              <w:rPr>
                <w:rFonts w:hint="default" w:ascii="Times New Roman" w:hAnsi="Times New Roman" w:eastAsia="宋体" w:cs="Times New Roman"/>
                <w:sz w:val="21"/>
                <w:szCs w:val="21"/>
                <w:highlight w:val="none"/>
                <w:u w:val="single" w:color="auto"/>
                <w:vertAlign w:val="subscript"/>
              </w:rPr>
              <w:t>3</w:t>
            </w:r>
            <w:r>
              <w:rPr>
                <w:rFonts w:hint="default" w:ascii="Times New Roman" w:hAnsi="Times New Roman" w:eastAsia="宋体" w:cs="Times New Roman"/>
                <w:sz w:val="21"/>
                <w:szCs w:val="21"/>
                <w:highlight w:val="none"/>
                <w:u w:val="single" w:color="auto"/>
                <w:vertAlign w:val="superscript"/>
              </w:rPr>
              <w:t>2-</w:t>
            </w:r>
            <w:r>
              <w:rPr>
                <w:rFonts w:hint="default" w:ascii="Times New Roman" w:hAnsi="Times New Roman" w:eastAsia="宋体" w:cs="Times New Roman"/>
                <w:sz w:val="21"/>
                <w:szCs w:val="21"/>
                <w:highlight w:val="none"/>
                <w:u w:val="single" w:color="auto"/>
              </w:rPr>
              <w:t>、HCO</w:t>
            </w:r>
            <w:r>
              <w:rPr>
                <w:rFonts w:hint="default" w:ascii="Times New Roman" w:hAnsi="Times New Roman" w:eastAsia="宋体" w:cs="Times New Roman"/>
                <w:sz w:val="21"/>
                <w:szCs w:val="21"/>
                <w:highlight w:val="none"/>
                <w:u w:val="single" w:color="auto"/>
                <w:vertAlign w:val="subscript"/>
              </w:rPr>
              <w:t>3</w:t>
            </w:r>
            <w:r>
              <w:rPr>
                <w:rFonts w:hint="default" w:ascii="Times New Roman" w:hAnsi="Times New Roman" w:eastAsia="宋体" w:cs="Times New Roman"/>
                <w:sz w:val="21"/>
                <w:szCs w:val="21"/>
                <w:highlight w:val="none"/>
                <w:u w:val="single" w:color="auto"/>
                <w:vertAlign w:val="superscript"/>
              </w:rPr>
              <w:t>-</w:t>
            </w:r>
            <w:r>
              <w:rPr>
                <w:rFonts w:hint="default" w:ascii="Times New Roman" w:hAnsi="Times New Roman" w:eastAsia="宋体" w:cs="Times New Roman"/>
                <w:sz w:val="21"/>
                <w:szCs w:val="21"/>
                <w:highlight w:val="none"/>
                <w:u w:val="single" w:color="auto"/>
              </w:rPr>
              <w:t>、Cl</w:t>
            </w:r>
            <w:r>
              <w:rPr>
                <w:rFonts w:hint="default" w:ascii="Times New Roman" w:hAnsi="Times New Roman" w:eastAsia="宋体" w:cs="Times New Roman"/>
                <w:sz w:val="21"/>
                <w:szCs w:val="21"/>
                <w:highlight w:val="none"/>
                <w:u w:val="single" w:color="auto"/>
                <w:vertAlign w:val="superscript"/>
              </w:rPr>
              <w:t>-</w:t>
            </w:r>
            <w:r>
              <w:rPr>
                <w:rFonts w:hint="default" w:ascii="Times New Roman" w:hAnsi="Times New Roman" w:eastAsia="宋体" w:cs="Times New Roman"/>
                <w:sz w:val="21"/>
                <w:szCs w:val="21"/>
                <w:highlight w:val="none"/>
                <w:u w:val="single" w:color="auto"/>
              </w:rPr>
              <w:t>、SO</w:t>
            </w:r>
            <w:r>
              <w:rPr>
                <w:rFonts w:hint="default" w:ascii="Times New Roman" w:hAnsi="Times New Roman" w:eastAsia="宋体" w:cs="Times New Roman"/>
                <w:sz w:val="21"/>
                <w:szCs w:val="21"/>
                <w:highlight w:val="none"/>
                <w:u w:val="single" w:color="auto"/>
                <w:vertAlign w:val="subscript"/>
              </w:rPr>
              <w:t>4</w:t>
            </w:r>
            <w:r>
              <w:rPr>
                <w:rFonts w:hint="default" w:ascii="Times New Roman" w:hAnsi="Times New Roman" w:eastAsia="宋体" w:cs="Times New Roman"/>
                <w:sz w:val="21"/>
                <w:szCs w:val="21"/>
                <w:highlight w:val="none"/>
                <w:u w:val="single" w:color="auto"/>
                <w:vertAlign w:val="superscript"/>
              </w:rPr>
              <w:t>2-</w:t>
            </w:r>
            <w:r>
              <w:rPr>
                <w:rFonts w:hint="default" w:ascii="Times New Roman" w:hAnsi="Times New Roman" w:eastAsia="宋体" w:cs="Times New Roman"/>
                <w:sz w:val="21"/>
                <w:szCs w:val="21"/>
                <w:highlight w:val="none"/>
                <w:u w:val="single" w:color="auto"/>
              </w:rPr>
              <w:t>、pH值、总硬度、溶解性总固体、氨氮、耗氧量、亚硝酸盐、硝酸盐、 氯化物、硫酸盐、汞、砷、镉、铅、铬（六价）、铁、锰、总大肠菌群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影响评价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定性分析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声环境</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现状评价</w:t>
            </w:r>
          </w:p>
        </w:tc>
        <w:tc>
          <w:tcPr>
            <w:tcW w:w="3332"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等效连续A声级L</w:t>
            </w:r>
            <w:r>
              <w:rPr>
                <w:rFonts w:hint="default" w:ascii="Times New Roman" w:hAnsi="Times New Roman" w:eastAsia="宋体" w:cs="Times New Roman"/>
                <w:sz w:val="21"/>
                <w:szCs w:val="21"/>
                <w:highlight w:val="none"/>
                <w:u w:val="none" w:color="auto"/>
                <w:vertAlign w:val="subscript"/>
              </w:rPr>
              <w:t>Aeq</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影响评价</w:t>
            </w:r>
          </w:p>
        </w:tc>
        <w:tc>
          <w:tcPr>
            <w:tcW w:w="3332"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8"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土壤环境</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现状评价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pH、砷、镉、铬、铜、铅、汞、镍、锌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影响评价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定性分析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固体废物</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影响分析</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一般固废、危险废物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生态环境</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现状评价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土地利用、动植物资源及种类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影响分析</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土地利用、水土流失、动植物资源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环境风险</w:t>
            </w:r>
          </w:p>
        </w:tc>
        <w:tc>
          <w:tcPr>
            <w:tcW w:w="8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评价</w:t>
            </w:r>
          </w:p>
        </w:tc>
        <w:tc>
          <w:tcPr>
            <w:tcW w:w="333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疫情、废水事故外排</w:t>
            </w:r>
          </w:p>
        </w:tc>
      </w:tr>
    </w:tbl>
    <w:p>
      <w:pPr>
        <w:pStyle w:val="4"/>
        <w:bidi w:val="0"/>
        <w:rPr>
          <w:highlight w:val="none"/>
        </w:rPr>
      </w:pPr>
      <w:bookmarkStart w:id="25" w:name="_Toc13948"/>
      <w:bookmarkStart w:id="26" w:name="_Toc23557"/>
      <w:r>
        <w:rPr>
          <w:rFonts w:hint="eastAsia"/>
          <w:highlight w:val="none"/>
          <w:lang w:val="en-US" w:eastAsia="zh-CN"/>
        </w:rPr>
        <w:t>2</w:t>
      </w:r>
      <w:r>
        <w:rPr>
          <w:highlight w:val="none"/>
        </w:rPr>
        <w:t>.5  评价重点</w:t>
      </w:r>
      <w:bookmarkEnd w:id="25"/>
      <w:bookmarkEnd w:id="26"/>
    </w:p>
    <w:p>
      <w:pPr>
        <w:bidi w:val="0"/>
        <w:rPr>
          <w:highlight w:val="none"/>
        </w:rPr>
      </w:pPr>
      <w:r>
        <w:rPr>
          <w:highlight w:val="none"/>
        </w:rPr>
        <w:t>本项目评价工作重点：工程分析、选址合理性分析、水环境影响评价、大气环境影响评价（NH</w:t>
      </w:r>
      <w:r>
        <w:rPr>
          <w:highlight w:val="none"/>
          <w:vertAlign w:val="subscript"/>
        </w:rPr>
        <w:t>3</w:t>
      </w:r>
      <w:r>
        <w:rPr>
          <w:highlight w:val="none"/>
        </w:rPr>
        <w:t>、H</w:t>
      </w:r>
      <w:r>
        <w:rPr>
          <w:highlight w:val="none"/>
          <w:vertAlign w:val="subscript"/>
        </w:rPr>
        <w:t>2</w:t>
      </w:r>
      <w:r>
        <w:rPr>
          <w:highlight w:val="none"/>
        </w:rPr>
        <w:t>S的污染影响分析）、固体废物环境影响评价、污染防治措施评述、污染防治措施及其经济技术论证、公众参与。</w:t>
      </w:r>
    </w:p>
    <w:p>
      <w:pPr>
        <w:pStyle w:val="4"/>
        <w:bidi w:val="0"/>
        <w:rPr>
          <w:highlight w:val="none"/>
        </w:rPr>
      </w:pPr>
      <w:bookmarkStart w:id="27" w:name="_Toc6768"/>
      <w:bookmarkStart w:id="28" w:name="_Toc10689"/>
      <w:r>
        <w:rPr>
          <w:rFonts w:hint="eastAsia"/>
          <w:highlight w:val="none"/>
          <w:lang w:val="en-US" w:eastAsia="zh-CN"/>
        </w:rPr>
        <w:t>2</w:t>
      </w:r>
      <w:r>
        <w:rPr>
          <w:highlight w:val="none"/>
        </w:rPr>
        <w:t>.6  评价等级和评价范围</w:t>
      </w:r>
      <w:bookmarkEnd w:id="27"/>
      <w:bookmarkEnd w:id="28"/>
    </w:p>
    <w:p>
      <w:pPr>
        <w:pStyle w:val="5"/>
        <w:bidi w:val="0"/>
        <w:rPr>
          <w:highlight w:val="none"/>
          <w:u w:val="none" w:color="auto"/>
        </w:rPr>
      </w:pPr>
      <w:r>
        <w:rPr>
          <w:rFonts w:hint="eastAsia"/>
          <w:highlight w:val="none"/>
          <w:u w:val="none" w:color="auto"/>
          <w:lang w:val="en-US" w:eastAsia="zh-CN"/>
        </w:rPr>
        <w:t>2</w:t>
      </w:r>
      <w:r>
        <w:rPr>
          <w:highlight w:val="none"/>
          <w:u w:val="none" w:color="auto"/>
        </w:rPr>
        <w:t>.6.1  大气环境评价等级和评价范围</w:t>
      </w:r>
    </w:p>
    <w:p>
      <w:pPr>
        <w:bidi w:val="0"/>
        <w:rPr>
          <w:highlight w:val="none"/>
          <w:u w:val="none" w:color="auto"/>
        </w:rPr>
      </w:pPr>
      <w:r>
        <w:rPr>
          <w:highlight w:val="none"/>
          <w:u w:val="none" w:color="auto"/>
        </w:rPr>
        <w:t>本项目位于</w:t>
      </w:r>
      <w:r>
        <w:rPr>
          <w:rFonts w:hint="eastAsia"/>
          <w:highlight w:val="none"/>
          <w:u w:val="none" w:color="auto"/>
          <w:lang w:eastAsia="zh-CN"/>
        </w:rPr>
        <w:t>岳阳市华容县东山镇长岗庙村9组002号</w:t>
      </w:r>
      <w:r>
        <w:rPr>
          <w:highlight w:val="none"/>
          <w:u w:val="none" w:color="auto"/>
        </w:rPr>
        <w:t>。区域内及周围无文物古迹，自然保护区等特殊的环境敏感点；本项目所在区域环境空气为二类功能区。</w:t>
      </w:r>
    </w:p>
    <w:p>
      <w:pPr>
        <w:bidi w:val="0"/>
        <w:rPr>
          <w:highlight w:val="none"/>
          <w:u w:val="none" w:color="auto"/>
        </w:rPr>
      </w:pPr>
      <w:r>
        <w:rPr>
          <w:highlight w:val="none"/>
          <w:u w:val="none" w:color="auto"/>
        </w:rPr>
        <w:t>按照《环境影响评价技术导则—大气环境》（HJ2.2-2018）中相关规定，评价等级采用估算模式进行计算，模式中污染源的确定主要以连续性排放污染物为主进行计算。根据工程分析结果，计算污染物的最大地面浓度占标率Pi（第i个污染物），及第i个污染物的地面浓度达到标准限值10%时所对应的最远距离D10%。其中Pi定义为：</w:t>
      </w:r>
    </w:p>
    <w:p>
      <w:pPr>
        <w:pStyle w:val="24"/>
        <w:jc w:val="center"/>
        <w:rPr>
          <w:rFonts w:hint="eastAsia" w:eastAsia="宋体"/>
          <w:highlight w:val="none"/>
          <w:u w:val="none" w:color="auto"/>
          <w:lang w:eastAsia="zh-CN"/>
        </w:rPr>
      </w:pPr>
      <w:r>
        <w:rPr>
          <w:rFonts w:hint="eastAsia" w:eastAsia="宋体"/>
          <w:position w:val="-30"/>
          <w:highlight w:val="none"/>
          <w:u w:val="none" w:color="auto"/>
          <w:lang w:eastAsia="zh-CN"/>
        </w:rPr>
        <w:object>
          <v:shape id="_x0000_i1025" o:spt="75" type="#_x0000_t75" style="height:34pt;width:80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p>
    <w:p>
      <w:pPr>
        <w:bidi w:val="0"/>
        <w:ind w:left="0" w:leftChars="0" w:firstLine="0" w:firstLineChars="0"/>
        <w:rPr>
          <w:highlight w:val="none"/>
          <w:u w:val="none" w:color="auto"/>
        </w:rPr>
      </w:pPr>
      <w:r>
        <w:rPr>
          <w:highlight w:val="none"/>
          <w:u w:val="none" w:color="auto"/>
        </w:rPr>
        <w:t>式中：P</w:t>
      </w:r>
      <w:r>
        <w:rPr>
          <w:highlight w:val="none"/>
          <w:u w:val="none" w:color="auto"/>
          <w:vertAlign w:val="subscript"/>
        </w:rPr>
        <w:t>i</w:t>
      </w:r>
      <w:r>
        <w:rPr>
          <w:highlight w:val="none"/>
          <w:u w:val="none" w:color="auto"/>
        </w:rPr>
        <w:t>——第i个污染物的最大地面浓度占标率，%；</w:t>
      </w:r>
    </w:p>
    <w:p>
      <w:pPr>
        <w:bidi w:val="0"/>
        <w:ind w:firstLine="720" w:firstLineChars="300"/>
        <w:rPr>
          <w:highlight w:val="none"/>
          <w:u w:val="none" w:color="auto"/>
        </w:rPr>
      </w:pPr>
      <w:r>
        <w:rPr>
          <w:highlight w:val="none"/>
          <w:u w:val="none" w:color="auto"/>
        </w:rPr>
        <w:t>C</w:t>
      </w:r>
      <w:r>
        <w:rPr>
          <w:highlight w:val="none"/>
          <w:u w:val="none" w:color="auto"/>
          <w:vertAlign w:val="subscript"/>
        </w:rPr>
        <w:t>i</w:t>
      </w:r>
      <w:r>
        <w:rPr>
          <w:highlight w:val="none"/>
          <w:u w:val="none" w:color="auto"/>
        </w:rPr>
        <w:t>——采用估算模式计算出的第i个污染物的最大地面浓度，mg/m</w:t>
      </w:r>
      <w:r>
        <w:rPr>
          <w:highlight w:val="none"/>
          <w:u w:val="none" w:color="auto"/>
          <w:vertAlign w:val="superscript"/>
        </w:rPr>
        <w:t>3</w:t>
      </w:r>
      <w:r>
        <w:rPr>
          <w:highlight w:val="none"/>
          <w:u w:val="none" w:color="auto"/>
        </w:rPr>
        <w:t>；</w:t>
      </w:r>
    </w:p>
    <w:p>
      <w:pPr>
        <w:bidi w:val="0"/>
        <w:ind w:firstLine="720" w:firstLineChars="300"/>
        <w:rPr>
          <w:highlight w:val="none"/>
          <w:u w:val="none" w:color="auto"/>
        </w:rPr>
      </w:pPr>
      <w:r>
        <w:rPr>
          <w:highlight w:val="none"/>
          <w:u w:val="none" w:color="auto"/>
        </w:rPr>
        <w:t>C</w:t>
      </w:r>
      <w:r>
        <w:rPr>
          <w:highlight w:val="none"/>
          <w:u w:val="none" w:color="auto"/>
          <w:vertAlign w:val="subscript"/>
        </w:rPr>
        <w:t>0i</w:t>
      </w:r>
      <w:r>
        <w:rPr>
          <w:highlight w:val="none"/>
          <w:u w:val="none" w:color="auto"/>
        </w:rPr>
        <w:t>——第i个污染物的环境空气质量标准，mg/m</w:t>
      </w:r>
      <w:r>
        <w:rPr>
          <w:highlight w:val="none"/>
          <w:u w:val="none" w:color="auto"/>
          <w:vertAlign w:val="superscript"/>
        </w:rPr>
        <w:t>3</w:t>
      </w:r>
      <w:r>
        <w:rPr>
          <w:highlight w:val="none"/>
          <w:u w:val="none" w:color="auto"/>
        </w:rPr>
        <w:t>，对于无小时浓度限值的污染物，可取日平均浓度限制的三倍值，对该标准未包含的污染物，NH</w:t>
      </w:r>
      <w:r>
        <w:rPr>
          <w:highlight w:val="none"/>
          <w:u w:val="none" w:color="auto"/>
          <w:vertAlign w:val="subscript"/>
        </w:rPr>
        <w:t>3</w:t>
      </w:r>
      <w:r>
        <w:rPr>
          <w:highlight w:val="none"/>
          <w:u w:val="none" w:color="auto"/>
        </w:rPr>
        <w:t>、H</w:t>
      </w:r>
      <w:r>
        <w:rPr>
          <w:highlight w:val="none"/>
          <w:u w:val="none" w:color="auto"/>
          <w:vertAlign w:val="subscript"/>
        </w:rPr>
        <w:t>2</w:t>
      </w:r>
      <w:r>
        <w:rPr>
          <w:highlight w:val="none"/>
          <w:u w:val="none" w:color="auto"/>
        </w:rPr>
        <w:t>S参照《环境影响评价技术导则——大气环境》（HJ2.2-2018）附录D，为0.2mg/m</w:t>
      </w:r>
      <w:r>
        <w:rPr>
          <w:highlight w:val="none"/>
          <w:u w:val="none" w:color="auto"/>
          <w:vertAlign w:val="superscript"/>
        </w:rPr>
        <w:t>3</w:t>
      </w:r>
      <w:r>
        <w:rPr>
          <w:highlight w:val="none"/>
          <w:u w:val="none" w:color="auto"/>
        </w:rPr>
        <w:t>，0.01mg/m</w:t>
      </w:r>
      <w:r>
        <w:rPr>
          <w:highlight w:val="none"/>
          <w:u w:val="none" w:color="auto"/>
          <w:vertAlign w:val="superscript"/>
        </w:rPr>
        <w:t>3</w:t>
      </w:r>
      <w:r>
        <w:rPr>
          <w:highlight w:val="none"/>
          <w:u w:val="none" w:color="auto"/>
        </w:rPr>
        <w:t>。</w:t>
      </w:r>
    </w:p>
    <w:p>
      <w:pPr>
        <w:bidi w:val="0"/>
        <w:rPr>
          <w:highlight w:val="none"/>
          <w:u w:val="single" w:color="auto"/>
        </w:rPr>
      </w:pPr>
      <w:r>
        <w:rPr>
          <w:highlight w:val="none"/>
          <w:u w:val="single" w:color="auto"/>
        </w:rPr>
        <w:t>本项目运营期最主要的污染源是猪舍、</w:t>
      </w:r>
      <w:r>
        <w:rPr>
          <w:rFonts w:hint="eastAsia"/>
          <w:highlight w:val="none"/>
          <w:u w:val="single" w:color="auto"/>
          <w:lang w:eastAsia="zh-CN"/>
        </w:rPr>
        <w:t>污水处理、猪</w:t>
      </w:r>
      <w:r>
        <w:rPr>
          <w:highlight w:val="none"/>
          <w:u w:val="single" w:color="auto"/>
        </w:rPr>
        <w:t>粪处理设施排放的恶臭气体，主要污染因子为：NH</w:t>
      </w:r>
      <w:r>
        <w:rPr>
          <w:highlight w:val="none"/>
          <w:u w:val="single" w:color="auto"/>
          <w:vertAlign w:val="subscript"/>
        </w:rPr>
        <w:t>3</w:t>
      </w:r>
      <w:r>
        <w:rPr>
          <w:highlight w:val="none"/>
          <w:u w:val="single" w:color="auto"/>
        </w:rPr>
        <w:t>和H</w:t>
      </w:r>
      <w:r>
        <w:rPr>
          <w:highlight w:val="none"/>
          <w:u w:val="single" w:color="auto"/>
          <w:vertAlign w:val="subscript"/>
        </w:rPr>
        <w:t>2</w:t>
      </w:r>
      <w:r>
        <w:rPr>
          <w:highlight w:val="none"/>
          <w:u w:val="single" w:color="auto"/>
        </w:rPr>
        <w:t>S，污染源强来源具体见 4.3.2.</w:t>
      </w:r>
      <w:r>
        <w:rPr>
          <w:rFonts w:hint="eastAsia"/>
          <w:highlight w:val="none"/>
          <w:u w:val="single" w:color="auto"/>
          <w:lang w:val="en-US" w:eastAsia="zh-CN"/>
        </w:rPr>
        <w:t>1</w:t>
      </w:r>
      <w:r>
        <w:rPr>
          <w:highlight w:val="none"/>
          <w:u w:val="single" w:color="auto"/>
        </w:rPr>
        <w:t xml:space="preserve"> 章节。估算模式计算参数表见表</w:t>
      </w:r>
      <w:r>
        <w:rPr>
          <w:rFonts w:hint="eastAsia"/>
          <w:highlight w:val="none"/>
          <w:u w:val="single" w:color="auto"/>
          <w:lang w:val="en-US" w:eastAsia="zh-CN"/>
        </w:rPr>
        <w:t>2</w:t>
      </w:r>
      <w:r>
        <w:rPr>
          <w:highlight w:val="none"/>
          <w:u w:val="single" w:color="auto"/>
        </w:rPr>
        <w:t>.6-1。</w:t>
      </w:r>
    </w:p>
    <w:p>
      <w:pPr>
        <w:pStyle w:val="7"/>
        <w:bidi w:val="0"/>
        <w:rPr>
          <w:highlight w:val="none"/>
          <w:u w:val="single" w:color="auto"/>
        </w:rPr>
      </w:pPr>
      <w:r>
        <w:rPr>
          <w:highlight w:val="none"/>
          <w:u w:val="single" w:color="auto"/>
        </w:rPr>
        <w:t>表</w:t>
      </w:r>
      <w:r>
        <w:rPr>
          <w:rFonts w:hint="eastAsia"/>
          <w:highlight w:val="none"/>
          <w:u w:val="single" w:color="auto"/>
          <w:lang w:val="en-US" w:eastAsia="zh-CN"/>
        </w:rPr>
        <w:t>2</w:t>
      </w:r>
      <w:r>
        <w:rPr>
          <w:highlight w:val="none"/>
          <w:u w:val="single" w:color="auto"/>
        </w:rPr>
        <w:t>.6-1</w:t>
      </w:r>
      <w:r>
        <w:rPr>
          <w:rFonts w:hint="eastAsia"/>
          <w:highlight w:val="none"/>
          <w:u w:val="single" w:color="auto"/>
          <w:lang w:val="en-US" w:eastAsia="zh-CN"/>
        </w:rPr>
        <w:t xml:space="preserve">  </w:t>
      </w:r>
      <w:r>
        <w:rPr>
          <w:highlight w:val="none"/>
          <w:u w:val="single" w:color="auto"/>
        </w:rPr>
        <w:t>面源参数调查表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709"/>
        <w:gridCol w:w="1027"/>
        <w:gridCol w:w="761"/>
        <w:gridCol w:w="1419"/>
        <w:gridCol w:w="1126"/>
        <w:gridCol w:w="1059"/>
        <w:gridCol w:w="941"/>
        <w:gridCol w:w="10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污染源</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类型</w:t>
            </w:r>
          </w:p>
        </w:tc>
        <w:tc>
          <w:tcPr>
            <w:tcW w:w="101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（mg/m</w:t>
            </w:r>
            <w:r>
              <w:rPr>
                <w:rFonts w:hint="default" w:ascii="Times New Roman" w:hAnsi="Times New Roman" w:eastAsia="宋体" w:cs="Times New Roman"/>
                <w:spacing w:val="0"/>
                <w:position w:val="0"/>
                <w:sz w:val="21"/>
                <w:szCs w:val="21"/>
                <w:highlight w:val="none"/>
                <w:u w:val="single" w:color="auto"/>
                <w:vertAlign w:val="superscript"/>
              </w:rPr>
              <w:t>3</w:t>
            </w:r>
            <w:r>
              <w:rPr>
                <w:rFonts w:hint="default" w:ascii="Times New Roman" w:hAnsi="Times New Roman" w:eastAsia="宋体" w:cs="Times New Roman"/>
                <w:spacing w:val="0"/>
                <w:position w:val="0"/>
                <w:sz w:val="21"/>
                <w:szCs w:val="21"/>
                <w:highlight w:val="none"/>
                <w:u w:val="single" w:color="auto"/>
              </w:rPr>
              <w:t>）</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最大落地浓度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（mg/m</w:t>
            </w:r>
            <w:r>
              <w:rPr>
                <w:rFonts w:hint="default" w:ascii="Times New Roman" w:hAnsi="Times New Roman" w:eastAsia="宋体" w:cs="Times New Roman"/>
                <w:spacing w:val="0"/>
                <w:position w:val="0"/>
                <w:sz w:val="21"/>
                <w:szCs w:val="21"/>
                <w:highlight w:val="none"/>
                <w:u w:val="single" w:color="auto"/>
                <w:vertAlign w:val="superscript"/>
              </w:rPr>
              <w:t>3</w:t>
            </w:r>
            <w:r>
              <w:rPr>
                <w:rFonts w:hint="default" w:ascii="Times New Roman" w:hAnsi="Times New Roman" w:eastAsia="宋体" w:cs="Times New Roman"/>
                <w:spacing w:val="0"/>
                <w:position w:val="0"/>
                <w:sz w:val="21"/>
                <w:szCs w:val="21"/>
                <w:highlight w:val="none"/>
                <w:u w:val="single" w:color="auto"/>
              </w:rPr>
              <w:t>）</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eastAsia" w:ascii="Times New Roman" w:hAnsi="Times New Roman" w:eastAsia="宋体" w:cs="Times New Roman"/>
                <w:spacing w:val="0"/>
                <w:position w:val="0"/>
                <w:sz w:val="21"/>
                <w:szCs w:val="21"/>
                <w:highlight w:val="none"/>
                <w:u w:val="single" w:color="auto"/>
                <w:lang w:eastAsia="zh-CN"/>
              </w:rPr>
              <w:t>最大浓度</w:t>
            </w:r>
            <w:r>
              <w:rPr>
                <w:rFonts w:hint="default" w:ascii="Times New Roman" w:hAnsi="Times New Roman" w:eastAsia="宋体" w:cs="Times New Roman"/>
                <w:spacing w:val="0"/>
                <w:position w:val="0"/>
                <w:sz w:val="21"/>
                <w:szCs w:val="21"/>
                <w:highlight w:val="none"/>
                <w:u w:val="single" w:color="auto"/>
              </w:rPr>
              <w:t>出现</w:t>
            </w:r>
            <w:r>
              <w:rPr>
                <w:rFonts w:hint="eastAsia" w:ascii="Times New Roman" w:hAnsi="Times New Roman" w:eastAsia="宋体" w:cs="Times New Roman"/>
                <w:spacing w:val="0"/>
                <w:position w:val="0"/>
                <w:sz w:val="21"/>
                <w:szCs w:val="21"/>
                <w:highlight w:val="none"/>
                <w:u w:val="single" w:color="auto"/>
                <w:lang w:eastAsia="zh-CN"/>
              </w:rPr>
              <w:t>位置</w:t>
            </w:r>
            <w:r>
              <w:rPr>
                <w:rFonts w:hint="default" w:ascii="Times New Roman" w:hAnsi="Times New Roman" w:eastAsia="宋体" w:cs="Times New Roman"/>
                <w:spacing w:val="0"/>
                <w:position w:val="0"/>
                <w:sz w:val="21"/>
                <w:szCs w:val="21"/>
                <w:highlight w:val="none"/>
                <w:u w:val="single" w:color="auto"/>
              </w:rPr>
              <w:t>（m）</w:t>
            </w: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占标率（%）</w:t>
            </w:r>
          </w:p>
        </w:tc>
        <w:tc>
          <w:tcPr>
            <w:tcW w:w="5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Pmax</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w:t>
            </w:r>
          </w:p>
        </w:tc>
        <w:tc>
          <w:tcPr>
            <w:tcW w:w="5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评价等级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猪舍区</w:t>
            </w:r>
          </w:p>
        </w:tc>
        <w:tc>
          <w:tcPr>
            <w:tcW w:w="4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面源</w:t>
            </w:r>
          </w:p>
        </w:tc>
        <w:tc>
          <w:tcPr>
            <w:tcW w:w="5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default" w:ascii="Times New Roman" w:hAnsi="Times New Roman" w:eastAsia="宋体" w:cs="Times New Roman"/>
                <w:spacing w:val="0"/>
                <w:position w:val="0"/>
                <w:sz w:val="21"/>
                <w:szCs w:val="21"/>
                <w:highlight w:val="none"/>
                <w:u w:val="single" w:color="auto"/>
              </w:rPr>
              <w:t>NH</w:t>
            </w:r>
            <w:r>
              <w:rPr>
                <w:rFonts w:hint="default" w:ascii="Times New Roman" w:hAnsi="Times New Roman" w:eastAsia="宋体" w:cs="Times New Roman"/>
                <w:spacing w:val="0"/>
                <w:position w:val="0"/>
                <w:sz w:val="21"/>
                <w:szCs w:val="21"/>
                <w:highlight w:val="none"/>
                <w:u w:val="single" w:color="auto"/>
                <w:vertAlign w:val="subscript"/>
              </w:rPr>
              <w:t>3</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default" w:ascii="Times New Roman" w:hAnsi="Times New Roman" w:eastAsia="宋体" w:cs="Times New Roman"/>
                <w:spacing w:val="0"/>
                <w:position w:val="0"/>
                <w:sz w:val="21"/>
                <w:szCs w:val="21"/>
                <w:highlight w:val="none"/>
                <w:u w:val="single" w:color="auto"/>
              </w:rPr>
              <w:t>0.2</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2.06</w:t>
            </w:r>
            <w:r>
              <w:rPr>
                <w:rFonts w:hint="default" w:ascii="Times New Roman" w:hAnsi="Times New Roman" w:eastAsia="宋体" w:cs="Times New Roman"/>
                <w:spacing w:val="0"/>
                <w:position w:val="0"/>
                <w:sz w:val="21"/>
                <w:szCs w:val="21"/>
                <w:highlight w:val="none"/>
                <w:u w:val="single" w:color="auto"/>
              </w:rPr>
              <w:t>×10</w:t>
            </w:r>
            <w:r>
              <w:rPr>
                <w:rFonts w:hint="default" w:ascii="Times New Roman" w:hAnsi="Times New Roman" w:eastAsia="宋体" w:cs="Times New Roman"/>
                <w:spacing w:val="0"/>
                <w:position w:val="0"/>
                <w:sz w:val="21"/>
                <w:szCs w:val="21"/>
                <w:highlight w:val="none"/>
                <w:u w:val="single" w:color="auto"/>
                <w:vertAlign w:val="superscript"/>
              </w:rPr>
              <w:t>-</w:t>
            </w:r>
            <w:r>
              <w:rPr>
                <w:rFonts w:hint="eastAsia" w:cs="Times New Roman"/>
                <w:spacing w:val="0"/>
                <w:position w:val="0"/>
                <w:sz w:val="21"/>
                <w:szCs w:val="21"/>
                <w:highlight w:val="none"/>
                <w:u w:val="single" w:color="auto"/>
                <w:vertAlign w:val="superscript"/>
                <w:lang w:val="en-US" w:eastAsia="zh-CN"/>
              </w:rPr>
              <w:t>3</w:t>
            </w:r>
          </w:p>
        </w:tc>
        <w:tc>
          <w:tcPr>
            <w:tcW w:w="6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74</w:t>
            </w: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1.03</w:t>
            </w:r>
          </w:p>
        </w:tc>
        <w:tc>
          <w:tcPr>
            <w:tcW w:w="5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2.22</w:t>
            </w:r>
          </w:p>
        </w:tc>
        <w:tc>
          <w:tcPr>
            <w:tcW w:w="58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二级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4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5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default" w:ascii="Times New Roman" w:hAnsi="Times New Roman" w:eastAsia="宋体" w:cs="Times New Roman"/>
                <w:spacing w:val="0"/>
                <w:position w:val="0"/>
                <w:sz w:val="21"/>
                <w:szCs w:val="21"/>
                <w:highlight w:val="none"/>
                <w:u w:val="single" w:color="auto"/>
              </w:rPr>
              <w:t>H</w:t>
            </w:r>
            <w:r>
              <w:rPr>
                <w:rFonts w:hint="default" w:ascii="Times New Roman" w:hAnsi="Times New Roman" w:eastAsia="宋体" w:cs="Times New Roman"/>
                <w:spacing w:val="0"/>
                <w:position w:val="0"/>
                <w:sz w:val="21"/>
                <w:szCs w:val="21"/>
                <w:highlight w:val="none"/>
                <w:u w:val="single" w:color="auto"/>
                <w:vertAlign w:val="subscript"/>
              </w:rPr>
              <w:t>2</w:t>
            </w:r>
            <w:r>
              <w:rPr>
                <w:rFonts w:hint="default" w:ascii="Times New Roman" w:hAnsi="Times New Roman" w:eastAsia="宋体" w:cs="Times New Roman"/>
                <w:spacing w:val="0"/>
                <w:position w:val="0"/>
                <w:sz w:val="21"/>
                <w:szCs w:val="21"/>
                <w:highlight w:val="none"/>
                <w:u w:val="single" w:color="auto"/>
              </w:rPr>
              <w:t>S</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default" w:ascii="Times New Roman" w:hAnsi="Times New Roman" w:eastAsia="宋体" w:cs="Times New Roman"/>
                <w:spacing w:val="0"/>
                <w:position w:val="0"/>
                <w:sz w:val="21"/>
                <w:szCs w:val="21"/>
                <w:highlight w:val="none"/>
                <w:u w:val="single" w:color="auto"/>
              </w:rPr>
              <w:t>0.01</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2.22</w:t>
            </w:r>
            <w:r>
              <w:rPr>
                <w:rFonts w:hint="default" w:ascii="Times New Roman" w:hAnsi="Times New Roman" w:eastAsia="宋体" w:cs="Times New Roman"/>
                <w:spacing w:val="0"/>
                <w:position w:val="0"/>
                <w:sz w:val="21"/>
                <w:szCs w:val="21"/>
                <w:highlight w:val="none"/>
                <w:u w:val="single" w:color="auto"/>
              </w:rPr>
              <w:t>×10</w:t>
            </w:r>
            <w:r>
              <w:rPr>
                <w:rFonts w:hint="default" w:ascii="Times New Roman" w:hAnsi="Times New Roman" w:eastAsia="宋体" w:cs="Times New Roman"/>
                <w:spacing w:val="0"/>
                <w:position w:val="0"/>
                <w:sz w:val="21"/>
                <w:szCs w:val="21"/>
                <w:highlight w:val="none"/>
                <w:u w:val="single" w:color="auto"/>
                <w:vertAlign w:val="superscript"/>
              </w:rPr>
              <w:t>-</w:t>
            </w:r>
            <w:r>
              <w:rPr>
                <w:rFonts w:hint="eastAsia" w:cs="Times New Roman"/>
                <w:spacing w:val="0"/>
                <w:position w:val="0"/>
                <w:sz w:val="21"/>
                <w:szCs w:val="21"/>
                <w:highlight w:val="none"/>
                <w:u w:val="single" w:color="auto"/>
                <w:vertAlign w:val="superscript"/>
                <w:lang w:val="en-US" w:eastAsia="zh-CN"/>
              </w:rPr>
              <w:t>4</w:t>
            </w:r>
          </w:p>
        </w:tc>
        <w:tc>
          <w:tcPr>
            <w:tcW w:w="6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2.22</w:t>
            </w:r>
          </w:p>
        </w:tc>
        <w:tc>
          <w:tcPr>
            <w:tcW w:w="5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58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eastAsia" w:ascii="Times New Roman" w:hAnsi="Times New Roman" w:eastAsia="宋体" w:cs="Times New Roman"/>
                <w:spacing w:val="0"/>
                <w:position w:val="0"/>
                <w:sz w:val="21"/>
                <w:szCs w:val="21"/>
                <w:highlight w:val="none"/>
                <w:u w:val="single" w:color="auto"/>
                <w:lang w:eastAsia="zh-CN"/>
              </w:rPr>
              <w:t>污水处理站</w:t>
            </w:r>
          </w:p>
        </w:tc>
        <w:tc>
          <w:tcPr>
            <w:tcW w:w="4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面源</w:t>
            </w:r>
          </w:p>
        </w:tc>
        <w:tc>
          <w:tcPr>
            <w:tcW w:w="5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NH</w:t>
            </w:r>
            <w:r>
              <w:rPr>
                <w:rFonts w:hint="default" w:ascii="Times New Roman" w:hAnsi="Times New Roman" w:eastAsia="宋体" w:cs="Times New Roman"/>
                <w:spacing w:val="0"/>
                <w:position w:val="0"/>
                <w:sz w:val="21"/>
                <w:szCs w:val="21"/>
                <w:highlight w:val="none"/>
                <w:u w:val="single" w:color="auto"/>
                <w:vertAlign w:val="subscript"/>
              </w:rPr>
              <w:t>3</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0.2</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eastAsia" w:cs="Times New Roman"/>
                <w:spacing w:val="0"/>
                <w:position w:val="0"/>
                <w:sz w:val="21"/>
                <w:szCs w:val="21"/>
                <w:highlight w:val="none"/>
                <w:u w:val="single" w:color="auto"/>
                <w:lang w:val="en-US" w:eastAsia="zh-CN"/>
              </w:rPr>
              <w:t>4.06</w:t>
            </w:r>
            <w:r>
              <w:rPr>
                <w:rFonts w:hint="default" w:ascii="Times New Roman" w:hAnsi="Times New Roman" w:eastAsia="宋体" w:cs="Times New Roman"/>
                <w:spacing w:val="0"/>
                <w:position w:val="0"/>
                <w:sz w:val="21"/>
                <w:szCs w:val="21"/>
                <w:highlight w:val="none"/>
                <w:u w:val="single" w:color="auto"/>
              </w:rPr>
              <w:t>×10</w:t>
            </w:r>
            <w:r>
              <w:rPr>
                <w:rFonts w:hint="default" w:ascii="Times New Roman" w:hAnsi="Times New Roman" w:eastAsia="宋体" w:cs="Times New Roman"/>
                <w:spacing w:val="0"/>
                <w:position w:val="0"/>
                <w:sz w:val="21"/>
                <w:szCs w:val="21"/>
                <w:highlight w:val="none"/>
                <w:u w:val="single" w:color="auto"/>
                <w:vertAlign w:val="superscript"/>
              </w:rPr>
              <w:t>-</w:t>
            </w:r>
            <w:r>
              <w:rPr>
                <w:rFonts w:hint="eastAsia" w:cs="Times New Roman"/>
                <w:spacing w:val="0"/>
                <w:position w:val="0"/>
                <w:sz w:val="21"/>
                <w:szCs w:val="21"/>
                <w:highlight w:val="none"/>
                <w:u w:val="single" w:color="auto"/>
                <w:vertAlign w:val="superscript"/>
                <w:lang w:val="en-US" w:eastAsia="zh-CN"/>
              </w:rPr>
              <w:t>3</w:t>
            </w:r>
          </w:p>
        </w:tc>
        <w:tc>
          <w:tcPr>
            <w:tcW w:w="6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20</w:t>
            </w: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2.03</w:t>
            </w:r>
          </w:p>
        </w:tc>
        <w:tc>
          <w:tcPr>
            <w:tcW w:w="5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58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eastAsia" w:cs="Times New Roman"/>
                <w:spacing w:val="0"/>
                <w:position w:val="0"/>
                <w:sz w:val="21"/>
                <w:szCs w:val="21"/>
                <w:highlight w:val="none"/>
                <w:u w:val="single" w:color="auto"/>
                <w:lang w:eastAsia="zh-CN"/>
              </w:rPr>
              <w:t>二</w:t>
            </w:r>
            <w:r>
              <w:rPr>
                <w:rFonts w:hint="default" w:ascii="Times New Roman" w:hAnsi="Times New Roman" w:eastAsia="宋体" w:cs="Times New Roman"/>
                <w:spacing w:val="0"/>
                <w:position w:val="0"/>
                <w:sz w:val="21"/>
                <w:szCs w:val="21"/>
                <w:highlight w:val="none"/>
                <w:u w:val="single" w:color="auto"/>
              </w:rPr>
              <w:t>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4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5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H</w:t>
            </w:r>
            <w:r>
              <w:rPr>
                <w:rFonts w:hint="default" w:ascii="Times New Roman" w:hAnsi="Times New Roman" w:eastAsia="宋体" w:cs="Times New Roman"/>
                <w:spacing w:val="0"/>
                <w:position w:val="0"/>
                <w:sz w:val="21"/>
                <w:szCs w:val="21"/>
                <w:highlight w:val="none"/>
                <w:u w:val="single" w:color="auto"/>
                <w:vertAlign w:val="subscript"/>
              </w:rPr>
              <w:t>2</w:t>
            </w:r>
            <w:r>
              <w:rPr>
                <w:rFonts w:hint="default" w:ascii="Times New Roman" w:hAnsi="Times New Roman" w:eastAsia="宋体" w:cs="Times New Roman"/>
                <w:spacing w:val="0"/>
                <w:position w:val="0"/>
                <w:sz w:val="21"/>
                <w:szCs w:val="21"/>
                <w:highlight w:val="none"/>
                <w:u w:val="single" w:color="auto"/>
              </w:rPr>
              <w:t>S</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r>
              <w:rPr>
                <w:rFonts w:hint="default" w:ascii="Times New Roman" w:hAnsi="Times New Roman" w:eastAsia="宋体" w:cs="Times New Roman"/>
                <w:spacing w:val="0"/>
                <w:position w:val="0"/>
                <w:sz w:val="21"/>
                <w:szCs w:val="21"/>
                <w:highlight w:val="none"/>
                <w:u w:val="single" w:color="auto"/>
              </w:rPr>
              <w:t>0.01</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1.31</w:t>
            </w:r>
            <w:r>
              <w:rPr>
                <w:rFonts w:hint="default" w:ascii="Times New Roman" w:hAnsi="Times New Roman" w:eastAsia="宋体" w:cs="Times New Roman"/>
                <w:spacing w:val="0"/>
                <w:position w:val="0"/>
                <w:sz w:val="21"/>
                <w:szCs w:val="21"/>
                <w:highlight w:val="none"/>
                <w:u w:val="single" w:color="auto"/>
              </w:rPr>
              <w:t>×10</w:t>
            </w:r>
            <w:r>
              <w:rPr>
                <w:rFonts w:hint="default" w:ascii="Times New Roman" w:hAnsi="Times New Roman" w:eastAsia="宋体" w:cs="Times New Roman"/>
                <w:spacing w:val="0"/>
                <w:position w:val="0"/>
                <w:sz w:val="21"/>
                <w:szCs w:val="21"/>
                <w:highlight w:val="none"/>
                <w:u w:val="single" w:color="auto"/>
                <w:vertAlign w:val="superscript"/>
              </w:rPr>
              <w:t>-</w:t>
            </w:r>
            <w:r>
              <w:rPr>
                <w:rFonts w:hint="eastAsia" w:cs="Times New Roman"/>
                <w:spacing w:val="0"/>
                <w:position w:val="0"/>
                <w:sz w:val="21"/>
                <w:szCs w:val="21"/>
                <w:highlight w:val="none"/>
                <w:u w:val="single" w:color="auto"/>
                <w:vertAlign w:val="superscript"/>
                <w:lang w:val="en-US" w:eastAsia="zh-CN"/>
              </w:rPr>
              <w:t>4</w:t>
            </w:r>
          </w:p>
        </w:tc>
        <w:tc>
          <w:tcPr>
            <w:tcW w:w="6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lang w:val="en-US" w:eastAsia="zh-CN"/>
              </w:rPr>
            </w:pPr>
            <w:r>
              <w:rPr>
                <w:rFonts w:hint="eastAsia" w:cs="Times New Roman"/>
                <w:spacing w:val="0"/>
                <w:position w:val="0"/>
                <w:sz w:val="21"/>
                <w:szCs w:val="21"/>
                <w:highlight w:val="none"/>
                <w:u w:val="single" w:color="auto"/>
                <w:lang w:val="en-US" w:eastAsia="zh-CN"/>
              </w:rPr>
              <w:t>1.31</w:t>
            </w:r>
          </w:p>
        </w:tc>
        <w:tc>
          <w:tcPr>
            <w:tcW w:w="5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c>
          <w:tcPr>
            <w:tcW w:w="58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u w:val="single" w:color="auto"/>
              </w:rPr>
            </w:pPr>
          </w:p>
        </w:tc>
      </w:tr>
    </w:tbl>
    <w:p>
      <w:pPr>
        <w:bidi w:val="0"/>
        <w:rPr>
          <w:highlight w:val="none"/>
          <w:u w:val="single" w:color="auto"/>
        </w:rPr>
      </w:pPr>
      <w:r>
        <w:rPr>
          <w:highlight w:val="none"/>
          <w:u w:val="single" w:color="auto"/>
        </w:rPr>
        <w:t>按照导则中评价工作等级判定表进行判定，判定结果见表</w:t>
      </w:r>
      <w:r>
        <w:rPr>
          <w:rFonts w:hint="eastAsia"/>
          <w:highlight w:val="none"/>
          <w:u w:val="single" w:color="auto"/>
          <w:lang w:val="en-US" w:eastAsia="zh-CN"/>
        </w:rPr>
        <w:t>2</w:t>
      </w:r>
      <w:r>
        <w:rPr>
          <w:highlight w:val="none"/>
          <w:u w:val="single" w:color="auto"/>
        </w:rPr>
        <w:t>.6-2。</w:t>
      </w:r>
    </w:p>
    <w:p>
      <w:pPr>
        <w:pStyle w:val="7"/>
        <w:bidi w:val="0"/>
        <w:rPr>
          <w:highlight w:val="none"/>
          <w:u w:val="single" w:color="auto"/>
        </w:rPr>
      </w:pPr>
      <w:r>
        <w:rPr>
          <w:highlight w:val="none"/>
          <w:u w:val="single" w:color="auto"/>
        </w:rPr>
        <w:t>表</w:t>
      </w:r>
      <w:r>
        <w:rPr>
          <w:rFonts w:hint="eastAsia"/>
          <w:highlight w:val="none"/>
          <w:u w:val="single" w:color="auto"/>
          <w:lang w:val="en-US" w:eastAsia="zh-CN"/>
        </w:rPr>
        <w:t>2</w:t>
      </w:r>
      <w:r>
        <w:rPr>
          <w:highlight w:val="none"/>
          <w:u w:val="single" w:color="auto"/>
        </w:rPr>
        <w:t>.6-2</w:t>
      </w:r>
      <w:r>
        <w:rPr>
          <w:rFonts w:hint="eastAsia"/>
          <w:highlight w:val="none"/>
          <w:u w:val="single" w:color="auto"/>
          <w:lang w:val="en-US" w:eastAsia="zh-CN"/>
        </w:rPr>
        <w:t xml:space="preserve">  </w:t>
      </w:r>
      <w:r>
        <w:rPr>
          <w:highlight w:val="none"/>
          <w:u w:val="single" w:color="auto"/>
        </w:rPr>
        <w:t>评价工作等级判定</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54"/>
        <w:gridCol w:w="1995"/>
        <w:gridCol w:w="2885"/>
        <w:gridCol w:w="22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评价工作等级</w:t>
            </w:r>
          </w:p>
        </w:tc>
        <w:tc>
          <w:tcPr>
            <w:tcW w:w="113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评价工作分级判据</w:t>
            </w:r>
          </w:p>
        </w:tc>
        <w:tc>
          <w:tcPr>
            <w:tcW w:w="163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本项目分级判据计算结果</w:t>
            </w:r>
          </w:p>
        </w:tc>
        <w:tc>
          <w:tcPr>
            <w:tcW w:w="129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本项目评价工作等级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113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w:t>
            </w:r>
            <w:r>
              <w:rPr>
                <w:rFonts w:hint="default" w:ascii="Times New Roman" w:hAnsi="Times New Roman" w:eastAsia="宋体" w:cs="Times New Roman"/>
                <w:sz w:val="21"/>
                <w:szCs w:val="21"/>
                <w:highlight w:val="none"/>
                <w:u w:val="single" w:color="auto"/>
                <w:vertAlign w:val="subscript"/>
              </w:rPr>
              <w:t>max</w:t>
            </w:r>
            <w:r>
              <w:rPr>
                <w:rFonts w:hint="default" w:ascii="Times New Roman" w:hAnsi="Times New Roman" w:eastAsia="宋体" w:cs="Times New Roman"/>
                <w:sz w:val="21"/>
                <w:szCs w:val="21"/>
                <w:highlight w:val="none"/>
                <w:u w:val="single" w:color="auto"/>
              </w:rPr>
              <w:t>≥10%</w:t>
            </w:r>
          </w:p>
        </w:tc>
        <w:tc>
          <w:tcPr>
            <w:tcW w:w="1636"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w:t>
            </w:r>
            <w:r>
              <w:rPr>
                <w:rFonts w:hint="default" w:ascii="Times New Roman" w:hAnsi="Times New Roman" w:eastAsia="宋体" w:cs="Times New Roman"/>
                <w:sz w:val="21"/>
                <w:szCs w:val="21"/>
                <w:highlight w:val="none"/>
                <w:u w:val="single" w:color="auto"/>
                <w:vertAlign w:val="subscript"/>
              </w:rPr>
              <w:t>max</w:t>
            </w:r>
            <w:r>
              <w:rPr>
                <w:rFonts w:hint="eastAsia" w:cs="Times New Roman"/>
                <w:sz w:val="21"/>
                <w:szCs w:val="21"/>
                <w:highlight w:val="none"/>
                <w:u w:val="single" w:color="auto"/>
                <w:vertAlign w:val="subscript"/>
                <w:lang w:val="en-US" w:eastAsia="zh-CN"/>
              </w:rPr>
              <w:t>-</w:t>
            </w:r>
            <w:r>
              <w:rPr>
                <w:rFonts w:hint="default" w:ascii="Times New Roman" w:hAnsi="Times New Roman" w:eastAsia="宋体" w:cs="Times New Roman"/>
                <w:sz w:val="21"/>
                <w:szCs w:val="21"/>
                <w:highlight w:val="none"/>
                <w:u w:val="single" w:color="auto"/>
                <w:vertAlign w:val="subscript"/>
              </w:rPr>
              <w:t>NH3</w:t>
            </w:r>
            <w:r>
              <w:rPr>
                <w:rFonts w:hint="default" w:ascii="Times New Roman" w:hAnsi="Times New Roman" w:eastAsia="宋体" w:cs="Times New Roman"/>
                <w:sz w:val="21"/>
                <w:szCs w:val="21"/>
                <w:highlight w:val="none"/>
                <w:u w:val="single" w:color="auto"/>
              </w:rPr>
              <w:t>=</w:t>
            </w:r>
            <w:r>
              <w:rPr>
                <w:rFonts w:hint="eastAsia" w:cs="Times New Roman"/>
                <w:sz w:val="21"/>
                <w:szCs w:val="21"/>
                <w:highlight w:val="none"/>
                <w:u w:val="single" w:color="auto"/>
                <w:lang w:val="en-US" w:eastAsia="zh-CN"/>
              </w:rPr>
              <w:t>2.03</w:t>
            </w:r>
            <w:r>
              <w:rPr>
                <w:rFonts w:hint="default" w:ascii="Times New Roman" w:hAnsi="Times New Roman" w:eastAsia="宋体" w:cs="Times New Roman"/>
                <w:sz w:val="21"/>
                <w:szCs w:val="21"/>
                <w:highlight w:val="none"/>
                <w:u w:val="single" w:color="auto"/>
              </w:rPr>
              <w:t>%；</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w:t>
            </w:r>
            <w:r>
              <w:rPr>
                <w:rFonts w:hint="default" w:ascii="Times New Roman" w:hAnsi="Times New Roman" w:eastAsia="宋体" w:cs="Times New Roman"/>
                <w:sz w:val="21"/>
                <w:szCs w:val="21"/>
                <w:highlight w:val="none"/>
                <w:u w:val="single" w:color="auto"/>
                <w:vertAlign w:val="subscript"/>
              </w:rPr>
              <w:t>max</w:t>
            </w:r>
            <w:r>
              <w:rPr>
                <w:rFonts w:hint="eastAsia" w:cs="Times New Roman"/>
                <w:sz w:val="21"/>
                <w:szCs w:val="21"/>
                <w:highlight w:val="none"/>
                <w:u w:val="single" w:color="auto"/>
                <w:vertAlign w:val="subscript"/>
                <w:lang w:val="en-US" w:eastAsia="zh-CN"/>
              </w:rPr>
              <w:t>-</w:t>
            </w:r>
            <w:r>
              <w:rPr>
                <w:rFonts w:hint="default" w:ascii="Times New Roman" w:hAnsi="Times New Roman" w:eastAsia="宋体" w:cs="Times New Roman"/>
                <w:sz w:val="21"/>
                <w:szCs w:val="21"/>
                <w:highlight w:val="none"/>
                <w:u w:val="single" w:color="auto"/>
                <w:vertAlign w:val="subscript"/>
              </w:rPr>
              <w:t>H2S</w:t>
            </w:r>
            <w:r>
              <w:rPr>
                <w:rFonts w:hint="default" w:ascii="Times New Roman" w:hAnsi="Times New Roman" w:eastAsia="宋体" w:cs="Times New Roman"/>
                <w:sz w:val="21"/>
                <w:szCs w:val="21"/>
                <w:highlight w:val="none"/>
                <w:u w:val="single" w:color="auto"/>
              </w:rPr>
              <w:t>=</w:t>
            </w:r>
            <w:r>
              <w:rPr>
                <w:rFonts w:hint="eastAsia" w:cs="Times New Roman"/>
                <w:sz w:val="21"/>
                <w:szCs w:val="21"/>
                <w:highlight w:val="none"/>
                <w:u w:val="single" w:color="auto"/>
                <w:lang w:val="en-US" w:eastAsia="zh-CN"/>
              </w:rPr>
              <w:t>2.22</w:t>
            </w:r>
            <w:r>
              <w:rPr>
                <w:rFonts w:hint="default" w:ascii="Times New Roman" w:hAnsi="Times New Roman" w:eastAsia="宋体" w:cs="Times New Roman"/>
                <w:sz w:val="21"/>
                <w:szCs w:val="21"/>
                <w:highlight w:val="none"/>
                <w:u w:val="single" w:color="auto"/>
              </w:rPr>
              <w:t>%；</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w:t>
            </w:r>
            <w:r>
              <w:rPr>
                <w:rFonts w:hint="default" w:ascii="Times New Roman" w:hAnsi="Times New Roman" w:eastAsia="宋体" w:cs="Times New Roman"/>
                <w:sz w:val="21"/>
                <w:szCs w:val="21"/>
                <w:highlight w:val="none"/>
                <w:u w:val="single" w:color="auto"/>
                <w:vertAlign w:val="subscript"/>
              </w:rPr>
              <w:t>max</w:t>
            </w:r>
            <w:r>
              <w:rPr>
                <w:rFonts w:hint="default" w:ascii="Times New Roman" w:hAnsi="Times New Roman" w:eastAsia="宋体" w:cs="Times New Roman"/>
                <w:sz w:val="21"/>
                <w:szCs w:val="21"/>
                <w:highlight w:val="none"/>
                <w:u w:val="single" w:color="auto"/>
              </w:rPr>
              <w:t>=</w:t>
            </w:r>
            <w:r>
              <w:rPr>
                <w:rFonts w:hint="eastAsia" w:cs="Times New Roman"/>
                <w:sz w:val="21"/>
                <w:szCs w:val="21"/>
                <w:highlight w:val="none"/>
                <w:u w:val="single" w:color="auto"/>
                <w:lang w:val="en-US" w:eastAsia="zh-CN"/>
              </w:rPr>
              <w:t>2.22</w:t>
            </w:r>
            <w:r>
              <w:rPr>
                <w:rFonts w:hint="default" w:ascii="Times New Roman" w:hAnsi="Times New Roman" w:eastAsia="宋体" w:cs="Times New Roman"/>
                <w:sz w:val="21"/>
                <w:szCs w:val="21"/>
                <w:highlight w:val="none"/>
                <w:u w:val="single" w:color="auto"/>
              </w:rPr>
              <w:t>%</w:t>
            </w:r>
          </w:p>
        </w:tc>
        <w:tc>
          <w:tcPr>
            <w:tcW w:w="1293"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二级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113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1%≤P</w:t>
            </w:r>
            <w:r>
              <w:rPr>
                <w:rFonts w:hint="default" w:ascii="Times New Roman" w:hAnsi="Times New Roman" w:eastAsia="宋体" w:cs="Times New Roman"/>
                <w:sz w:val="21"/>
                <w:szCs w:val="21"/>
                <w:highlight w:val="none"/>
                <w:u w:val="single" w:color="auto"/>
                <w:vertAlign w:val="subscript"/>
              </w:rPr>
              <w:t>max</w:t>
            </w:r>
            <w:r>
              <w:rPr>
                <w:rFonts w:hint="default" w:ascii="Times New Roman" w:hAnsi="Times New Roman" w:eastAsia="宋体" w:cs="Times New Roman"/>
                <w:sz w:val="21"/>
                <w:szCs w:val="21"/>
                <w:highlight w:val="none"/>
                <w:u w:val="single" w:color="auto"/>
              </w:rPr>
              <w:t>＜10%</w:t>
            </w:r>
          </w:p>
        </w:tc>
        <w:tc>
          <w:tcPr>
            <w:tcW w:w="1636"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129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113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w:t>
            </w:r>
            <w:r>
              <w:rPr>
                <w:rFonts w:hint="default" w:ascii="Times New Roman" w:hAnsi="Times New Roman" w:eastAsia="宋体" w:cs="Times New Roman"/>
                <w:sz w:val="21"/>
                <w:szCs w:val="21"/>
                <w:highlight w:val="none"/>
                <w:u w:val="single" w:color="auto"/>
                <w:vertAlign w:val="subscript"/>
              </w:rPr>
              <w:t>max</w:t>
            </w:r>
            <w:r>
              <w:rPr>
                <w:rFonts w:hint="default" w:ascii="Times New Roman" w:hAnsi="Times New Roman" w:eastAsia="宋体" w:cs="Times New Roman"/>
                <w:sz w:val="21"/>
                <w:szCs w:val="21"/>
                <w:highlight w:val="none"/>
                <w:u w:val="single" w:color="auto"/>
              </w:rPr>
              <w:t>＜1%</w:t>
            </w:r>
          </w:p>
        </w:tc>
        <w:tc>
          <w:tcPr>
            <w:tcW w:w="1636"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129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r>
    </w:tbl>
    <w:p>
      <w:pPr>
        <w:bidi w:val="0"/>
        <w:rPr>
          <w:highlight w:val="none"/>
          <w:u w:val="single" w:color="auto"/>
        </w:rPr>
      </w:pPr>
      <w:r>
        <w:rPr>
          <w:highlight w:val="none"/>
          <w:u w:val="single" w:color="auto"/>
        </w:rPr>
        <w:t>根据估算模式计算结果，项目建成后各气型污染因子P值均小于10%，其中P值中最大为</w:t>
      </w:r>
      <w:r>
        <w:rPr>
          <w:rFonts w:hint="eastAsia"/>
          <w:highlight w:val="none"/>
          <w:u w:val="single" w:color="auto"/>
          <w:lang w:eastAsia="zh-CN"/>
        </w:rPr>
        <w:t>猪舍</w:t>
      </w:r>
      <w:r>
        <w:rPr>
          <w:highlight w:val="none"/>
          <w:u w:val="single" w:color="auto"/>
        </w:rPr>
        <w:t>车间无组织排放H</w:t>
      </w:r>
      <w:r>
        <w:rPr>
          <w:highlight w:val="none"/>
          <w:u w:val="single" w:color="auto"/>
          <w:vertAlign w:val="subscript"/>
        </w:rPr>
        <w:t>2</w:t>
      </w:r>
      <w:r>
        <w:rPr>
          <w:highlight w:val="none"/>
          <w:u w:val="single" w:color="auto"/>
        </w:rPr>
        <w:t>S，Pmax为</w:t>
      </w:r>
      <w:r>
        <w:rPr>
          <w:rFonts w:hint="eastAsia"/>
          <w:highlight w:val="none"/>
          <w:u w:val="single" w:color="auto"/>
          <w:lang w:val="en-US" w:eastAsia="zh-CN"/>
        </w:rPr>
        <w:t>2.22</w:t>
      </w:r>
      <w:r>
        <w:rPr>
          <w:highlight w:val="none"/>
          <w:u w:val="single" w:color="auto"/>
        </w:rPr>
        <w:t>%，确定本项目大气环境评价工作等级为二级。</w:t>
      </w:r>
    </w:p>
    <w:p>
      <w:pPr>
        <w:bidi w:val="0"/>
        <w:rPr>
          <w:highlight w:val="none"/>
          <w:u w:val="single" w:color="auto"/>
        </w:rPr>
      </w:pPr>
      <w:r>
        <w:rPr>
          <w:highlight w:val="none"/>
          <w:u w:val="single" w:color="auto"/>
        </w:rPr>
        <w:t>评价范围：以建设所在地主导风向为轴向的5×5km的矩形范围，评价范围的面积为25km</w:t>
      </w:r>
      <w:r>
        <w:rPr>
          <w:highlight w:val="none"/>
          <w:u w:val="single" w:color="auto"/>
          <w:vertAlign w:val="superscript"/>
        </w:rPr>
        <w:t>2</w:t>
      </w:r>
      <w:r>
        <w:rPr>
          <w:highlight w:val="none"/>
          <w:u w:val="single" w:color="auto"/>
        </w:rPr>
        <w:t>。</w:t>
      </w:r>
    </w:p>
    <w:p>
      <w:pPr>
        <w:pStyle w:val="5"/>
        <w:bidi w:val="0"/>
        <w:rPr>
          <w:highlight w:val="none"/>
        </w:rPr>
      </w:pPr>
      <w:r>
        <w:rPr>
          <w:rFonts w:hint="eastAsia"/>
          <w:highlight w:val="none"/>
          <w:lang w:val="en-US" w:eastAsia="zh-CN"/>
        </w:rPr>
        <w:t>2</w:t>
      </w:r>
      <w:r>
        <w:rPr>
          <w:highlight w:val="none"/>
        </w:rPr>
        <w:t>.6.2  水环境评价等级和评价范围</w:t>
      </w:r>
    </w:p>
    <w:p>
      <w:pPr>
        <w:pStyle w:val="6"/>
        <w:bidi w:val="0"/>
        <w:rPr>
          <w:highlight w:val="none"/>
        </w:rPr>
      </w:pPr>
      <w:r>
        <w:rPr>
          <w:rFonts w:hint="eastAsia"/>
          <w:highlight w:val="none"/>
          <w:lang w:val="en-US" w:eastAsia="zh-CN"/>
        </w:rPr>
        <w:t>2</w:t>
      </w:r>
      <w:r>
        <w:rPr>
          <w:highlight w:val="none"/>
        </w:rPr>
        <w:t>.6.2.1  地表水</w:t>
      </w:r>
    </w:p>
    <w:p>
      <w:pPr>
        <w:bidi w:val="0"/>
        <w:rPr>
          <w:highlight w:val="none"/>
        </w:rPr>
      </w:pPr>
      <w:r>
        <w:rPr>
          <w:highlight w:val="none"/>
        </w:rPr>
        <w:t>根据《环境影响评价技术导则 地表水环境》（HJ 2.3-2018）：建设项目地表水环境影响评价等级按照影响类型、排放方式、排放量或影响情况、受纳水体环境质量现状、水环境保护目标等综合确定。本项目营运期产生的废水主要是养殖废水（猪尿液、猪舍冲洗水等）和生活污水，</w:t>
      </w:r>
      <w:r>
        <w:rPr>
          <w:rFonts w:hint="eastAsia"/>
          <w:highlight w:val="none"/>
          <w:lang w:val="en-US" w:eastAsia="zh-CN"/>
        </w:rPr>
        <w:t>项目养殖废水和生活污水经化粪池处理后均通过场区污水处理站处理后，用于周边林地灌溉，不外排，最终全部实现综合利用</w:t>
      </w:r>
      <w:r>
        <w:rPr>
          <w:highlight w:val="none"/>
        </w:rPr>
        <w:t>。根据《环境影响评价技术导则 地表水环境》（HJ 2.3-2018），本项目水污染评价等级为三级 B，本次评价仅对</w:t>
      </w:r>
      <w:r>
        <w:rPr>
          <w:rFonts w:hint="eastAsia"/>
          <w:highlight w:val="none"/>
          <w:lang w:eastAsia="zh-CN"/>
        </w:rPr>
        <w:t>场区</w:t>
      </w:r>
      <w:r>
        <w:rPr>
          <w:highlight w:val="none"/>
        </w:rPr>
        <w:t>内建设污水处理设施进行环境可行性分析。</w:t>
      </w:r>
    </w:p>
    <w:p>
      <w:pPr>
        <w:pStyle w:val="6"/>
        <w:bidi w:val="0"/>
        <w:rPr>
          <w:highlight w:val="none"/>
          <w:u w:val="none" w:color="auto"/>
        </w:rPr>
      </w:pPr>
      <w:r>
        <w:rPr>
          <w:rFonts w:hint="eastAsia"/>
          <w:highlight w:val="none"/>
          <w:u w:val="none" w:color="auto"/>
          <w:lang w:val="en-US" w:eastAsia="zh-CN"/>
        </w:rPr>
        <w:t>2</w:t>
      </w:r>
      <w:r>
        <w:rPr>
          <w:highlight w:val="none"/>
          <w:u w:val="none" w:color="auto"/>
        </w:rPr>
        <w:t>.6.2.2  地下水</w:t>
      </w:r>
    </w:p>
    <w:p>
      <w:pPr>
        <w:bidi w:val="0"/>
        <w:rPr>
          <w:highlight w:val="none"/>
          <w:u w:val="none" w:color="auto"/>
        </w:rPr>
      </w:pPr>
      <w:r>
        <w:rPr>
          <w:highlight w:val="none"/>
          <w:u w:val="none" w:color="auto"/>
        </w:rPr>
        <w:t>根据《环境影响评价技术导则—地下水环境》（HJ610-2016），本项目属于</w:t>
      </w:r>
      <w:r>
        <w:rPr>
          <w:rFonts w:hint="eastAsia" w:ascii="宋体" w:hAnsi="宋体" w:eastAsia="宋体" w:cs="宋体"/>
          <w:highlight w:val="none"/>
          <w:u w:val="none" w:color="auto"/>
        </w:rPr>
        <w:t>“</w:t>
      </w:r>
      <w:r>
        <w:rPr>
          <w:rFonts w:hint="default" w:ascii="Times New Roman" w:hAnsi="Times New Roman" w:eastAsia="宋体" w:cs="Times New Roman"/>
          <w:highlight w:val="none"/>
          <w:u w:val="none" w:color="auto"/>
        </w:rPr>
        <w:t>14</w:t>
      </w:r>
      <w:r>
        <w:rPr>
          <w:rFonts w:hint="eastAsia" w:ascii="宋体" w:hAnsi="宋体" w:eastAsia="宋体" w:cs="宋体"/>
          <w:highlight w:val="none"/>
          <w:u w:val="none" w:color="auto"/>
        </w:rPr>
        <w:t>项</w:t>
      </w:r>
      <w:r>
        <w:rPr>
          <w:rFonts w:hint="eastAsia" w:ascii="宋体" w:hAnsi="宋体" w:eastAsia="宋体" w:cs="宋体"/>
          <w:highlight w:val="none"/>
          <w:u w:val="none" w:color="auto"/>
          <w:lang w:val="en-US" w:eastAsia="zh-CN"/>
        </w:rPr>
        <w:t xml:space="preserve"> </w:t>
      </w:r>
      <w:r>
        <w:rPr>
          <w:rFonts w:hint="eastAsia" w:ascii="宋体" w:hAnsi="宋体" w:eastAsia="宋体" w:cs="宋体"/>
          <w:highlight w:val="none"/>
          <w:u w:val="none" w:color="auto"/>
        </w:rPr>
        <w:t>畜禽养殖场、养殖小区”</w:t>
      </w:r>
      <w:r>
        <w:rPr>
          <w:highlight w:val="none"/>
          <w:u w:val="none" w:color="auto"/>
        </w:rPr>
        <w:t>，地下水环境影响评价项目类别属</w:t>
      </w:r>
      <w:r>
        <w:rPr>
          <w:rFonts w:hint="eastAsia" w:ascii="宋体" w:hAnsi="宋体" w:eastAsia="宋体" w:cs="宋体"/>
          <w:highlight w:val="none"/>
          <w:u w:val="none" w:color="auto"/>
        </w:rPr>
        <w:t>于“Ⅲ类”</w:t>
      </w:r>
      <w:r>
        <w:rPr>
          <w:highlight w:val="none"/>
          <w:u w:val="none" w:color="auto"/>
        </w:rPr>
        <w:t>建设项目。Ⅲ类建设项目应根据建设项目的地下水敏感程度等级进行地下水环境影响评价等级划分，并按划定的评价等级开展评价工作。地下水环境敏感程度分级表见表</w:t>
      </w:r>
      <w:r>
        <w:rPr>
          <w:rFonts w:hint="eastAsia"/>
          <w:highlight w:val="none"/>
          <w:u w:val="none" w:color="auto"/>
          <w:lang w:val="en-US" w:eastAsia="zh-CN"/>
        </w:rPr>
        <w:t>2</w:t>
      </w:r>
      <w:r>
        <w:rPr>
          <w:highlight w:val="none"/>
          <w:u w:val="none" w:color="auto"/>
        </w:rPr>
        <w:t>.6-3，地下水环境影响评级等级见表</w:t>
      </w:r>
      <w:r>
        <w:rPr>
          <w:rFonts w:hint="eastAsia"/>
          <w:highlight w:val="none"/>
          <w:u w:val="none" w:color="auto"/>
          <w:lang w:val="en-US" w:eastAsia="zh-CN"/>
        </w:rPr>
        <w:t>2</w:t>
      </w:r>
      <w:r>
        <w:rPr>
          <w:highlight w:val="none"/>
          <w:u w:val="none" w:color="auto"/>
        </w:rPr>
        <w:t>.6-4。</w:t>
      </w:r>
    </w:p>
    <w:p>
      <w:pPr>
        <w:pStyle w:val="7"/>
        <w:bidi w:val="0"/>
        <w:rPr>
          <w:highlight w:val="none"/>
          <w:u w:val="none" w:color="auto"/>
        </w:rPr>
      </w:pPr>
      <w:r>
        <w:rPr>
          <w:highlight w:val="none"/>
          <w:u w:val="none" w:color="auto"/>
        </w:rPr>
        <w:t>表</w:t>
      </w:r>
      <w:r>
        <w:rPr>
          <w:rFonts w:hint="eastAsia"/>
          <w:highlight w:val="none"/>
          <w:u w:val="none" w:color="auto"/>
          <w:lang w:val="en-US" w:eastAsia="zh-CN"/>
        </w:rPr>
        <w:t>2</w:t>
      </w:r>
      <w:r>
        <w:rPr>
          <w:highlight w:val="none"/>
          <w:u w:val="none" w:color="auto"/>
        </w:rPr>
        <w:t>.6-3  地下水环境影响评价等级判据</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48"/>
        <w:gridCol w:w="73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敏感程度</w:t>
            </w:r>
          </w:p>
        </w:tc>
        <w:tc>
          <w:tcPr>
            <w:tcW w:w="417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地下水环境敏感特征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敏感</w:t>
            </w:r>
          </w:p>
        </w:tc>
        <w:tc>
          <w:tcPr>
            <w:tcW w:w="417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left"/>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集中式饮用水水源（包括已建成的在用、备用、应急水源，在建和规划的饮用水水源）准保护区；除集中式饮用水水源以外的国家或地方政府设定的与地下水环境相关的其它保护区，如热水、矿泉水、温泉等特殊地下水资源保护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较敏感</w:t>
            </w:r>
          </w:p>
        </w:tc>
        <w:tc>
          <w:tcPr>
            <w:tcW w:w="417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left"/>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集中式饮用水水源（包括已建成的在用、备用、应急水源，在建和规划的饮用水水源）准保护区以外的补给径流区；未划定准保护区的集中水式饮用水水源，其保护区以外的补给径流区；分散式饮用水水源地；特殊地下水资源（如矿泉水、温泉等）保护区以外的分布区等其他未列入上述敏感分级的环境敏感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不敏感</w:t>
            </w:r>
          </w:p>
        </w:tc>
        <w:tc>
          <w:tcPr>
            <w:tcW w:w="417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上述地区之外的其它地区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000"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left"/>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注：a</w:t>
            </w:r>
            <w:r>
              <w:rPr>
                <w:rFonts w:hint="eastAsia" w:ascii="宋体" w:hAnsi="宋体" w:eastAsia="宋体" w:cs="宋体"/>
                <w:sz w:val="21"/>
                <w:szCs w:val="21"/>
                <w:highlight w:val="none"/>
                <w:u w:val="none" w:color="auto"/>
              </w:rPr>
              <w:t>“环境敏感区”</w:t>
            </w:r>
            <w:r>
              <w:rPr>
                <w:rFonts w:hint="default" w:ascii="Times New Roman" w:hAnsi="Times New Roman" w:eastAsia="宋体" w:cs="Times New Roman"/>
                <w:sz w:val="21"/>
                <w:szCs w:val="21"/>
                <w:highlight w:val="none"/>
                <w:u w:val="none" w:color="auto"/>
              </w:rPr>
              <w:t>是指《建设项目环境影响评价分类管理名录》中所界定的涉及地下水的环境敏感区</w:t>
            </w:r>
          </w:p>
        </w:tc>
      </w:tr>
    </w:tbl>
    <w:p>
      <w:pPr>
        <w:bidi w:val="0"/>
        <w:rPr>
          <w:color w:val="000000" w:themeColor="text1"/>
          <w:highlight w:val="none"/>
          <w:u w:val="single" w:color="auto"/>
          <w14:textFill>
            <w14:solidFill>
              <w14:schemeClr w14:val="tx1"/>
            </w14:solidFill>
          </w14:textFill>
        </w:rPr>
      </w:pPr>
      <w:r>
        <w:rPr>
          <w:color w:val="000000" w:themeColor="text1"/>
          <w:highlight w:val="none"/>
          <w:u w:val="single" w:color="auto"/>
          <w14:textFill>
            <w14:solidFill>
              <w14:schemeClr w14:val="tx1"/>
            </w14:solidFill>
          </w14:textFill>
        </w:rPr>
        <w:t>项目所在区域不属于集中式饮用水水源准保护区，也不属于特殊地下水资 源保护区，</w:t>
      </w:r>
      <w:r>
        <w:rPr>
          <w:rFonts w:hint="eastAsia"/>
          <w:color w:val="000000" w:themeColor="text1"/>
          <w:highlight w:val="none"/>
          <w:u w:val="single" w:color="auto"/>
          <w:lang w:eastAsia="zh-CN"/>
          <w14:textFill>
            <w14:solidFill>
              <w14:schemeClr w14:val="tx1"/>
            </w14:solidFill>
          </w14:textFill>
        </w:rPr>
        <w:t>项目周边存在居民区，且以地下水为用水来源，</w:t>
      </w:r>
      <w:r>
        <w:rPr>
          <w:color w:val="000000" w:themeColor="text1"/>
          <w:highlight w:val="none"/>
          <w:u w:val="single" w:color="auto"/>
          <w14:textFill>
            <w14:solidFill>
              <w14:schemeClr w14:val="tx1"/>
            </w14:solidFill>
          </w14:textFill>
        </w:rPr>
        <w:t>因此项目的地下水敏感程度为</w:t>
      </w:r>
      <w:r>
        <w:rPr>
          <w:rFonts w:hint="eastAsia"/>
          <w:color w:val="000000" w:themeColor="text1"/>
          <w:highlight w:val="none"/>
          <w:u w:val="single" w:color="auto"/>
          <w:lang w:eastAsia="zh-CN"/>
          <w14:textFill>
            <w14:solidFill>
              <w14:schemeClr w14:val="tx1"/>
            </w14:solidFill>
          </w14:textFill>
        </w:rPr>
        <w:t>较敏感</w:t>
      </w:r>
      <w:r>
        <w:rPr>
          <w:color w:val="000000" w:themeColor="text1"/>
          <w:highlight w:val="none"/>
          <w:u w:val="single" w:color="auto"/>
          <w14:textFill>
            <w14:solidFill>
              <w14:schemeClr w14:val="tx1"/>
            </w14:solidFill>
          </w14:textFill>
        </w:rPr>
        <w:t>。</w:t>
      </w:r>
    </w:p>
    <w:p>
      <w:pPr>
        <w:pStyle w:val="7"/>
        <w:bidi w:val="0"/>
        <w:rPr>
          <w:highlight w:val="none"/>
          <w:u w:val="single" w:color="auto"/>
        </w:rPr>
      </w:pPr>
      <w:r>
        <w:rPr>
          <w:highlight w:val="none"/>
          <w:u w:val="single" w:color="auto"/>
        </w:rPr>
        <w:t>表</w:t>
      </w:r>
      <w:r>
        <w:rPr>
          <w:rFonts w:hint="eastAsia"/>
          <w:highlight w:val="none"/>
          <w:u w:val="single" w:color="auto"/>
          <w:lang w:val="en-US" w:eastAsia="zh-CN"/>
        </w:rPr>
        <w:t>2</w:t>
      </w:r>
      <w:r>
        <w:rPr>
          <w:highlight w:val="none"/>
          <w:u w:val="single" w:color="auto"/>
        </w:rPr>
        <w:t>.6-4</w:t>
      </w:r>
      <w:r>
        <w:rPr>
          <w:rFonts w:hint="eastAsia"/>
          <w:highlight w:val="none"/>
          <w:u w:val="single" w:color="auto"/>
          <w:lang w:val="en-US" w:eastAsia="zh-CN"/>
        </w:rPr>
        <w:t xml:space="preserve">  </w:t>
      </w:r>
      <w:r>
        <w:rPr>
          <w:highlight w:val="none"/>
          <w:u w:val="single" w:color="auto"/>
        </w:rPr>
        <w:t>地下水环境影响评价等级判据</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19"/>
        <w:gridCol w:w="2201"/>
        <w:gridCol w:w="2198"/>
        <w:gridCol w:w="21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项目类别环境敏感程度</w:t>
            </w:r>
          </w:p>
        </w:tc>
        <w:tc>
          <w:tcPr>
            <w:tcW w:w="124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I 类项目</w:t>
            </w:r>
          </w:p>
        </w:tc>
        <w:tc>
          <w:tcPr>
            <w:tcW w:w="124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II 类项目</w:t>
            </w:r>
          </w:p>
        </w:tc>
        <w:tc>
          <w:tcPr>
            <w:tcW w:w="12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III 类项目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敏感</w:t>
            </w:r>
          </w:p>
        </w:tc>
        <w:tc>
          <w:tcPr>
            <w:tcW w:w="124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w:t>
            </w:r>
          </w:p>
        </w:tc>
        <w:tc>
          <w:tcPr>
            <w:tcW w:w="124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w:t>
            </w:r>
          </w:p>
        </w:tc>
        <w:tc>
          <w:tcPr>
            <w:tcW w:w="12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较敏感</w:t>
            </w:r>
          </w:p>
        </w:tc>
        <w:tc>
          <w:tcPr>
            <w:tcW w:w="124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w:t>
            </w:r>
          </w:p>
        </w:tc>
        <w:tc>
          <w:tcPr>
            <w:tcW w:w="124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w:t>
            </w:r>
          </w:p>
        </w:tc>
        <w:tc>
          <w:tcPr>
            <w:tcW w:w="12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不敏感</w:t>
            </w:r>
          </w:p>
        </w:tc>
        <w:tc>
          <w:tcPr>
            <w:tcW w:w="124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w:t>
            </w:r>
          </w:p>
        </w:tc>
        <w:tc>
          <w:tcPr>
            <w:tcW w:w="124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w:t>
            </w:r>
          </w:p>
        </w:tc>
        <w:tc>
          <w:tcPr>
            <w:tcW w:w="12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w:t>
            </w:r>
          </w:p>
        </w:tc>
      </w:tr>
    </w:tbl>
    <w:p>
      <w:pPr>
        <w:bidi w:val="0"/>
        <w:rPr>
          <w:highlight w:val="none"/>
          <w:u w:val="single" w:color="auto"/>
        </w:rPr>
      </w:pPr>
      <w:r>
        <w:rPr>
          <w:highlight w:val="none"/>
          <w:u w:val="single" w:color="auto"/>
        </w:rPr>
        <w:t>因此，确定本项目地下水评价等级为三级。本项目猪舍、粪污处理系统（含管沟）均进行相应的防渗处理。</w:t>
      </w:r>
    </w:p>
    <w:p>
      <w:pPr>
        <w:pStyle w:val="5"/>
        <w:bidi w:val="0"/>
        <w:rPr>
          <w:highlight w:val="none"/>
        </w:rPr>
      </w:pPr>
      <w:r>
        <w:rPr>
          <w:rFonts w:hint="eastAsia"/>
          <w:highlight w:val="none"/>
          <w:lang w:val="en-US" w:eastAsia="zh-CN"/>
        </w:rPr>
        <w:t>2</w:t>
      </w:r>
      <w:r>
        <w:rPr>
          <w:highlight w:val="none"/>
        </w:rPr>
        <w:t>.6.3  声环境评价等级和评价范围</w:t>
      </w:r>
    </w:p>
    <w:p>
      <w:pPr>
        <w:bidi w:val="0"/>
        <w:rPr>
          <w:highlight w:val="none"/>
        </w:rPr>
      </w:pPr>
      <w:r>
        <w:rPr>
          <w:highlight w:val="none"/>
        </w:rPr>
        <w:t>本项目位于农村，该区域声功能区划为《声环境质量标准》（GB3096-2008）规定的2类标准。建设前后噪声级增加较小且受影响人口变化不大的情况。</w:t>
      </w:r>
    </w:p>
    <w:p>
      <w:pPr>
        <w:bidi w:val="0"/>
        <w:rPr>
          <w:highlight w:val="none"/>
        </w:rPr>
      </w:pPr>
      <w:r>
        <w:rPr>
          <w:highlight w:val="none"/>
        </w:rPr>
        <w:t>根据《环境影响评价技术导则—声环境》（HJ2.4-2009）规定，建设项目所处的声环境功能区为GB3096规定的1类、2类地区，或建设项目建设前后评价范围内敏感目标噪声级增高量达3~5dB[含5dB（A）]，或受噪声影响人口数量增加较多时，按二级评价。因此确定声环境影响评价等级为二级。</w:t>
      </w:r>
    </w:p>
    <w:p>
      <w:pPr>
        <w:bidi w:val="0"/>
        <w:rPr>
          <w:highlight w:val="none"/>
        </w:rPr>
      </w:pPr>
      <w:r>
        <w:rPr>
          <w:highlight w:val="none"/>
        </w:rPr>
        <w:t>根据《环境影响评价技术导则 声环境》（HJ2.4-2009）中的有关规定，确定本项目声环境评价范围为建设项目场区边界外200m以内的范围。</w:t>
      </w:r>
    </w:p>
    <w:p>
      <w:pPr>
        <w:pStyle w:val="5"/>
        <w:bidi w:val="0"/>
        <w:rPr>
          <w:highlight w:val="none"/>
        </w:rPr>
      </w:pPr>
      <w:r>
        <w:rPr>
          <w:rFonts w:hint="eastAsia"/>
          <w:highlight w:val="none"/>
          <w:lang w:val="en-US" w:eastAsia="zh-CN"/>
        </w:rPr>
        <w:t>2</w:t>
      </w:r>
      <w:r>
        <w:rPr>
          <w:highlight w:val="none"/>
        </w:rPr>
        <w:t>.6.4  生态环境评价等级和评价范围</w:t>
      </w:r>
    </w:p>
    <w:p>
      <w:pPr>
        <w:bidi w:val="0"/>
        <w:rPr>
          <w:rFonts w:ascii="宋体" w:hAnsi="宋体" w:eastAsia="宋体" w:cs="宋体"/>
          <w:sz w:val="24"/>
          <w:szCs w:val="24"/>
          <w:highlight w:val="none"/>
        </w:rPr>
      </w:pPr>
      <w:r>
        <w:rPr>
          <w:highlight w:val="none"/>
        </w:rPr>
        <w:t>本项目位于</w:t>
      </w:r>
      <w:r>
        <w:rPr>
          <w:rFonts w:hint="eastAsia"/>
          <w:highlight w:val="none"/>
          <w:lang w:eastAsia="zh-CN"/>
        </w:rPr>
        <w:t>岳阳市华容县东山镇长岗庙村9组002号</w:t>
      </w:r>
      <w:r>
        <w:rPr>
          <w:highlight w:val="none"/>
        </w:rPr>
        <w:t>，占地面积为</w:t>
      </w:r>
      <w:r>
        <w:rPr>
          <w:rFonts w:hint="eastAsia"/>
          <w:highlight w:val="none"/>
          <w:lang w:val="en-US" w:eastAsia="zh-CN"/>
        </w:rPr>
        <w:t>7213m</w:t>
      </w:r>
      <w:r>
        <w:rPr>
          <w:rFonts w:hint="eastAsia"/>
          <w:highlight w:val="none"/>
          <w:vertAlign w:val="superscript"/>
          <w:lang w:val="en-US" w:eastAsia="zh-CN"/>
        </w:rPr>
        <w:t>2</w:t>
      </w:r>
      <w:r>
        <w:rPr>
          <w:rFonts w:hint="eastAsia"/>
          <w:highlight w:val="none"/>
          <w:vertAlign w:val="baseline"/>
          <w:lang w:val="en-US" w:eastAsia="zh-CN"/>
        </w:rPr>
        <w:t>（</w:t>
      </w:r>
      <w:r>
        <w:rPr>
          <w:highlight w:val="none"/>
        </w:rPr>
        <w:t>0.0</w:t>
      </w:r>
      <w:r>
        <w:rPr>
          <w:rFonts w:hint="eastAsia"/>
          <w:highlight w:val="none"/>
          <w:lang w:val="en-US" w:eastAsia="zh-CN"/>
        </w:rPr>
        <w:t>07213</w:t>
      </w:r>
      <w:r>
        <w:rPr>
          <w:highlight w:val="none"/>
        </w:rPr>
        <w:t>km</w:t>
      </w:r>
      <w:r>
        <w:rPr>
          <w:highlight w:val="none"/>
          <w:vertAlign w:val="superscript"/>
        </w:rPr>
        <w:t>2</w:t>
      </w:r>
      <w:r>
        <w:rPr>
          <w:rFonts w:hint="eastAsia"/>
          <w:highlight w:val="none"/>
          <w:vertAlign w:val="baseline"/>
          <w:lang w:eastAsia="zh-CN"/>
        </w:rPr>
        <w:t>）</w:t>
      </w:r>
      <w:r>
        <w:rPr>
          <w:highlight w:val="none"/>
        </w:rPr>
        <w:t>，小于</w:t>
      </w:r>
      <w:r>
        <w:rPr>
          <w:rFonts w:hint="eastAsia"/>
          <w:highlight w:val="none"/>
          <w:lang w:val="en-US" w:eastAsia="zh-CN"/>
        </w:rPr>
        <w:t>2</w:t>
      </w:r>
      <w:r>
        <w:rPr>
          <w:highlight w:val="none"/>
        </w:rPr>
        <w:t>km</w:t>
      </w:r>
      <w:r>
        <w:rPr>
          <w:highlight w:val="none"/>
          <w:vertAlign w:val="superscript"/>
        </w:rPr>
        <w:t>2</w:t>
      </w:r>
      <w:r>
        <w:rPr>
          <w:highlight w:val="none"/>
        </w:rPr>
        <w:t>，项目区域内无原始植被生长和珍稀珍贵野生动物活动，不属于生态环境敏感地区，</w:t>
      </w:r>
      <w:r>
        <w:rPr>
          <w:rFonts w:ascii="宋体" w:hAnsi="宋体" w:eastAsia="宋体" w:cs="宋体"/>
          <w:spacing w:val="-7"/>
          <w:sz w:val="24"/>
          <w:szCs w:val="24"/>
          <w:highlight w:val="none"/>
        </w:rPr>
        <w:t>为一般区域。</w:t>
      </w:r>
    </w:p>
    <w:p>
      <w:pPr>
        <w:bidi w:val="0"/>
        <w:rPr>
          <w:highlight w:val="none"/>
        </w:rPr>
      </w:pPr>
      <w:r>
        <w:rPr>
          <w:highlight w:val="none"/>
        </w:rPr>
        <w:t>项目生态评价工作级别判别见表</w:t>
      </w:r>
      <w:r>
        <w:rPr>
          <w:rFonts w:hint="eastAsia"/>
          <w:highlight w:val="none"/>
          <w:lang w:val="en-US" w:eastAsia="zh-CN"/>
        </w:rPr>
        <w:t>2</w:t>
      </w:r>
      <w:r>
        <w:rPr>
          <w:highlight w:val="none"/>
        </w:rPr>
        <w:t>.6-5。</w:t>
      </w:r>
    </w:p>
    <w:p>
      <w:pPr>
        <w:pStyle w:val="7"/>
        <w:bidi w:val="0"/>
        <w:rPr>
          <w:highlight w:val="none"/>
        </w:rPr>
      </w:pPr>
      <w:r>
        <w:rPr>
          <w:highlight w:val="none"/>
        </w:rPr>
        <w:t>表</w:t>
      </w:r>
      <w:r>
        <w:rPr>
          <w:rFonts w:hint="eastAsia"/>
          <w:highlight w:val="none"/>
          <w:lang w:val="en-US" w:eastAsia="zh-CN"/>
        </w:rPr>
        <w:t>2</w:t>
      </w:r>
      <w:r>
        <w:rPr>
          <w:highlight w:val="none"/>
        </w:rPr>
        <w:t>.6-5  生态影响评价工作等级划分表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617"/>
        <w:gridCol w:w="1827"/>
        <w:gridCol w:w="2540"/>
        <w:gridCol w:w="1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84"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影响区域生态敏感性</w:t>
            </w:r>
          </w:p>
        </w:tc>
        <w:tc>
          <w:tcPr>
            <w:tcW w:w="3515" w:type="pct"/>
            <w:gridSpan w:val="3"/>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工程占地（水域）范围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8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3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面积≥20km</w:t>
            </w:r>
            <w:r>
              <w:rPr>
                <w:rFonts w:hint="default" w:ascii="Times New Roman" w:hAnsi="Times New Roman" w:eastAsia="宋体" w:cs="Times New Roman"/>
                <w:sz w:val="21"/>
                <w:szCs w:val="21"/>
                <w:highlight w:val="none"/>
                <w:u w:val="none" w:color="auto"/>
                <w:vertAlign w:val="superscript"/>
              </w:rPr>
              <w:t>2</w:t>
            </w:r>
            <w:r>
              <w:rPr>
                <w:rFonts w:hint="default" w:ascii="Times New Roman" w:hAnsi="Times New Roman" w:eastAsia="宋体" w:cs="Times New Roman"/>
                <w:sz w:val="21"/>
                <w:szCs w:val="21"/>
                <w:highlight w:val="none"/>
                <w:u w:val="none" w:color="auto"/>
              </w:rPr>
              <w:t>或长度≥100km</w:t>
            </w:r>
          </w:p>
        </w:tc>
        <w:tc>
          <w:tcPr>
            <w:tcW w:w="14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面积2km</w:t>
            </w:r>
            <w:r>
              <w:rPr>
                <w:rFonts w:hint="default" w:ascii="Times New Roman" w:hAnsi="Times New Roman" w:eastAsia="宋体" w:cs="Times New Roman"/>
                <w:sz w:val="21"/>
                <w:szCs w:val="21"/>
                <w:highlight w:val="none"/>
                <w:u w:val="none" w:color="auto"/>
                <w:vertAlign w:val="superscript"/>
              </w:rPr>
              <w:t>2</w:t>
            </w:r>
            <w:r>
              <w:rPr>
                <w:rFonts w:hint="default" w:ascii="Times New Roman" w:hAnsi="Times New Roman" w:eastAsia="宋体" w:cs="Times New Roman"/>
                <w:sz w:val="21"/>
                <w:szCs w:val="21"/>
                <w:highlight w:val="none"/>
                <w:u w:val="none" w:color="auto"/>
              </w:rPr>
              <w:t>～20km</w:t>
            </w:r>
            <w:r>
              <w:rPr>
                <w:rFonts w:hint="default" w:ascii="Times New Roman" w:hAnsi="Times New Roman" w:eastAsia="宋体" w:cs="Times New Roman"/>
                <w:sz w:val="21"/>
                <w:szCs w:val="21"/>
                <w:highlight w:val="none"/>
                <w:u w:val="none" w:color="auto"/>
                <w:vertAlign w:val="superscript"/>
              </w:rPr>
              <w:t>2</w:t>
            </w:r>
            <w:r>
              <w:rPr>
                <w:rFonts w:hint="default" w:ascii="Times New Roman" w:hAnsi="Times New Roman" w:eastAsia="宋体" w:cs="Times New Roman"/>
                <w:sz w:val="21"/>
                <w:szCs w:val="21"/>
                <w:highlight w:val="none"/>
                <w:u w:val="none" w:color="auto"/>
              </w:rPr>
              <w:t>或长度 50km～100km</w:t>
            </w:r>
          </w:p>
        </w:tc>
        <w:tc>
          <w:tcPr>
            <w:tcW w:w="10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面积≤2km</w:t>
            </w:r>
            <w:r>
              <w:rPr>
                <w:rFonts w:hint="default" w:ascii="Times New Roman" w:hAnsi="Times New Roman" w:eastAsia="宋体" w:cs="Times New Roman"/>
                <w:sz w:val="21"/>
                <w:szCs w:val="21"/>
                <w:highlight w:val="none"/>
                <w:u w:val="none" w:color="auto"/>
                <w:vertAlign w:val="superscript"/>
              </w:rPr>
              <w:t>2</w:t>
            </w:r>
            <w:r>
              <w:rPr>
                <w:rFonts w:hint="default" w:ascii="Times New Roman" w:hAnsi="Times New Roman" w:eastAsia="宋体" w:cs="Times New Roman"/>
                <w:sz w:val="21"/>
                <w:szCs w:val="21"/>
                <w:highlight w:val="none"/>
                <w:u w:val="none" w:color="auto"/>
              </w:rPr>
              <w:t>或长度≤50km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特殊生态敏感区</w:t>
            </w:r>
          </w:p>
        </w:tc>
        <w:tc>
          <w:tcPr>
            <w:tcW w:w="103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一级</w:t>
            </w:r>
          </w:p>
        </w:tc>
        <w:tc>
          <w:tcPr>
            <w:tcW w:w="14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一级</w:t>
            </w:r>
          </w:p>
        </w:tc>
        <w:tc>
          <w:tcPr>
            <w:tcW w:w="10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重要生态敏感区</w:t>
            </w:r>
          </w:p>
        </w:tc>
        <w:tc>
          <w:tcPr>
            <w:tcW w:w="103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一级</w:t>
            </w:r>
          </w:p>
        </w:tc>
        <w:tc>
          <w:tcPr>
            <w:tcW w:w="14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二级</w:t>
            </w:r>
          </w:p>
        </w:tc>
        <w:tc>
          <w:tcPr>
            <w:tcW w:w="10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一般区域</w:t>
            </w:r>
          </w:p>
        </w:tc>
        <w:tc>
          <w:tcPr>
            <w:tcW w:w="103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二级</w:t>
            </w:r>
          </w:p>
        </w:tc>
        <w:tc>
          <w:tcPr>
            <w:tcW w:w="14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三级</w:t>
            </w:r>
          </w:p>
        </w:tc>
        <w:tc>
          <w:tcPr>
            <w:tcW w:w="10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三级</w:t>
            </w:r>
          </w:p>
        </w:tc>
      </w:tr>
    </w:tbl>
    <w:p>
      <w:pPr>
        <w:bidi w:val="0"/>
        <w:rPr>
          <w:highlight w:val="none"/>
        </w:rPr>
      </w:pPr>
      <w:r>
        <w:rPr>
          <w:highlight w:val="none"/>
        </w:rPr>
        <w:t>对照《环境影响评价技术导则—生态影响》（HJ19-2011）中有关要求，确定 该项目生态影响评价工作等级为三级。</w:t>
      </w:r>
    </w:p>
    <w:p>
      <w:pPr>
        <w:bidi w:val="0"/>
        <w:rPr>
          <w:highlight w:val="none"/>
        </w:rPr>
      </w:pPr>
      <w:r>
        <w:rPr>
          <w:highlight w:val="none"/>
        </w:rPr>
        <w:t>根据《环境影响评价技术导则 生态影响》（HJ19-2011）的规定，并结合本项目周边实际环境情况，确定生态评价范围为本项目各侧外扩100m范围内区域。</w:t>
      </w:r>
    </w:p>
    <w:p>
      <w:pPr>
        <w:pStyle w:val="5"/>
        <w:bidi w:val="0"/>
        <w:rPr>
          <w:highlight w:val="none"/>
        </w:rPr>
      </w:pPr>
      <w:r>
        <w:rPr>
          <w:rFonts w:hint="eastAsia"/>
          <w:highlight w:val="none"/>
          <w:lang w:val="en-US" w:eastAsia="zh-CN"/>
        </w:rPr>
        <w:t>2</w:t>
      </w:r>
      <w:r>
        <w:rPr>
          <w:highlight w:val="none"/>
        </w:rPr>
        <w:t>.6.5  环境风险评价等级和评价范围</w:t>
      </w:r>
    </w:p>
    <w:p>
      <w:pPr>
        <w:bidi w:val="0"/>
        <w:rPr>
          <w:highlight w:val="none"/>
        </w:rPr>
      </w:pPr>
      <w:r>
        <w:rPr>
          <w:highlight w:val="none"/>
        </w:rPr>
        <w:t>《建设项目环境风险评价技术导则》（HJ169-2018）规定的分级判据见表</w:t>
      </w:r>
      <w:r>
        <w:rPr>
          <w:rFonts w:hint="eastAsia"/>
          <w:highlight w:val="none"/>
          <w:lang w:val="en-US" w:eastAsia="zh-CN"/>
        </w:rPr>
        <w:t>2</w:t>
      </w:r>
      <w:r>
        <w:rPr>
          <w:highlight w:val="none"/>
        </w:rPr>
        <w:t>.6-6。</w:t>
      </w:r>
    </w:p>
    <w:p>
      <w:pPr>
        <w:pStyle w:val="7"/>
        <w:bidi w:val="0"/>
        <w:rPr>
          <w:highlight w:val="none"/>
        </w:rPr>
      </w:pPr>
      <w:r>
        <w:rPr>
          <w:highlight w:val="none"/>
        </w:rPr>
        <w:t>表</w:t>
      </w:r>
      <w:r>
        <w:rPr>
          <w:rFonts w:hint="eastAsia"/>
          <w:highlight w:val="none"/>
          <w:lang w:val="en-US" w:eastAsia="zh-CN"/>
        </w:rPr>
        <w:t>2</w:t>
      </w:r>
      <w:r>
        <w:rPr>
          <w:highlight w:val="none"/>
        </w:rPr>
        <w:t>.6-6  环境风险评价工作等级划分</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061"/>
        <w:gridCol w:w="1889"/>
        <w:gridCol w:w="854"/>
        <w:gridCol w:w="854"/>
        <w:gridCol w:w="2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73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环境风险潜势</w:t>
            </w:r>
          </w:p>
        </w:tc>
        <w:tc>
          <w:tcPr>
            <w:tcW w:w="107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IV 、IV+</w:t>
            </w:r>
          </w:p>
        </w:tc>
        <w:tc>
          <w:tcPr>
            <w:tcW w:w="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III</w:t>
            </w:r>
          </w:p>
        </w:tc>
        <w:tc>
          <w:tcPr>
            <w:tcW w:w="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II</w:t>
            </w:r>
          </w:p>
        </w:tc>
        <w:tc>
          <w:tcPr>
            <w:tcW w:w="12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I</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3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评价工作等级</w:t>
            </w:r>
          </w:p>
        </w:tc>
        <w:tc>
          <w:tcPr>
            <w:tcW w:w="107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w:t>
            </w:r>
          </w:p>
        </w:tc>
        <w:tc>
          <w:tcPr>
            <w:tcW w:w="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二</w:t>
            </w:r>
          </w:p>
        </w:tc>
        <w:tc>
          <w:tcPr>
            <w:tcW w:w="48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三</w:t>
            </w:r>
          </w:p>
        </w:tc>
        <w:tc>
          <w:tcPr>
            <w:tcW w:w="12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简单分析</w:t>
            </w:r>
          </w:p>
        </w:tc>
      </w:tr>
    </w:tbl>
    <w:p>
      <w:pPr>
        <w:bidi w:val="0"/>
        <w:rPr>
          <w:highlight w:val="none"/>
        </w:rPr>
      </w:pPr>
      <w:r>
        <w:rPr>
          <w:highlight w:val="none"/>
        </w:rPr>
        <w:t>根据危险化学品《重大危险源辨识》（GB18218-2018），本项目存在危险化学品主要</w:t>
      </w:r>
      <w:r>
        <w:rPr>
          <w:sz w:val="24"/>
          <w:szCs w:val="24"/>
          <w:highlight w:val="none"/>
        </w:rPr>
        <w:t>为</w:t>
      </w:r>
      <w:r>
        <w:rPr>
          <w:rFonts w:hint="eastAsia"/>
          <w:sz w:val="24"/>
          <w:szCs w:val="24"/>
          <w:highlight w:val="none"/>
          <w:lang w:val="en-US" w:eastAsia="zh-CN"/>
        </w:rPr>
        <w:t>CH</w:t>
      </w:r>
      <w:r>
        <w:rPr>
          <w:rFonts w:hint="eastAsia"/>
          <w:sz w:val="24"/>
          <w:szCs w:val="24"/>
          <w:highlight w:val="none"/>
          <w:vertAlign w:val="subscript"/>
          <w:lang w:val="en-US" w:eastAsia="zh-CN"/>
        </w:rPr>
        <w:t>4</w:t>
      </w:r>
      <w:r>
        <w:rPr>
          <w:rFonts w:hint="eastAsia"/>
          <w:sz w:val="24"/>
          <w:szCs w:val="24"/>
          <w:highlight w:val="none"/>
          <w:lang w:val="en-US" w:eastAsia="zh-CN"/>
        </w:rPr>
        <w:t>、</w:t>
      </w:r>
      <w:r>
        <w:rPr>
          <w:rFonts w:hint="default" w:ascii="Times New Roman" w:hAnsi="Times New Roman" w:eastAsia="宋体" w:cs="Times New Roman"/>
          <w:spacing w:val="0"/>
          <w:w w:val="100"/>
          <w:position w:val="0"/>
          <w:sz w:val="24"/>
          <w:szCs w:val="24"/>
          <w:highlight w:val="none"/>
        </w:rPr>
        <w:t>H</w:t>
      </w:r>
      <w:r>
        <w:rPr>
          <w:rFonts w:hint="default" w:ascii="Times New Roman" w:hAnsi="Times New Roman" w:eastAsia="宋体" w:cs="Times New Roman"/>
          <w:spacing w:val="0"/>
          <w:w w:val="100"/>
          <w:position w:val="0"/>
          <w:sz w:val="24"/>
          <w:szCs w:val="24"/>
          <w:highlight w:val="none"/>
          <w:vertAlign w:val="subscript"/>
        </w:rPr>
        <w:t>2</w:t>
      </w:r>
      <w:r>
        <w:rPr>
          <w:rFonts w:hint="default" w:ascii="Times New Roman" w:hAnsi="Times New Roman" w:eastAsia="宋体" w:cs="Times New Roman"/>
          <w:spacing w:val="0"/>
          <w:w w:val="100"/>
          <w:position w:val="0"/>
          <w:sz w:val="24"/>
          <w:szCs w:val="24"/>
          <w:highlight w:val="none"/>
        </w:rPr>
        <w:t>S</w:t>
      </w:r>
      <w:r>
        <w:rPr>
          <w:sz w:val="24"/>
          <w:szCs w:val="24"/>
          <w:highlight w:val="none"/>
        </w:rPr>
        <w:t>。</w:t>
      </w:r>
      <w:r>
        <w:rPr>
          <w:highlight w:val="none"/>
        </w:rPr>
        <w:t>根据HJ169-2018，确定本项目环境风险潜势为Ⅰ类。因此，本项目环境分析仅进行简单分析。</w:t>
      </w:r>
    </w:p>
    <w:p>
      <w:pPr>
        <w:bidi w:val="0"/>
        <w:rPr>
          <w:rFonts w:ascii="宋体" w:hAnsi="宋体" w:eastAsia="宋体" w:cs="宋体"/>
          <w:szCs w:val="24"/>
          <w:highlight w:val="none"/>
        </w:rPr>
      </w:pPr>
      <w:r>
        <w:rPr>
          <w:highlight w:val="none"/>
        </w:rPr>
        <w:t>项目厂界外延3km范围内</w:t>
      </w:r>
      <w:r>
        <w:rPr>
          <w:rFonts w:hint="eastAsia"/>
          <w:highlight w:val="none"/>
          <w:lang w:eastAsia="zh-CN"/>
        </w:rPr>
        <w:t>区域</w:t>
      </w:r>
      <w:r>
        <w:rPr>
          <w:highlight w:val="none"/>
        </w:rPr>
        <w:t>确定为本项目环境风险评价范围。</w:t>
      </w:r>
    </w:p>
    <w:p>
      <w:pPr>
        <w:pStyle w:val="5"/>
        <w:bidi w:val="0"/>
        <w:rPr>
          <w:highlight w:val="none"/>
          <w:u w:val="none" w:color="auto"/>
        </w:rPr>
      </w:pPr>
      <w:r>
        <w:rPr>
          <w:rFonts w:hint="eastAsia"/>
          <w:highlight w:val="none"/>
          <w:u w:val="none" w:color="auto"/>
          <w:lang w:val="en-US" w:eastAsia="zh-CN"/>
        </w:rPr>
        <w:t>2</w:t>
      </w:r>
      <w:r>
        <w:rPr>
          <w:highlight w:val="none"/>
          <w:u w:val="none" w:color="auto"/>
        </w:rPr>
        <w:t>.6.6  土壤环境评价等级和评价范围</w:t>
      </w:r>
    </w:p>
    <w:p>
      <w:pPr>
        <w:bidi w:val="0"/>
        <w:rPr>
          <w:highlight w:val="none"/>
          <w:u w:val="single" w:color="auto"/>
        </w:rPr>
      </w:pPr>
      <w:r>
        <w:rPr>
          <w:highlight w:val="none"/>
          <w:u w:val="single" w:color="auto"/>
        </w:rPr>
        <w:t>按照《环境影响评价技术导则 土壤环境（试行）》</w:t>
      </w:r>
      <w:r>
        <w:rPr>
          <w:rFonts w:hint="eastAsia"/>
          <w:highlight w:val="none"/>
          <w:u w:val="single" w:color="auto"/>
          <w:lang w:eastAsia="zh-CN"/>
        </w:rPr>
        <w:t>（</w:t>
      </w:r>
      <w:r>
        <w:rPr>
          <w:highlight w:val="none"/>
          <w:u w:val="single" w:color="auto"/>
        </w:rPr>
        <w:t>HJ964-2018</w:t>
      </w:r>
      <w:r>
        <w:rPr>
          <w:rFonts w:hint="eastAsia"/>
          <w:highlight w:val="none"/>
          <w:u w:val="single" w:color="auto"/>
          <w:lang w:eastAsia="zh-CN"/>
        </w:rPr>
        <w:t>）</w:t>
      </w:r>
      <w:r>
        <w:rPr>
          <w:highlight w:val="none"/>
          <w:u w:val="single" w:color="auto"/>
        </w:rPr>
        <w:t>评价工作等级划分原则与方法，本项目为污染影响型建设项目。项目属于Ⅲ类项目，占地面积为小型，项目所在区域主要为农田、水塘</w:t>
      </w:r>
      <w:r>
        <w:rPr>
          <w:rFonts w:hint="eastAsia"/>
          <w:highlight w:val="none"/>
          <w:u w:val="single" w:color="auto"/>
          <w:lang w:eastAsia="zh-CN"/>
        </w:rPr>
        <w:t>、林地</w:t>
      </w:r>
      <w:r>
        <w:rPr>
          <w:highlight w:val="none"/>
          <w:u w:val="single" w:color="auto"/>
        </w:rPr>
        <w:t>，占地类型为敏感类型，根据《环境影响评价技术导则-土壤环境》</w:t>
      </w:r>
      <w:r>
        <w:rPr>
          <w:rFonts w:hint="eastAsia"/>
          <w:highlight w:val="none"/>
          <w:u w:val="single" w:color="auto"/>
          <w:lang w:eastAsia="zh-CN"/>
        </w:rPr>
        <w:t>（</w:t>
      </w:r>
      <w:r>
        <w:rPr>
          <w:highlight w:val="none"/>
          <w:u w:val="single" w:color="auto"/>
        </w:rPr>
        <w:t>HJ964-2018</w:t>
      </w:r>
      <w:r>
        <w:rPr>
          <w:rFonts w:hint="eastAsia"/>
          <w:highlight w:val="none"/>
          <w:u w:val="single" w:color="auto"/>
          <w:lang w:eastAsia="zh-CN"/>
        </w:rPr>
        <w:t>）</w:t>
      </w:r>
      <w:r>
        <w:rPr>
          <w:highlight w:val="none"/>
          <w:u w:val="single" w:color="auto"/>
        </w:rPr>
        <w:t>，本项目土壤评价等级为三级。</w:t>
      </w:r>
    </w:p>
    <w:p>
      <w:pPr>
        <w:pStyle w:val="7"/>
        <w:bidi w:val="0"/>
        <w:rPr>
          <w:rFonts w:hint="default"/>
          <w:highlight w:val="none"/>
          <w:u w:val="single" w:color="auto"/>
          <w:lang w:val="en-US" w:eastAsia="zh-CN"/>
        </w:rPr>
      </w:pPr>
      <w:r>
        <w:rPr>
          <w:rFonts w:hint="default"/>
          <w:highlight w:val="none"/>
          <w:u w:val="single" w:color="auto"/>
          <w:lang w:val="en-US" w:eastAsia="zh-CN"/>
        </w:rPr>
        <w:t>表</w:t>
      </w:r>
      <w:r>
        <w:rPr>
          <w:rFonts w:hint="eastAsia"/>
          <w:highlight w:val="none"/>
          <w:u w:val="single" w:color="auto"/>
          <w:lang w:val="en-US" w:eastAsia="zh-CN"/>
        </w:rPr>
        <w:t>2.6-7</w:t>
      </w:r>
      <w:r>
        <w:rPr>
          <w:rFonts w:hint="default"/>
          <w:highlight w:val="none"/>
          <w:u w:val="single" w:color="auto"/>
          <w:lang w:val="en-US" w:eastAsia="zh-CN"/>
        </w:rPr>
        <w:t xml:space="preserve">  污染影响型敏感程度分级表</w: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6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敏感程度</w:t>
            </w:r>
          </w:p>
        </w:tc>
        <w:tc>
          <w:tcPr>
            <w:tcW w:w="382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判别依据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敏感</w:t>
            </w:r>
          </w:p>
        </w:tc>
        <w:tc>
          <w:tcPr>
            <w:tcW w:w="382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建设项目周边存在耕地、园地、牧草地、饮用水水源地或居民区、学校、医院、疗养院、养老院等土壤环境敏感目标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较敏感</w:t>
            </w:r>
          </w:p>
        </w:tc>
        <w:tc>
          <w:tcPr>
            <w:tcW w:w="382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建设项目周边存在其他环境敏感目标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不敏感</w:t>
            </w:r>
          </w:p>
        </w:tc>
        <w:tc>
          <w:tcPr>
            <w:tcW w:w="382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其他情况</w:t>
            </w:r>
          </w:p>
        </w:tc>
      </w:tr>
    </w:tbl>
    <w:p>
      <w:pPr>
        <w:pStyle w:val="7"/>
        <w:bidi w:val="0"/>
        <w:rPr>
          <w:rFonts w:hint="default"/>
          <w:highlight w:val="none"/>
          <w:u w:val="single" w:color="auto"/>
          <w:lang w:val="en-US" w:eastAsia="zh-CN"/>
        </w:rPr>
      </w:pPr>
      <w:r>
        <w:rPr>
          <w:rFonts w:hint="default"/>
          <w:highlight w:val="none"/>
          <w:u w:val="single" w:color="auto"/>
          <w:lang w:val="en-US" w:eastAsia="zh-CN"/>
        </w:rPr>
        <w:t>表</w:t>
      </w:r>
      <w:r>
        <w:rPr>
          <w:rFonts w:hint="eastAsia"/>
          <w:highlight w:val="none"/>
          <w:u w:val="single" w:color="auto"/>
          <w:lang w:val="en-US" w:eastAsia="zh-CN"/>
        </w:rPr>
        <w:t>2.6-8</w:t>
      </w:r>
      <w:r>
        <w:rPr>
          <w:rFonts w:hint="default"/>
          <w:highlight w:val="none"/>
          <w:u w:val="single" w:color="auto"/>
          <w:lang w:val="en-US" w:eastAsia="zh-CN"/>
        </w:rPr>
        <w:t xml:space="preserve">  污染影响型评价工作等级划分表</w: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715"/>
        <w:gridCol w:w="763"/>
        <w:gridCol w:w="769"/>
        <w:gridCol w:w="763"/>
        <w:gridCol w:w="763"/>
        <w:gridCol w:w="769"/>
        <w:gridCol w:w="763"/>
        <w:gridCol w:w="763"/>
        <w:gridCol w:w="7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Merge w:val="restart"/>
            <w:tcBorders>
              <w:tl2br w:val="nil"/>
              <w:tr2bl w:val="nil"/>
            </w:tcBorders>
            <w:vAlign w:val="center"/>
            <mc:AlternateContent>
              <mc:Choice Requires="wpsCustomData">
                <wpsCustomData:diagonals>
                  <wpsCustomData:diagonal from="30000" to="6500">
                    <wpsCustomData:border w:val="single" w:color="auto" w:sz="12" w:space="0"/>
                  </wpsCustomData:diagonal>
                  <wpsCustomData:diagonal from="15000" to="30000">
                    <wpsCustomData:border w:val="single" w:color="auto" w:sz="12" w:space="0"/>
                  </wpsCustomData:diagonal>
                </wpsCustomData:diagonals>
              </mc:Choice>
            </mc:AlternateContent>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敏感程度</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评价工作等级</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占地规</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模</w:t>
            </w:r>
          </w:p>
        </w:tc>
        <w:tc>
          <w:tcPr>
            <w:tcW w:w="1248" w:type="pct"/>
            <w:gridSpan w:val="3"/>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eastAsia" w:ascii="Times New Roman" w:hAnsi="Times New Roman" w:eastAsia="宋体" w:cs="Times New Roman"/>
                <w:sz w:val="21"/>
                <w:szCs w:val="21"/>
                <w:highlight w:val="none"/>
                <w:u w:val="single" w:color="auto"/>
                <w:lang w:val="en-US" w:eastAsia="zh-CN"/>
              </w:rPr>
              <w:t>Ⅰ类</w:t>
            </w:r>
          </w:p>
        </w:tc>
        <w:tc>
          <w:tcPr>
            <w:tcW w:w="1275" w:type="pct"/>
            <w:gridSpan w:val="3"/>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eastAsia" w:ascii="Times New Roman" w:hAnsi="Times New Roman" w:eastAsia="宋体" w:cs="Times New Roman"/>
                <w:sz w:val="21"/>
                <w:szCs w:val="21"/>
                <w:highlight w:val="none"/>
                <w:u w:val="single" w:color="auto"/>
                <w:lang w:val="en-US" w:eastAsia="zh-CN"/>
              </w:rPr>
              <w:t>Ⅱ类</w:t>
            </w:r>
          </w:p>
        </w:tc>
        <w:tc>
          <w:tcPr>
            <w:tcW w:w="1276" w:type="pct"/>
            <w:gridSpan w:val="3"/>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eastAsia" w:ascii="Times New Roman" w:hAnsi="Times New Roman" w:eastAsia="宋体" w:cs="Times New Roman"/>
                <w:sz w:val="21"/>
                <w:szCs w:val="21"/>
                <w:highlight w:val="none"/>
                <w:u w:val="single" w:color="auto"/>
                <w:lang w:val="en-US" w:eastAsia="zh-CN"/>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99"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39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大  </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中</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小</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大  </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中</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小</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大  </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中</w:t>
            </w:r>
          </w:p>
        </w:tc>
        <w:tc>
          <w:tcPr>
            <w:tcW w:w="42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敏感 </w:t>
            </w:r>
          </w:p>
        </w:tc>
        <w:tc>
          <w:tcPr>
            <w:tcW w:w="39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较敏感</w:t>
            </w:r>
          </w:p>
        </w:tc>
        <w:tc>
          <w:tcPr>
            <w:tcW w:w="39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不敏感</w:t>
            </w:r>
          </w:p>
        </w:tc>
        <w:tc>
          <w:tcPr>
            <w:tcW w:w="39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一级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二级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三级</w:t>
            </w:r>
          </w:p>
        </w:tc>
        <w:tc>
          <w:tcPr>
            <w:tcW w:w="424"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 </w:t>
            </w:r>
          </w:p>
        </w:tc>
        <w:tc>
          <w:tcPr>
            <w:tcW w:w="42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注：“--”表示可不开展土壤环境影响评价工作。</w:t>
            </w:r>
          </w:p>
        </w:tc>
      </w:tr>
    </w:tbl>
    <w:p>
      <w:pPr>
        <w:bidi w:val="0"/>
        <w:rPr>
          <w:highlight w:val="none"/>
          <w:u w:val="single" w:color="auto"/>
        </w:rPr>
      </w:pPr>
      <w:r>
        <w:rPr>
          <w:highlight w:val="none"/>
          <w:u w:val="single" w:color="auto"/>
        </w:rPr>
        <w:t>按照《环境影响评价技术导则 土壤环境》（试行）</w:t>
      </w:r>
      <w:r>
        <w:rPr>
          <w:rFonts w:hint="eastAsia"/>
          <w:highlight w:val="none"/>
          <w:u w:val="single" w:color="auto"/>
          <w:lang w:eastAsia="zh-CN"/>
        </w:rPr>
        <w:t>（</w:t>
      </w:r>
      <w:r>
        <w:rPr>
          <w:highlight w:val="none"/>
          <w:u w:val="single" w:color="auto"/>
        </w:rPr>
        <w:t>HJ964-2018</w:t>
      </w:r>
      <w:r>
        <w:rPr>
          <w:rFonts w:hint="eastAsia"/>
          <w:highlight w:val="none"/>
          <w:u w:val="single" w:color="auto"/>
          <w:lang w:eastAsia="zh-CN"/>
        </w:rPr>
        <w:t>）</w:t>
      </w:r>
      <w:r>
        <w:rPr>
          <w:highlight w:val="none"/>
          <w:u w:val="single" w:color="auto"/>
        </w:rPr>
        <w:t>要求，污染影响型建设项目三级</w:t>
      </w:r>
      <w:r>
        <w:rPr>
          <w:rFonts w:hint="eastAsia"/>
          <w:highlight w:val="none"/>
          <w:u w:val="single" w:color="auto"/>
          <w:lang w:eastAsia="zh-CN"/>
        </w:rPr>
        <w:t>，</w:t>
      </w:r>
      <w:r>
        <w:rPr>
          <w:highlight w:val="none"/>
          <w:u w:val="single" w:color="auto"/>
        </w:rPr>
        <w:t>土壤环境影响评价范围为建设项目场地内及厂界外50m。</w:t>
      </w:r>
    </w:p>
    <w:p>
      <w:pPr>
        <w:pStyle w:val="4"/>
        <w:bidi w:val="0"/>
        <w:rPr>
          <w:highlight w:val="none"/>
        </w:rPr>
      </w:pPr>
      <w:bookmarkStart w:id="29" w:name="_Toc20359"/>
      <w:bookmarkStart w:id="30" w:name="_Toc21590"/>
      <w:r>
        <w:rPr>
          <w:rFonts w:hint="eastAsia"/>
          <w:highlight w:val="none"/>
          <w:lang w:val="en-US" w:eastAsia="zh-CN"/>
        </w:rPr>
        <w:t>2</w:t>
      </w:r>
      <w:r>
        <w:rPr>
          <w:highlight w:val="none"/>
        </w:rPr>
        <w:t>.7  评价标准</w:t>
      </w:r>
      <w:bookmarkEnd w:id="29"/>
      <w:bookmarkEnd w:id="30"/>
    </w:p>
    <w:p>
      <w:pPr>
        <w:bidi w:val="0"/>
        <w:rPr>
          <w:highlight w:val="none"/>
        </w:rPr>
      </w:pPr>
      <w:r>
        <w:rPr>
          <w:highlight w:val="none"/>
        </w:rPr>
        <w:t>根据本项目的排污特点和区域环境功能区划要求，本次评价拟执行标准如下：</w:t>
      </w:r>
    </w:p>
    <w:p>
      <w:pPr>
        <w:pStyle w:val="5"/>
        <w:bidi w:val="0"/>
        <w:rPr>
          <w:highlight w:val="none"/>
        </w:rPr>
      </w:pPr>
      <w:r>
        <w:rPr>
          <w:rFonts w:hint="eastAsia"/>
          <w:highlight w:val="none"/>
          <w:lang w:val="en-US" w:eastAsia="zh-CN"/>
        </w:rPr>
        <w:t>2</w:t>
      </w:r>
      <w:r>
        <w:rPr>
          <w:highlight w:val="none"/>
        </w:rPr>
        <w:t>.7.1  环境质量标准</w:t>
      </w:r>
    </w:p>
    <w:p>
      <w:pPr>
        <w:pStyle w:val="6"/>
        <w:bidi w:val="0"/>
        <w:rPr>
          <w:highlight w:val="none"/>
        </w:rPr>
      </w:pPr>
      <w:r>
        <w:rPr>
          <w:rFonts w:hint="eastAsia"/>
          <w:highlight w:val="none"/>
          <w:lang w:val="en-US" w:eastAsia="zh-CN"/>
        </w:rPr>
        <w:t>2</w:t>
      </w:r>
      <w:r>
        <w:rPr>
          <w:highlight w:val="none"/>
        </w:rPr>
        <w:t>.7.1.1  大气环境</w:t>
      </w:r>
    </w:p>
    <w:p>
      <w:pPr>
        <w:bidi w:val="0"/>
        <w:rPr>
          <w:highlight w:val="none"/>
        </w:rPr>
      </w:pPr>
      <w:r>
        <w:rPr>
          <w:highlight w:val="none"/>
        </w:rPr>
        <w:t>项目区域环境空气质量执行《环境空气质量标准》（GB3095-2012）中的二级标准；NH</w:t>
      </w:r>
      <w:r>
        <w:rPr>
          <w:highlight w:val="none"/>
          <w:vertAlign w:val="subscript"/>
        </w:rPr>
        <w:t>3</w:t>
      </w:r>
      <w:r>
        <w:rPr>
          <w:highlight w:val="none"/>
        </w:rPr>
        <w:t>、H</w:t>
      </w:r>
      <w:r>
        <w:rPr>
          <w:highlight w:val="none"/>
          <w:vertAlign w:val="subscript"/>
        </w:rPr>
        <w:t>2</w:t>
      </w:r>
      <w:r>
        <w:rPr>
          <w:highlight w:val="none"/>
        </w:rPr>
        <w:t>S 参照《环境影响评价技术导则——大气环境》（HJ2.2-2018）附录D中标准值，标准值见表</w:t>
      </w:r>
      <w:r>
        <w:rPr>
          <w:rFonts w:hint="eastAsia"/>
          <w:highlight w:val="none"/>
          <w:lang w:val="en-US" w:eastAsia="zh-CN"/>
        </w:rPr>
        <w:t>2</w:t>
      </w:r>
      <w:r>
        <w:rPr>
          <w:highlight w:val="none"/>
        </w:rPr>
        <w:t>.7-1。</w:t>
      </w:r>
    </w:p>
    <w:p>
      <w:pPr>
        <w:pStyle w:val="7"/>
        <w:bidi w:val="0"/>
        <w:rPr>
          <w:highlight w:val="none"/>
        </w:rPr>
      </w:pPr>
      <w:r>
        <w:rPr>
          <w:highlight w:val="none"/>
        </w:rPr>
        <w:t>表</w:t>
      </w:r>
      <w:r>
        <w:rPr>
          <w:rFonts w:hint="eastAsia"/>
          <w:highlight w:val="none"/>
          <w:lang w:val="en-US" w:eastAsia="zh-CN"/>
        </w:rPr>
        <w:t>2</w:t>
      </w:r>
      <w:r>
        <w:rPr>
          <w:highlight w:val="none"/>
        </w:rPr>
        <w:t>.7-1  环境空气质量浓度限值    单位：mg/m</w:t>
      </w:r>
      <w:r>
        <w:rPr>
          <w:highlight w:val="none"/>
          <w:vertAlign w:val="superscript"/>
        </w:rPr>
        <w:t>3</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977"/>
        <w:gridCol w:w="1802"/>
        <w:gridCol w:w="1940"/>
        <w:gridCol w:w="30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污染物名称</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取值时间</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浓度限值</w:t>
            </w:r>
          </w:p>
        </w:tc>
        <w:tc>
          <w:tcPr>
            <w:tcW w:w="17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21"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SO</w:t>
            </w:r>
            <w:r>
              <w:rPr>
                <w:rFonts w:hint="default" w:ascii="Times New Roman" w:hAnsi="Times New Roman" w:eastAsia="宋体" w:cs="Times New Roman"/>
                <w:sz w:val="21"/>
                <w:szCs w:val="21"/>
                <w:highlight w:val="none"/>
                <w:u w:val="none" w:color="auto"/>
                <w:vertAlign w:val="subscript"/>
              </w:rPr>
              <w:t>2</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一小时平均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0.50</w:t>
            </w:r>
          </w:p>
        </w:tc>
        <w:tc>
          <w:tcPr>
            <w:tcW w:w="1755"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GB3095-2012二级标准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0.15</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0.06</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NO</w:t>
            </w:r>
            <w:r>
              <w:rPr>
                <w:rFonts w:hint="default" w:ascii="Times New Roman" w:hAnsi="Times New Roman" w:eastAsia="宋体" w:cs="Times New Roman"/>
                <w:sz w:val="21"/>
                <w:szCs w:val="21"/>
                <w:highlight w:val="none"/>
                <w:u w:val="none" w:color="auto"/>
                <w:vertAlign w:val="subscript"/>
              </w:rPr>
              <w:t>2</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一小时平均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0.20</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0.08</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0.04</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TSP</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0.3</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0.2</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PM</w:t>
            </w:r>
            <w:r>
              <w:rPr>
                <w:rFonts w:hint="default" w:ascii="Times New Roman" w:hAnsi="Times New Roman" w:eastAsia="宋体" w:cs="Times New Roman"/>
                <w:sz w:val="21"/>
                <w:szCs w:val="21"/>
                <w:highlight w:val="none"/>
                <w:u w:val="none" w:color="auto"/>
                <w:vertAlign w:val="subscript"/>
              </w:rPr>
              <w:t>10</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0.15</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0.07</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PM</w:t>
            </w:r>
            <w:r>
              <w:rPr>
                <w:rFonts w:hint="default" w:ascii="Times New Roman" w:hAnsi="Times New Roman" w:eastAsia="宋体" w:cs="Times New Roman"/>
                <w:sz w:val="21"/>
                <w:szCs w:val="21"/>
                <w:highlight w:val="none"/>
                <w:u w:val="none" w:color="auto"/>
                <w:vertAlign w:val="subscript"/>
              </w:rPr>
              <w:t>2.5</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0.075</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0.035</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CO</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日平均</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O</w:t>
            </w:r>
            <w:r>
              <w:rPr>
                <w:rFonts w:hint="default" w:ascii="Times New Roman" w:hAnsi="Times New Roman" w:eastAsia="宋体" w:cs="Times New Roman"/>
                <w:sz w:val="21"/>
                <w:szCs w:val="21"/>
                <w:highlight w:val="none"/>
                <w:u w:val="none" w:color="auto"/>
                <w:vertAlign w:val="subscript"/>
              </w:rPr>
              <w:t>3</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日最大8h均值</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0.60</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NH</w:t>
            </w:r>
            <w:r>
              <w:rPr>
                <w:rFonts w:hint="default" w:ascii="Times New Roman" w:hAnsi="Times New Roman" w:eastAsia="宋体" w:cs="Times New Roman"/>
                <w:sz w:val="21"/>
                <w:szCs w:val="21"/>
                <w:highlight w:val="none"/>
                <w:u w:val="none" w:color="auto"/>
                <w:vertAlign w:val="subscript"/>
              </w:rPr>
              <w:t>3</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一次浓度最大值</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0.2</w:t>
            </w:r>
          </w:p>
        </w:tc>
        <w:tc>
          <w:tcPr>
            <w:tcW w:w="1755"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HJ2.2-2018 附录 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1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H</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S</w:t>
            </w:r>
          </w:p>
        </w:tc>
        <w:tc>
          <w:tcPr>
            <w:tcW w:w="10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一次浓度最大值</w:t>
            </w:r>
          </w:p>
        </w:tc>
        <w:tc>
          <w:tcPr>
            <w:tcW w:w="110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0.01</w:t>
            </w:r>
          </w:p>
        </w:tc>
        <w:tc>
          <w:tcPr>
            <w:tcW w:w="175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r>
    </w:tbl>
    <w:p>
      <w:pPr>
        <w:pStyle w:val="6"/>
        <w:bidi w:val="0"/>
        <w:rPr>
          <w:highlight w:val="none"/>
          <w:u w:val="none" w:color="auto"/>
        </w:rPr>
      </w:pPr>
      <w:r>
        <w:rPr>
          <w:rFonts w:hint="eastAsia"/>
          <w:highlight w:val="none"/>
          <w:u w:val="none" w:color="auto"/>
          <w:lang w:val="en-US" w:eastAsia="zh-CN"/>
        </w:rPr>
        <w:t>2</w:t>
      </w:r>
      <w:r>
        <w:rPr>
          <w:highlight w:val="none"/>
          <w:u w:val="none" w:color="auto"/>
        </w:rPr>
        <w:t>.7.1.2  地表水</w:t>
      </w:r>
    </w:p>
    <w:p>
      <w:pPr>
        <w:bidi w:val="0"/>
        <w:rPr>
          <w:rFonts w:hint="eastAsia" w:eastAsia="宋体"/>
          <w:highlight w:val="none"/>
          <w:u w:val="none" w:color="auto"/>
          <w:lang w:eastAsia="zh-CN"/>
        </w:rPr>
      </w:pPr>
      <w:r>
        <w:rPr>
          <w:highlight w:val="none"/>
          <w:u w:val="none" w:color="auto"/>
        </w:rPr>
        <w:t>项目位于</w:t>
      </w:r>
      <w:r>
        <w:rPr>
          <w:rFonts w:hint="eastAsia"/>
          <w:highlight w:val="none"/>
          <w:u w:val="none" w:color="auto"/>
          <w:lang w:eastAsia="zh-CN"/>
        </w:rPr>
        <w:t>岳阳市华容县东山镇长岗庙村9组002号</w:t>
      </w:r>
      <w:r>
        <w:rPr>
          <w:highlight w:val="none"/>
          <w:u w:val="none" w:color="auto"/>
        </w:rPr>
        <w:t>，项目周边现有水体主要为项目</w:t>
      </w:r>
      <w:r>
        <w:rPr>
          <w:rFonts w:hint="eastAsia"/>
          <w:highlight w:val="none"/>
          <w:u w:val="none" w:color="auto"/>
          <w:lang w:eastAsia="zh-CN"/>
        </w:rPr>
        <w:t>北</w:t>
      </w:r>
      <w:r>
        <w:rPr>
          <w:highlight w:val="none"/>
          <w:u w:val="none" w:color="auto"/>
        </w:rPr>
        <w:t>面农灌渠，水体功能为农业用水区</w:t>
      </w:r>
      <w:r>
        <w:rPr>
          <w:rFonts w:hint="eastAsia"/>
          <w:highlight w:val="none"/>
          <w:u w:val="none" w:color="auto"/>
          <w:lang w:eastAsia="zh-CN"/>
        </w:rPr>
        <w:t>。</w:t>
      </w:r>
    </w:p>
    <w:p>
      <w:pPr>
        <w:keepNext w:val="0"/>
        <w:keepLines w:val="0"/>
        <w:widowControl/>
        <w:suppressLineNumbers w:val="0"/>
        <w:jc w:val="left"/>
        <w:rPr>
          <w:rFonts w:hint="eastAsia" w:ascii="宋体" w:hAnsi="宋体" w:eastAsia="宋体" w:cs="宋体"/>
          <w:color w:val="000000"/>
          <w:kern w:val="0"/>
          <w:sz w:val="24"/>
          <w:szCs w:val="24"/>
          <w:u w:val="single" w:color="auto"/>
          <w:lang w:val="en-US" w:eastAsia="zh-CN" w:bidi="ar"/>
        </w:rPr>
      </w:pPr>
      <w:r>
        <w:rPr>
          <w:rFonts w:hint="eastAsia" w:ascii="宋体" w:hAnsi="宋体" w:eastAsia="宋体" w:cs="宋体"/>
          <w:color w:val="000000"/>
          <w:kern w:val="0"/>
          <w:sz w:val="24"/>
          <w:szCs w:val="24"/>
          <w:u w:val="single" w:color="auto"/>
          <w:lang w:val="en-US" w:eastAsia="zh-CN" w:bidi="ar"/>
        </w:rPr>
        <w:t>项目区域地表水环境质量执行《地表水环境质量标准》（</w:t>
      </w:r>
      <w:r>
        <w:rPr>
          <w:rFonts w:hint="default" w:ascii="Times New Roman" w:hAnsi="Times New Roman" w:eastAsia="宋体" w:cs="Times New Roman"/>
          <w:color w:val="000000"/>
          <w:kern w:val="0"/>
          <w:sz w:val="24"/>
          <w:szCs w:val="24"/>
          <w:u w:val="single" w:color="auto"/>
          <w:lang w:val="en-US" w:eastAsia="zh-CN" w:bidi="ar"/>
        </w:rPr>
        <w:t>GB3838-2002</w:t>
      </w:r>
      <w:r>
        <w:rPr>
          <w:rFonts w:hint="eastAsia" w:ascii="宋体" w:hAnsi="宋体" w:eastAsia="宋体" w:cs="宋体"/>
          <w:color w:val="000000"/>
          <w:kern w:val="0"/>
          <w:sz w:val="24"/>
          <w:szCs w:val="24"/>
          <w:u w:val="single" w:color="auto"/>
          <w:lang w:val="en-US" w:eastAsia="zh-CN" w:bidi="ar"/>
        </w:rPr>
        <w:t>）Ⅲ类水质要求。</w:t>
      </w:r>
    </w:p>
    <w:p>
      <w:pPr>
        <w:pStyle w:val="7"/>
        <w:bidi w:val="0"/>
        <w:rPr>
          <w:u w:val="none" w:color="auto"/>
        </w:rPr>
      </w:pPr>
      <w:r>
        <w:rPr>
          <w:u w:val="none" w:color="auto"/>
        </w:rPr>
        <w:t>表2.</w:t>
      </w:r>
      <w:r>
        <w:rPr>
          <w:rFonts w:hint="eastAsia"/>
          <w:u w:val="none" w:color="auto"/>
          <w:lang w:val="en-US" w:eastAsia="zh-CN"/>
        </w:rPr>
        <w:t>7</w:t>
      </w:r>
      <w:r>
        <w:rPr>
          <w:u w:val="none" w:color="auto"/>
        </w:rPr>
        <w:t>-</w:t>
      </w:r>
      <w:r>
        <w:rPr>
          <w:rFonts w:hint="eastAsia"/>
          <w:u w:val="none" w:color="auto"/>
          <w:lang w:val="en-US" w:eastAsia="zh-CN"/>
        </w:rPr>
        <w:t>2</w:t>
      </w:r>
      <w:r>
        <w:rPr>
          <w:u w:val="none" w:color="auto"/>
        </w:rPr>
        <w:t xml:space="preserve">  地表水环境质量标准</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8"/>
        <w:gridCol w:w="3363"/>
        <w:gridCol w:w="2136"/>
        <w:gridCol w:w="25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pacing w:val="0"/>
                <w:w w:val="100"/>
                <w:position w:val="0"/>
                <w:sz w:val="21"/>
                <w:szCs w:val="21"/>
                <w:highlight w:val="none"/>
                <w:u w:val="none" w:color="auto"/>
              </w:rPr>
              <w:t>序号</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pacing w:val="0"/>
                <w:w w:val="100"/>
                <w:position w:val="0"/>
                <w:sz w:val="21"/>
                <w:szCs w:val="21"/>
                <w:highlight w:val="none"/>
                <w:u w:val="none" w:color="auto"/>
              </w:rPr>
              <w:t>监测项目</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pacing w:val="0"/>
                <w:w w:val="100"/>
                <w:position w:val="0"/>
                <w:sz w:val="21"/>
                <w:szCs w:val="21"/>
                <w:highlight w:val="none"/>
                <w:u w:val="none" w:color="auto"/>
              </w:rPr>
              <w:t>Ⅲ类标准限值</w:t>
            </w:r>
          </w:p>
        </w:tc>
        <w:tc>
          <w:tcPr>
            <w:tcW w:w="146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pacing w:val="0"/>
                <w:w w:val="100"/>
                <w:position w:val="0"/>
                <w:sz w:val="21"/>
                <w:szCs w:val="21"/>
                <w:highlight w:val="none"/>
                <w:u w:val="none" w:color="auto"/>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position w:val="0"/>
                <w:sz w:val="21"/>
                <w:szCs w:val="21"/>
                <w:highlight w:val="none"/>
                <w:u w:val="none" w:color="auto"/>
                <w:lang w:val="en-US" w:eastAsia="zh-CN"/>
              </w:rPr>
            </w:pPr>
            <w:r>
              <w:rPr>
                <w:rFonts w:hint="eastAsia" w:cs="Times New Roman"/>
                <w:spacing w:val="0"/>
                <w:w w:val="100"/>
                <w:position w:val="0"/>
                <w:sz w:val="21"/>
                <w:szCs w:val="21"/>
                <w:highlight w:val="none"/>
                <w:u w:val="none" w:color="auto"/>
                <w:lang w:val="en-US" w:eastAsia="zh-CN"/>
              </w:rPr>
              <w:t>1</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w w:val="100"/>
                <w:position w:val="0"/>
                <w:sz w:val="21"/>
                <w:szCs w:val="21"/>
                <w:highlight w:val="none"/>
                <w:u w:val="none" w:color="auto"/>
                <w:lang w:eastAsia="zh-CN"/>
              </w:rPr>
            </w:pPr>
            <w:r>
              <w:rPr>
                <w:rFonts w:hint="eastAsia" w:cs="Times New Roman"/>
                <w:spacing w:val="0"/>
                <w:w w:val="100"/>
                <w:position w:val="0"/>
                <w:sz w:val="21"/>
                <w:szCs w:val="21"/>
                <w:highlight w:val="none"/>
                <w:u w:val="none" w:color="auto"/>
                <w:lang w:eastAsia="zh-CN"/>
              </w:rPr>
              <w:t>水温</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sz w:val="21"/>
                <w:szCs w:val="21"/>
                <w:u w:val="none" w:color="auto"/>
                <w:lang w:val="en-US" w:eastAsia="zh-CN"/>
              </w:rPr>
            </w:pPr>
            <w:r>
              <w:rPr>
                <w:rFonts w:hint="eastAsia"/>
                <w:sz w:val="21"/>
                <w:szCs w:val="21"/>
                <w:u w:val="none" w:color="auto"/>
                <w:lang w:val="en-US" w:eastAsia="zh-CN"/>
              </w:rPr>
              <w:t>周平均最大温升≤1；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eastAsia"/>
                <w:sz w:val="21"/>
                <w:szCs w:val="21"/>
                <w:u w:val="none" w:color="auto"/>
                <w:lang w:val="en-US" w:eastAsia="zh-CN"/>
              </w:rPr>
              <w:t>周平均最大温降≤2</w:t>
            </w:r>
          </w:p>
        </w:tc>
        <w:tc>
          <w:tcPr>
            <w:tcW w:w="1467" w:type="pct"/>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pacing w:val="0"/>
                <w:w w:val="100"/>
                <w:position w:val="0"/>
                <w:sz w:val="21"/>
                <w:szCs w:val="21"/>
                <w:highlight w:val="none"/>
                <w:u w:val="none" w:color="auto"/>
              </w:rPr>
              <w:t>《地表水质量标准》（GB3838-2002）中的Ⅲ 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2</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z w:val="21"/>
                <w:szCs w:val="21"/>
                <w:u w:val="none" w:color="auto"/>
              </w:rPr>
              <w:t>pH（无量纲）</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z w:val="21"/>
                <w:szCs w:val="21"/>
                <w:u w:val="none" w:color="auto"/>
              </w:rPr>
              <w:t>6~9</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3</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溶解氧（mg/L）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4</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高锰酸盐指数（mg/L）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≤6</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5</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z w:val="21"/>
                <w:szCs w:val="21"/>
                <w:u w:val="none" w:color="auto"/>
              </w:rPr>
              <w:t>COD</w:t>
            </w:r>
            <w:r>
              <w:rPr>
                <w:rFonts w:hint="eastAsia" w:cs="Times New Roman"/>
                <w:sz w:val="21"/>
                <w:szCs w:val="21"/>
                <w:u w:val="none" w:color="auto"/>
                <w:vertAlign w:val="subscript"/>
                <w:lang w:val="en-US" w:eastAsia="zh-CN"/>
              </w:rPr>
              <w:t>C</w:t>
            </w:r>
            <w:r>
              <w:rPr>
                <w:rFonts w:hint="default" w:ascii="Times New Roman" w:hAnsi="Times New Roman" w:eastAsia="宋体" w:cs="Times New Roman"/>
                <w:sz w:val="21"/>
                <w:szCs w:val="21"/>
                <w:u w:val="none" w:color="auto"/>
                <w:vertAlign w:val="subscript"/>
              </w:rPr>
              <w:t>r</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z w:val="21"/>
                <w:szCs w:val="21"/>
                <w:u w:val="none" w:color="auto"/>
              </w:rPr>
              <w:t>≤20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6</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z w:val="21"/>
                <w:szCs w:val="21"/>
                <w:u w:val="none" w:color="auto"/>
              </w:rPr>
              <w:t>BOD</w:t>
            </w:r>
            <w:r>
              <w:rPr>
                <w:rFonts w:hint="default" w:ascii="Times New Roman" w:hAnsi="Times New Roman" w:eastAsia="宋体" w:cs="Times New Roman"/>
                <w:sz w:val="21"/>
                <w:szCs w:val="21"/>
                <w:u w:val="none" w:color="auto"/>
                <w:vertAlign w:val="subscript"/>
              </w:rPr>
              <w:t>5</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r>
              <w:rPr>
                <w:rFonts w:hint="default" w:ascii="Times New Roman" w:hAnsi="Times New Roman" w:eastAsia="宋体" w:cs="Times New Roman"/>
                <w:sz w:val="21"/>
                <w:szCs w:val="21"/>
                <w:u w:val="none" w:color="auto"/>
              </w:rPr>
              <w:t>≤4.0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7</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氨氮（NH</w:t>
            </w:r>
            <w:r>
              <w:rPr>
                <w:rFonts w:hint="default" w:ascii="Times New Roman" w:hAnsi="Times New Roman" w:eastAsia="宋体" w:cs="Times New Roman"/>
                <w:spacing w:val="0"/>
                <w:w w:val="100"/>
                <w:position w:val="0"/>
                <w:sz w:val="21"/>
                <w:szCs w:val="21"/>
                <w:highlight w:val="none"/>
                <w:u w:val="none" w:color="auto"/>
                <w:vertAlign w:val="subscript"/>
              </w:rPr>
              <w:t>3</w:t>
            </w:r>
            <w:r>
              <w:rPr>
                <w:rFonts w:hint="default" w:ascii="Times New Roman" w:hAnsi="Times New Roman" w:eastAsia="宋体" w:cs="Times New Roman"/>
                <w:spacing w:val="0"/>
                <w:w w:val="100"/>
                <w:position w:val="0"/>
                <w:sz w:val="21"/>
                <w:szCs w:val="21"/>
                <w:highlight w:val="none"/>
                <w:u w:val="none" w:color="auto"/>
              </w:rPr>
              <w:t>-N）（mg/L）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8</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总磷（以 P 计）</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≤0.2</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9</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总氮（湖、库以 N 计）</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10</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铜（mg/L）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11</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锌（mg/L）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12</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氟化物（以 F</w:t>
            </w:r>
            <w:r>
              <w:rPr>
                <w:rFonts w:hint="default" w:ascii="Times New Roman" w:hAnsi="Times New Roman" w:eastAsia="宋体" w:cs="Times New Roman"/>
                <w:spacing w:val="0"/>
                <w:w w:val="100"/>
                <w:position w:val="0"/>
                <w:sz w:val="21"/>
                <w:szCs w:val="21"/>
                <w:highlight w:val="none"/>
                <w:u w:val="none" w:color="auto"/>
                <w:vertAlign w:val="superscript"/>
              </w:rPr>
              <w:t>-</w:t>
            </w:r>
            <w:r>
              <w:rPr>
                <w:rFonts w:hint="default" w:ascii="Times New Roman" w:hAnsi="Times New Roman" w:eastAsia="宋体" w:cs="Times New Roman"/>
                <w:spacing w:val="0"/>
                <w:w w:val="100"/>
                <w:position w:val="0"/>
                <w:sz w:val="21"/>
                <w:szCs w:val="21"/>
                <w:highlight w:val="none"/>
                <w:u w:val="none" w:color="auto"/>
              </w:rPr>
              <w:t>计） （mg/L）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≤1.0</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13</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硒（mg/L）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≤0.01</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lang w:val="en-US" w:eastAsia="zh-CN"/>
              </w:rPr>
            </w:pPr>
            <w:r>
              <w:rPr>
                <w:rFonts w:hint="eastAsia" w:cs="Times New Roman"/>
                <w:spacing w:val="0"/>
                <w:w w:val="100"/>
                <w:position w:val="0"/>
                <w:sz w:val="21"/>
                <w:szCs w:val="21"/>
                <w:highlight w:val="none"/>
                <w:u w:val="none" w:color="auto"/>
                <w:lang w:val="en-US" w:eastAsia="zh-CN"/>
              </w:rPr>
              <w:t>14</w:t>
            </w:r>
          </w:p>
        </w:tc>
        <w:tc>
          <w:tcPr>
            <w:tcW w:w="190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position w:val="0"/>
                <w:sz w:val="21"/>
                <w:szCs w:val="21"/>
                <w:highlight w:val="none"/>
                <w:u w:val="none" w:color="auto"/>
                <w:lang w:eastAsia="zh-CN"/>
              </w:rPr>
            </w:pPr>
            <w:r>
              <w:rPr>
                <w:rFonts w:hint="eastAsia" w:cs="Times New Roman"/>
                <w:spacing w:val="0"/>
                <w:w w:val="100"/>
                <w:position w:val="0"/>
                <w:sz w:val="21"/>
                <w:szCs w:val="21"/>
                <w:highlight w:val="none"/>
                <w:u w:val="none" w:color="auto"/>
                <w:lang w:eastAsia="zh-CN"/>
              </w:rPr>
              <w:t>砷</w:t>
            </w:r>
            <w:r>
              <w:rPr>
                <w:rFonts w:hint="default" w:ascii="Times New Roman" w:hAnsi="Times New Roman" w:eastAsia="宋体" w:cs="Times New Roman"/>
                <w:spacing w:val="0"/>
                <w:w w:val="100"/>
                <w:position w:val="0"/>
                <w:sz w:val="21"/>
                <w:szCs w:val="21"/>
                <w:highlight w:val="none"/>
                <w:u w:val="none" w:color="auto"/>
              </w:rPr>
              <w:t>（mg/L）</w:t>
            </w:r>
          </w:p>
        </w:tc>
        <w:tc>
          <w:tcPr>
            <w:tcW w:w="1211"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lang w:val="en-US" w:eastAsia="zh-CN"/>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0.05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w:t>
            </w:r>
            <w:r>
              <w:rPr>
                <w:rFonts w:hint="eastAsia" w:cs="Times New Roman"/>
                <w:spacing w:val="0"/>
                <w:w w:val="100"/>
                <w:position w:val="0"/>
                <w:sz w:val="21"/>
                <w:szCs w:val="21"/>
                <w:highlight w:val="none"/>
                <w:u w:val="none" w:color="auto"/>
                <w:lang w:val="en-US" w:eastAsia="zh-CN"/>
              </w:rPr>
              <w:t>5</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汞（mg/L）</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≤0.0001</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16</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pacing w:val="0"/>
                <w:w w:val="100"/>
                <w:position w:val="0"/>
                <w:sz w:val="21"/>
                <w:szCs w:val="21"/>
                <w:highlight w:val="none"/>
                <w:u w:val="none" w:color="auto"/>
                <w:lang w:eastAsia="zh-CN"/>
              </w:rPr>
            </w:pPr>
            <w:r>
              <w:rPr>
                <w:rFonts w:hint="eastAsia" w:cs="Times New Roman"/>
                <w:spacing w:val="0"/>
                <w:w w:val="100"/>
                <w:position w:val="0"/>
                <w:sz w:val="21"/>
                <w:szCs w:val="21"/>
                <w:highlight w:val="none"/>
                <w:u w:val="none" w:color="auto"/>
                <w:lang w:eastAsia="zh-CN"/>
              </w:rPr>
              <w:t>镉</w:t>
            </w:r>
            <w:r>
              <w:rPr>
                <w:rFonts w:hint="default" w:ascii="Times New Roman" w:hAnsi="Times New Roman" w:eastAsia="宋体" w:cs="Times New Roman"/>
                <w:spacing w:val="0"/>
                <w:w w:val="100"/>
                <w:position w:val="0"/>
                <w:sz w:val="21"/>
                <w:szCs w:val="21"/>
                <w:highlight w:val="none"/>
                <w:u w:val="none" w:color="auto"/>
              </w:rPr>
              <w:t>（mg/L）</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lang w:val="en-US" w:eastAsia="zh-CN"/>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0.005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17</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pacing w:val="0"/>
                <w:w w:val="100"/>
                <w:position w:val="0"/>
                <w:sz w:val="21"/>
                <w:szCs w:val="21"/>
                <w:highlight w:val="none"/>
                <w:u w:val="none" w:color="auto"/>
                <w:lang w:eastAsia="zh-CN"/>
              </w:rPr>
            </w:pPr>
            <w:r>
              <w:rPr>
                <w:rFonts w:hint="eastAsia" w:cs="Times New Roman"/>
                <w:spacing w:val="0"/>
                <w:w w:val="100"/>
                <w:position w:val="0"/>
                <w:sz w:val="21"/>
                <w:szCs w:val="21"/>
                <w:highlight w:val="none"/>
                <w:u w:val="none" w:color="auto"/>
                <w:lang w:eastAsia="zh-CN"/>
              </w:rPr>
              <w:t>铬（六价）</w:t>
            </w:r>
            <w:r>
              <w:rPr>
                <w:rFonts w:hint="default" w:ascii="Times New Roman" w:hAnsi="Times New Roman" w:eastAsia="宋体" w:cs="Times New Roman"/>
                <w:spacing w:val="0"/>
                <w:w w:val="100"/>
                <w:position w:val="0"/>
                <w:sz w:val="21"/>
                <w:szCs w:val="21"/>
                <w:highlight w:val="none"/>
                <w:u w:val="none" w:color="auto"/>
              </w:rPr>
              <w:t>（mg/L）</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spacing w:val="0"/>
                <w:w w:val="100"/>
                <w:position w:val="0"/>
                <w:sz w:val="21"/>
                <w:szCs w:val="21"/>
                <w:highlight w:val="none"/>
                <w:u w:val="none" w:color="auto"/>
                <w:lang w:val="en-US" w:eastAsia="zh-CN"/>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0.05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18</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pacing w:val="0"/>
                <w:w w:val="100"/>
                <w:position w:val="0"/>
                <w:sz w:val="21"/>
                <w:szCs w:val="21"/>
                <w:highlight w:val="none"/>
                <w:u w:val="none" w:color="auto"/>
                <w:lang w:eastAsia="zh-CN"/>
              </w:rPr>
            </w:pPr>
            <w:r>
              <w:rPr>
                <w:rFonts w:hint="eastAsia" w:cs="Times New Roman"/>
                <w:spacing w:val="0"/>
                <w:w w:val="100"/>
                <w:position w:val="0"/>
                <w:sz w:val="21"/>
                <w:szCs w:val="21"/>
                <w:highlight w:val="none"/>
                <w:u w:val="none" w:color="auto"/>
                <w:lang w:eastAsia="zh-CN"/>
              </w:rPr>
              <w:t>铅</w:t>
            </w:r>
            <w:r>
              <w:rPr>
                <w:rFonts w:hint="default" w:ascii="Times New Roman" w:hAnsi="Times New Roman" w:eastAsia="宋体" w:cs="Times New Roman"/>
                <w:spacing w:val="0"/>
                <w:w w:val="100"/>
                <w:position w:val="0"/>
                <w:sz w:val="21"/>
                <w:szCs w:val="21"/>
                <w:highlight w:val="none"/>
                <w:u w:val="none" w:color="auto"/>
              </w:rPr>
              <w:t>（mg/L）</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spacing w:val="0"/>
                <w:w w:val="100"/>
                <w:position w:val="0"/>
                <w:sz w:val="21"/>
                <w:szCs w:val="21"/>
                <w:highlight w:val="none"/>
                <w:u w:val="none" w:color="auto"/>
                <w:lang w:val="en-US" w:eastAsia="zh-CN"/>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0.05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19</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氰化物（mg/L）</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≤0.2</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val="en-US" w:eastAsia="zh-CN"/>
              </w:rPr>
              <w:t>20</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挥发酚（mg/L）</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≤0.005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kern w:val="2"/>
                <w:position w:val="0"/>
                <w:sz w:val="21"/>
                <w:szCs w:val="21"/>
                <w:highlight w:val="none"/>
                <w:u w:val="none" w:color="auto"/>
                <w:lang w:val="en-US" w:eastAsia="zh-CN" w:bidi="ar-SA"/>
              </w:rPr>
              <w:t>21</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石油类</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≤0.05</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kern w:val="2"/>
                <w:position w:val="0"/>
                <w:sz w:val="21"/>
                <w:szCs w:val="21"/>
                <w:highlight w:val="none"/>
                <w:u w:val="none" w:color="auto"/>
                <w:lang w:val="en-US" w:eastAsia="zh-CN" w:bidi="ar-SA"/>
              </w:rPr>
              <w:t>22</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eastAsia="zh-CN"/>
              </w:rPr>
              <w:t>阴离子表面活性剂</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0.2</w:t>
            </w:r>
          </w:p>
        </w:tc>
        <w:tc>
          <w:tcPr>
            <w:tcW w:w="1467" w:type="pct"/>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kern w:val="2"/>
                <w:position w:val="0"/>
                <w:sz w:val="21"/>
                <w:szCs w:val="21"/>
                <w:highlight w:val="none"/>
                <w:u w:val="none" w:color="auto"/>
                <w:lang w:val="en-US" w:eastAsia="zh-CN" w:bidi="ar-SA"/>
              </w:rPr>
              <w:t>23</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eastAsia="zh-CN"/>
              </w:rPr>
              <w:t>硫化物</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0.2</w:t>
            </w:r>
          </w:p>
        </w:tc>
        <w:tc>
          <w:tcPr>
            <w:tcW w:w="14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kern w:val="2"/>
                <w:position w:val="0"/>
                <w:sz w:val="21"/>
                <w:szCs w:val="21"/>
                <w:highlight w:val="none"/>
                <w:u w:val="none" w:color="auto"/>
                <w:lang w:val="en-US" w:eastAsia="zh-CN" w:bidi="ar-SA"/>
              </w:rPr>
              <w:t>24</w:t>
            </w:r>
          </w:p>
        </w:tc>
        <w:tc>
          <w:tcPr>
            <w:tcW w:w="1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pacing w:val="0"/>
                <w:w w:val="100"/>
                <w:kern w:val="2"/>
                <w:position w:val="0"/>
                <w:sz w:val="21"/>
                <w:szCs w:val="21"/>
                <w:highlight w:val="none"/>
                <w:u w:val="none" w:color="auto"/>
                <w:lang w:val="en-US" w:eastAsia="zh-CN" w:bidi="ar-SA"/>
              </w:rPr>
            </w:pPr>
            <w:r>
              <w:rPr>
                <w:rFonts w:hint="eastAsia" w:cs="Times New Roman"/>
                <w:spacing w:val="0"/>
                <w:w w:val="100"/>
                <w:position w:val="0"/>
                <w:sz w:val="21"/>
                <w:szCs w:val="21"/>
                <w:highlight w:val="none"/>
                <w:u w:val="none" w:color="auto"/>
                <w:lang w:eastAsia="zh-CN"/>
              </w:rPr>
              <w:t>粪大肠杆菌</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color="auto"/>
                <w:lang w:val="en-US" w:eastAsia="zh-CN" w:bidi="ar-SA"/>
              </w:rPr>
            </w:pPr>
            <w:r>
              <w:rPr>
                <w:rFonts w:hint="default" w:ascii="Times New Roman" w:hAnsi="Times New Roman" w:eastAsia="宋体" w:cs="Times New Roman"/>
                <w:spacing w:val="0"/>
                <w:w w:val="100"/>
                <w:position w:val="0"/>
                <w:sz w:val="21"/>
                <w:szCs w:val="21"/>
                <w:highlight w:val="none"/>
                <w:u w:val="none" w:color="auto"/>
              </w:rPr>
              <w:t>≤</w:t>
            </w:r>
            <w:r>
              <w:rPr>
                <w:rFonts w:hint="eastAsia" w:cs="Times New Roman"/>
                <w:spacing w:val="0"/>
                <w:w w:val="100"/>
                <w:position w:val="0"/>
                <w:sz w:val="21"/>
                <w:szCs w:val="21"/>
                <w:highlight w:val="none"/>
                <w:u w:val="none" w:color="auto"/>
                <w:lang w:val="en-US" w:eastAsia="zh-CN"/>
              </w:rPr>
              <w:t>10000</w:t>
            </w:r>
          </w:p>
        </w:tc>
        <w:tc>
          <w:tcPr>
            <w:tcW w:w="14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color="auto"/>
              </w:rPr>
            </w:pPr>
          </w:p>
        </w:tc>
      </w:tr>
    </w:tbl>
    <w:p>
      <w:pPr>
        <w:pStyle w:val="6"/>
        <w:bidi w:val="0"/>
        <w:rPr>
          <w:highlight w:val="none"/>
        </w:rPr>
      </w:pPr>
      <w:r>
        <w:rPr>
          <w:rFonts w:hint="eastAsia"/>
          <w:highlight w:val="none"/>
          <w:lang w:val="en-US" w:eastAsia="zh-CN"/>
        </w:rPr>
        <w:t>2</w:t>
      </w:r>
      <w:r>
        <w:rPr>
          <w:highlight w:val="none"/>
        </w:rPr>
        <w:t>.7.1.3  地下水</w:t>
      </w:r>
    </w:p>
    <w:p>
      <w:pPr>
        <w:bidi w:val="0"/>
        <w:rPr>
          <w:highlight w:val="none"/>
        </w:rPr>
      </w:pPr>
      <w:r>
        <w:rPr>
          <w:highlight w:val="none"/>
        </w:rPr>
        <w:t>地下水执行《地下水质量标准》（GB/T14848-2017）中的Ⅲ类标准。</w:t>
      </w:r>
    </w:p>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3</w:t>
      </w:r>
      <w:r>
        <w:rPr>
          <w:highlight w:val="none"/>
        </w:rPr>
        <w:t xml:space="preserve">  地下水环境标准部分项目标准限值 单位： mg/L ，pH 值除外</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36"/>
        <w:gridCol w:w="3502"/>
        <w:gridCol w:w="38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序号</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项目</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GB/T14848-2017Ⅲ类标准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pH</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高锰酸盐指数</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硝酸盐</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NH</w:t>
            </w:r>
            <w:r>
              <w:rPr>
                <w:rFonts w:hint="eastAsia" w:cs="Times New Roman"/>
                <w:sz w:val="21"/>
                <w:szCs w:val="21"/>
                <w:highlight w:val="none"/>
                <w:u w:val="none" w:color="auto"/>
                <w:vertAlign w:val="subscript"/>
                <w:lang w:val="en-US" w:eastAsia="zh-CN"/>
              </w:rPr>
              <w:t>3</w:t>
            </w:r>
            <w:r>
              <w:rPr>
                <w:rFonts w:hint="default" w:ascii="Times New Roman" w:hAnsi="Times New Roman" w:eastAsia="宋体" w:cs="Times New Roman"/>
                <w:sz w:val="21"/>
                <w:szCs w:val="21"/>
                <w:highlight w:val="none"/>
                <w:u w:val="none" w:color="auto"/>
              </w:rPr>
              <w:t>-N</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5</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总大肠菌群（个/L）</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硫酸盐</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7</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氟化物</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8</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Fe</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1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9</w:t>
            </w:r>
          </w:p>
        </w:tc>
        <w:tc>
          <w:tcPr>
            <w:tcW w:w="198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Mn</w:t>
            </w:r>
          </w:p>
        </w:tc>
        <w:tc>
          <w:tcPr>
            <w:tcW w:w="21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≤0.1</w:t>
            </w:r>
          </w:p>
        </w:tc>
      </w:tr>
    </w:tbl>
    <w:p>
      <w:pPr>
        <w:pStyle w:val="6"/>
        <w:bidi w:val="0"/>
        <w:rPr>
          <w:highlight w:val="none"/>
        </w:rPr>
      </w:pPr>
      <w:r>
        <w:rPr>
          <w:rFonts w:hint="eastAsia"/>
          <w:highlight w:val="none"/>
          <w:lang w:val="en-US" w:eastAsia="zh-CN"/>
        </w:rPr>
        <w:t>2</w:t>
      </w:r>
      <w:r>
        <w:rPr>
          <w:highlight w:val="none"/>
        </w:rPr>
        <w:t>.7.1.4  声环境</w:t>
      </w:r>
    </w:p>
    <w:p>
      <w:pPr>
        <w:bidi w:val="0"/>
        <w:rPr>
          <w:highlight w:val="none"/>
        </w:rPr>
      </w:pPr>
      <w:r>
        <w:rPr>
          <w:highlight w:val="none"/>
        </w:rPr>
        <w:t>执行《声环境质量标准》（GB3096-2008）中 2 类标准。</w:t>
      </w:r>
    </w:p>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4</w:t>
      </w:r>
      <w:r>
        <w:rPr>
          <w:highlight w:val="none"/>
        </w:rPr>
        <w:t xml:space="preserve">  声环境质量标准        单位:dB（A）</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110"/>
        <w:gridCol w:w="2466"/>
        <w:gridCol w:w="22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33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类别</w:t>
            </w:r>
          </w:p>
        </w:tc>
        <w:tc>
          <w:tcPr>
            <w:tcW w:w="13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昼间</w:t>
            </w:r>
          </w:p>
        </w:tc>
        <w:tc>
          <w:tcPr>
            <w:tcW w:w="127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3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GB3096-2008中2类标准</w:t>
            </w:r>
          </w:p>
        </w:tc>
        <w:tc>
          <w:tcPr>
            <w:tcW w:w="139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60</w:t>
            </w:r>
          </w:p>
        </w:tc>
        <w:tc>
          <w:tcPr>
            <w:tcW w:w="127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50</w:t>
            </w:r>
          </w:p>
        </w:tc>
      </w:tr>
    </w:tbl>
    <w:p>
      <w:pPr>
        <w:keepNext w:val="0"/>
        <w:keepLines w:val="0"/>
        <w:pageBreakBefore w:val="0"/>
        <w:widowControl w:val="0"/>
        <w:kinsoku/>
        <w:wordWrap/>
        <w:overflowPunct/>
        <w:topLinePunct w:val="0"/>
        <w:autoSpaceDE/>
        <w:autoSpaceDN/>
        <w:bidi w:val="0"/>
        <w:adjustRightInd/>
        <w:snapToGrid/>
        <w:spacing w:line="240" w:lineRule="auto"/>
        <w:ind w:firstLine="658"/>
        <w:textAlignment w:val="auto"/>
        <w:rPr>
          <w:rFonts w:ascii="宋体" w:hAnsi="宋体" w:eastAsia="宋体" w:cs="宋体"/>
          <w:sz w:val="21"/>
          <w:szCs w:val="21"/>
          <w:highlight w:val="none"/>
        </w:rPr>
      </w:pPr>
      <w:r>
        <w:rPr>
          <w:rFonts w:ascii="宋体" w:hAnsi="宋体" w:eastAsia="宋体" w:cs="宋体"/>
          <w:spacing w:val="-1"/>
          <w:sz w:val="21"/>
          <w:szCs w:val="21"/>
          <w:highlight w:val="none"/>
        </w:rPr>
        <w:t>备注：夜间突发的噪声，其最大声级超过环境噪声限值的幅度不得高于</w:t>
      </w:r>
      <w:r>
        <w:rPr>
          <w:rFonts w:ascii="Times New Roman" w:hAnsi="Times New Roman" w:eastAsia="Times New Roman" w:cs="Times New Roman"/>
          <w:spacing w:val="-1"/>
          <w:sz w:val="21"/>
          <w:szCs w:val="21"/>
          <w:highlight w:val="none"/>
        </w:rPr>
        <w:t>15dB</w:t>
      </w:r>
      <w:r>
        <w:rPr>
          <w:rFonts w:ascii="Times New Roman" w:hAnsi="Times New Roman" w:eastAsia="Times New Roman" w:cs="Times New Roman"/>
          <w:spacing w:val="-51"/>
          <w:sz w:val="21"/>
          <w:szCs w:val="21"/>
          <w:highlight w:val="none"/>
        </w:rPr>
        <w:t xml:space="preserve"> </w:t>
      </w:r>
      <w:r>
        <w:rPr>
          <w:rFonts w:ascii="宋体" w:hAnsi="宋体" w:eastAsia="宋体" w:cs="宋体"/>
          <w:spacing w:val="-1"/>
          <w:sz w:val="21"/>
          <w:szCs w:val="21"/>
          <w:highlight w:val="none"/>
        </w:rPr>
        <w:t>（</w:t>
      </w:r>
      <w:r>
        <w:rPr>
          <w:rFonts w:ascii="Times New Roman" w:hAnsi="Times New Roman" w:eastAsia="Times New Roman" w:cs="Times New Roman"/>
          <w:spacing w:val="-1"/>
          <w:sz w:val="21"/>
          <w:szCs w:val="21"/>
          <w:highlight w:val="none"/>
        </w:rPr>
        <w:t>A</w:t>
      </w:r>
      <w:r>
        <w:rPr>
          <w:rFonts w:ascii="宋体" w:hAnsi="宋体" w:eastAsia="宋体" w:cs="宋体"/>
          <w:spacing w:val="-1"/>
          <w:sz w:val="21"/>
          <w:szCs w:val="21"/>
          <w:highlight w:val="none"/>
        </w:rPr>
        <w:t>）。</w:t>
      </w:r>
    </w:p>
    <w:p>
      <w:pPr>
        <w:pStyle w:val="6"/>
        <w:bidi w:val="0"/>
        <w:rPr>
          <w:highlight w:val="none"/>
        </w:rPr>
      </w:pPr>
      <w:r>
        <w:rPr>
          <w:rFonts w:hint="eastAsia"/>
          <w:highlight w:val="none"/>
          <w:lang w:val="en-US" w:eastAsia="zh-CN"/>
        </w:rPr>
        <w:t>2</w:t>
      </w:r>
      <w:r>
        <w:rPr>
          <w:highlight w:val="none"/>
        </w:rPr>
        <w:t>.7.1.5  土壤环境</w:t>
      </w:r>
    </w:p>
    <w:p>
      <w:pPr>
        <w:bidi w:val="0"/>
        <w:rPr>
          <w:highlight w:val="none"/>
        </w:rPr>
      </w:pPr>
      <w:r>
        <w:rPr>
          <w:highlight w:val="none"/>
        </w:rPr>
        <w:t>本项目用地为农用设施用地，土壤环境质量执行《土壤环境质量 农用地土壤污染风险管控标准（试行）》（GB15618-2018）中表1标准，具体标准值见表2.</w:t>
      </w:r>
      <w:r>
        <w:rPr>
          <w:rFonts w:hint="eastAsia"/>
          <w:highlight w:val="none"/>
          <w:lang w:val="en-US" w:eastAsia="zh-CN"/>
        </w:rPr>
        <w:t>7</w:t>
      </w:r>
      <w:r>
        <w:rPr>
          <w:highlight w:val="none"/>
        </w:rPr>
        <w:t>-</w:t>
      </w:r>
      <w:r>
        <w:rPr>
          <w:rFonts w:hint="eastAsia"/>
          <w:highlight w:val="none"/>
          <w:lang w:val="en-US" w:eastAsia="zh-CN"/>
        </w:rPr>
        <w:t>5</w:t>
      </w:r>
      <w:r>
        <w:rPr>
          <w:highlight w:val="none"/>
        </w:rPr>
        <w:t>。</w:t>
      </w:r>
    </w:p>
    <w:p>
      <w:pPr>
        <w:pStyle w:val="7"/>
        <w:bidi w:val="0"/>
        <w:rPr>
          <w:highlight w:val="none"/>
        </w:rPr>
      </w:pPr>
      <w:r>
        <w:rPr>
          <w:highlight w:val="none"/>
        </w:rPr>
        <w:t>表2.</w:t>
      </w:r>
      <w:r>
        <w:rPr>
          <w:rFonts w:hint="eastAsia"/>
          <w:highlight w:val="none"/>
          <w:lang w:val="en-US" w:eastAsia="zh-CN"/>
        </w:rPr>
        <w:t>7</w:t>
      </w:r>
      <w:r>
        <w:rPr>
          <w:highlight w:val="none"/>
        </w:rPr>
        <w:t>-</w:t>
      </w:r>
      <w:r>
        <w:rPr>
          <w:rFonts w:hint="eastAsia"/>
          <w:highlight w:val="none"/>
          <w:lang w:val="en-US" w:eastAsia="zh-CN"/>
        </w:rPr>
        <w:t xml:space="preserve">5  </w:t>
      </w:r>
      <w:r>
        <w:rPr>
          <w:highlight w:val="none"/>
        </w:rPr>
        <w:t xml:space="preserve"> 土壤环境质量标准</w:t>
      </w:r>
      <w:r>
        <w:rPr>
          <w:rFonts w:hint="eastAsia"/>
          <w:highlight w:val="none"/>
          <w:lang w:val="en-US" w:eastAsia="zh-CN"/>
        </w:rPr>
        <w:t xml:space="preserve">   </w:t>
      </w:r>
      <w:r>
        <w:rPr>
          <w:highlight w:val="none"/>
        </w:rPr>
        <w:t>单位：mg/kg</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88"/>
        <w:gridCol w:w="2028"/>
        <w:gridCol w:w="954"/>
        <w:gridCol w:w="1696"/>
        <w:gridCol w:w="1587"/>
        <w:gridCol w:w="1656"/>
        <w:gridCol w:w="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9" w:hRule="atLeast"/>
        </w:trPr>
        <w:tc>
          <w:tcPr>
            <w:tcW w:w="5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序号</w:t>
            </w:r>
          </w:p>
        </w:tc>
        <w:tc>
          <w:tcPr>
            <w:tcW w:w="11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污染物项目</w:t>
            </w:r>
          </w:p>
        </w:tc>
        <w:tc>
          <w:tcPr>
            <w:tcW w:w="3345"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风险筛选值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p>
        </w:tc>
        <w:tc>
          <w:tcPr>
            <w:tcW w:w="1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pH≤5.5</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5.5＜pH≤6.5</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6.5＜pH≤</w:t>
            </w:r>
            <w:r>
              <w:rPr>
                <w:rFonts w:hint="eastAsia" w:cs="Times New Roman"/>
                <w:sz w:val="21"/>
                <w:szCs w:val="21"/>
                <w:highlight w:val="none"/>
                <w:lang w:val="en-US" w:eastAsia="zh-CN"/>
              </w:rPr>
              <w:t>7</w:t>
            </w:r>
            <w:r>
              <w:rPr>
                <w:rFonts w:hint="default" w:ascii="Times New Roman" w:hAnsi="Times New Roman" w:eastAsia="宋体" w:cs="Times New Roman"/>
                <w:sz w:val="21"/>
                <w:szCs w:val="21"/>
                <w:highlight w:val="none"/>
              </w:rPr>
              <w:t>.5</w:t>
            </w:r>
          </w:p>
        </w:tc>
        <w:tc>
          <w:tcPr>
            <w:tcW w:w="94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pH＞7.5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砷</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40</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40</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30</w:t>
            </w:r>
          </w:p>
        </w:tc>
        <w:tc>
          <w:tcPr>
            <w:tcW w:w="94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镉</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0.3</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0.3</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0.3</w:t>
            </w:r>
          </w:p>
        </w:tc>
        <w:tc>
          <w:tcPr>
            <w:tcW w:w="94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铬</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150</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150</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200</w:t>
            </w:r>
          </w:p>
        </w:tc>
        <w:tc>
          <w:tcPr>
            <w:tcW w:w="94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gridAfter w:val="1"/>
          <w:wAfter w:w="1" w:type="pct"/>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铜</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50</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50</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100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gridAfter w:val="1"/>
          <w:wAfter w:w="1" w:type="pct"/>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铅</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70</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90</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120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gridAfter w:val="1"/>
          <w:wAfter w:w="1" w:type="pct"/>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汞</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1.3</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1.8</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2.4</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gridAfter w:val="1"/>
          <w:wAfter w:w="1" w:type="pct"/>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镍</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60</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70</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100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8"/>
                <w:sz w:val="21"/>
                <w:szCs w:val="21"/>
                <w:highlight w:val="none"/>
              </w:rPr>
              <w:t>190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gridAfter w:val="1"/>
          <w:wAfter w:w="1" w:type="pct"/>
          <w:trHeight w:val="369" w:hRule="atLeast"/>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w:t>
            </w:r>
          </w:p>
        </w:tc>
        <w:tc>
          <w:tcPr>
            <w:tcW w:w="1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锌</w:t>
            </w:r>
          </w:p>
        </w:tc>
        <w:tc>
          <w:tcPr>
            <w:tcW w:w="5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200</w:t>
            </w:r>
          </w:p>
        </w:tc>
        <w:tc>
          <w:tcPr>
            <w:tcW w:w="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200</w:t>
            </w:r>
          </w:p>
        </w:tc>
        <w:tc>
          <w:tcPr>
            <w:tcW w:w="9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250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300</w:t>
            </w:r>
          </w:p>
        </w:tc>
      </w:tr>
    </w:tbl>
    <w:p>
      <w:pPr>
        <w:pStyle w:val="5"/>
        <w:bidi w:val="0"/>
        <w:rPr>
          <w:highlight w:val="none"/>
        </w:rPr>
      </w:pPr>
      <w:r>
        <w:rPr>
          <w:rFonts w:hint="eastAsia"/>
          <w:highlight w:val="none"/>
          <w:lang w:val="en-US" w:eastAsia="zh-CN"/>
        </w:rPr>
        <w:t>2</w:t>
      </w:r>
      <w:r>
        <w:rPr>
          <w:highlight w:val="none"/>
        </w:rPr>
        <w:t>.7.2  污染物排放标准</w:t>
      </w:r>
    </w:p>
    <w:p>
      <w:pPr>
        <w:bidi w:val="0"/>
        <w:rPr>
          <w:highlight w:val="none"/>
        </w:rPr>
      </w:pPr>
      <w:r>
        <w:rPr>
          <w:highlight w:val="none"/>
        </w:rPr>
        <w:t>本项目拟执行如下污染物排放标准：</w:t>
      </w:r>
    </w:p>
    <w:p>
      <w:pPr>
        <w:pStyle w:val="6"/>
        <w:bidi w:val="0"/>
        <w:rPr>
          <w:highlight w:val="none"/>
        </w:rPr>
      </w:pPr>
      <w:r>
        <w:rPr>
          <w:rFonts w:hint="eastAsia"/>
          <w:highlight w:val="none"/>
          <w:lang w:val="en-US" w:eastAsia="zh-CN"/>
        </w:rPr>
        <w:t>2</w:t>
      </w:r>
      <w:r>
        <w:rPr>
          <w:highlight w:val="none"/>
        </w:rPr>
        <w:t>.7.2.</w:t>
      </w:r>
      <w:r>
        <w:rPr>
          <w:rFonts w:hint="eastAsia"/>
          <w:highlight w:val="none"/>
          <w:lang w:val="en-US" w:eastAsia="zh-CN"/>
        </w:rPr>
        <w:t>1</w:t>
      </w:r>
      <w:r>
        <w:rPr>
          <w:highlight w:val="none"/>
        </w:rPr>
        <w:t xml:space="preserve">  废气</w:t>
      </w:r>
    </w:p>
    <w:p>
      <w:pPr>
        <w:bidi w:val="0"/>
        <w:rPr>
          <w:highlight w:val="none"/>
        </w:rPr>
      </w:pPr>
      <w:r>
        <w:rPr>
          <w:highlight w:val="none"/>
        </w:rPr>
        <w:t>养殖场排放恶臭浓度执行《畜禽养殖业污染物排放标准》（GB18596-2001）中的表7标准；NH</w:t>
      </w:r>
      <w:r>
        <w:rPr>
          <w:highlight w:val="none"/>
          <w:vertAlign w:val="subscript"/>
        </w:rPr>
        <w:t>3</w:t>
      </w:r>
      <w:r>
        <w:rPr>
          <w:highlight w:val="none"/>
        </w:rPr>
        <w:t>和H</w:t>
      </w:r>
      <w:r>
        <w:rPr>
          <w:highlight w:val="none"/>
          <w:vertAlign w:val="subscript"/>
        </w:rPr>
        <w:t>2</w:t>
      </w:r>
      <w:r>
        <w:rPr>
          <w:highlight w:val="none"/>
        </w:rPr>
        <w:t>S执行《恶臭污染物排放标准》（GB14554-93）中新扩改建二级标准限值；具体见表</w:t>
      </w:r>
      <w:r>
        <w:rPr>
          <w:rFonts w:hint="eastAsia"/>
          <w:highlight w:val="none"/>
          <w:lang w:val="en-US" w:eastAsia="zh-CN"/>
        </w:rPr>
        <w:t>2</w:t>
      </w:r>
      <w:r>
        <w:rPr>
          <w:highlight w:val="none"/>
        </w:rPr>
        <w:t>.7-</w:t>
      </w:r>
      <w:r>
        <w:rPr>
          <w:rFonts w:hint="eastAsia"/>
          <w:highlight w:val="none"/>
          <w:lang w:val="en-US" w:eastAsia="zh-CN"/>
        </w:rPr>
        <w:t>6</w:t>
      </w:r>
      <w:r>
        <w:rPr>
          <w:highlight w:val="none"/>
        </w:rPr>
        <w:t>；食堂油烟废气排放执行《饮食业油烟排放标准(试行)》（GB18483-2001）</w:t>
      </w:r>
      <w:r>
        <w:rPr>
          <w:rFonts w:hint="eastAsia"/>
          <w:highlight w:val="none"/>
          <w:lang w:eastAsia="zh-CN"/>
        </w:rPr>
        <w:t>，</w:t>
      </w:r>
      <w:r>
        <w:rPr>
          <w:highlight w:val="none"/>
        </w:rPr>
        <w:t>具体见表</w:t>
      </w:r>
      <w:r>
        <w:rPr>
          <w:rFonts w:hint="eastAsia"/>
          <w:highlight w:val="none"/>
          <w:lang w:val="en-US" w:eastAsia="zh-CN"/>
        </w:rPr>
        <w:t>2</w:t>
      </w:r>
      <w:r>
        <w:rPr>
          <w:highlight w:val="none"/>
        </w:rPr>
        <w:t>.7-</w:t>
      </w:r>
      <w:r>
        <w:rPr>
          <w:rFonts w:hint="eastAsia"/>
          <w:highlight w:val="none"/>
          <w:lang w:val="en-US" w:eastAsia="zh-CN"/>
        </w:rPr>
        <w:t>7</w:t>
      </w:r>
      <w:r>
        <w:rPr>
          <w:highlight w:val="none"/>
        </w:rPr>
        <w:t>，；其他废气执行《大气污染物综合排放标准》（GB16297- 1996）（新、扩、扩建）表2中二级标准，具体见表</w:t>
      </w:r>
      <w:r>
        <w:rPr>
          <w:rFonts w:hint="eastAsia"/>
          <w:highlight w:val="none"/>
          <w:lang w:val="en-US" w:eastAsia="zh-CN"/>
        </w:rPr>
        <w:t>2</w:t>
      </w:r>
      <w:r>
        <w:rPr>
          <w:highlight w:val="none"/>
        </w:rPr>
        <w:t>.7-</w:t>
      </w:r>
      <w:r>
        <w:rPr>
          <w:rFonts w:hint="eastAsia"/>
          <w:highlight w:val="none"/>
          <w:lang w:val="en-US" w:eastAsia="zh-CN"/>
        </w:rPr>
        <w:t>8</w:t>
      </w:r>
      <w:r>
        <w:rPr>
          <w:highlight w:val="none"/>
        </w:rPr>
        <w:t>。</w:t>
      </w:r>
    </w:p>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6</w:t>
      </w:r>
      <w:r>
        <w:rPr>
          <w:highlight w:val="none"/>
        </w:rPr>
        <w:t xml:space="preserve">  项目恶臭污染物无组织排放标准</w:t>
      </w:r>
    </w:p>
    <w:tbl>
      <w:tblPr>
        <w:tblStyle w:val="34"/>
        <w:tblW w:w="5052"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158"/>
        <w:gridCol w:w="3203"/>
        <w:gridCol w:w="35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2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污染物</w:t>
            </w:r>
          </w:p>
        </w:tc>
        <w:tc>
          <w:tcPr>
            <w:tcW w:w="179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单位</w:t>
            </w:r>
          </w:p>
        </w:tc>
        <w:tc>
          <w:tcPr>
            <w:tcW w:w="199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无组织标准限值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臭气浓度</w:t>
            </w:r>
          </w:p>
        </w:tc>
        <w:tc>
          <w:tcPr>
            <w:tcW w:w="179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无量纲</w:t>
            </w:r>
          </w:p>
        </w:tc>
        <w:tc>
          <w:tcPr>
            <w:tcW w:w="199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NH</w:t>
            </w:r>
            <w:r>
              <w:rPr>
                <w:rFonts w:hint="default" w:ascii="Times New Roman" w:hAnsi="Times New Roman" w:eastAsia="宋体" w:cs="Times New Roman"/>
                <w:sz w:val="21"/>
                <w:szCs w:val="21"/>
                <w:highlight w:val="none"/>
                <w:u w:val="none" w:color="auto"/>
                <w:vertAlign w:val="subscript"/>
              </w:rPr>
              <w:t>3</w:t>
            </w:r>
          </w:p>
        </w:tc>
        <w:tc>
          <w:tcPr>
            <w:tcW w:w="179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mg/m</w:t>
            </w:r>
            <w:r>
              <w:rPr>
                <w:rFonts w:hint="default" w:ascii="Times New Roman" w:hAnsi="Times New Roman" w:eastAsia="宋体" w:cs="Times New Roman"/>
                <w:sz w:val="21"/>
                <w:szCs w:val="21"/>
                <w:highlight w:val="none"/>
                <w:u w:val="none" w:color="auto"/>
                <w:vertAlign w:val="superscript"/>
              </w:rPr>
              <w:t>3</w:t>
            </w:r>
          </w:p>
        </w:tc>
        <w:tc>
          <w:tcPr>
            <w:tcW w:w="199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2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H</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S</w:t>
            </w:r>
          </w:p>
        </w:tc>
        <w:tc>
          <w:tcPr>
            <w:tcW w:w="179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mg/m</w:t>
            </w:r>
            <w:r>
              <w:rPr>
                <w:rFonts w:hint="default" w:ascii="Times New Roman" w:hAnsi="Times New Roman" w:eastAsia="宋体" w:cs="Times New Roman"/>
                <w:sz w:val="21"/>
                <w:szCs w:val="21"/>
                <w:highlight w:val="none"/>
                <w:u w:val="none" w:color="auto"/>
                <w:vertAlign w:val="superscript"/>
              </w:rPr>
              <w:t>3</w:t>
            </w:r>
          </w:p>
        </w:tc>
        <w:tc>
          <w:tcPr>
            <w:tcW w:w="199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0.06</w:t>
            </w:r>
          </w:p>
        </w:tc>
      </w:tr>
    </w:tbl>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7</w:t>
      </w:r>
      <w:r>
        <w:rPr>
          <w:highlight w:val="none"/>
        </w:rPr>
        <w:t xml:space="preserve">  饮食业油烟排放标准</w:t>
      </w:r>
    </w:p>
    <w:tbl>
      <w:tblPr>
        <w:tblStyle w:val="34"/>
        <w:tblW w:w="503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442"/>
        <w:gridCol w:w="1055"/>
        <w:gridCol w:w="955"/>
        <w:gridCol w:w="1767"/>
        <w:gridCol w:w="16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规模</w:t>
            </w:r>
          </w:p>
        </w:tc>
        <w:tc>
          <w:tcPr>
            <w:tcW w:w="1132"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小型</w:t>
            </w:r>
          </w:p>
        </w:tc>
        <w:tc>
          <w:tcPr>
            <w:tcW w:w="99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中型</w:t>
            </w:r>
          </w:p>
        </w:tc>
        <w:tc>
          <w:tcPr>
            <w:tcW w:w="93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大  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基准灶头数</w:t>
            </w:r>
          </w:p>
        </w:tc>
        <w:tc>
          <w:tcPr>
            <w:tcW w:w="1132"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≥1，&lt;3</w:t>
            </w:r>
          </w:p>
        </w:tc>
        <w:tc>
          <w:tcPr>
            <w:tcW w:w="99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 ，&lt;6</w:t>
            </w:r>
          </w:p>
        </w:tc>
        <w:tc>
          <w:tcPr>
            <w:tcW w:w="93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对应灶头总功率（10</w:t>
            </w:r>
            <w:r>
              <w:rPr>
                <w:rFonts w:hint="default" w:ascii="Times New Roman" w:hAnsi="Times New Roman" w:eastAsia="宋体" w:cs="Times New Roman"/>
                <w:sz w:val="21"/>
                <w:szCs w:val="21"/>
                <w:highlight w:val="none"/>
                <w:u w:val="none" w:color="auto"/>
                <w:vertAlign w:val="superscript"/>
              </w:rPr>
              <w:t>8</w:t>
            </w:r>
            <w:r>
              <w:rPr>
                <w:rFonts w:hint="default" w:ascii="Times New Roman" w:hAnsi="Times New Roman" w:eastAsia="宋体" w:cs="Times New Roman"/>
                <w:sz w:val="21"/>
                <w:szCs w:val="21"/>
                <w:highlight w:val="none"/>
                <w:u w:val="none" w:color="auto"/>
              </w:rPr>
              <w:t>J/h）</w:t>
            </w:r>
          </w:p>
        </w:tc>
        <w:tc>
          <w:tcPr>
            <w:tcW w:w="59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≥1.67，</w:t>
            </w:r>
          </w:p>
        </w:tc>
        <w:tc>
          <w:tcPr>
            <w:tcW w:w="5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&lt;5.00</w:t>
            </w:r>
          </w:p>
        </w:tc>
        <w:tc>
          <w:tcPr>
            <w:tcW w:w="99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≥5.00 ，&lt;10</w:t>
            </w:r>
          </w:p>
        </w:tc>
        <w:tc>
          <w:tcPr>
            <w:tcW w:w="93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最高允许排放浓度（mg/m</w:t>
            </w:r>
            <w:r>
              <w:rPr>
                <w:rFonts w:hint="default" w:ascii="Times New Roman" w:hAnsi="Times New Roman" w:eastAsia="宋体" w:cs="Times New Roman"/>
                <w:sz w:val="21"/>
                <w:szCs w:val="21"/>
                <w:highlight w:val="none"/>
                <w:u w:val="none" w:color="auto"/>
                <w:vertAlign w:val="superscript"/>
              </w:rPr>
              <w:t>3</w:t>
            </w:r>
            <w:r>
              <w:rPr>
                <w:rFonts w:hint="default" w:ascii="Times New Roman" w:hAnsi="Times New Roman" w:eastAsia="宋体" w:cs="Times New Roman"/>
                <w:sz w:val="21"/>
                <w:szCs w:val="21"/>
                <w:highlight w:val="none"/>
                <w:u w:val="none" w:color="auto"/>
              </w:rPr>
              <w:t>）</w:t>
            </w:r>
          </w:p>
        </w:tc>
        <w:tc>
          <w:tcPr>
            <w:tcW w:w="3061" w:type="pct"/>
            <w:gridSpan w:val="4"/>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93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净化设备最低去除率（%）</w:t>
            </w:r>
          </w:p>
        </w:tc>
        <w:tc>
          <w:tcPr>
            <w:tcW w:w="1132"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60</w:t>
            </w:r>
          </w:p>
        </w:tc>
        <w:tc>
          <w:tcPr>
            <w:tcW w:w="99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75</w:t>
            </w:r>
          </w:p>
        </w:tc>
        <w:tc>
          <w:tcPr>
            <w:tcW w:w="93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85</w:t>
            </w:r>
          </w:p>
        </w:tc>
      </w:tr>
    </w:tbl>
    <w:p>
      <w:pPr>
        <w:keepNext w:val="0"/>
        <w:keepLines w:val="0"/>
        <w:pageBreakBefore w:val="0"/>
        <w:widowControl w:val="0"/>
        <w:kinsoku/>
        <w:wordWrap/>
        <w:overflowPunct/>
        <w:topLinePunct w:val="0"/>
        <w:autoSpaceDE/>
        <w:autoSpaceDN/>
        <w:bidi w:val="0"/>
        <w:adjustRightInd/>
        <w:snapToGrid/>
        <w:spacing w:line="240" w:lineRule="auto"/>
        <w:ind w:firstLine="130"/>
        <w:textAlignment w:val="auto"/>
        <w:rPr>
          <w:rFonts w:ascii="宋体" w:hAnsi="宋体" w:eastAsia="宋体" w:cs="宋体"/>
          <w:spacing w:val="-2"/>
          <w:sz w:val="21"/>
          <w:szCs w:val="21"/>
          <w:highlight w:val="none"/>
        </w:rPr>
      </w:pPr>
      <w:r>
        <w:rPr>
          <w:rFonts w:ascii="宋体" w:hAnsi="宋体" w:eastAsia="宋体" w:cs="宋体"/>
          <w:spacing w:val="-2"/>
          <w:sz w:val="21"/>
          <w:szCs w:val="21"/>
          <w:highlight w:val="none"/>
        </w:rPr>
        <w:t>注：单个灶头基准排风量：大、中、小型均为</w:t>
      </w:r>
      <w:r>
        <w:rPr>
          <w:rFonts w:ascii="宋体" w:hAnsi="宋体" w:eastAsia="宋体" w:cs="宋体"/>
          <w:spacing w:val="-30"/>
          <w:sz w:val="21"/>
          <w:szCs w:val="21"/>
          <w:highlight w:val="none"/>
        </w:rPr>
        <w:t xml:space="preserve"> </w:t>
      </w:r>
      <w:r>
        <w:rPr>
          <w:rFonts w:hint="default" w:ascii="Times New Roman" w:hAnsi="Times New Roman" w:cs="Times New Roman"/>
          <w:spacing w:val="-30"/>
          <w:sz w:val="21"/>
          <w:szCs w:val="21"/>
          <w:highlight w:val="none"/>
          <w:lang w:val="en-US" w:eastAsia="zh-CN"/>
        </w:rPr>
        <w:t>2</w:t>
      </w:r>
      <w:r>
        <w:rPr>
          <w:rFonts w:hint="default" w:ascii="Times New Roman" w:hAnsi="Times New Roman" w:eastAsia="Times New Roman" w:cs="Times New Roman"/>
          <w:spacing w:val="-2"/>
          <w:sz w:val="21"/>
          <w:szCs w:val="21"/>
          <w:highlight w:val="none"/>
        </w:rPr>
        <w:t>000m</w:t>
      </w:r>
      <w:r>
        <w:rPr>
          <w:rFonts w:hint="default" w:ascii="Times New Roman" w:hAnsi="Times New Roman" w:eastAsia="Times New Roman" w:cs="Times New Roman"/>
          <w:spacing w:val="-2"/>
          <w:position w:val="6"/>
          <w:sz w:val="14"/>
          <w:szCs w:val="14"/>
          <w:highlight w:val="none"/>
        </w:rPr>
        <w:t>3</w:t>
      </w:r>
      <w:r>
        <w:rPr>
          <w:rFonts w:hint="default" w:ascii="Times New Roman" w:hAnsi="Times New Roman" w:eastAsia="Times New Roman" w:cs="Times New Roman"/>
          <w:spacing w:val="-2"/>
          <w:sz w:val="21"/>
          <w:szCs w:val="21"/>
          <w:highlight w:val="none"/>
        </w:rPr>
        <w:t>/</w:t>
      </w:r>
      <w:r>
        <w:rPr>
          <w:rFonts w:ascii="Times New Roman" w:hAnsi="Times New Roman" w:eastAsia="Times New Roman" w:cs="Times New Roman"/>
          <w:spacing w:val="-2"/>
          <w:sz w:val="21"/>
          <w:szCs w:val="21"/>
          <w:highlight w:val="none"/>
        </w:rPr>
        <w:t>h</w:t>
      </w:r>
      <w:r>
        <w:rPr>
          <w:rFonts w:ascii="宋体" w:hAnsi="宋体" w:eastAsia="宋体" w:cs="宋体"/>
          <w:spacing w:val="-2"/>
          <w:sz w:val="21"/>
          <w:szCs w:val="21"/>
          <w:highlight w:val="none"/>
        </w:rPr>
        <w:t>，本项目为</w:t>
      </w:r>
      <w:r>
        <w:rPr>
          <w:rFonts w:ascii="Times New Roman" w:hAnsi="Times New Roman" w:eastAsia="Times New Roman" w:cs="Times New Roman"/>
          <w:spacing w:val="-2"/>
          <w:sz w:val="21"/>
          <w:szCs w:val="21"/>
          <w:highlight w:val="none"/>
        </w:rPr>
        <w:t>1</w:t>
      </w:r>
      <w:r>
        <w:rPr>
          <w:rFonts w:ascii="宋体" w:hAnsi="宋体" w:eastAsia="宋体" w:cs="宋体"/>
          <w:spacing w:val="-2"/>
          <w:sz w:val="21"/>
          <w:szCs w:val="21"/>
          <w:highlight w:val="none"/>
        </w:rPr>
        <w:t>个灶头。</w:t>
      </w:r>
    </w:p>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8</w:t>
      </w:r>
      <w:r>
        <w:rPr>
          <w:highlight w:val="none"/>
        </w:rPr>
        <w:t xml:space="preserve">  《大气污染物综合排放标准》（GB16297-1996）二级标准</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63"/>
        <w:gridCol w:w="1273"/>
        <w:gridCol w:w="1749"/>
        <w:gridCol w:w="2133"/>
        <w:gridCol w:w="18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722"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控制项目</w:t>
            </w:r>
          </w:p>
        </w:tc>
        <w:tc>
          <w:tcPr>
            <w:tcW w:w="99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排气筒高度(m)</w:t>
            </w:r>
          </w:p>
        </w:tc>
        <w:tc>
          <w:tcPr>
            <w:tcW w:w="12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标准值(mg/m</w:t>
            </w:r>
            <w:r>
              <w:rPr>
                <w:rFonts w:hint="default" w:ascii="Times New Roman" w:hAnsi="Times New Roman" w:eastAsia="宋体" w:cs="Times New Roman"/>
                <w:sz w:val="21"/>
                <w:szCs w:val="21"/>
                <w:highlight w:val="none"/>
                <w:u w:val="none" w:color="auto"/>
                <w:vertAlign w:val="superscript"/>
              </w:rPr>
              <w:t>3</w:t>
            </w:r>
            <w:r>
              <w:rPr>
                <w:rFonts w:hint="default" w:ascii="Times New Roman" w:hAnsi="Times New Roman" w:eastAsia="宋体" w:cs="Times New Roman"/>
                <w:sz w:val="21"/>
                <w:szCs w:val="21"/>
                <w:highlight w:val="none"/>
                <w:u w:val="none" w:color="auto"/>
              </w:rPr>
              <w:t>)</w:t>
            </w:r>
          </w:p>
        </w:tc>
        <w:tc>
          <w:tcPr>
            <w:tcW w:w="107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排放速率</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00"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无组织排放</w:t>
            </w:r>
          </w:p>
        </w:tc>
        <w:tc>
          <w:tcPr>
            <w:tcW w:w="7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SO</w:t>
            </w:r>
            <w:r>
              <w:rPr>
                <w:rFonts w:hint="default" w:ascii="Times New Roman" w:hAnsi="Times New Roman" w:eastAsia="宋体" w:cs="Times New Roman"/>
                <w:sz w:val="21"/>
                <w:szCs w:val="21"/>
                <w:highlight w:val="none"/>
                <w:u w:val="none" w:color="auto"/>
                <w:vertAlign w:val="subscript"/>
              </w:rPr>
              <w:t>2</w:t>
            </w:r>
          </w:p>
        </w:tc>
        <w:tc>
          <w:tcPr>
            <w:tcW w:w="99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12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0.4</w:t>
            </w:r>
          </w:p>
        </w:tc>
        <w:tc>
          <w:tcPr>
            <w:tcW w:w="107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0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72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NOx</w:t>
            </w:r>
          </w:p>
        </w:tc>
        <w:tc>
          <w:tcPr>
            <w:tcW w:w="99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121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0.12</w:t>
            </w:r>
          </w:p>
        </w:tc>
        <w:tc>
          <w:tcPr>
            <w:tcW w:w="107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r>
    </w:tbl>
    <w:p>
      <w:pPr>
        <w:pStyle w:val="6"/>
        <w:bidi w:val="0"/>
        <w:rPr>
          <w:highlight w:val="none"/>
        </w:rPr>
      </w:pPr>
      <w:r>
        <w:rPr>
          <w:rFonts w:hint="eastAsia"/>
          <w:highlight w:val="none"/>
          <w:lang w:val="en-US" w:eastAsia="zh-CN"/>
        </w:rPr>
        <w:t>2</w:t>
      </w:r>
      <w:r>
        <w:rPr>
          <w:highlight w:val="none"/>
        </w:rPr>
        <w:t>.7.2.</w:t>
      </w:r>
      <w:r>
        <w:rPr>
          <w:rFonts w:hint="eastAsia"/>
          <w:highlight w:val="none"/>
          <w:lang w:val="en-US" w:eastAsia="zh-CN"/>
        </w:rPr>
        <w:t>2</w:t>
      </w:r>
      <w:r>
        <w:rPr>
          <w:highlight w:val="none"/>
        </w:rPr>
        <w:t xml:space="preserve">  污水</w:t>
      </w:r>
    </w:p>
    <w:p>
      <w:pPr>
        <w:bidi w:val="0"/>
        <w:rPr>
          <w:highlight w:val="none"/>
        </w:rPr>
      </w:pPr>
      <w:r>
        <w:rPr>
          <w:highlight w:val="none"/>
        </w:rPr>
        <w:t>本项目综合废水经</w:t>
      </w:r>
      <w:r>
        <w:rPr>
          <w:rFonts w:hint="eastAsia"/>
          <w:highlight w:val="none"/>
          <w:lang w:val="en-US" w:eastAsia="zh-CN"/>
        </w:rPr>
        <w:t>“格栅池+收集池+固液分离+调节池+厌氧处理池+</w:t>
      </w:r>
      <w:r>
        <w:rPr>
          <w:rFonts w:hint="default" w:ascii="Times New Roman" w:hAnsi="Times New Roman" w:cs="Times New Roman"/>
          <w:highlight w:val="none"/>
          <w:u w:val="none" w:color="auto"/>
          <w:lang w:val="en-US" w:eastAsia="zh-CN"/>
        </w:rPr>
        <w:t>A</w:t>
      </w:r>
      <w:r>
        <w:rPr>
          <w:rFonts w:hint="eastAsia" w:cs="Times New Roman"/>
          <w:highlight w:val="none"/>
          <w:u w:val="none" w:color="auto"/>
          <w:vertAlign w:val="superscript"/>
          <w:lang w:val="en-US" w:eastAsia="zh-CN"/>
        </w:rPr>
        <w:t>2</w:t>
      </w:r>
      <w:r>
        <w:rPr>
          <w:rFonts w:hint="default" w:ascii="Times New Roman" w:hAnsi="Times New Roman" w:cs="Times New Roman"/>
          <w:highlight w:val="none"/>
          <w:u w:val="none" w:color="auto"/>
          <w:lang w:val="en-US" w:eastAsia="zh-CN"/>
        </w:rPr>
        <w:t>/O</w:t>
      </w:r>
      <w:r>
        <w:rPr>
          <w:rFonts w:hint="eastAsia" w:cs="Times New Roman"/>
          <w:highlight w:val="none"/>
          <w:u w:val="none" w:color="auto"/>
          <w:vertAlign w:val="superscript"/>
          <w:lang w:val="en-US" w:eastAsia="zh-CN"/>
        </w:rPr>
        <w:t>2</w:t>
      </w:r>
      <w:r>
        <w:rPr>
          <w:rFonts w:hint="eastAsia"/>
          <w:highlight w:val="none"/>
          <w:lang w:val="en-US" w:eastAsia="zh-CN"/>
        </w:rPr>
        <w:t>池+沉淀池+药剂反应池+大型沉淀池+清水池+氧化塘”</w:t>
      </w:r>
      <w:r>
        <w:rPr>
          <w:rFonts w:hint="eastAsia"/>
          <w:highlight w:val="none"/>
          <w:lang w:eastAsia="zh-CN"/>
        </w:rPr>
        <w:t>工艺</w:t>
      </w:r>
      <w:r>
        <w:rPr>
          <w:highlight w:val="none"/>
        </w:rPr>
        <w:t>处理后用于周边</w:t>
      </w:r>
      <w:r>
        <w:rPr>
          <w:rFonts w:hint="eastAsia"/>
          <w:highlight w:val="none"/>
          <w:lang w:eastAsia="zh-CN"/>
        </w:rPr>
        <w:t>林地灌溉</w:t>
      </w:r>
      <w:r>
        <w:rPr>
          <w:highlight w:val="none"/>
        </w:rPr>
        <w:t>施肥。项目污水处理设施出水水质</w:t>
      </w:r>
      <w:r>
        <w:rPr>
          <w:rFonts w:hint="eastAsia"/>
          <w:highlight w:val="none"/>
        </w:rPr>
        <w:t>pH</w:t>
      </w:r>
      <w:r>
        <w:rPr>
          <w:rFonts w:hint="eastAsia"/>
          <w:highlight w:val="none"/>
          <w:lang w:eastAsia="zh-CN"/>
        </w:rPr>
        <w:t>、</w:t>
      </w:r>
      <w:r>
        <w:rPr>
          <w:rFonts w:hint="eastAsia"/>
          <w:highlight w:val="none"/>
        </w:rPr>
        <w:t>SS</w:t>
      </w:r>
      <w:r>
        <w:rPr>
          <w:rFonts w:hint="eastAsia"/>
          <w:highlight w:val="none"/>
          <w:lang w:eastAsia="zh-CN"/>
        </w:rPr>
        <w:t>、</w:t>
      </w:r>
      <w:r>
        <w:rPr>
          <w:rFonts w:hint="eastAsia"/>
          <w:highlight w:val="none"/>
        </w:rPr>
        <w:t>COD</w:t>
      </w:r>
      <w:r>
        <w:rPr>
          <w:rFonts w:hint="eastAsia"/>
          <w:highlight w:val="none"/>
          <w:lang w:eastAsia="zh-CN"/>
        </w:rPr>
        <w:t>、</w:t>
      </w:r>
      <w:r>
        <w:rPr>
          <w:rFonts w:hint="eastAsia"/>
          <w:highlight w:val="none"/>
        </w:rPr>
        <w:t>氯化物（以 Cl-计）</w:t>
      </w:r>
      <w:r>
        <w:rPr>
          <w:rFonts w:hint="eastAsia"/>
          <w:highlight w:val="none"/>
          <w:lang w:eastAsia="zh-CN"/>
        </w:rPr>
        <w:t>、</w:t>
      </w:r>
      <w:r>
        <w:rPr>
          <w:rFonts w:hint="eastAsia"/>
          <w:highlight w:val="none"/>
        </w:rPr>
        <w:t>全盐量</w:t>
      </w:r>
      <w:r>
        <w:rPr>
          <w:rFonts w:hint="eastAsia"/>
          <w:highlight w:val="none"/>
          <w:lang w:eastAsia="zh-CN"/>
        </w:rPr>
        <w:t>、</w:t>
      </w:r>
      <w:r>
        <w:rPr>
          <w:rFonts w:hint="eastAsia"/>
          <w:highlight w:val="none"/>
        </w:rPr>
        <w:t>总镉</w:t>
      </w:r>
      <w:r>
        <w:rPr>
          <w:rFonts w:hint="eastAsia"/>
          <w:highlight w:val="none"/>
          <w:lang w:eastAsia="zh-CN"/>
        </w:rPr>
        <w:t>、</w:t>
      </w:r>
      <w:r>
        <w:rPr>
          <w:rFonts w:hint="eastAsia"/>
          <w:highlight w:val="none"/>
        </w:rPr>
        <w:t>总汞</w:t>
      </w:r>
      <w:r>
        <w:rPr>
          <w:rFonts w:hint="eastAsia"/>
          <w:highlight w:val="none"/>
          <w:lang w:eastAsia="zh-CN"/>
        </w:rPr>
        <w:t>、</w:t>
      </w:r>
      <w:r>
        <w:rPr>
          <w:rFonts w:hint="eastAsia"/>
          <w:highlight w:val="none"/>
        </w:rPr>
        <w:t>蛔虫卵数（个/10L）</w:t>
      </w:r>
      <w:r>
        <w:rPr>
          <w:rFonts w:hint="eastAsia"/>
          <w:highlight w:val="none"/>
          <w:lang w:eastAsia="zh-CN"/>
        </w:rPr>
        <w:t>、</w:t>
      </w:r>
      <w:r>
        <w:rPr>
          <w:rFonts w:hint="eastAsia"/>
          <w:highlight w:val="none"/>
        </w:rPr>
        <w:t>水温BOD</w:t>
      </w:r>
      <w:r>
        <w:rPr>
          <w:rFonts w:hint="eastAsia"/>
          <w:highlight w:val="none"/>
          <w:vertAlign w:val="subscript"/>
        </w:rPr>
        <w:t>5</w:t>
      </w:r>
      <w:r>
        <w:rPr>
          <w:rFonts w:hint="eastAsia"/>
          <w:highlight w:val="none"/>
          <w:lang w:eastAsia="zh-CN"/>
        </w:rPr>
        <w:t>、</w:t>
      </w:r>
      <w:r>
        <w:rPr>
          <w:rFonts w:hint="eastAsia"/>
          <w:highlight w:val="none"/>
        </w:rPr>
        <w:t>阴离子表面活性剂</w:t>
      </w:r>
      <w:r>
        <w:rPr>
          <w:rFonts w:hint="eastAsia"/>
          <w:highlight w:val="none"/>
          <w:lang w:eastAsia="zh-CN"/>
        </w:rPr>
        <w:t>、</w:t>
      </w:r>
      <w:r>
        <w:rPr>
          <w:rFonts w:hint="eastAsia"/>
          <w:highlight w:val="none"/>
        </w:rPr>
        <w:t>硫化物（以S</w:t>
      </w:r>
      <w:r>
        <w:rPr>
          <w:rFonts w:hint="eastAsia"/>
          <w:highlight w:val="none"/>
          <w:vertAlign w:val="superscript"/>
        </w:rPr>
        <w:t>2-</w:t>
      </w:r>
      <w:r>
        <w:rPr>
          <w:rFonts w:hint="eastAsia"/>
          <w:highlight w:val="none"/>
        </w:rPr>
        <w:t>计）</w:t>
      </w:r>
      <w:r>
        <w:rPr>
          <w:rFonts w:hint="eastAsia"/>
          <w:highlight w:val="none"/>
          <w:lang w:eastAsia="zh-CN"/>
        </w:rPr>
        <w:t>、</w:t>
      </w:r>
      <w:r>
        <w:rPr>
          <w:rFonts w:hint="eastAsia"/>
          <w:highlight w:val="none"/>
        </w:rPr>
        <w:t>总铅</w:t>
      </w:r>
      <w:r>
        <w:rPr>
          <w:rFonts w:hint="eastAsia"/>
          <w:highlight w:val="none"/>
          <w:lang w:eastAsia="zh-CN"/>
        </w:rPr>
        <w:t>、</w:t>
      </w:r>
      <w:r>
        <w:rPr>
          <w:rFonts w:hint="eastAsia"/>
          <w:highlight w:val="none"/>
        </w:rPr>
        <w:t>铬（六价）</w:t>
      </w:r>
      <w:r>
        <w:rPr>
          <w:rFonts w:hint="eastAsia"/>
          <w:highlight w:val="none"/>
          <w:lang w:eastAsia="zh-CN"/>
        </w:rPr>
        <w:t>、</w:t>
      </w:r>
      <w:r>
        <w:rPr>
          <w:rFonts w:hint="eastAsia"/>
          <w:highlight w:val="none"/>
        </w:rPr>
        <w:t>总砷</w:t>
      </w:r>
      <w:r>
        <w:rPr>
          <w:rFonts w:hint="eastAsia"/>
          <w:highlight w:val="none"/>
          <w:lang w:eastAsia="zh-CN"/>
        </w:rPr>
        <w:t>、</w:t>
      </w:r>
      <w:r>
        <w:rPr>
          <w:rFonts w:hint="eastAsia"/>
          <w:highlight w:val="none"/>
        </w:rPr>
        <w:t>粪大肠菌群数（个/100mL）</w:t>
      </w:r>
      <w:r>
        <w:rPr>
          <w:highlight w:val="none"/>
        </w:rPr>
        <w:t>执行《畜禽养殖业污染物排放标准》（GB18596-2001）中的标准，</w:t>
      </w:r>
      <w:r>
        <w:rPr>
          <w:rFonts w:hint="eastAsia"/>
          <w:highlight w:val="none"/>
          <w:lang w:eastAsia="zh-CN"/>
        </w:rPr>
        <w:t>同时</w:t>
      </w:r>
      <w:r>
        <w:rPr>
          <w:highlight w:val="none"/>
        </w:rPr>
        <w:t>尾水用于灌溉时应满足《农田灌溉水质标准》（GB5084-2021）中的水作标准</w:t>
      </w:r>
      <w:r>
        <w:rPr>
          <w:rFonts w:hint="eastAsia"/>
          <w:highlight w:val="none"/>
          <w:lang w:eastAsia="zh-CN"/>
        </w:rPr>
        <w:t>。</w:t>
      </w:r>
      <w:r>
        <w:rPr>
          <w:highlight w:val="none"/>
        </w:rPr>
        <w:t>具体见表</w:t>
      </w:r>
      <w:r>
        <w:rPr>
          <w:rFonts w:hint="eastAsia"/>
          <w:highlight w:val="none"/>
          <w:lang w:val="en-US" w:eastAsia="zh-CN"/>
        </w:rPr>
        <w:t>2</w:t>
      </w:r>
      <w:r>
        <w:rPr>
          <w:highlight w:val="none"/>
        </w:rPr>
        <w:t>.7-</w:t>
      </w:r>
      <w:r>
        <w:rPr>
          <w:rFonts w:hint="eastAsia"/>
          <w:highlight w:val="none"/>
          <w:lang w:val="en-US" w:eastAsia="zh-CN"/>
        </w:rPr>
        <w:t>9</w:t>
      </w:r>
      <w:r>
        <w:rPr>
          <w:highlight w:val="none"/>
        </w:rPr>
        <w:t>。</w:t>
      </w:r>
    </w:p>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9</w:t>
      </w:r>
      <w:r>
        <w:rPr>
          <w:highlight w:val="none"/>
        </w:rPr>
        <w:t xml:space="preserve">  污水排放浓度标准限值</w:t>
      </w:r>
    </w:p>
    <w:tbl>
      <w:tblPr>
        <w:tblStyle w:val="34"/>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49"/>
        <w:gridCol w:w="1013"/>
        <w:gridCol w:w="917"/>
        <w:gridCol w:w="917"/>
        <w:gridCol w:w="917"/>
        <w:gridCol w:w="917"/>
        <w:gridCol w:w="1459"/>
        <w:gridCol w:w="9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控制项目</w:t>
            </w:r>
          </w:p>
        </w:tc>
        <w:tc>
          <w:tcPr>
            <w:tcW w:w="57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vertAlign w:val="subscript"/>
              </w:rPr>
            </w:pPr>
            <w:r>
              <w:rPr>
                <w:rFonts w:hint="default" w:ascii="Times New Roman" w:hAnsi="Times New Roman" w:eastAsia="宋体" w:cs="Times New Roman"/>
                <w:sz w:val="21"/>
                <w:szCs w:val="21"/>
                <w:highlight w:val="none"/>
                <w:u w:val="none" w:color="auto"/>
              </w:rPr>
              <w:t>BOD</w:t>
            </w:r>
            <w:r>
              <w:rPr>
                <w:rFonts w:hint="default" w:ascii="Times New Roman" w:hAnsi="Times New Roman" w:eastAsia="宋体" w:cs="Times New Roman"/>
                <w:sz w:val="21"/>
                <w:szCs w:val="21"/>
                <w:highlight w:val="none"/>
                <w:u w:val="none" w:color="auto"/>
                <w:vertAlign w:val="subscript"/>
              </w:rPr>
              <w:t>5</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(mg/L)</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COD</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(mg/L)</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SS</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(mg/L)</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eastAsia="zh-CN"/>
              </w:rPr>
              <w:t>NH</w:t>
            </w:r>
            <w:r>
              <w:rPr>
                <w:rFonts w:hint="eastAsia" w:cs="Times New Roman"/>
                <w:sz w:val="21"/>
                <w:szCs w:val="21"/>
                <w:highlight w:val="none"/>
                <w:u w:val="none" w:color="auto"/>
                <w:vertAlign w:val="subscript"/>
                <w:lang w:eastAsia="zh-CN"/>
              </w:rPr>
              <w:t>3</w:t>
            </w:r>
            <w:r>
              <w:rPr>
                <w:rFonts w:hint="default" w:ascii="Times New Roman" w:hAnsi="Times New Roman" w:eastAsia="宋体" w:cs="Times New Roman"/>
                <w:sz w:val="21"/>
                <w:szCs w:val="21"/>
                <w:highlight w:val="none"/>
                <w:u w:val="none" w:color="auto"/>
              </w:rPr>
              <w:t>-N</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(mg/L)</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总磷</w:t>
            </w:r>
          </w:p>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(mg/L)</w:t>
            </w:r>
          </w:p>
        </w:tc>
        <w:tc>
          <w:tcPr>
            <w:tcW w:w="8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sz w:val="21"/>
                <w:szCs w:val="21"/>
                <w:highlight w:val="none"/>
                <w:u w:val="none" w:color="auto"/>
                <w:lang w:eastAsia="zh-CN"/>
              </w:rPr>
            </w:pPr>
            <w:r>
              <w:rPr>
                <w:rFonts w:hint="default" w:ascii="Times New Roman" w:hAnsi="Times New Roman" w:eastAsia="宋体" w:cs="Times New Roman"/>
                <w:sz w:val="21"/>
                <w:szCs w:val="21"/>
                <w:highlight w:val="none"/>
                <w:u w:val="none" w:color="auto"/>
              </w:rPr>
              <w:t>粪大肠杆菌</w:t>
            </w:r>
          </w:p>
        </w:tc>
        <w:tc>
          <w:tcPr>
            <w:tcW w:w="5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sz w:val="21"/>
                <w:szCs w:val="21"/>
                <w:highlight w:val="none"/>
                <w:u w:val="none" w:color="auto"/>
                <w:lang w:eastAsia="zh-CN"/>
              </w:rPr>
            </w:pPr>
            <w:r>
              <w:rPr>
                <w:rFonts w:hint="default" w:ascii="Times New Roman" w:hAnsi="Times New Roman" w:eastAsia="宋体" w:cs="Times New Roman"/>
                <w:sz w:val="21"/>
                <w:szCs w:val="21"/>
                <w:highlight w:val="none"/>
                <w:u w:val="none" w:color="auto"/>
              </w:rPr>
              <w:t>蛔虫卵</w:t>
            </w:r>
            <w:r>
              <w:rPr>
                <w:rFonts w:hint="eastAsia"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个/L</w:t>
            </w:r>
            <w:r>
              <w:rPr>
                <w:rFonts w:hint="eastAsia" w:ascii="Times New Roman" w:hAnsi="Times New Roman" w:eastAsia="宋体" w:cs="Times New Roman"/>
                <w:sz w:val="21"/>
                <w:szCs w:val="21"/>
                <w:highlight w:val="none"/>
                <w:u w:val="none" w:color="auto"/>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GB18596-2001标准值</w:t>
            </w:r>
          </w:p>
        </w:tc>
        <w:tc>
          <w:tcPr>
            <w:tcW w:w="57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150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400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200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80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8.0</w:t>
            </w:r>
          </w:p>
        </w:tc>
        <w:tc>
          <w:tcPr>
            <w:tcW w:w="8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rPr>
              <w:t>1000个/100m</w:t>
            </w:r>
            <w:r>
              <w:rPr>
                <w:rFonts w:hint="eastAsia" w:cs="Times New Roman"/>
                <w:sz w:val="21"/>
                <w:szCs w:val="21"/>
                <w:highlight w:val="none"/>
                <w:u w:val="none" w:color="auto"/>
                <w:lang w:val="en-US" w:eastAsia="zh-CN"/>
              </w:rPr>
              <w:t>L</w:t>
            </w:r>
          </w:p>
        </w:tc>
        <w:tc>
          <w:tcPr>
            <w:tcW w:w="5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GB5084-2021水作标准</w:t>
            </w:r>
          </w:p>
        </w:tc>
        <w:tc>
          <w:tcPr>
            <w:tcW w:w="57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150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80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w:t>
            </w:r>
          </w:p>
        </w:tc>
        <w:tc>
          <w:tcPr>
            <w:tcW w:w="8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rPr>
              <w:t>40000</w:t>
            </w:r>
            <w:r>
              <w:rPr>
                <w:rFonts w:hint="eastAsia" w:cs="Times New Roman"/>
                <w:sz w:val="21"/>
                <w:szCs w:val="21"/>
                <w:highlight w:val="none"/>
                <w:u w:val="none" w:color="auto"/>
                <w:lang w:val="en-US" w:eastAsia="zh-CN"/>
              </w:rPr>
              <w:t>MPN/L</w:t>
            </w:r>
          </w:p>
        </w:tc>
        <w:tc>
          <w:tcPr>
            <w:tcW w:w="5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sz w:val="21"/>
                <w:szCs w:val="21"/>
                <w:highlight w:val="none"/>
                <w:u w:val="none" w:color="auto"/>
                <w:lang w:eastAsia="zh-CN"/>
              </w:rPr>
            </w:pPr>
            <w:r>
              <w:rPr>
                <w:rFonts w:hint="eastAsia" w:cs="Times New Roman"/>
                <w:sz w:val="21"/>
                <w:szCs w:val="21"/>
                <w:highlight w:val="none"/>
                <w:u w:val="none" w:color="auto"/>
                <w:lang w:eastAsia="zh-CN"/>
              </w:rPr>
              <w:t>本项目从严执行</w:t>
            </w:r>
          </w:p>
        </w:tc>
        <w:tc>
          <w:tcPr>
            <w:tcW w:w="57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60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150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80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80</w:t>
            </w:r>
          </w:p>
        </w:tc>
        <w:tc>
          <w:tcPr>
            <w:tcW w:w="51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8.0</w:t>
            </w:r>
          </w:p>
        </w:tc>
        <w:tc>
          <w:tcPr>
            <w:tcW w:w="1459"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1000个/100m</w:t>
            </w:r>
            <w:r>
              <w:rPr>
                <w:rFonts w:hint="eastAsia" w:cs="Times New Roman"/>
                <w:sz w:val="21"/>
                <w:szCs w:val="21"/>
                <w:highlight w:val="none"/>
                <w:u w:val="none" w:color="auto"/>
                <w:lang w:val="en-US" w:eastAsia="zh-CN"/>
              </w:rPr>
              <w:t>L</w:t>
            </w:r>
          </w:p>
        </w:tc>
        <w:tc>
          <w:tcPr>
            <w:tcW w:w="957"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w:t>
            </w:r>
          </w:p>
        </w:tc>
      </w:tr>
    </w:tbl>
    <w:p>
      <w:pPr>
        <w:pStyle w:val="6"/>
        <w:bidi w:val="0"/>
        <w:rPr>
          <w:highlight w:val="none"/>
        </w:rPr>
      </w:pPr>
      <w:r>
        <w:rPr>
          <w:rFonts w:hint="eastAsia"/>
          <w:highlight w:val="none"/>
          <w:lang w:val="en-US" w:eastAsia="zh-CN"/>
        </w:rPr>
        <w:t>2</w:t>
      </w:r>
      <w:r>
        <w:rPr>
          <w:highlight w:val="none"/>
        </w:rPr>
        <w:t>.7.2.3  噪声</w:t>
      </w:r>
    </w:p>
    <w:p>
      <w:pPr>
        <w:bidi w:val="0"/>
        <w:rPr>
          <w:highlight w:val="none"/>
        </w:rPr>
      </w:pPr>
      <w:r>
        <w:rPr>
          <w:highlight w:val="none"/>
        </w:rPr>
        <w:t>营运期厂界执行：《工业企业厂界环境噪声排放标准》（GB12348-2008）2类标准，具体见表</w:t>
      </w:r>
      <w:r>
        <w:rPr>
          <w:rFonts w:hint="eastAsia"/>
          <w:highlight w:val="none"/>
          <w:lang w:val="en-US" w:eastAsia="zh-CN"/>
        </w:rPr>
        <w:t>2</w:t>
      </w:r>
      <w:r>
        <w:rPr>
          <w:highlight w:val="none"/>
        </w:rPr>
        <w:t>.7-</w:t>
      </w:r>
      <w:r>
        <w:rPr>
          <w:rFonts w:hint="eastAsia"/>
          <w:highlight w:val="none"/>
          <w:lang w:val="en-US" w:eastAsia="zh-CN"/>
        </w:rPr>
        <w:t>10</w:t>
      </w:r>
      <w:r>
        <w:rPr>
          <w:highlight w:val="none"/>
        </w:rPr>
        <w:t>。</w:t>
      </w:r>
    </w:p>
    <w:p>
      <w:pPr>
        <w:pStyle w:val="7"/>
        <w:bidi w:val="0"/>
        <w:rPr>
          <w:highlight w:val="none"/>
        </w:rPr>
      </w:pPr>
      <w:r>
        <w:rPr>
          <w:highlight w:val="none"/>
        </w:rPr>
        <w:t>表</w:t>
      </w:r>
      <w:r>
        <w:rPr>
          <w:rFonts w:hint="eastAsia"/>
          <w:highlight w:val="none"/>
          <w:lang w:val="en-US" w:eastAsia="zh-CN"/>
        </w:rPr>
        <w:t>2</w:t>
      </w:r>
      <w:r>
        <w:rPr>
          <w:highlight w:val="none"/>
        </w:rPr>
        <w:t>.7-</w:t>
      </w:r>
      <w:r>
        <w:rPr>
          <w:rFonts w:hint="eastAsia"/>
          <w:highlight w:val="none"/>
          <w:lang w:val="en-US" w:eastAsia="zh-CN"/>
        </w:rPr>
        <w:t>10</w:t>
      </w:r>
      <w:r>
        <w:rPr>
          <w:highlight w:val="none"/>
        </w:rPr>
        <w:t xml:space="preserve">  工业企业厂界环境噪声排放标准   单位：dB（A）</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097"/>
        <w:gridCol w:w="2804"/>
        <w:gridCol w:w="29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7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类别</w:t>
            </w:r>
          </w:p>
        </w:tc>
        <w:tc>
          <w:tcPr>
            <w:tcW w:w="1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昼间</w:t>
            </w:r>
          </w:p>
        </w:tc>
        <w:tc>
          <w:tcPr>
            <w:tcW w:w="165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5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ascii="Times New Roman" w:hAnsi="Times New Roman" w:eastAsia="宋体" w:cs="Times New Roman"/>
                <w:sz w:val="21"/>
                <w:szCs w:val="21"/>
                <w:highlight w:val="none"/>
                <w:u w:val="none" w:color="auto"/>
                <w:lang w:val="en-US" w:eastAsia="zh-CN"/>
              </w:rPr>
              <w:t>2</w:t>
            </w:r>
            <w:r>
              <w:rPr>
                <w:rFonts w:hint="default" w:ascii="Times New Roman" w:hAnsi="Times New Roman" w:eastAsia="宋体" w:cs="Times New Roman"/>
                <w:sz w:val="21"/>
                <w:szCs w:val="21"/>
                <w:highlight w:val="none"/>
                <w:u w:val="none" w:color="auto"/>
              </w:rPr>
              <w:t>类</w:t>
            </w:r>
          </w:p>
        </w:tc>
        <w:tc>
          <w:tcPr>
            <w:tcW w:w="159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60</w:t>
            </w:r>
          </w:p>
        </w:tc>
        <w:tc>
          <w:tcPr>
            <w:tcW w:w="165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50</w:t>
            </w:r>
          </w:p>
        </w:tc>
      </w:tr>
    </w:tbl>
    <w:p>
      <w:pPr>
        <w:pStyle w:val="6"/>
        <w:bidi w:val="0"/>
        <w:rPr>
          <w:highlight w:val="none"/>
        </w:rPr>
      </w:pPr>
      <w:r>
        <w:rPr>
          <w:rFonts w:hint="eastAsia"/>
          <w:highlight w:val="none"/>
          <w:lang w:val="en-US" w:eastAsia="zh-CN"/>
        </w:rPr>
        <w:t>2</w:t>
      </w:r>
      <w:r>
        <w:rPr>
          <w:highlight w:val="none"/>
        </w:rPr>
        <w:t>.7.2.4  固废</w:t>
      </w:r>
    </w:p>
    <w:p>
      <w:pPr>
        <w:bidi w:val="0"/>
        <w:rPr>
          <w:highlight w:val="none"/>
        </w:rPr>
      </w:pPr>
      <w:r>
        <w:rPr>
          <w:highlight w:val="none"/>
        </w:rPr>
        <w:t>本项目养殖废渣执行《禽畜养殖业污染物排放标准》（GB18596-2001）中的废渣无害化标准，具体见表</w:t>
      </w:r>
      <w:r>
        <w:rPr>
          <w:rFonts w:hint="eastAsia"/>
          <w:highlight w:val="none"/>
          <w:lang w:val="en-US" w:eastAsia="zh-CN"/>
        </w:rPr>
        <w:t>2</w:t>
      </w:r>
      <w:r>
        <w:rPr>
          <w:highlight w:val="none"/>
        </w:rPr>
        <w:t>.7-1</w:t>
      </w:r>
      <w:r>
        <w:rPr>
          <w:rFonts w:hint="eastAsia"/>
          <w:highlight w:val="none"/>
          <w:lang w:val="en-US" w:eastAsia="zh-CN"/>
        </w:rPr>
        <w:t>1</w:t>
      </w:r>
      <w:r>
        <w:rPr>
          <w:highlight w:val="none"/>
        </w:rPr>
        <w:t>；一般固废执行《一般工业固体废物贮存</w:t>
      </w:r>
      <w:r>
        <w:rPr>
          <w:rFonts w:hint="eastAsia"/>
          <w:highlight w:val="none"/>
          <w:lang w:eastAsia="zh-CN"/>
        </w:rPr>
        <w:t>和填埋</w:t>
      </w:r>
      <w:r>
        <w:rPr>
          <w:highlight w:val="none"/>
        </w:rPr>
        <w:t>污染控制标准》（GB18599-2020）；病死猪处理执行《病害动物和病害动物产品生物安全处理规程》（GB16548-2006）；粪便处理执行《粪便无害化卫生要求》（GB7959-2012）；废弃兽药及防疫防病医疗废物执行《危险废物贮存污染控制标准》（GB18597-2001）及其2013年修改单；生活垃圾执行《生活垃圾填埋场污染物控制标准》（GB16889-2008）。</w:t>
      </w:r>
    </w:p>
    <w:p>
      <w:pPr>
        <w:pStyle w:val="7"/>
        <w:bidi w:val="0"/>
        <w:rPr>
          <w:highlight w:val="none"/>
        </w:rPr>
      </w:pPr>
      <w:r>
        <w:rPr>
          <w:highlight w:val="none"/>
        </w:rPr>
        <w:t>表</w:t>
      </w:r>
      <w:r>
        <w:rPr>
          <w:rFonts w:hint="eastAsia"/>
          <w:highlight w:val="none"/>
          <w:lang w:val="en-US" w:eastAsia="zh-CN"/>
        </w:rPr>
        <w:t>2</w:t>
      </w:r>
      <w:r>
        <w:rPr>
          <w:highlight w:val="none"/>
        </w:rPr>
        <w:t>.7-1</w:t>
      </w:r>
      <w:r>
        <w:rPr>
          <w:rFonts w:hint="eastAsia"/>
          <w:highlight w:val="none"/>
          <w:lang w:val="en-US" w:eastAsia="zh-CN"/>
        </w:rPr>
        <w:t>1</w:t>
      </w:r>
      <w:r>
        <w:rPr>
          <w:highlight w:val="none"/>
        </w:rPr>
        <w:t xml:space="preserve">  禽畜养殖业废渣无害化环境标准</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211"/>
        <w:gridCol w:w="4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3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控制项目</w:t>
            </w:r>
          </w:p>
        </w:tc>
        <w:tc>
          <w:tcPr>
            <w:tcW w:w="26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指标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蛔虫卵数</w:t>
            </w:r>
          </w:p>
        </w:tc>
        <w:tc>
          <w:tcPr>
            <w:tcW w:w="26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死亡率≥95%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88"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粪大肠杆菌数</w:t>
            </w:r>
          </w:p>
        </w:tc>
        <w:tc>
          <w:tcPr>
            <w:tcW w:w="261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≤10</w:t>
            </w:r>
            <w:r>
              <w:rPr>
                <w:rFonts w:hint="default" w:ascii="Times New Roman" w:hAnsi="Times New Roman" w:eastAsia="宋体" w:cs="Times New Roman"/>
                <w:sz w:val="21"/>
                <w:szCs w:val="21"/>
                <w:highlight w:val="none"/>
                <w:u w:val="none" w:color="auto"/>
                <w:vertAlign w:val="superscript"/>
              </w:rPr>
              <w:t>5</w:t>
            </w:r>
            <w:r>
              <w:rPr>
                <w:rFonts w:hint="default" w:ascii="Times New Roman" w:hAnsi="Times New Roman" w:eastAsia="宋体" w:cs="Times New Roman"/>
                <w:sz w:val="21"/>
                <w:szCs w:val="21"/>
                <w:highlight w:val="none"/>
                <w:u w:val="none" w:color="auto"/>
              </w:rPr>
              <w:t>个/kg</w:t>
            </w:r>
          </w:p>
        </w:tc>
      </w:tr>
    </w:tbl>
    <w:p>
      <w:pPr>
        <w:pStyle w:val="4"/>
        <w:bidi w:val="0"/>
        <w:rPr>
          <w:highlight w:val="none"/>
          <w:u w:val="single" w:color="auto"/>
        </w:rPr>
      </w:pPr>
      <w:bookmarkStart w:id="31" w:name="_Toc4505"/>
      <w:bookmarkStart w:id="32" w:name="_Toc21356"/>
      <w:r>
        <w:rPr>
          <w:rFonts w:hint="eastAsia"/>
          <w:highlight w:val="none"/>
          <w:u w:val="single" w:color="auto"/>
          <w:lang w:val="en-US" w:eastAsia="zh-CN"/>
        </w:rPr>
        <w:t>2</w:t>
      </w:r>
      <w:r>
        <w:rPr>
          <w:highlight w:val="none"/>
          <w:u w:val="single" w:color="auto"/>
        </w:rPr>
        <w:t>.8  环境保护目标</w:t>
      </w:r>
      <w:bookmarkEnd w:id="31"/>
      <w:bookmarkEnd w:id="32"/>
    </w:p>
    <w:p>
      <w:pPr>
        <w:bidi w:val="0"/>
        <w:rPr>
          <w:highlight w:val="none"/>
          <w:u w:val="single" w:color="auto"/>
        </w:rPr>
      </w:pPr>
      <w:r>
        <w:rPr>
          <w:highlight w:val="none"/>
          <w:u w:val="single" w:color="auto"/>
        </w:rPr>
        <w:t>根据项目现场初步调查，区域为农村，无重点保护文物和珍稀动植物。</w:t>
      </w:r>
      <w:r>
        <w:rPr>
          <w:rFonts w:hint="eastAsia"/>
          <w:highlight w:val="none"/>
          <w:u w:val="single" w:color="auto"/>
          <w:lang w:eastAsia="zh-CN"/>
        </w:rPr>
        <w:t>本项目东、南、西三面为林地环绕，</w:t>
      </w:r>
      <w:r>
        <w:rPr>
          <w:highlight w:val="none"/>
          <w:u w:val="single" w:color="auto"/>
        </w:rPr>
        <w:t>本次评价根据周围居民分布、污染特征等确定环境保护目标，详见表</w:t>
      </w:r>
      <w:r>
        <w:rPr>
          <w:rFonts w:hint="eastAsia"/>
          <w:highlight w:val="none"/>
          <w:u w:val="single" w:color="auto"/>
          <w:lang w:val="en-US" w:eastAsia="zh-CN"/>
        </w:rPr>
        <w:t>2</w:t>
      </w:r>
      <w:r>
        <w:rPr>
          <w:highlight w:val="none"/>
          <w:u w:val="single" w:color="auto"/>
        </w:rPr>
        <w:t>.8-1、</w:t>
      </w:r>
      <w:r>
        <w:rPr>
          <w:rFonts w:hint="eastAsia"/>
          <w:highlight w:val="none"/>
          <w:u w:val="single" w:color="auto"/>
          <w:lang w:val="en-US" w:eastAsia="zh-CN"/>
        </w:rPr>
        <w:t>2</w:t>
      </w:r>
      <w:r>
        <w:rPr>
          <w:highlight w:val="none"/>
          <w:u w:val="single" w:color="auto"/>
        </w:rPr>
        <w:t>.8-2。</w:t>
      </w:r>
    </w:p>
    <w:p>
      <w:pPr>
        <w:pStyle w:val="7"/>
        <w:bidi w:val="0"/>
        <w:rPr>
          <w:highlight w:val="none"/>
          <w:u w:val="single" w:color="auto"/>
        </w:rPr>
      </w:pPr>
      <w:r>
        <w:rPr>
          <w:highlight w:val="none"/>
          <w:u w:val="single" w:color="auto"/>
        </w:rPr>
        <w:t>表</w:t>
      </w:r>
      <w:r>
        <w:rPr>
          <w:rFonts w:hint="eastAsia"/>
          <w:highlight w:val="none"/>
          <w:u w:val="single" w:color="auto"/>
          <w:lang w:val="en-US" w:eastAsia="zh-CN"/>
        </w:rPr>
        <w:t>2</w:t>
      </w:r>
      <w:r>
        <w:rPr>
          <w:highlight w:val="none"/>
          <w:u w:val="single" w:color="auto"/>
        </w:rPr>
        <w:t>.8-1  环境空气保护目标</w:t>
      </w:r>
    </w:p>
    <w:tbl>
      <w:tblPr>
        <w:tblStyle w:val="34"/>
        <w:tblW w:w="501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49"/>
        <w:gridCol w:w="1035"/>
        <w:gridCol w:w="1308"/>
        <w:gridCol w:w="720"/>
        <w:gridCol w:w="1248"/>
        <w:gridCol w:w="814"/>
        <w:gridCol w:w="918"/>
        <w:gridCol w:w="13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9"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名称</w:t>
            </w:r>
          </w:p>
        </w:tc>
        <w:tc>
          <w:tcPr>
            <w:tcW w:w="1324"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坐标</w:t>
            </w:r>
          </w:p>
        </w:tc>
        <w:tc>
          <w:tcPr>
            <w:tcW w:w="407"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保护对象</w:t>
            </w:r>
          </w:p>
        </w:tc>
        <w:tc>
          <w:tcPr>
            <w:tcW w:w="705"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保护内容</w:t>
            </w:r>
          </w:p>
        </w:tc>
        <w:tc>
          <w:tcPr>
            <w:tcW w:w="460"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环境功能区</w:t>
            </w:r>
          </w:p>
        </w:tc>
        <w:tc>
          <w:tcPr>
            <w:tcW w:w="519"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相对厂址方位</w:t>
            </w:r>
          </w:p>
        </w:tc>
        <w:tc>
          <w:tcPr>
            <w:tcW w:w="764"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相对厂址距离/m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19"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经度</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纬度</w:t>
            </w:r>
          </w:p>
        </w:tc>
        <w:tc>
          <w:tcPr>
            <w:tcW w:w="407"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70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46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519"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764"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eastAsia" w:cs="Times New Roman"/>
                <w:b w:val="0"/>
                <w:bCs w:val="0"/>
                <w:sz w:val="21"/>
                <w:szCs w:val="21"/>
                <w:highlight w:val="none"/>
                <w:u w:val="single" w:color="auto"/>
                <w:lang w:val="en-US" w:eastAsia="zh-CN"/>
              </w:rPr>
              <w:t>A1</w:t>
            </w:r>
            <w:r>
              <w:rPr>
                <w:rFonts w:hint="eastAsia" w:cs="Times New Roman"/>
                <w:b w:val="0"/>
                <w:bCs w:val="0"/>
                <w:sz w:val="21"/>
                <w:szCs w:val="21"/>
                <w:highlight w:val="none"/>
                <w:u w:val="single" w:color="auto"/>
                <w:lang w:eastAsia="zh-CN"/>
              </w:rPr>
              <w:t>南泥湾</w:t>
            </w:r>
            <w:r>
              <w:rPr>
                <w:rFonts w:hint="default" w:ascii="Times New Roman" w:hAnsi="Times New Roman" w:eastAsia="宋体" w:cs="Times New Roman"/>
                <w:b w:val="0"/>
                <w:bCs w:val="0"/>
                <w:sz w:val="21"/>
                <w:szCs w:val="21"/>
                <w:highlight w:val="none"/>
                <w:u w:val="single" w:color="auto"/>
              </w:rPr>
              <w:t>居民</w:t>
            </w: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112.75084</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29.57712</w:t>
            </w:r>
          </w:p>
        </w:tc>
        <w:tc>
          <w:tcPr>
            <w:tcW w:w="40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居民</w:t>
            </w:r>
          </w:p>
        </w:tc>
        <w:tc>
          <w:tcPr>
            <w:tcW w:w="70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约</w:t>
            </w:r>
            <w:r>
              <w:rPr>
                <w:rFonts w:hint="eastAsia" w:cs="Times New Roman"/>
                <w:b w:val="0"/>
                <w:bCs w:val="0"/>
                <w:sz w:val="21"/>
                <w:szCs w:val="21"/>
                <w:highlight w:val="none"/>
                <w:u w:val="single" w:color="auto"/>
                <w:lang w:val="en-US" w:eastAsia="zh-CN"/>
              </w:rPr>
              <w:t>4</w:t>
            </w:r>
            <w:r>
              <w:rPr>
                <w:rFonts w:hint="default" w:ascii="Times New Roman" w:hAnsi="Times New Roman" w:eastAsia="宋体" w:cs="Times New Roman"/>
                <w:b w:val="0"/>
                <w:bCs w:val="0"/>
                <w:sz w:val="21"/>
                <w:szCs w:val="21"/>
                <w:highlight w:val="none"/>
                <w:u w:val="single" w:color="auto"/>
              </w:rPr>
              <w:t>户</w:t>
            </w:r>
            <w:r>
              <w:rPr>
                <w:rFonts w:hint="eastAsia" w:cs="Times New Roman"/>
                <w:b w:val="0"/>
                <w:bCs w:val="0"/>
                <w:sz w:val="21"/>
                <w:szCs w:val="21"/>
                <w:highlight w:val="none"/>
                <w:u w:val="single" w:color="auto"/>
                <w:lang w:val="en-US" w:eastAsia="zh-CN"/>
              </w:rPr>
              <w:t>12</w:t>
            </w:r>
            <w:r>
              <w:rPr>
                <w:rFonts w:hint="default" w:ascii="Times New Roman" w:hAnsi="Times New Roman" w:eastAsia="宋体" w:cs="Times New Roman"/>
                <w:b w:val="0"/>
                <w:bCs w:val="0"/>
                <w:sz w:val="21"/>
                <w:szCs w:val="21"/>
                <w:highlight w:val="none"/>
                <w:u w:val="single" w:color="auto"/>
              </w:rPr>
              <w:t>人</w:t>
            </w:r>
          </w:p>
        </w:tc>
        <w:tc>
          <w:tcPr>
            <w:tcW w:w="460"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二类区</w:t>
            </w:r>
          </w:p>
        </w:tc>
        <w:tc>
          <w:tcPr>
            <w:tcW w:w="5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N</w:t>
            </w:r>
          </w:p>
        </w:tc>
        <w:tc>
          <w:tcPr>
            <w:tcW w:w="7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200</w:t>
            </w:r>
            <w:r>
              <w:rPr>
                <w:rFonts w:hint="default" w:ascii="Times New Roman" w:hAnsi="Times New Roman" w:eastAsia="宋体" w:cs="Times New Roman"/>
                <w:b w:val="0"/>
                <w:bCs w:val="0"/>
                <w:sz w:val="21"/>
                <w:szCs w:val="21"/>
                <w:highlight w:val="none"/>
                <w:u w:val="single" w:color="auto"/>
              </w:rPr>
              <w:t>～</w:t>
            </w:r>
            <w:r>
              <w:rPr>
                <w:rFonts w:hint="eastAsia" w:cs="Times New Roman"/>
                <w:b w:val="0"/>
                <w:bCs w:val="0"/>
                <w:sz w:val="21"/>
                <w:szCs w:val="21"/>
                <w:highlight w:val="none"/>
                <w:u w:val="single" w:color="auto"/>
                <w:lang w:val="en-US" w:eastAsia="zh-CN"/>
              </w:rPr>
              <w:t>400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eastAsia="宋体"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val="en-US" w:eastAsia="zh-CN"/>
              </w:rPr>
              <w:t>A2</w:t>
            </w:r>
            <w:r>
              <w:rPr>
                <w:rFonts w:hint="default" w:ascii="Times New Roman" w:hAnsi="Times New Roman" w:eastAsia="宋体" w:cs="Times New Roman"/>
                <w:b w:val="0"/>
                <w:bCs w:val="0"/>
                <w:sz w:val="21"/>
                <w:szCs w:val="21"/>
                <w:highlight w:val="none"/>
                <w:u w:val="single" w:color="auto"/>
              </w:rPr>
              <w:t>居民</w:t>
            </w:r>
            <w:r>
              <w:rPr>
                <w:rFonts w:hint="eastAsia" w:ascii="Times New Roman" w:hAnsi="Times New Roman" w:eastAsia="宋体" w:cs="Times New Roman"/>
                <w:b w:val="0"/>
                <w:bCs w:val="0"/>
                <w:sz w:val="21"/>
                <w:szCs w:val="21"/>
                <w:highlight w:val="none"/>
                <w:u w:val="single" w:color="auto"/>
                <w:lang w:eastAsia="zh-CN"/>
              </w:rPr>
              <w:t>散户</w:t>
            </w: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112.74990</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29.57889</w:t>
            </w:r>
          </w:p>
        </w:tc>
        <w:tc>
          <w:tcPr>
            <w:tcW w:w="40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eastAsia="zh-CN"/>
              </w:rPr>
              <w:t>居民</w:t>
            </w:r>
          </w:p>
        </w:tc>
        <w:tc>
          <w:tcPr>
            <w:tcW w:w="70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约</w:t>
            </w:r>
            <w:r>
              <w:rPr>
                <w:rFonts w:hint="eastAsia" w:ascii="Times New Roman" w:hAnsi="Times New Roman" w:eastAsia="宋体" w:cs="Times New Roman"/>
                <w:b w:val="0"/>
                <w:bCs w:val="0"/>
                <w:sz w:val="21"/>
                <w:szCs w:val="21"/>
                <w:highlight w:val="none"/>
                <w:u w:val="single" w:color="auto"/>
                <w:lang w:val="en-US" w:eastAsia="zh-CN"/>
              </w:rPr>
              <w:t>8</w:t>
            </w:r>
            <w:r>
              <w:rPr>
                <w:rFonts w:hint="default" w:ascii="Times New Roman" w:hAnsi="Times New Roman" w:eastAsia="宋体" w:cs="Times New Roman"/>
                <w:b w:val="0"/>
                <w:bCs w:val="0"/>
                <w:sz w:val="21"/>
                <w:szCs w:val="21"/>
                <w:highlight w:val="none"/>
                <w:u w:val="single" w:color="auto"/>
              </w:rPr>
              <w:t>户</w:t>
            </w:r>
            <w:r>
              <w:rPr>
                <w:rFonts w:hint="eastAsia" w:cs="Times New Roman"/>
                <w:b w:val="0"/>
                <w:bCs w:val="0"/>
                <w:sz w:val="21"/>
                <w:szCs w:val="21"/>
                <w:highlight w:val="none"/>
                <w:u w:val="single" w:color="auto"/>
                <w:lang w:val="en-US" w:eastAsia="zh-CN"/>
              </w:rPr>
              <w:t>24</w:t>
            </w:r>
            <w:r>
              <w:rPr>
                <w:rFonts w:hint="default" w:ascii="Times New Roman" w:hAnsi="Times New Roman" w:eastAsia="宋体" w:cs="Times New Roman"/>
                <w:b w:val="0"/>
                <w:bCs w:val="0"/>
                <w:sz w:val="21"/>
                <w:szCs w:val="21"/>
                <w:highlight w:val="none"/>
                <w:u w:val="single" w:color="auto"/>
              </w:rPr>
              <w:t>人</w:t>
            </w:r>
          </w:p>
        </w:tc>
        <w:tc>
          <w:tcPr>
            <w:tcW w:w="46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p>
        </w:tc>
        <w:tc>
          <w:tcPr>
            <w:tcW w:w="5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N</w:t>
            </w:r>
          </w:p>
        </w:tc>
        <w:tc>
          <w:tcPr>
            <w:tcW w:w="7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350</w:t>
            </w:r>
            <w:r>
              <w:rPr>
                <w:rFonts w:hint="default" w:ascii="Times New Roman" w:hAnsi="Times New Roman" w:eastAsia="宋体" w:cs="Times New Roman"/>
                <w:b w:val="0"/>
                <w:bCs w:val="0"/>
                <w:sz w:val="21"/>
                <w:szCs w:val="21"/>
                <w:highlight w:val="none"/>
                <w:u w:val="single" w:color="auto"/>
              </w:rPr>
              <w:t>～</w:t>
            </w:r>
            <w:r>
              <w:rPr>
                <w:rFonts w:hint="eastAsia" w:ascii="Times New Roman" w:hAnsi="Times New Roman" w:eastAsia="宋体" w:cs="Times New Roman"/>
                <w:b w:val="0"/>
                <w:bCs w:val="0"/>
                <w:sz w:val="21"/>
                <w:szCs w:val="21"/>
                <w:highlight w:val="none"/>
                <w:u w:val="single" w:color="auto"/>
                <w:lang w:val="en-US" w:eastAsia="zh-CN"/>
              </w:rPr>
              <w:t>61</w:t>
            </w:r>
            <w:r>
              <w:rPr>
                <w:rFonts w:hint="eastAsia" w:cs="Times New Roman"/>
                <w:b w:val="0"/>
                <w:bCs w:val="0"/>
                <w:sz w:val="21"/>
                <w:szCs w:val="21"/>
                <w:highlight w:val="none"/>
                <w:u w:val="single" w:color="auto"/>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val="en-US" w:eastAsia="zh-CN"/>
              </w:rPr>
              <w:t>A3</w:t>
            </w:r>
            <w:r>
              <w:rPr>
                <w:rFonts w:hint="eastAsia" w:ascii="Times New Roman" w:hAnsi="Times New Roman" w:eastAsia="宋体" w:cs="Times New Roman"/>
                <w:b w:val="0"/>
                <w:bCs w:val="0"/>
                <w:sz w:val="21"/>
                <w:szCs w:val="21"/>
                <w:highlight w:val="none"/>
                <w:u w:val="single" w:color="auto"/>
                <w:lang w:eastAsia="zh-CN"/>
              </w:rPr>
              <w:t>纪家门居民</w:t>
            </w: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112.74952</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29.58250</w:t>
            </w:r>
          </w:p>
        </w:tc>
        <w:tc>
          <w:tcPr>
            <w:tcW w:w="40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eastAsia="zh-CN"/>
              </w:rPr>
              <w:t>居民</w:t>
            </w:r>
          </w:p>
        </w:tc>
        <w:tc>
          <w:tcPr>
            <w:tcW w:w="70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约</w:t>
            </w:r>
            <w:r>
              <w:rPr>
                <w:rFonts w:hint="eastAsia" w:ascii="Times New Roman" w:hAnsi="Times New Roman" w:eastAsia="宋体" w:cs="Times New Roman"/>
                <w:b w:val="0"/>
                <w:bCs w:val="0"/>
                <w:sz w:val="21"/>
                <w:szCs w:val="21"/>
                <w:highlight w:val="none"/>
                <w:u w:val="single" w:color="auto"/>
                <w:lang w:val="en-US" w:eastAsia="zh-CN"/>
              </w:rPr>
              <w:t>15</w:t>
            </w:r>
            <w:r>
              <w:rPr>
                <w:rFonts w:hint="default" w:ascii="Times New Roman" w:hAnsi="Times New Roman" w:eastAsia="宋体" w:cs="Times New Roman"/>
                <w:b w:val="0"/>
                <w:bCs w:val="0"/>
                <w:sz w:val="21"/>
                <w:szCs w:val="21"/>
                <w:highlight w:val="none"/>
                <w:u w:val="single" w:color="auto"/>
              </w:rPr>
              <w:t>户</w:t>
            </w:r>
            <w:r>
              <w:rPr>
                <w:rFonts w:hint="eastAsia" w:cs="Times New Roman"/>
                <w:b w:val="0"/>
                <w:bCs w:val="0"/>
                <w:sz w:val="21"/>
                <w:szCs w:val="21"/>
                <w:highlight w:val="none"/>
                <w:u w:val="single" w:color="auto"/>
                <w:lang w:val="en-US" w:eastAsia="zh-CN"/>
              </w:rPr>
              <w:t>45</w:t>
            </w:r>
            <w:r>
              <w:rPr>
                <w:rFonts w:hint="default" w:ascii="Times New Roman" w:hAnsi="Times New Roman" w:eastAsia="宋体" w:cs="Times New Roman"/>
                <w:b w:val="0"/>
                <w:bCs w:val="0"/>
                <w:sz w:val="21"/>
                <w:szCs w:val="21"/>
                <w:highlight w:val="none"/>
                <w:u w:val="single" w:color="auto"/>
              </w:rPr>
              <w:t>人</w:t>
            </w:r>
          </w:p>
        </w:tc>
        <w:tc>
          <w:tcPr>
            <w:tcW w:w="46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p>
        </w:tc>
        <w:tc>
          <w:tcPr>
            <w:tcW w:w="5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N</w:t>
            </w:r>
          </w:p>
        </w:tc>
        <w:tc>
          <w:tcPr>
            <w:tcW w:w="7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780</w:t>
            </w:r>
            <w:r>
              <w:rPr>
                <w:rFonts w:hint="default" w:ascii="Times New Roman" w:hAnsi="Times New Roman" w:eastAsia="宋体" w:cs="Times New Roman"/>
                <w:b w:val="0"/>
                <w:bCs w:val="0"/>
                <w:sz w:val="21"/>
                <w:szCs w:val="21"/>
                <w:highlight w:val="none"/>
                <w:u w:val="single" w:color="auto"/>
              </w:rPr>
              <w:t>～</w:t>
            </w:r>
            <w:r>
              <w:rPr>
                <w:rFonts w:hint="eastAsia" w:ascii="Times New Roman" w:hAnsi="Times New Roman" w:eastAsia="宋体" w:cs="Times New Roman"/>
                <w:b w:val="0"/>
                <w:bCs w:val="0"/>
                <w:sz w:val="21"/>
                <w:szCs w:val="21"/>
                <w:highlight w:val="none"/>
                <w:u w:val="single" w:color="auto"/>
                <w:lang w:val="en-US" w:eastAsia="zh-CN"/>
              </w:rPr>
              <w:t>111</w:t>
            </w:r>
            <w:r>
              <w:rPr>
                <w:rFonts w:hint="eastAsia" w:cs="Times New Roman"/>
                <w:b w:val="0"/>
                <w:bCs w:val="0"/>
                <w:sz w:val="21"/>
                <w:szCs w:val="21"/>
                <w:highlight w:val="none"/>
                <w:u w:val="single" w:color="auto"/>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val="en-US" w:eastAsia="zh-CN"/>
              </w:rPr>
              <w:t>A4</w:t>
            </w:r>
            <w:r>
              <w:rPr>
                <w:rFonts w:hint="eastAsia" w:ascii="Times New Roman" w:hAnsi="Times New Roman" w:eastAsia="宋体" w:cs="Times New Roman"/>
                <w:b w:val="0"/>
                <w:bCs w:val="0"/>
                <w:sz w:val="21"/>
                <w:szCs w:val="21"/>
                <w:highlight w:val="none"/>
                <w:u w:val="single" w:color="auto"/>
                <w:lang w:eastAsia="zh-CN"/>
              </w:rPr>
              <w:t>石家湾居民</w:t>
            </w: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112.74786</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29.57611</w:t>
            </w:r>
          </w:p>
        </w:tc>
        <w:tc>
          <w:tcPr>
            <w:tcW w:w="40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eastAsia="zh-CN"/>
              </w:rPr>
              <w:t>居民</w:t>
            </w:r>
          </w:p>
        </w:tc>
        <w:tc>
          <w:tcPr>
            <w:tcW w:w="70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约</w:t>
            </w:r>
            <w:r>
              <w:rPr>
                <w:rFonts w:hint="eastAsia" w:ascii="Times New Roman" w:hAnsi="Times New Roman" w:eastAsia="宋体" w:cs="Times New Roman"/>
                <w:b w:val="0"/>
                <w:bCs w:val="0"/>
                <w:sz w:val="21"/>
                <w:szCs w:val="21"/>
                <w:highlight w:val="none"/>
                <w:u w:val="single" w:color="auto"/>
                <w:lang w:val="en-US" w:eastAsia="zh-CN"/>
              </w:rPr>
              <w:t>8</w:t>
            </w:r>
            <w:r>
              <w:rPr>
                <w:rFonts w:hint="default" w:ascii="Times New Roman" w:hAnsi="Times New Roman" w:eastAsia="宋体" w:cs="Times New Roman"/>
                <w:b w:val="0"/>
                <w:bCs w:val="0"/>
                <w:sz w:val="21"/>
                <w:szCs w:val="21"/>
                <w:highlight w:val="none"/>
                <w:u w:val="single" w:color="auto"/>
              </w:rPr>
              <w:t>户</w:t>
            </w:r>
            <w:r>
              <w:rPr>
                <w:rFonts w:hint="eastAsia" w:ascii="Times New Roman" w:hAnsi="Times New Roman" w:eastAsia="宋体" w:cs="Times New Roman"/>
                <w:b w:val="0"/>
                <w:bCs w:val="0"/>
                <w:sz w:val="21"/>
                <w:szCs w:val="21"/>
                <w:highlight w:val="none"/>
                <w:u w:val="single" w:color="auto"/>
                <w:lang w:val="en-US" w:eastAsia="zh-CN"/>
              </w:rPr>
              <w:t>24</w:t>
            </w:r>
            <w:r>
              <w:rPr>
                <w:rFonts w:hint="default" w:ascii="Times New Roman" w:hAnsi="Times New Roman" w:eastAsia="宋体" w:cs="Times New Roman"/>
                <w:b w:val="0"/>
                <w:bCs w:val="0"/>
                <w:sz w:val="21"/>
                <w:szCs w:val="21"/>
                <w:highlight w:val="none"/>
                <w:u w:val="single" w:color="auto"/>
              </w:rPr>
              <w:t>人</w:t>
            </w:r>
          </w:p>
        </w:tc>
        <w:tc>
          <w:tcPr>
            <w:tcW w:w="46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p>
        </w:tc>
        <w:tc>
          <w:tcPr>
            <w:tcW w:w="5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W</w:t>
            </w:r>
          </w:p>
        </w:tc>
        <w:tc>
          <w:tcPr>
            <w:tcW w:w="7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200</w:t>
            </w:r>
            <w:r>
              <w:rPr>
                <w:rFonts w:hint="default" w:ascii="Times New Roman" w:hAnsi="Times New Roman" w:eastAsia="宋体" w:cs="Times New Roman"/>
                <w:b w:val="0"/>
                <w:bCs w:val="0"/>
                <w:sz w:val="21"/>
                <w:szCs w:val="21"/>
                <w:highlight w:val="none"/>
                <w:u w:val="single" w:color="auto"/>
              </w:rPr>
              <w:t>～</w:t>
            </w:r>
            <w:r>
              <w:rPr>
                <w:rFonts w:hint="eastAsia" w:ascii="Times New Roman" w:hAnsi="Times New Roman" w:eastAsia="宋体" w:cs="Times New Roman"/>
                <w:b w:val="0"/>
                <w:bCs w:val="0"/>
                <w:sz w:val="21"/>
                <w:szCs w:val="21"/>
                <w:highlight w:val="none"/>
                <w:u w:val="single" w:color="auto"/>
                <w:lang w:val="en-US" w:eastAsia="zh-CN"/>
              </w:rPr>
              <w:t>31</w:t>
            </w:r>
            <w:r>
              <w:rPr>
                <w:rFonts w:hint="eastAsia" w:cs="Times New Roman"/>
                <w:b w:val="0"/>
                <w:bCs w:val="0"/>
                <w:sz w:val="21"/>
                <w:szCs w:val="21"/>
                <w:highlight w:val="none"/>
                <w:u w:val="single" w:color="auto"/>
                <w:lang w:val="en-US" w:eastAsia="zh-CN"/>
              </w:rPr>
              <w:t>0（林体相隔）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val="en-US" w:eastAsia="zh-CN"/>
              </w:rPr>
              <w:t>A5</w:t>
            </w:r>
            <w:r>
              <w:rPr>
                <w:rFonts w:hint="eastAsia" w:cs="Times New Roman"/>
                <w:b w:val="0"/>
                <w:bCs w:val="0"/>
                <w:sz w:val="21"/>
                <w:szCs w:val="21"/>
                <w:highlight w:val="none"/>
                <w:u w:val="single" w:color="auto"/>
                <w:lang w:eastAsia="zh-CN"/>
              </w:rPr>
              <w:t>栅子门居民</w:t>
            </w: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112.74493</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29.57580</w:t>
            </w:r>
          </w:p>
        </w:tc>
        <w:tc>
          <w:tcPr>
            <w:tcW w:w="40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居民</w:t>
            </w:r>
          </w:p>
        </w:tc>
        <w:tc>
          <w:tcPr>
            <w:tcW w:w="70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约</w:t>
            </w:r>
            <w:r>
              <w:rPr>
                <w:rFonts w:hint="eastAsia" w:ascii="Times New Roman" w:hAnsi="Times New Roman" w:eastAsia="宋体" w:cs="Times New Roman"/>
                <w:b w:val="0"/>
                <w:bCs w:val="0"/>
                <w:sz w:val="21"/>
                <w:szCs w:val="21"/>
                <w:highlight w:val="none"/>
                <w:u w:val="single" w:color="auto"/>
                <w:lang w:val="en-US" w:eastAsia="zh-CN"/>
              </w:rPr>
              <w:t>8</w:t>
            </w:r>
            <w:r>
              <w:rPr>
                <w:rFonts w:hint="default" w:ascii="Times New Roman" w:hAnsi="Times New Roman" w:eastAsia="宋体" w:cs="Times New Roman"/>
                <w:b w:val="0"/>
                <w:bCs w:val="0"/>
                <w:sz w:val="21"/>
                <w:szCs w:val="21"/>
                <w:highlight w:val="none"/>
                <w:u w:val="single" w:color="auto"/>
              </w:rPr>
              <w:t>户</w:t>
            </w:r>
            <w:r>
              <w:rPr>
                <w:rFonts w:hint="eastAsia" w:ascii="Times New Roman" w:hAnsi="Times New Roman" w:eastAsia="宋体" w:cs="Times New Roman"/>
                <w:b w:val="0"/>
                <w:bCs w:val="0"/>
                <w:sz w:val="21"/>
                <w:szCs w:val="21"/>
                <w:highlight w:val="none"/>
                <w:u w:val="single" w:color="auto"/>
                <w:lang w:val="en-US" w:eastAsia="zh-CN"/>
              </w:rPr>
              <w:t>24</w:t>
            </w:r>
            <w:r>
              <w:rPr>
                <w:rFonts w:hint="default" w:ascii="Times New Roman" w:hAnsi="Times New Roman" w:eastAsia="宋体" w:cs="Times New Roman"/>
                <w:b w:val="0"/>
                <w:bCs w:val="0"/>
                <w:sz w:val="21"/>
                <w:szCs w:val="21"/>
                <w:highlight w:val="none"/>
                <w:u w:val="single" w:color="auto"/>
              </w:rPr>
              <w:t>人</w:t>
            </w:r>
          </w:p>
        </w:tc>
        <w:tc>
          <w:tcPr>
            <w:tcW w:w="46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p>
        </w:tc>
        <w:tc>
          <w:tcPr>
            <w:tcW w:w="5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W</w:t>
            </w:r>
          </w:p>
        </w:tc>
        <w:tc>
          <w:tcPr>
            <w:tcW w:w="7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480</w:t>
            </w:r>
            <w:r>
              <w:rPr>
                <w:rFonts w:hint="default" w:ascii="Times New Roman" w:hAnsi="Times New Roman" w:eastAsia="宋体" w:cs="Times New Roman"/>
                <w:b w:val="0"/>
                <w:bCs w:val="0"/>
                <w:sz w:val="21"/>
                <w:szCs w:val="21"/>
                <w:highlight w:val="none"/>
                <w:u w:val="single" w:color="auto"/>
              </w:rPr>
              <w:t>～</w:t>
            </w:r>
            <w:r>
              <w:rPr>
                <w:rFonts w:hint="eastAsia" w:cs="Times New Roman"/>
                <w:b w:val="0"/>
                <w:bCs w:val="0"/>
                <w:sz w:val="21"/>
                <w:szCs w:val="21"/>
                <w:highlight w:val="none"/>
                <w:u w:val="single" w:color="auto"/>
                <w:lang w:val="en-US" w:eastAsia="zh-CN"/>
              </w:rPr>
              <w:t>630（林体相隔）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val="en-US" w:eastAsia="zh-CN"/>
              </w:rPr>
              <w:t>A6</w:t>
            </w:r>
            <w:r>
              <w:rPr>
                <w:rFonts w:hint="eastAsia" w:cs="Times New Roman"/>
                <w:b w:val="0"/>
                <w:bCs w:val="0"/>
                <w:sz w:val="21"/>
                <w:szCs w:val="21"/>
                <w:highlight w:val="none"/>
                <w:u w:val="single" w:color="auto"/>
                <w:lang w:eastAsia="zh-CN"/>
              </w:rPr>
              <w:t>余家山居民</w:t>
            </w:r>
          </w:p>
        </w:tc>
        <w:tc>
          <w:tcPr>
            <w:tcW w:w="5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112.74489</w:t>
            </w:r>
          </w:p>
        </w:tc>
        <w:tc>
          <w:tcPr>
            <w:tcW w:w="73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29.57935</w:t>
            </w:r>
          </w:p>
        </w:tc>
        <w:tc>
          <w:tcPr>
            <w:tcW w:w="40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b w:val="0"/>
                <w:bCs w:val="0"/>
                <w:sz w:val="21"/>
                <w:szCs w:val="21"/>
                <w:highlight w:val="none"/>
                <w:u w:val="single" w:color="auto"/>
                <w:lang w:eastAsia="zh-CN"/>
              </w:rPr>
            </w:pPr>
            <w:r>
              <w:rPr>
                <w:rFonts w:hint="eastAsia" w:cs="Times New Roman"/>
                <w:b w:val="0"/>
                <w:bCs w:val="0"/>
                <w:sz w:val="21"/>
                <w:szCs w:val="21"/>
                <w:highlight w:val="none"/>
                <w:u w:val="single" w:color="auto"/>
                <w:lang w:eastAsia="zh-CN"/>
              </w:rPr>
              <w:t>居民</w:t>
            </w:r>
          </w:p>
        </w:tc>
        <w:tc>
          <w:tcPr>
            <w:tcW w:w="70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约</w:t>
            </w:r>
            <w:r>
              <w:rPr>
                <w:rFonts w:hint="eastAsia" w:ascii="Times New Roman" w:hAnsi="Times New Roman" w:eastAsia="宋体" w:cs="Times New Roman"/>
                <w:b w:val="0"/>
                <w:bCs w:val="0"/>
                <w:sz w:val="21"/>
                <w:szCs w:val="21"/>
                <w:highlight w:val="none"/>
                <w:u w:val="single" w:color="auto"/>
                <w:lang w:val="en-US" w:eastAsia="zh-CN"/>
              </w:rPr>
              <w:t>10</w:t>
            </w:r>
            <w:r>
              <w:rPr>
                <w:rFonts w:hint="default" w:ascii="Times New Roman" w:hAnsi="Times New Roman" w:eastAsia="宋体" w:cs="Times New Roman"/>
                <w:b w:val="0"/>
                <w:bCs w:val="0"/>
                <w:sz w:val="21"/>
                <w:szCs w:val="21"/>
                <w:highlight w:val="none"/>
                <w:u w:val="single" w:color="auto"/>
              </w:rPr>
              <w:t>户</w:t>
            </w:r>
            <w:r>
              <w:rPr>
                <w:rFonts w:hint="eastAsia" w:ascii="Times New Roman" w:hAnsi="Times New Roman" w:eastAsia="宋体" w:cs="Times New Roman"/>
                <w:b w:val="0"/>
                <w:bCs w:val="0"/>
                <w:sz w:val="21"/>
                <w:szCs w:val="21"/>
                <w:highlight w:val="none"/>
                <w:u w:val="single" w:color="auto"/>
                <w:lang w:val="en-US" w:eastAsia="zh-CN"/>
              </w:rPr>
              <w:t>30</w:t>
            </w:r>
            <w:r>
              <w:rPr>
                <w:rFonts w:hint="default" w:ascii="Times New Roman" w:hAnsi="Times New Roman" w:eastAsia="宋体" w:cs="Times New Roman"/>
                <w:b w:val="0"/>
                <w:bCs w:val="0"/>
                <w:sz w:val="21"/>
                <w:szCs w:val="21"/>
                <w:highlight w:val="none"/>
                <w:u w:val="single" w:color="auto"/>
              </w:rPr>
              <w:t>人</w:t>
            </w:r>
          </w:p>
        </w:tc>
        <w:tc>
          <w:tcPr>
            <w:tcW w:w="460"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rPr>
            </w:pPr>
          </w:p>
        </w:tc>
        <w:tc>
          <w:tcPr>
            <w:tcW w:w="5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WN</w:t>
            </w:r>
          </w:p>
        </w:tc>
        <w:tc>
          <w:tcPr>
            <w:tcW w:w="76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b w:val="0"/>
                <w:bCs w:val="0"/>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600</w:t>
            </w:r>
            <w:r>
              <w:rPr>
                <w:rFonts w:hint="default" w:ascii="Times New Roman" w:hAnsi="Times New Roman" w:eastAsia="宋体" w:cs="Times New Roman"/>
                <w:b w:val="0"/>
                <w:bCs w:val="0"/>
                <w:sz w:val="21"/>
                <w:szCs w:val="21"/>
                <w:highlight w:val="none"/>
                <w:u w:val="single" w:color="auto"/>
              </w:rPr>
              <w:t>～</w:t>
            </w:r>
            <w:r>
              <w:rPr>
                <w:rFonts w:hint="eastAsia" w:cs="Times New Roman"/>
                <w:b w:val="0"/>
                <w:bCs w:val="0"/>
                <w:sz w:val="21"/>
                <w:szCs w:val="21"/>
                <w:highlight w:val="none"/>
                <w:u w:val="single" w:color="auto"/>
                <w:lang w:val="en-US" w:eastAsia="zh-CN"/>
              </w:rPr>
              <w:t>810（林体相隔）</w:t>
            </w:r>
          </w:p>
        </w:tc>
      </w:tr>
    </w:tbl>
    <w:p>
      <w:pPr>
        <w:bidi w:val="0"/>
        <w:rPr>
          <w:u w:val="single" w:color="auto"/>
        </w:rPr>
      </w:pPr>
    </w:p>
    <w:p>
      <w:pPr>
        <w:pStyle w:val="2"/>
        <w:rPr>
          <w:u w:val="single" w:color="auto"/>
        </w:rPr>
      </w:pPr>
    </w:p>
    <w:p>
      <w:pPr>
        <w:rPr>
          <w:u w:val="single" w:color="auto"/>
        </w:rPr>
      </w:pPr>
    </w:p>
    <w:p>
      <w:pPr>
        <w:rPr>
          <w:u w:val="single" w:color="auto"/>
        </w:rPr>
      </w:pPr>
    </w:p>
    <w:p>
      <w:pPr>
        <w:pStyle w:val="2"/>
        <w:rPr>
          <w:u w:val="single" w:color="auto"/>
        </w:rPr>
      </w:pPr>
    </w:p>
    <w:p>
      <w:pPr>
        <w:rPr>
          <w:u w:val="single" w:color="auto"/>
        </w:rPr>
      </w:pPr>
    </w:p>
    <w:p>
      <w:pPr>
        <w:pStyle w:val="7"/>
        <w:bidi w:val="0"/>
        <w:rPr>
          <w:highlight w:val="none"/>
          <w:u w:val="single" w:color="auto"/>
        </w:rPr>
      </w:pPr>
      <w:r>
        <w:rPr>
          <w:highlight w:val="none"/>
          <w:u w:val="single" w:color="auto"/>
        </w:rPr>
        <w:t>表</w:t>
      </w:r>
      <w:r>
        <w:rPr>
          <w:rFonts w:hint="eastAsia"/>
          <w:highlight w:val="none"/>
          <w:u w:val="single" w:color="auto"/>
          <w:lang w:val="en-US" w:eastAsia="zh-CN"/>
        </w:rPr>
        <w:t>2</w:t>
      </w:r>
      <w:r>
        <w:rPr>
          <w:highlight w:val="none"/>
          <w:u w:val="single" w:color="auto"/>
        </w:rPr>
        <w:t>.8-2  其他环境保护目标</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8"/>
        <w:gridCol w:w="746"/>
        <w:gridCol w:w="910"/>
        <w:gridCol w:w="503"/>
        <w:gridCol w:w="1109"/>
        <w:gridCol w:w="1174"/>
        <w:gridCol w:w="2156"/>
        <w:gridCol w:w="16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768"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保护目标</w:t>
            </w:r>
          </w:p>
        </w:tc>
        <w:tc>
          <w:tcPr>
            <w:tcW w:w="516"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性质/规 模</w:t>
            </w:r>
          </w:p>
        </w:tc>
        <w:tc>
          <w:tcPr>
            <w:tcW w:w="285"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方位</w:t>
            </w:r>
          </w:p>
        </w:tc>
        <w:tc>
          <w:tcPr>
            <w:tcW w:w="1295" w:type="pct"/>
            <w:gridSpan w:val="2"/>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坐标点位</w:t>
            </w:r>
          </w:p>
        </w:tc>
        <w:tc>
          <w:tcPr>
            <w:tcW w:w="1222"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与厂界的距离（m）</w:t>
            </w:r>
          </w:p>
        </w:tc>
        <w:tc>
          <w:tcPr>
            <w:tcW w:w="912"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功能类别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要素</w:t>
            </w:r>
          </w:p>
        </w:tc>
        <w:tc>
          <w:tcPr>
            <w:tcW w:w="4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名称</w:t>
            </w:r>
          </w:p>
        </w:tc>
        <w:tc>
          <w:tcPr>
            <w:tcW w:w="516"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28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6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经度</w:t>
            </w:r>
          </w:p>
        </w:tc>
        <w:tc>
          <w:tcPr>
            <w:tcW w:w="66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纬度</w:t>
            </w:r>
          </w:p>
        </w:tc>
        <w:tc>
          <w:tcPr>
            <w:tcW w:w="1222"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912"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声环 境</w:t>
            </w:r>
          </w:p>
        </w:tc>
        <w:tc>
          <w:tcPr>
            <w:tcW w:w="4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eastAsia" w:cs="Times New Roman"/>
                <w:b w:val="0"/>
                <w:bCs w:val="0"/>
                <w:sz w:val="21"/>
                <w:szCs w:val="21"/>
                <w:highlight w:val="none"/>
                <w:u w:val="single" w:color="auto"/>
                <w:lang w:val="en-US" w:eastAsia="zh-CN"/>
              </w:rPr>
              <w:t>A1</w:t>
            </w:r>
            <w:r>
              <w:rPr>
                <w:rFonts w:hint="eastAsia" w:cs="Times New Roman"/>
                <w:b w:val="0"/>
                <w:bCs w:val="0"/>
                <w:sz w:val="21"/>
                <w:szCs w:val="21"/>
                <w:highlight w:val="none"/>
                <w:u w:val="single" w:color="auto"/>
                <w:lang w:eastAsia="zh-CN"/>
              </w:rPr>
              <w:t>南泥湾</w:t>
            </w:r>
            <w:r>
              <w:rPr>
                <w:rFonts w:hint="default" w:ascii="Times New Roman" w:hAnsi="Times New Roman" w:eastAsia="宋体" w:cs="Times New Roman"/>
                <w:b w:val="0"/>
                <w:bCs w:val="0"/>
                <w:sz w:val="21"/>
                <w:szCs w:val="21"/>
                <w:highlight w:val="none"/>
                <w:u w:val="single" w:color="auto"/>
              </w:rPr>
              <w:t>居民</w:t>
            </w:r>
          </w:p>
        </w:tc>
        <w:tc>
          <w:tcPr>
            <w:tcW w:w="51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b w:val="0"/>
                <w:bCs w:val="0"/>
                <w:sz w:val="21"/>
                <w:szCs w:val="21"/>
                <w:highlight w:val="none"/>
                <w:u w:val="single" w:color="auto"/>
              </w:rPr>
              <w:t>居民</w:t>
            </w:r>
          </w:p>
        </w:tc>
        <w:tc>
          <w:tcPr>
            <w:tcW w:w="2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N</w:t>
            </w:r>
          </w:p>
        </w:tc>
        <w:tc>
          <w:tcPr>
            <w:tcW w:w="6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112.75084</w:t>
            </w:r>
          </w:p>
        </w:tc>
        <w:tc>
          <w:tcPr>
            <w:tcW w:w="66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29.57712</w:t>
            </w:r>
          </w:p>
        </w:tc>
        <w:tc>
          <w:tcPr>
            <w:tcW w:w="12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b w:val="0"/>
                <w:bCs w:val="0"/>
                <w:sz w:val="21"/>
                <w:szCs w:val="21"/>
                <w:highlight w:val="none"/>
                <w:u w:val="single" w:color="auto"/>
                <w:lang w:val="en-US" w:eastAsia="zh-CN"/>
              </w:rPr>
              <w:t>200</w:t>
            </w:r>
            <w:r>
              <w:rPr>
                <w:rFonts w:hint="default" w:ascii="Times New Roman" w:hAnsi="Times New Roman" w:eastAsia="宋体" w:cs="Times New Roman"/>
                <w:b w:val="0"/>
                <w:bCs w:val="0"/>
                <w:sz w:val="21"/>
                <w:szCs w:val="21"/>
                <w:highlight w:val="none"/>
                <w:u w:val="single" w:color="auto"/>
              </w:rPr>
              <w:t>～</w:t>
            </w:r>
            <w:r>
              <w:rPr>
                <w:rFonts w:hint="eastAsia" w:cs="Times New Roman"/>
                <w:b w:val="0"/>
                <w:bCs w:val="0"/>
                <w:sz w:val="21"/>
                <w:szCs w:val="21"/>
                <w:highlight w:val="none"/>
                <w:u w:val="single" w:color="auto"/>
                <w:lang w:val="en-US" w:eastAsia="zh-CN"/>
              </w:rPr>
              <w:t>400</w:t>
            </w:r>
          </w:p>
        </w:tc>
        <w:tc>
          <w:tcPr>
            <w:tcW w:w="9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GB3096-2008</w:t>
            </w:r>
            <w:r>
              <w:rPr>
                <w:rFonts w:hint="eastAsia" w:cs="Times New Roman"/>
                <w:sz w:val="21"/>
                <w:szCs w:val="21"/>
                <w:highlight w:val="none"/>
                <w:u w:val="single" w:color="auto"/>
                <w:lang w:eastAsia="zh-CN"/>
              </w:rPr>
              <w:t>中</w:t>
            </w:r>
            <w:r>
              <w:rPr>
                <w:rFonts w:hint="default" w:ascii="Times New Roman" w:hAnsi="Times New Roman" w:eastAsia="宋体" w:cs="Times New Roman"/>
                <w:sz w:val="21"/>
                <w:szCs w:val="21"/>
                <w:highlight w:val="none"/>
                <w:u w:val="single" w:color="auto"/>
              </w:rPr>
              <w:t>2类区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5"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水环境</w:t>
            </w:r>
          </w:p>
        </w:tc>
        <w:tc>
          <w:tcPr>
            <w:tcW w:w="4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rPr>
              <w:t>北面农灌渠</w:t>
            </w:r>
          </w:p>
        </w:tc>
        <w:tc>
          <w:tcPr>
            <w:tcW w:w="51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rPr>
              <w:t>农灌功能</w:t>
            </w:r>
          </w:p>
        </w:tc>
        <w:tc>
          <w:tcPr>
            <w:tcW w:w="2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rPr>
              <w:t>N</w:t>
            </w:r>
          </w:p>
        </w:tc>
        <w:tc>
          <w:tcPr>
            <w:tcW w:w="6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112.74991</w:t>
            </w:r>
          </w:p>
        </w:tc>
        <w:tc>
          <w:tcPr>
            <w:tcW w:w="66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29.57565</w:t>
            </w:r>
          </w:p>
        </w:tc>
        <w:tc>
          <w:tcPr>
            <w:tcW w:w="12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20</w:t>
            </w:r>
          </w:p>
        </w:tc>
        <w:tc>
          <w:tcPr>
            <w:tcW w:w="912"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GB3838-2002中 III 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5"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c>
          <w:tcPr>
            <w:tcW w:w="4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eastAsia" w:cs="Times New Roman"/>
                <w:sz w:val="21"/>
                <w:szCs w:val="21"/>
                <w:highlight w:val="none"/>
                <w:u w:val="single" w:color="auto"/>
                <w:lang w:eastAsia="zh-CN"/>
              </w:rPr>
              <w:t>白龙湾</w:t>
            </w:r>
            <w:r>
              <w:rPr>
                <w:rFonts w:hint="default" w:ascii="Times New Roman" w:hAnsi="Times New Roman" w:eastAsia="宋体" w:cs="Times New Roman"/>
                <w:sz w:val="21"/>
                <w:szCs w:val="21"/>
                <w:highlight w:val="none"/>
                <w:u w:val="single" w:color="auto"/>
              </w:rPr>
              <w:t xml:space="preserve"> 水库</w:t>
            </w:r>
          </w:p>
        </w:tc>
        <w:tc>
          <w:tcPr>
            <w:tcW w:w="51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渔业功能</w:t>
            </w:r>
          </w:p>
        </w:tc>
        <w:tc>
          <w:tcPr>
            <w:tcW w:w="28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EN</w:t>
            </w:r>
          </w:p>
        </w:tc>
        <w:tc>
          <w:tcPr>
            <w:tcW w:w="62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rPr>
              <w:t>112.</w:t>
            </w:r>
            <w:r>
              <w:rPr>
                <w:rFonts w:hint="eastAsia" w:cs="Times New Roman"/>
                <w:sz w:val="21"/>
                <w:szCs w:val="21"/>
                <w:highlight w:val="none"/>
                <w:u w:val="single" w:color="auto"/>
                <w:lang w:val="en-US" w:eastAsia="zh-CN"/>
              </w:rPr>
              <w:t>75303</w:t>
            </w:r>
          </w:p>
        </w:tc>
        <w:tc>
          <w:tcPr>
            <w:tcW w:w="66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sz w:val="21"/>
                <w:szCs w:val="21"/>
                <w:highlight w:val="none"/>
                <w:u w:val="single" w:color="auto"/>
                <w:lang w:val="en-US" w:eastAsia="zh-CN"/>
              </w:rPr>
              <w:t>29.57782</w:t>
            </w:r>
          </w:p>
        </w:tc>
        <w:tc>
          <w:tcPr>
            <w:tcW w:w="122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sz w:val="21"/>
                <w:szCs w:val="21"/>
                <w:highlight w:val="none"/>
                <w:u w:val="single" w:color="auto"/>
                <w:lang w:val="en-US" w:eastAsia="zh-CN"/>
              </w:rPr>
              <w:t>320（山体相隔）</w:t>
            </w:r>
          </w:p>
        </w:tc>
        <w:tc>
          <w:tcPr>
            <w:tcW w:w="912"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地下水</w:t>
            </w:r>
          </w:p>
        </w:tc>
        <w:tc>
          <w:tcPr>
            <w:tcW w:w="4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周围附近的地下水</w:t>
            </w:r>
          </w:p>
        </w:tc>
        <w:tc>
          <w:tcPr>
            <w:tcW w:w="516"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生产生活用水</w:t>
            </w:r>
          </w:p>
        </w:tc>
        <w:tc>
          <w:tcPr>
            <w:tcW w:w="2803" w:type="pct"/>
            <w:gridSpan w:val="4"/>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w:t>
            </w:r>
          </w:p>
        </w:tc>
        <w:tc>
          <w:tcPr>
            <w:tcW w:w="9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GB/T14848-2017 中Ⅲ类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生态 环境</w:t>
            </w:r>
          </w:p>
        </w:tc>
        <w:tc>
          <w:tcPr>
            <w:tcW w:w="3742" w:type="pct"/>
            <w:gridSpan w:val="6"/>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林地、旱地，区域内的现有动植物资源</w:t>
            </w:r>
          </w:p>
        </w:tc>
        <w:tc>
          <w:tcPr>
            <w:tcW w:w="9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w:t>
            </w:r>
          </w:p>
        </w:tc>
      </w:tr>
    </w:tbl>
    <w:p>
      <w:pPr>
        <w:pStyle w:val="18"/>
        <w:rPr>
          <w:highlight w:val="none"/>
          <w:u w:val="single" w:color="auto"/>
        </w:rPr>
      </w:pPr>
    </w:p>
    <w:p>
      <w:pPr>
        <w:pStyle w:val="17"/>
        <w:rPr>
          <w:highlight w:val="none"/>
        </w:rPr>
      </w:pPr>
    </w:p>
    <w:p>
      <w:pPr>
        <w:pStyle w:val="18"/>
        <w:rPr>
          <w:highlight w:val="none"/>
        </w:rPr>
      </w:pPr>
    </w:p>
    <w:p>
      <w:pPr>
        <w:pStyle w:val="17"/>
        <w:rPr>
          <w:highlight w:val="none"/>
        </w:rPr>
      </w:pPr>
    </w:p>
    <w:p>
      <w:pPr>
        <w:pStyle w:val="18"/>
        <w:rPr>
          <w:highlight w:val="none"/>
        </w:rPr>
      </w:pPr>
    </w:p>
    <w:p>
      <w:pPr>
        <w:pStyle w:val="17"/>
        <w:rPr>
          <w:highlight w:val="none"/>
        </w:rPr>
      </w:pPr>
    </w:p>
    <w:p>
      <w:pPr>
        <w:pStyle w:val="18"/>
        <w:rPr>
          <w:highlight w:val="none"/>
        </w:rPr>
      </w:pPr>
    </w:p>
    <w:p>
      <w:pPr>
        <w:pStyle w:val="17"/>
        <w:rPr>
          <w:highlight w:val="none"/>
        </w:rPr>
      </w:pPr>
    </w:p>
    <w:p>
      <w:pPr>
        <w:pStyle w:val="18"/>
      </w:pPr>
    </w:p>
    <w:p>
      <w:pPr>
        <w:pStyle w:val="18"/>
        <w:rPr>
          <w:highlight w:val="none"/>
        </w:rPr>
      </w:pPr>
    </w:p>
    <w:p>
      <w:pPr>
        <w:pStyle w:val="17"/>
        <w:rPr>
          <w:highlight w:val="none"/>
        </w:rPr>
      </w:pPr>
    </w:p>
    <w:p>
      <w:pPr>
        <w:pStyle w:val="17"/>
        <w:rPr>
          <w:highlight w:val="none"/>
        </w:rPr>
      </w:pPr>
    </w:p>
    <w:p>
      <w:pPr>
        <w:pStyle w:val="18"/>
        <w:rPr>
          <w:highlight w:val="none"/>
        </w:rPr>
      </w:pPr>
    </w:p>
    <w:p>
      <w:pPr>
        <w:pStyle w:val="18"/>
        <w:rPr>
          <w:highlight w:val="none"/>
        </w:rPr>
      </w:pPr>
    </w:p>
    <w:p>
      <w:pPr>
        <w:pStyle w:val="3"/>
        <w:bidi w:val="0"/>
        <w:rPr>
          <w:rFonts w:hint="eastAsia" w:ascii="黑体" w:hAnsi="黑体" w:eastAsia="宋体" w:cs="黑体"/>
          <w:sz w:val="28"/>
          <w:szCs w:val="28"/>
          <w:highlight w:val="none"/>
          <w:lang w:eastAsia="zh-CN"/>
        </w:rPr>
      </w:pPr>
      <w:bookmarkStart w:id="33" w:name="_Toc27417"/>
      <w:bookmarkStart w:id="34" w:name="_Toc23249"/>
      <w:r>
        <w:rPr>
          <w:rFonts w:ascii="Times New Roman" w:hAnsi="Times New Roman" w:eastAsia="Times New Roman" w:cs="Times New Roman"/>
          <w:b/>
          <w:bCs/>
          <w:spacing w:val="-3"/>
          <w:sz w:val="28"/>
          <w:szCs w:val="28"/>
          <w:highlight w:val="none"/>
        </w:rPr>
        <w:t>3</w:t>
      </w:r>
      <w:r>
        <w:rPr>
          <w:rFonts w:hint="eastAsia" w:cs="Times New Roman"/>
          <w:b/>
          <w:bCs/>
          <w:spacing w:val="-3"/>
          <w:sz w:val="28"/>
          <w:szCs w:val="28"/>
          <w:highlight w:val="none"/>
          <w:lang w:val="en-US" w:eastAsia="zh-CN"/>
        </w:rPr>
        <w:t xml:space="preserve">  建设项目概况</w:t>
      </w:r>
      <w:bookmarkEnd w:id="33"/>
      <w:bookmarkEnd w:id="34"/>
    </w:p>
    <w:p>
      <w:pPr>
        <w:pStyle w:val="4"/>
        <w:bidi w:val="0"/>
        <w:rPr>
          <w:highlight w:val="none"/>
        </w:rPr>
      </w:pPr>
      <w:bookmarkStart w:id="35" w:name="_Toc30351"/>
      <w:bookmarkStart w:id="36" w:name="_Toc28918"/>
      <w:r>
        <w:rPr>
          <w:highlight w:val="none"/>
        </w:rPr>
        <w:t>3.1</w:t>
      </w:r>
      <w:r>
        <w:rPr>
          <w:rFonts w:hint="eastAsia"/>
          <w:highlight w:val="none"/>
          <w:lang w:val="en-US" w:eastAsia="zh-CN"/>
        </w:rPr>
        <w:t xml:space="preserve"> </w:t>
      </w:r>
      <w:r>
        <w:rPr>
          <w:highlight w:val="none"/>
        </w:rPr>
        <w:t xml:space="preserve"> 项目</w:t>
      </w:r>
      <w:r>
        <w:rPr>
          <w:rFonts w:hint="eastAsia"/>
          <w:highlight w:val="none"/>
          <w:lang w:eastAsia="zh-CN"/>
        </w:rPr>
        <w:t>基本</w:t>
      </w:r>
      <w:r>
        <w:rPr>
          <w:highlight w:val="none"/>
        </w:rPr>
        <w:t>概况</w:t>
      </w:r>
      <w:bookmarkEnd w:id="35"/>
      <w:bookmarkEnd w:id="36"/>
    </w:p>
    <w:p>
      <w:pPr>
        <w:bidi w:val="0"/>
        <w:rPr>
          <w:highlight w:val="none"/>
        </w:rPr>
      </w:pPr>
      <w:r>
        <w:rPr>
          <w:highlight w:val="none"/>
        </w:rPr>
        <w:t>项目名称：年出栏</w:t>
      </w:r>
      <w:r>
        <w:rPr>
          <w:rFonts w:hint="eastAsia"/>
          <w:highlight w:val="none"/>
          <w:lang w:val="en-US" w:eastAsia="zh-CN"/>
        </w:rPr>
        <w:t>11</w:t>
      </w:r>
      <w:r>
        <w:rPr>
          <w:highlight w:val="none"/>
        </w:rPr>
        <w:t>000 头生猪养殖项目</w:t>
      </w:r>
    </w:p>
    <w:p>
      <w:pPr>
        <w:bidi w:val="0"/>
        <w:rPr>
          <w:highlight w:val="none"/>
        </w:rPr>
      </w:pPr>
      <w:r>
        <w:rPr>
          <w:highlight w:val="none"/>
        </w:rPr>
        <w:t>项目性质：新建</w:t>
      </w:r>
    </w:p>
    <w:p>
      <w:pPr>
        <w:bidi w:val="0"/>
        <w:rPr>
          <w:highlight w:val="none"/>
        </w:rPr>
      </w:pPr>
      <w:r>
        <w:rPr>
          <w:highlight w:val="none"/>
        </w:rPr>
        <w:t>建设地点：</w:t>
      </w:r>
      <w:r>
        <w:rPr>
          <w:rFonts w:hint="eastAsia"/>
          <w:highlight w:val="none"/>
        </w:rPr>
        <w:t>岳阳市华容县东山镇长岗庙村9组002号</w:t>
      </w:r>
      <w:r>
        <w:rPr>
          <w:highlight w:val="none"/>
        </w:rPr>
        <w:t>（东经：112°</w:t>
      </w:r>
      <w:r>
        <w:rPr>
          <w:rFonts w:hint="eastAsia"/>
          <w:highlight w:val="none"/>
          <w:lang w:val="en-US" w:eastAsia="zh-CN"/>
        </w:rPr>
        <w:t>45</w:t>
      </w:r>
      <w:r>
        <w:rPr>
          <w:highlight w:val="none"/>
        </w:rPr>
        <w:t>′</w:t>
      </w:r>
      <w:r>
        <w:rPr>
          <w:rFonts w:hint="eastAsia"/>
          <w:highlight w:val="none"/>
          <w:lang w:val="en-US" w:eastAsia="zh-CN"/>
        </w:rPr>
        <w:t>0.98</w:t>
      </w:r>
      <w:r>
        <w:rPr>
          <w:highlight w:val="none"/>
        </w:rPr>
        <w:t>″， 北纬：</w:t>
      </w:r>
      <w:r>
        <w:rPr>
          <w:rFonts w:hint="eastAsia"/>
          <w:highlight w:val="none"/>
          <w:lang w:val="en-US" w:eastAsia="zh-CN"/>
        </w:rPr>
        <w:t>29</w:t>
      </w:r>
      <w:r>
        <w:rPr>
          <w:highlight w:val="none"/>
        </w:rPr>
        <w:t>°</w:t>
      </w:r>
      <w:r>
        <w:rPr>
          <w:rFonts w:hint="eastAsia"/>
          <w:highlight w:val="none"/>
          <w:lang w:val="en-US" w:eastAsia="zh-CN"/>
        </w:rPr>
        <w:t>34</w:t>
      </w:r>
      <w:r>
        <w:rPr>
          <w:highlight w:val="none"/>
        </w:rPr>
        <w:t>′</w:t>
      </w:r>
      <w:r>
        <w:rPr>
          <w:rFonts w:hint="eastAsia"/>
          <w:highlight w:val="none"/>
          <w:lang w:val="en-US" w:eastAsia="zh-CN"/>
        </w:rPr>
        <w:t>29.64</w:t>
      </w:r>
      <w:r>
        <w:rPr>
          <w:highlight w:val="none"/>
        </w:rPr>
        <w:t>″）</w:t>
      </w:r>
    </w:p>
    <w:p>
      <w:pPr>
        <w:bidi w:val="0"/>
        <w:rPr>
          <w:highlight w:val="none"/>
        </w:rPr>
      </w:pPr>
      <w:r>
        <w:rPr>
          <w:highlight w:val="none"/>
        </w:rPr>
        <w:t>建设单位：</w:t>
      </w:r>
      <w:r>
        <w:rPr>
          <w:rFonts w:hint="eastAsia"/>
          <w:highlight w:val="none"/>
          <w:lang w:eastAsia="zh-CN"/>
        </w:rPr>
        <w:t>湖南双宏</w:t>
      </w:r>
      <w:r>
        <w:rPr>
          <w:highlight w:val="none"/>
        </w:rPr>
        <w:t>养殖有限公司</w:t>
      </w:r>
    </w:p>
    <w:p>
      <w:pPr>
        <w:bidi w:val="0"/>
        <w:rPr>
          <w:highlight w:val="none"/>
        </w:rPr>
      </w:pPr>
      <w:r>
        <w:rPr>
          <w:highlight w:val="none"/>
        </w:rPr>
        <w:t>占地面积：项目总占地约</w:t>
      </w:r>
      <w:r>
        <w:rPr>
          <w:rFonts w:hint="eastAsia"/>
          <w:highlight w:val="none"/>
          <w:lang w:val="en-US" w:eastAsia="zh-CN"/>
        </w:rPr>
        <w:t>7213</w:t>
      </w:r>
      <w:r>
        <w:rPr>
          <w:highlight w:val="none"/>
        </w:rPr>
        <w:t>m</w:t>
      </w:r>
      <w:r>
        <w:rPr>
          <w:highlight w:val="none"/>
          <w:vertAlign w:val="superscript"/>
        </w:rPr>
        <w:t>2</w:t>
      </w:r>
      <w:r>
        <w:rPr>
          <w:highlight w:val="none"/>
        </w:rPr>
        <w:t>。</w:t>
      </w:r>
    </w:p>
    <w:p>
      <w:pPr>
        <w:bidi w:val="0"/>
        <w:rPr>
          <w:highlight w:val="none"/>
        </w:rPr>
      </w:pPr>
      <w:r>
        <w:rPr>
          <w:highlight w:val="none"/>
        </w:rPr>
        <w:t>项目总投资：项目总投资1</w:t>
      </w:r>
      <w:r>
        <w:rPr>
          <w:rFonts w:hint="eastAsia"/>
          <w:highlight w:val="none"/>
          <w:lang w:val="en-US" w:eastAsia="zh-CN"/>
        </w:rPr>
        <w:t>0</w:t>
      </w:r>
      <w:r>
        <w:rPr>
          <w:highlight w:val="none"/>
        </w:rPr>
        <w:t>00万元，其中环保设施投资为</w:t>
      </w:r>
      <w:r>
        <w:rPr>
          <w:rFonts w:hint="eastAsia"/>
          <w:highlight w:val="none"/>
          <w:lang w:val="en-US" w:eastAsia="zh-CN"/>
        </w:rPr>
        <w:t>110.5</w:t>
      </w:r>
      <w:r>
        <w:rPr>
          <w:highlight w:val="none"/>
        </w:rPr>
        <w:t>万元，占投资的</w:t>
      </w:r>
      <w:r>
        <w:rPr>
          <w:rFonts w:hint="eastAsia"/>
          <w:highlight w:val="none"/>
          <w:lang w:val="en-US" w:eastAsia="zh-CN"/>
        </w:rPr>
        <w:t>11.05</w:t>
      </w:r>
      <w:r>
        <w:rPr>
          <w:highlight w:val="none"/>
        </w:rPr>
        <w:t>%；</w:t>
      </w:r>
    </w:p>
    <w:p>
      <w:pPr>
        <w:pStyle w:val="4"/>
        <w:bidi w:val="0"/>
        <w:rPr>
          <w:highlight w:val="none"/>
        </w:rPr>
      </w:pPr>
      <w:bookmarkStart w:id="37" w:name="_Toc5543"/>
      <w:bookmarkStart w:id="38" w:name="_Toc3088"/>
      <w:r>
        <w:rPr>
          <w:highlight w:val="none"/>
        </w:rPr>
        <w:t>3.2</w:t>
      </w:r>
      <w:r>
        <w:rPr>
          <w:rFonts w:hint="eastAsia"/>
          <w:highlight w:val="none"/>
          <w:lang w:val="en-US" w:eastAsia="zh-CN"/>
        </w:rPr>
        <w:t xml:space="preserve"> </w:t>
      </w:r>
      <w:r>
        <w:rPr>
          <w:highlight w:val="none"/>
        </w:rPr>
        <w:t xml:space="preserve"> 建设内容及规模</w:t>
      </w:r>
      <w:bookmarkEnd w:id="37"/>
      <w:bookmarkEnd w:id="38"/>
    </w:p>
    <w:p>
      <w:pPr>
        <w:bidi w:val="0"/>
        <w:rPr>
          <w:rFonts w:hint="eastAsia"/>
          <w:u w:val="single"/>
          <w:lang w:eastAsia="zh-CN"/>
        </w:rPr>
      </w:pPr>
      <w:r>
        <w:rPr>
          <w:rFonts w:hint="eastAsia"/>
          <w:u w:val="single"/>
          <w:lang w:eastAsia="zh-CN"/>
        </w:rPr>
        <w:t>项目于</w:t>
      </w:r>
      <w:r>
        <w:rPr>
          <w:rFonts w:hint="eastAsia"/>
          <w:u w:val="single"/>
          <w:lang w:val="en-US" w:eastAsia="zh-CN"/>
        </w:rPr>
        <w:t>2021年年底已开工建设，截止2022年8月，项目已完成主体工程猪舍、辅助工程门卫、供水供电排污管网的建设内容，环保工程。该项目未依法报批建设项目环境影响评价文件，涉及未批先建，岳阳华容县分局已下达了行政处罚，湖南双宏养殖有限公司</w:t>
      </w:r>
      <w:r>
        <w:rPr>
          <w:rFonts w:hint="eastAsia"/>
          <w:u w:val="single"/>
          <w:lang w:eastAsia="zh-CN"/>
        </w:rPr>
        <w:t>已缴纳相关</w:t>
      </w:r>
      <w:r>
        <w:rPr>
          <w:rFonts w:hint="eastAsia"/>
          <w:u w:val="single"/>
        </w:rPr>
        <w:t>罚款</w:t>
      </w:r>
      <w:r>
        <w:rPr>
          <w:rFonts w:hint="eastAsia"/>
          <w:u w:val="single"/>
          <w:lang w:eastAsia="zh-CN"/>
        </w:rPr>
        <w:t>。</w:t>
      </w:r>
    </w:p>
    <w:p>
      <w:pPr>
        <w:bidi w:val="0"/>
        <w:rPr>
          <w:highlight w:val="none"/>
        </w:rPr>
      </w:pPr>
      <w:r>
        <w:rPr>
          <w:highlight w:val="none"/>
        </w:rPr>
        <w:t>本项目拟建于</w:t>
      </w:r>
      <w:r>
        <w:rPr>
          <w:rFonts w:hint="eastAsia"/>
          <w:highlight w:val="none"/>
        </w:rPr>
        <w:t>岳阳市华容县东山镇长岗庙村9组002号</w:t>
      </w:r>
      <w:r>
        <w:rPr>
          <w:highlight w:val="none"/>
        </w:rPr>
        <w:t>（东经：112°</w:t>
      </w:r>
      <w:r>
        <w:rPr>
          <w:rFonts w:hint="eastAsia"/>
          <w:highlight w:val="none"/>
          <w:lang w:val="en-US" w:eastAsia="zh-CN"/>
        </w:rPr>
        <w:t>45</w:t>
      </w:r>
      <w:r>
        <w:rPr>
          <w:highlight w:val="none"/>
        </w:rPr>
        <w:t>′</w:t>
      </w:r>
      <w:r>
        <w:rPr>
          <w:rFonts w:hint="eastAsia"/>
          <w:highlight w:val="none"/>
          <w:lang w:val="en-US" w:eastAsia="zh-CN"/>
        </w:rPr>
        <w:t>0.98</w:t>
      </w:r>
      <w:r>
        <w:rPr>
          <w:highlight w:val="none"/>
        </w:rPr>
        <w:t>″， 北纬：</w:t>
      </w:r>
      <w:r>
        <w:rPr>
          <w:rFonts w:hint="eastAsia"/>
          <w:highlight w:val="none"/>
          <w:lang w:val="en-US" w:eastAsia="zh-CN"/>
        </w:rPr>
        <w:t>29</w:t>
      </w:r>
      <w:r>
        <w:rPr>
          <w:highlight w:val="none"/>
        </w:rPr>
        <w:t>°</w:t>
      </w:r>
      <w:r>
        <w:rPr>
          <w:rFonts w:hint="eastAsia"/>
          <w:highlight w:val="none"/>
          <w:lang w:val="en-US" w:eastAsia="zh-CN"/>
        </w:rPr>
        <w:t>34</w:t>
      </w:r>
      <w:r>
        <w:rPr>
          <w:highlight w:val="none"/>
        </w:rPr>
        <w:t>′</w:t>
      </w:r>
      <w:r>
        <w:rPr>
          <w:rFonts w:hint="eastAsia"/>
          <w:highlight w:val="none"/>
          <w:lang w:val="en-US" w:eastAsia="zh-CN"/>
        </w:rPr>
        <w:t>29.64</w:t>
      </w:r>
      <w:r>
        <w:rPr>
          <w:highlight w:val="none"/>
        </w:rPr>
        <w:t>″），项目总占地面积约为</w:t>
      </w:r>
      <w:r>
        <w:rPr>
          <w:rFonts w:hint="eastAsia"/>
          <w:highlight w:val="none"/>
          <w:lang w:val="en-US" w:eastAsia="zh-CN"/>
        </w:rPr>
        <w:t>7213</w:t>
      </w:r>
      <w:r>
        <w:rPr>
          <w:highlight w:val="none"/>
        </w:rPr>
        <w:t>m</w:t>
      </w:r>
      <w:r>
        <w:rPr>
          <w:highlight w:val="none"/>
          <w:vertAlign w:val="superscript"/>
        </w:rPr>
        <w:t>2</w:t>
      </w:r>
      <w:r>
        <w:rPr>
          <w:highlight w:val="none"/>
        </w:rPr>
        <w:t>，</w:t>
      </w:r>
      <w:r>
        <w:rPr>
          <w:rFonts w:hint="eastAsia"/>
          <w:highlight w:val="none"/>
          <w:lang w:eastAsia="zh-CN"/>
        </w:rPr>
        <w:t>其中占用林地</w:t>
      </w:r>
      <w:r>
        <w:rPr>
          <w:rFonts w:hint="eastAsia"/>
          <w:highlight w:val="none"/>
          <w:lang w:val="en-US" w:eastAsia="zh-CN"/>
        </w:rPr>
        <w:t>1927</w:t>
      </w:r>
      <w:r>
        <w:rPr>
          <w:highlight w:val="none"/>
        </w:rPr>
        <w:t>m</w:t>
      </w:r>
      <w:r>
        <w:rPr>
          <w:highlight w:val="none"/>
          <w:vertAlign w:val="superscript"/>
        </w:rPr>
        <w:t>2</w:t>
      </w:r>
      <w:r>
        <w:rPr>
          <w:rFonts w:hint="eastAsia"/>
          <w:highlight w:val="none"/>
          <w:lang w:eastAsia="zh-CN"/>
        </w:rPr>
        <w:t>。</w:t>
      </w:r>
      <w:r>
        <w:rPr>
          <w:highlight w:val="none"/>
        </w:rPr>
        <w:t>总建筑面积约为</w:t>
      </w:r>
      <w:r>
        <w:rPr>
          <w:rFonts w:hint="eastAsia"/>
          <w:highlight w:val="none"/>
          <w:lang w:val="en-US" w:eastAsia="zh-CN"/>
        </w:rPr>
        <w:t>5802.8</w:t>
      </w:r>
      <w:r>
        <w:rPr>
          <w:highlight w:val="none"/>
        </w:rPr>
        <w:t>m</w:t>
      </w:r>
      <w:r>
        <w:rPr>
          <w:highlight w:val="none"/>
          <w:vertAlign w:val="superscript"/>
        </w:rPr>
        <w:t>2</w:t>
      </w:r>
      <w:r>
        <w:rPr>
          <w:highlight w:val="none"/>
        </w:rPr>
        <w:t>，其中猪舍建筑面积约为</w:t>
      </w:r>
      <w:r>
        <w:rPr>
          <w:rFonts w:hint="eastAsia"/>
          <w:highlight w:val="none"/>
          <w:lang w:val="en-US" w:eastAsia="zh-CN"/>
        </w:rPr>
        <w:t>5764.8</w:t>
      </w:r>
      <w:r>
        <w:rPr>
          <w:highlight w:val="none"/>
        </w:rPr>
        <w:t>m</w:t>
      </w:r>
      <w:r>
        <w:rPr>
          <w:highlight w:val="none"/>
          <w:vertAlign w:val="superscript"/>
        </w:rPr>
        <w:t>2</w:t>
      </w:r>
      <w:r>
        <w:rPr>
          <w:highlight w:val="none"/>
        </w:rPr>
        <w:t>，年出栏育肥猪约</w:t>
      </w:r>
      <w:r>
        <w:rPr>
          <w:rFonts w:hint="eastAsia"/>
          <w:highlight w:val="none"/>
          <w:lang w:val="en-US" w:eastAsia="zh-CN"/>
        </w:rPr>
        <w:t>11</w:t>
      </w:r>
      <w:r>
        <w:rPr>
          <w:highlight w:val="none"/>
        </w:rPr>
        <w:t>000头</w:t>
      </w:r>
      <w:r>
        <w:rPr>
          <w:rFonts w:hint="eastAsia"/>
          <w:highlight w:val="none"/>
          <w:lang w:eastAsia="zh-CN"/>
        </w:rPr>
        <w:t>，常年存栏量为</w:t>
      </w:r>
      <w:r>
        <w:rPr>
          <w:rFonts w:hint="eastAsia"/>
          <w:highlight w:val="none"/>
        </w:rPr>
        <w:t>5500</w:t>
      </w:r>
      <w:r>
        <w:rPr>
          <w:rFonts w:hint="eastAsia"/>
          <w:highlight w:val="none"/>
          <w:lang w:eastAsia="zh-CN"/>
        </w:rPr>
        <w:t>头</w:t>
      </w:r>
      <w:r>
        <w:rPr>
          <w:highlight w:val="none"/>
        </w:rPr>
        <w:t>。建设办公室、宿舍</w:t>
      </w:r>
      <w:r>
        <w:rPr>
          <w:rFonts w:hint="eastAsia"/>
          <w:highlight w:val="none"/>
          <w:lang w:eastAsia="zh-CN"/>
        </w:rPr>
        <w:t>、污水处理、猪</w:t>
      </w:r>
      <w:r>
        <w:rPr>
          <w:highlight w:val="none"/>
        </w:rPr>
        <w:t>粪处理设施及其他环保设施。</w:t>
      </w:r>
    </w:p>
    <w:p>
      <w:pPr>
        <w:bidi w:val="0"/>
        <w:rPr>
          <w:highlight w:val="none"/>
        </w:rPr>
      </w:pPr>
      <w:r>
        <w:rPr>
          <w:highlight w:val="none"/>
        </w:rPr>
        <w:t>本项目为生猪养殖项目，不进行饲料加工、生猪屠宰。</w:t>
      </w:r>
    </w:p>
    <w:p>
      <w:pPr>
        <w:pStyle w:val="7"/>
        <w:bidi w:val="0"/>
        <w:rPr>
          <w:highlight w:val="none"/>
          <w:u w:val="single"/>
        </w:rPr>
      </w:pPr>
      <w:r>
        <w:rPr>
          <w:highlight w:val="none"/>
          <w:u w:val="single"/>
        </w:rPr>
        <w:t>表3.</w:t>
      </w:r>
      <w:r>
        <w:rPr>
          <w:rFonts w:hint="eastAsia"/>
          <w:highlight w:val="none"/>
          <w:u w:val="single"/>
          <w:lang w:val="en-US" w:eastAsia="zh-CN"/>
        </w:rPr>
        <w:t>2</w:t>
      </w:r>
      <w:r>
        <w:rPr>
          <w:highlight w:val="none"/>
          <w:u w:val="single"/>
        </w:rPr>
        <w:t>-</w:t>
      </w:r>
      <w:r>
        <w:rPr>
          <w:rFonts w:hint="eastAsia"/>
          <w:highlight w:val="none"/>
          <w:u w:val="single"/>
          <w:lang w:val="en-US" w:eastAsia="zh-CN"/>
        </w:rPr>
        <w:t>1</w:t>
      </w:r>
      <w:r>
        <w:rPr>
          <w:highlight w:val="none"/>
          <w:u w:val="single"/>
        </w:rPr>
        <w:t xml:space="preserve">  主要建设内容一览表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33"/>
        <w:gridCol w:w="1083"/>
        <w:gridCol w:w="65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项目</w:t>
            </w: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工程名称</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建设内容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主体工程</w:t>
            </w: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猪舍</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建设标准化猪舍</w:t>
            </w:r>
            <w:r>
              <w:rPr>
                <w:rFonts w:hint="eastAsia" w:cs="Times New Roman"/>
                <w:snapToGrid w:val="0"/>
                <w:color w:val="000000"/>
                <w:spacing w:val="0"/>
                <w:w w:val="100"/>
                <w:kern w:val="0"/>
                <w:position w:val="0"/>
                <w:sz w:val="21"/>
                <w:szCs w:val="21"/>
                <w:highlight w:val="none"/>
                <w:u w:val="single" w:color="auto"/>
                <w:lang w:val="en-US" w:eastAsia="zh-CN"/>
              </w:rPr>
              <w:t>4</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栋</w:t>
            </w:r>
            <w:r>
              <w:rPr>
                <w:rFonts w:hint="eastAsia" w:cs="Times New Roman"/>
                <w:snapToGrid w:val="0"/>
                <w:color w:val="000000"/>
                <w:spacing w:val="0"/>
                <w:w w:val="100"/>
                <w:kern w:val="0"/>
                <w:position w:val="0"/>
                <w:sz w:val="21"/>
                <w:szCs w:val="21"/>
                <w:highlight w:val="none"/>
                <w:u w:val="single" w:color="auto"/>
                <w:lang w:eastAsia="zh-CN"/>
              </w:rPr>
              <w:t>，</w:t>
            </w:r>
            <w:r>
              <w:rPr>
                <w:rFonts w:hint="eastAsia" w:cs="Times New Roman"/>
                <w:snapToGrid w:val="0"/>
                <w:color w:val="000000"/>
                <w:spacing w:val="0"/>
                <w:w w:val="100"/>
                <w:kern w:val="0"/>
                <w:position w:val="0"/>
                <w:sz w:val="21"/>
                <w:szCs w:val="21"/>
                <w:highlight w:val="none"/>
                <w:u w:val="single" w:color="auto"/>
                <w:lang w:val="en-US" w:eastAsia="zh-CN"/>
              </w:rPr>
              <w:t>24.02m*60m，每栋猪舍面积1441.2m</w:t>
            </w:r>
            <w:r>
              <w:rPr>
                <w:rFonts w:hint="eastAsia" w:cs="Times New Roman"/>
                <w:snapToGrid w:val="0"/>
                <w:color w:val="000000"/>
                <w:spacing w:val="0"/>
                <w:w w:val="100"/>
                <w:kern w:val="0"/>
                <w:position w:val="0"/>
                <w:sz w:val="21"/>
                <w:szCs w:val="21"/>
                <w:highlight w:val="none"/>
                <w:u w:val="single" w:color="auto"/>
                <w:vertAlign w:val="superscript"/>
                <w:lang w:val="en-US" w:eastAsia="zh-CN"/>
              </w:rPr>
              <w:t>2</w:t>
            </w:r>
            <w:r>
              <w:rPr>
                <w:rFonts w:hint="eastAsia" w:cs="Times New Roman"/>
                <w:snapToGrid w:val="0"/>
                <w:color w:val="000000"/>
                <w:spacing w:val="0"/>
                <w:w w:val="100"/>
                <w:kern w:val="0"/>
                <w:position w:val="0"/>
                <w:sz w:val="21"/>
                <w:szCs w:val="21"/>
                <w:highlight w:val="none"/>
                <w:u w:val="single" w:color="auto"/>
                <w:lang w:val="en-US" w:eastAsia="zh-CN"/>
              </w:rPr>
              <w:t>，4栋猪舍建设面积5764.8m</w:t>
            </w:r>
            <w:r>
              <w:rPr>
                <w:rFonts w:hint="eastAsia" w:cs="Times New Roman"/>
                <w:snapToGrid w:val="0"/>
                <w:color w:val="000000"/>
                <w:spacing w:val="0"/>
                <w:w w:val="100"/>
                <w:kern w:val="0"/>
                <w:position w:val="0"/>
                <w:sz w:val="21"/>
                <w:szCs w:val="21"/>
                <w:highlight w:val="none"/>
                <w:u w:val="single" w:color="auto"/>
                <w:vertAlign w:val="superscript"/>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辅助工程</w:t>
            </w: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办公及配套</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建设办公室、宿舍、食堂</w:t>
            </w:r>
            <w:r>
              <w:rPr>
                <w:rFonts w:hint="eastAsia" w:cs="Times New Roman"/>
                <w:snapToGrid w:val="0"/>
                <w:color w:val="000000"/>
                <w:spacing w:val="0"/>
                <w:w w:val="100"/>
                <w:kern w:val="0"/>
                <w:position w:val="0"/>
                <w:sz w:val="21"/>
                <w:szCs w:val="21"/>
                <w:highlight w:val="none"/>
                <w:u w:val="single" w:color="auto"/>
                <w:lang w:eastAsia="zh-CN"/>
              </w:rPr>
              <w:t>，约</w:t>
            </w:r>
            <w:r>
              <w:rPr>
                <w:rFonts w:hint="eastAsia" w:cs="Times New Roman"/>
                <w:snapToGrid w:val="0"/>
                <w:color w:val="000000"/>
                <w:spacing w:val="0"/>
                <w:w w:val="100"/>
                <w:kern w:val="0"/>
                <w:position w:val="0"/>
                <w:sz w:val="21"/>
                <w:szCs w:val="21"/>
                <w:highlight w:val="none"/>
                <w:u w:val="single" w:color="auto"/>
                <w:lang w:val="en-US" w:eastAsia="zh-CN"/>
              </w:rPr>
              <w:t>24m</w:t>
            </w:r>
            <w:r>
              <w:rPr>
                <w:rFonts w:hint="eastAsia" w:cs="Times New Roman"/>
                <w:snapToGrid w:val="0"/>
                <w:color w:val="000000"/>
                <w:spacing w:val="0"/>
                <w:w w:val="100"/>
                <w:kern w:val="0"/>
                <w:position w:val="0"/>
                <w:sz w:val="21"/>
                <w:szCs w:val="21"/>
                <w:highlight w:val="none"/>
                <w:u w:val="single" w:color="auto"/>
                <w:vertAlign w:val="superscript"/>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pPr>
            <w:r>
              <w:rPr>
                <w:rFonts w:hint="eastAsia" w:cs="Times New Roman"/>
                <w:snapToGrid w:val="0"/>
                <w:color w:val="000000"/>
                <w:spacing w:val="0"/>
                <w:w w:val="100"/>
                <w:kern w:val="0"/>
                <w:position w:val="0"/>
                <w:sz w:val="21"/>
                <w:szCs w:val="21"/>
                <w:highlight w:val="none"/>
                <w:u w:val="single" w:color="auto"/>
                <w:lang w:eastAsia="zh-CN"/>
              </w:rPr>
              <w:t>门卫</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eastAsia="zh-CN"/>
              </w:rPr>
              <w:t>门卫</w:t>
            </w:r>
            <w:r>
              <w:rPr>
                <w:rFonts w:hint="eastAsia" w:cs="Times New Roman"/>
                <w:snapToGrid w:val="0"/>
                <w:color w:val="000000"/>
                <w:spacing w:val="0"/>
                <w:w w:val="100"/>
                <w:kern w:val="0"/>
                <w:position w:val="0"/>
                <w:sz w:val="21"/>
                <w:szCs w:val="21"/>
                <w:highlight w:val="none"/>
                <w:u w:val="single" w:color="auto"/>
                <w:lang w:val="en-US" w:eastAsia="zh-CN"/>
              </w:rPr>
              <w:t>4m</w:t>
            </w:r>
            <w:r>
              <w:rPr>
                <w:rFonts w:hint="eastAsia" w:cs="Times New Roman"/>
                <w:snapToGrid w:val="0"/>
                <w:color w:val="000000"/>
                <w:spacing w:val="0"/>
                <w:w w:val="100"/>
                <w:kern w:val="0"/>
                <w:position w:val="0"/>
                <w:sz w:val="21"/>
                <w:szCs w:val="21"/>
                <w:highlight w:val="none"/>
                <w:u w:val="single" w:color="auto"/>
                <w:vertAlign w:val="superscript"/>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公用工程</w:t>
            </w: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供水</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ascii="宋体" w:hAnsi="宋体" w:eastAsia="宋体" w:cs="宋体"/>
                <w:spacing w:val="-1"/>
                <w:sz w:val="21"/>
                <w:szCs w:val="21"/>
                <w:highlight w:val="none"/>
                <w:u w:val="single" w:color="auto"/>
              </w:rPr>
              <w:t>水塔及变频水泵装置，用水源自井水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供电</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由</w:t>
            </w:r>
            <w:r>
              <w:rPr>
                <w:rFonts w:hint="eastAsia" w:cs="Times New Roman"/>
                <w:snapToGrid w:val="0"/>
                <w:color w:val="000000"/>
                <w:spacing w:val="0"/>
                <w:w w:val="100"/>
                <w:kern w:val="0"/>
                <w:position w:val="0"/>
                <w:sz w:val="21"/>
                <w:szCs w:val="21"/>
                <w:highlight w:val="none"/>
                <w:u w:val="single" w:color="auto"/>
                <w:lang w:eastAsia="zh-CN"/>
              </w:rPr>
              <w:t>长岗庙村</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变电站供给。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供热</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生产区能源全部采用电，项目不用采暖锅炉，采暖全部用电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43"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环保工程</w:t>
            </w: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废气处理</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废气采取优化饲料配比、喷洒除臭剂、设置绿化隔离带等来降低硫和氨的排放，从而降低臭气浓度；食堂油烟经集气罩收集、油烟净化器处理后引至屋顶排放。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废水处理</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pPr>
            <w:r>
              <w:rPr>
                <w:rFonts w:hint="default" w:ascii="Times New Roman" w:hAnsi="Times New Roman" w:eastAsia="宋体" w:cs="Times New Roman"/>
                <w:snapToGrid w:val="0"/>
                <w:color w:val="000000"/>
                <w:spacing w:val="0"/>
                <w:kern w:val="0"/>
                <w:sz w:val="21"/>
                <w:szCs w:val="21"/>
                <w:highlight w:val="none"/>
                <w:u w:val="single" w:color="auto"/>
              </w:rPr>
              <w:t>本项目实行雨污分流，项目采用</w:t>
            </w:r>
            <w:r>
              <w:rPr>
                <w:rFonts w:hint="eastAsia" w:cs="Times New Roman"/>
                <w:snapToGrid w:val="0"/>
                <w:color w:val="000000"/>
                <w:spacing w:val="0"/>
                <w:kern w:val="0"/>
                <w:sz w:val="21"/>
                <w:szCs w:val="21"/>
                <w:highlight w:val="none"/>
                <w:u w:val="single" w:color="auto"/>
                <w:lang w:eastAsia="zh-CN"/>
              </w:rPr>
              <w:t>干清粪</w:t>
            </w:r>
            <w:r>
              <w:rPr>
                <w:rFonts w:hint="default" w:ascii="Times New Roman" w:hAnsi="Times New Roman" w:eastAsia="宋体" w:cs="Times New Roman"/>
                <w:snapToGrid w:val="0"/>
                <w:color w:val="000000"/>
                <w:spacing w:val="0"/>
                <w:kern w:val="0"/>
                <w:sz w:val="21"/>
                <w:szCs w:val="21"/>
                <w:highlight w:val="none"/>
                <w:u w:val="single" w:color="auto"/>
              </w:rPr>
              <w:t>处理工艺，</w:t>
            </w:r>
            <w:r>
              <w:rPr>
                <w:rFonts w:hint="eastAsia" w:cs="Times New Roman"/>
                <w:snapToGrid w:val="0"/>
                <w:color w:val="000000"/>
                <w:spacing w:val="0"/>
                <w:kern w:val="0"/>
                <w:sz w:val="21"/>
                <w:szCs w:val="21"/>
                <w:highlight w:val="none"/>
                <w:u w:val="single" w:color="auto"/>
                <w:lang w:eastAsia="zh-CN"/>
              </w:rPr>
              <w:t>采取</w:t>
            </w:r>
            <w:r>
              <w:rPr>
                <w:rFonts w:hint="default" w:ascii="Times New Roman" w:hAnsi="Times New Roman" w:eastAsia="宋体" w:cs="Times New Roman"/>
                <w:snapToGrid w:val="0"/>
                <w:color w:val="000000"/>
                <w:spacing w:val="0"/>
                <w:kern w:val="0"/>
                <w:sz w:val="21"/>
                <w:szCs w:val="21"/>
                <w:highlight w:val="none"/>
                <w:u w:val="single" w:color="auto"/>
              </w:rPr>
              <w:t>固液分离，养殖粪污分离出来的固态作为有机肥原料通过罐车外运，不在厂区内堆肥。</w:t>
            </w:r>
            <w:r>
              <w:rPr>
                <w:rFonts w:hint="eastAsia" w:cs="Times New Roman"/>
                <w:snapToGrid w:val="0"/>
                <w:color w:val="000000"/>
                <w:spacing w:val="0"/>
                <w:w w:val="100"/>
                <w:kern w:val="0"/>
                <w:position w:val="0"/>
                <w:sz w:val="21"/>
                <w:szCs w:val="21"/>
                <w:highlight w:val="none"/>
                <w:u w:val="single" w:color="auto"/>
                <w:vertAlign w:val="baseline"/>
                <w:lang w:val="en-US" w:eastAsia="zh-CN"/>
              </w:rPr>
              <w:t>厂区内有一水塘，用作项目污水处理工艺的氧化塘，氧化塘有效容积为4000m</w:t>
            </w:r>
            <w:r>
              <w:rPr>
                <w:rFonts w:hint="eastAsia" w:cs="Times New Roman"/>
                <w:snapToGrid w:val="0"/>
                <w:color w:val="000000"/>
                <w:spacing w:val="0"/>
                <w:w w:val="100"/>
                <w:kern w:val="0"/>
                <w:position w:val="0"/>
                <w:sz w:val="21"/>
                <w:szCs w:val="21"/>
                <w:highlight w:val="none"/>
                <w:u w:val="single" w:color="auto"/>
                <w:vertAlign w:val="superscript"/>
                <w:lang w:val="en-US" w:eastAsia="zh-CN"/>
              </w:rPr>
              <w:t>3</w:t>
            </w:r>
            <w:r>
              <w:rPr>
                <w:rFonts w:hint="eastAsia" w:cs="Times New Roman"/>
                <w:snapToGrid w:val="0"/>
                <w:color w:val="000000"/>
                <w:spacing w:val="0"/>
                <w:w w:val="100"/>
                <w:kern w:val="0"/>
                <w:position w:val="0"/>
                <w:sz w:val="21"/>
                <w:szCs w:val="21"/>
                <w:highlight w:val="none"/>
                <w:u w:val="single" w:color="auto"/>
                <w:vertAlign w:val="baseline"/>
                <w:lang w:val="en-US" w:eastAsia="zh-CN"/>
              </w:rPr>
              <w:t>。</w:t>
            </w:r>
            <w:r>
              <w:rPr>
                <w:rFonts w:hint="eastAsia" w:cs="Times New Roman"/>
                <w:snapToGrid w:val="0"/>
                <w:color w:val="000000"/>
                <w:spacing w:val="0"/>
                <w:w w:val="100"/>
                <w:kern w:val="0"/>
                <w:position w:val="0"/>
                <w:sz w:val="21"/>
                <w:szCs w:val="21"/>
                <w:highlight w:val="none"/>
                <w:u w:val="single" w:color="auto"/>
                <w:lang w:eastAsia="zh-CN"/>
              </w:rPr>
              <w:t>事故池</w:t>
            </w:r>
            <w:r>
              <w:rPr>
                <w:rFonts w:hint="eastAsia" w:cs="Times New Roman"/>
                <w:snapToGrid w:val="0"/>
                <w:color w:val="000000"/>
                <w:spacing w:val="0"/>
                <w:w w:val="100"/>
                <w:kern w:val="0"/>
                <w:position w:val="0"/>
                <w:sz w:val="21"/>
                <w:szCs w:val="21"/>
                <w:highlight w:val="none"/>
                <w:u w:val="single" w:color="auto"/>
                <w:lang w:val="en-US" w:eastAsia="zh-CN"/>
              </w:rPr>
              <w:t>550m</w:t>
            </w:r>
            <w:r>
              <w:rPr>
                <w:rFonts w:hint="eastAsia" w:cs="Times New Roman"/>
                <w:snapToGrid w:val="0"/>
                <w:color w:val="000000"/>
                <w:spacing w:val="0"/>
                <w:w w:val="100"/>
                <w:kern w:val="0"/>
                <w:position w:val="0"/>
                <w:sz w:val="21"/>
                <w:szCs w:val="21"/>
                <w:highlight w:val="none"/>
                <w:u w:val="single" w:color="auto"/>
                <w:vertAlign w:val="superscript"/>
                <w:lang w:val="en-US" w:eastAsia="zh-CN"/>
              </w:rPr>
              <w:t>3</w:t>
            </w:r>
            <w:r>
              <w:rPr>
                <w:rFonts w:hint="eastAsia" w:cs="Times New Roman"/>
                <w:snapToGrid w:val="0"/>
                <w:color w:val="000000"/>
                <w:spacing w:val="0"/>
                <w:w w:val="100"/>
                <w:kern w:val="0"/>
                <w:position w:val="0"/>
                <w:sz w:val="21"/>
                <w:szCs w:val="21"/>
                <w:highlight w:val="none"/>
                <w:u w:val="single" w:color="auto"/>
                <w:vertAlign w:val="baseline"/>
                <w:lang w:val="en-US" w:eastAsia="zh-CN"/>
              </w:rPr>
              <w:t>，拟设置在厂区北侧。</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项目养殖废水和生活污水经化粪池处理后均通过场区污水处理站</w:t>
            </w:r>
            <w:r>
              <w:rPr>
                <w:rFonts w:hint="default" w:ascii="Times New Roman" w:hAnsi="Times New Roman" w:eastAsia="宋体" w:cs="Times New Roman"/>
                <w:snapToGrid w:val="0"/>
                <w:color w:val="000000"/>
                <w:spacing w:val="0"/>
                <w:kern w:val="0"/>
                <w:sz w:val="21"/>
                <w:szCs w:val="21"/>
                <w:highlight w:val="none"/>
                <w:u w:val="single" w:color="auto"/>
                <w:lang w:eastAsia="zh-CN"/>
              </w:rPr>
              <w:t>（污水处理站采取地埋式</w:t>
            </w:r>
            <w:r>
              <w:rPr>
                <w:rFonts w:hint="default" w:ascii="Times New Roman" w:hAnsi="Times New Roman" w:eastAsia="宋体" w:cs="Times New Roman"/>
                <w:spacing w:val="2"/>
                <w:sz w:val="21"/>
                <w:szCs w:val="21"/>
                <w:highlight w:val="none"/>
                <w:u w:val="single" w:color="auto"/>
              </w:rPr>
              <w:t>钢混结构，处理能力</w:t>
            </w:r>
            <w:r>
              <w:rPr>
                <w:rFonts w:hint="eastAsia" w:cs="Times New Roman"/>
                <w:spacing w:val="2"/>
                <w:sz w:val="21"/>
                <w:szCs w:val="21"/>
                <w:highlight w:val="none"/>
                <w:u w:val="single" w:color="auto"/>
                <w:lang w:val="en-US" w:eastAsia="zh-CN"/>
              </w:rPr>
              <w:t>110</w:t>
            </w:r>
            <w:r>
              <w:rPr>
                <w:rFonts w:hint="default" w:ascii="Times New Roman" w:hAnsi="Times New Roman" w:eastAsia="宋体" w:cs="Times New Roman"/>
                <w:spacing w:val="2"/>
                <w:sz w:val="21"/>
                <w:szCs w:val="21"/>
                <w:highlight w:val="none"/>
                <w:u w:val="single" w:color="auto"/>
              </w:rPr>
              <w:t>m</w:t>
            </w:r>
            <w:r>
              <w:rPr>
                <w:rFonts w:hint="default" w:ascii="Times New Roman" w:hAnsi="Times New Roman" w:eastAsia="宋体" w:cs="Times New Roman"/>
                <w:spacing w:val="2"/>
                <w:sz w:val="21"/>
                <w:szCs w:val="21"/>
                <w:highlight w:val="none"/>
                <w:u w:val="single" w:color="auto"/>
                <w:vertAlign w:val="superscript"/>
                <w:lang w:val="en-US" w:eastAsia="zh-CN"/>
              </w:rPr>
              <w:t>3</w:t>
            </w:r>
            <w:r>
              <w:rPr>
                <w:rFonts w:hint="default" w:ascii="Times New Roman" w:hAnsi="Times New Roman" w:eastAsia="宋体" w:cs="Times New Roman"/>
                <w:spacing w:val="2"/>
                <w:sz w:val="21"/>
                <w:szCs w:val="21"/>
                <w:highlight w:val="none"/>
                <w:u w:val="single" w:color="auto"/>
              </w:rPr>
              <w:t>/d</w:t>
            </w:r>
            <w:r>
              <w:rPr>
                <w:rFonts w:hint="default" w:ascii="Times New Roman" w:hAnsi="Times New Roman" w:eastAsia="宋体" w:cs="Times New Roman"/>
                <w:snapToGrid w:val="0"/>
                <w:color w:val="000000"/>
                <w:spacing w:val="0"/>
                <w:kern w:val="0"/>
                <w:sz w:val="21"/>
                <w:szCs w:val="21"/>
                <w:highlight w:val="none"/>
                <w:u w:val="single" w:color="auto"/>
                <w:lang w:eastAsia="zh-CN"/>
              </w:rPr>
              <w:t>）</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处理后，用于周边林地灌溉，不外排，最终全部实现综合利用</w:t>
            </w:r>
            <w:r>
              <w:rPr>
                <w:rFonts w:hint="eastAsia" w:cs="Times New Roman"/>
                <w:snapToGrid w:val="0"/>
                <w:color w:val="000000"/>
                <w:spacing w:val="0"/>
                <w:w w:val="100"/>
                <w:kern w:val="0"/>
                <w:position w:val="0"/>
                <w:sz w:val="21"/>
                <w:szCs w:val="21"/>
                <w:highlight w:val="none"/>
                <w:u w:val="single" w:color="auto"/>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噪声防治</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通过采取低噪设备、减振、隔声、消声等降噪措施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固废</w:t>
            </w:r>
          </w:p>
        </w:tc>
        <w:tc>
          <w:tcPr>
            <w:tcW w:w="37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项目猪粪分离出来的固态作为有机肥原料进行堆肥处理</w:t>
            </w:r>
            <w:r>
              <w:rPr>
                <w:rFonts w:hint="eastAsia" w:cs="Times New Roman"/>
                <w:snapToGrid w:val="0"/>
                <w:color w:val="000000"/>
                <w:spacing w:val="0"/>
                <w:w w:val="100"/>
                <w:kern w:val="0"/>
                <w:position w:val="0"/>
                <w:sz w:val="21"/>
                <w:szCs w:val="21"/>
                <w:highlight w:val="none"/>
                <w:u w:val="single" w:color="auto"/>
                <w:lang w:eastAsia="zh-CN"/>
              </w:rPr>
              <w:t>，固液分离猪粪暂存场所</w:t>
            </w:r>
            <w:r>
              <w:rPr>
                <w:rFonts w:hint="eastAsia" w:cs="Times New Roman"/>
                <w:snapToGrid w:val="0"/>
                <w:color w:val="000000"/>
                <w:spacing w:val="0"/>
                <w:w w:val="100"/>
                <w:kern w:val="0"/>
                <w:position w:val="0"/>
                <w:sz w:val="21"/>
                <w:szCs w:val="21"/>
                <w:highlight w:val="none"/>
                <w:u w:val="single" w:color="auto"/>
                <w:lang w:val="en-US" w:eastAsia="zh-CN"/>
              </w:rPr>
              <w:t>5m</w:t>
            </w:r>
            <w:r>
              <w:rPr>
                <w:rFonts w:hint="eastAsia" w:cs="Times New Roman"/>
                <w:snapToGrid w:val="0"/>
                <w:color w:val="000000"/>
                <w:spacing w:val="0"/>
                <w:w w:val="100"/>
                <w:kern w:val="0"/>
                <w:position w:val="0"/>
                <w:sz w:val="21"/>
                <w:szCs w:val="21"/>
                <w:highlight w:val="none"/>
                <w:u w:val="single" w:color="auto"/>
                <w:vertAlign w:val="superscript"/>
                <w:lang w:val="en-US" w:eastAsia="zh-CN"/>
              </w:rPr>
              <w:t>2</w:t>
            </w:r>
            <w:r>
              <w:rPr>
                <w:rFonts w:hint="eastAsia" w:cs="Times New Roman"/>
                <w:snapToGrid w:val="0"/>
                <w:color w:val="000000"/>
                <w:spacing w:val="0"/>
                <w:w w:val="100"/>
                <w:kern w:val="0"/>
                <w:position w:val="0"/>
                <w:sz w:val="21"/>
                <w:szCs w:val="21"/>
                <w:highlight w:val="none"/>
                <w:u w:val="single" w:color="auto"/>
                <w:vertAlign w:val="baseline"/>
                <w:lang w:val="en-US" w:eastAsia="zh-CN"/>
              </w:rPr>
              <w:t>，设置在厂区东北侧。</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病死猪当天</w:t>
            </w:r>
            <w:r>
              <w:rPr>
                <w:rFonts w:hint="eastAsia" w:cs="Times New Roman"/>
                <w:snapToGrid w:val="0"/>
                <w:color w:val="000000"/>
                <w:spacing w:val="0"/>
                <w:w w:val="100"/>
                <w:kern w:val="0"/>
                <w:position w:val="0"/>
                <w:sz w:val="21"/>
                <w:szCs w:val="21"/>
                <w:highlight w:val="none"/>
                <w:u w:val="single" w:color="auto"/>
                <w:lang w:eastAsia="zh-CN"/>
              </w:rPr>
              <w:t>委托</w:t>
            </w:r>
            <w:r>
              <w:rPr>
                <w:rFonts w:hint="default" w:ascii="Times New Roman" w:hAnsi="Times New Roman" w:eastAsia="宋体" w:cs="Times New Roman"/>
                <w:snapToGrid w:val="0"/>
                <w:color w:val="000000"/>
                <w:spacing w:val="0"/>
                <w:kern w:val="0"/>
                <w:sz w:val="21"/>
                <w:szCs w:val="21"/>
                <w:highlight w:val="none"/>
                <w:u w:val="single" w:color="auto"/>
              </w:rPr>
              <w:t>当地畜禽无害化处理中心清运和处理</w:t>
            </w:r>
            <w:r>
              <w:rPr>
                <w:rFonts w:hint="eastAsia" w:cs="Times New Roman"/>
                <w:snapToGrid w:val="0"/>
                <w:color w:val="000000"/>
                <w:spacing w:val="0"/>
                <w:kern w:val="0"/>
                <w:sz w:val="21"/>
                <w:szCs w:val="21"/>
                <w:highlight w:val="none"/>
                <w:u w:val="single" w:color="auto"/>
                <w:lang w:eastAsia="zh-CN"/>
              </w:rPr>
              <w:t>，不在厂内暂存</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；防疫医疗废物属于危险废物，委托有资质单位收集处置</w:t>
            </w:r>
            <w:r>
              <w:rPr>
                <w:rFonts w:hint="eastAsia" w:cs="Times New Roman"/>
                <w:snapToGrid w:val="0"/>
                <w:color w:val="000000"/>
                <w:spacing w:val="0"/>
                <w:w w:val="100"/>
                <w:kern w:val="0"/>
                <w:position w:val="0"/>
                <w:sz w:val="21"/>
                <w:szCs w:val="21"/>
                <w:highlight w:val="none"/>
                <w:u w:val="single" w:color="auto"/>
                <w:lang w:eastAsia="zh-CN"/>
              </w:rPr>
              <w:t>，危废暂存间</w:t>
            </w:r>
            <w:r>
              <w:rPr>
                <w:rFonts w:hint="eastAsia" w:cs="Times New Roman"/>
                <w:snapToGrid w:val="0"/>
                <w:color w:val="000000"/>
                <w:spacing w:val="0"/>
                <w:w w:val="100"/>
                <w:kern w:val="0"/>
                <w:position w:val="0"/>
                <w:sz w:val="21"/>
                <w:szCs w:val="21"/>
                <w:highlight w:val="none"/>
                <w:u w:val="single" w:color="auto"/>
                <w:lang w:val="en-US" w:eastAsia="zh-CN"/>
              </w:rPr>
              <w:t>5m</w:t>
            </w:r>
            <w:r>
              <w:rPr>
                <w:rFonts w:hint="eastAsia" w:cs="Times New Roman"/>
                <w:snapToGrid w:val="0"/>
                <w:color w:val="000000"/>
                <w:spacing w:val="0"/>
                <w:w w:val="100"/>
                <w:kern w:val="0"/>
                <w:position w:val="0"/>
                <w:sz w:val="21"/>
                <w:szCs w:val="21"/>
                <w:highlight w:val="none"/>
                <w:u w:val="single" w:color="auto"/>
                <w:vertAlign w:val="superscript"/>
                <w:lang w:val="en-US" w:eastAsia="zh-CN"/>
              </w:rPr>
              <w:t>2</w:t>
            </w:r>
            <w:r>
              <w:rPr>
                <w:rFonts w:hint="eastAsia" w:cs="Times New Roman"/>
                <w:snapToGrid w:val="0"/>
                <w:color w:val="000000"/>
                <w:spacing w:val="0"/>
                <w:w w:val="100"/>
                <w:kern w:val="0"/>
                <w:position w:val="0"/>
                <w:sz w:val="21"/>
                <w:szCs w:val="21"/>
                <w:highlight w:val="none"/>
                <w:u w:val="single" w:color="auto"/>
                <w:vertAlign w:val="baseline"/>
                <w:lang w:val="en-US" w:eastAsia="zh-CN"/>
              </w:rPr>
              <w:t>，设置在厂区西南侧</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；生活垃圾为一般固体废物，由环卫人员收集后送生活垃圾处理场处理。</w:t>
            </w:r>
          </w:p>
        </w:tc>
      </w:tr>
    </w:tbl>
    <w:p>
      <w:pPr>
        <w:pStyle w:val="4"/>
        <w:bidi w:val="0"/>
        <w:rPr>
          <w:highlight w:val="none"/>
        </w:rPr>
      </w:pPr>
      <w:bookmarkStart w:id="39" w:name="_Toc25740"/>
      <w:bookmarkStart w:id="40" w:name="_Toc28137"/>
      <w:r>
        <w:rPr>
          <w:highlight w:val="none"/>
        </w:rPr>
        <w:t>3.3</w:t>
      </w:r>
      <w:r>
        <w:rPr>
          <w:rFonts w:hint="eastAsia"/>
          <w:highlight w:val="none"/>
          <w:lang w:val="en-US" w:eastAsia="zh-CN"/>
        </w:rPr>
        <w:t xml:space="preserve"> </w:t>
      </w:r>
      <w:r>
        <w:rPr>
          <w:highlight w:val="none"/>
        </w:rPr>
        <w:t xml:space="preserve"> 生产规模及产品方案</w:t>
      </w:r>
      <w:bookmarkEnd w:id="39"/>
      <w:bookmarkEnd w:id="40"/>
    </w:p>
    <w:p>
      <w:pPr>
        <w:bidi w:val="0"/>
        <w:rPr>
          <w:rStyle w:val="36"/>
          <w:highlight w:val="none"/>
          <w:u w:val="single"/>
        </w:rPr>
      </w:pPr>
      <w:r>
        <w:rPr>
          <w:highlight w:val="none"/>
          <w:u w:val="single"/>
        </w:rPr>
        <w:t>本项目养殖场育肥猪常年存栏量总数约</w:t>
      </w:r>
      <w:r>
        <w:rPr>
          <w:rFonts w:hint="eastAsia"/>
          <w:highlight w:val="none"/>
          <w:u w:val="single"/>
          <w:lang w:val="en-US" w:eastAsia="zh-CN"/>
        </w:rPr>
        <w:t>550</w:t>
      </w:r>
      <w:r>
        <w:rPr>
          <w:highlight w:val="none"/>
          <w:u w:val="single"/>
        </w:rPr>
        <w:t>0头，年出栏量约</w:t>
      </w:r>
      <w:r>
        <w:rPr>
          <w:rFonts w:hint="eastAsia"/>
          <w:highlight w:val="none"/>
          <w:u w:val="single"/>
          <w:lang w:val="en-US" w:eastAsia="zh-CN"/>
        </w:rPr>
        <w:t>11</w:t>
      </w:r>
      <w:r>
        <w:rPr>
          <w:highlight w:val="none"/>
          <w:u w:val="single"/>
        </w:rPr>
        <w:t>000 头。项目产品方案见表3.</w:t>
      </w:r>
      <w:r>
        <w:rPr>
          <w:rFonts w:hint="eastAsia"/>
          <w:highlight w:val="none"/>
          <w:u w:val="single"/>
          <w:lang w:val="en-US" w:eastAsia="zh-CN"/>
        </w:rPr>
        <w:t>3</w:t>
      </w:r>
      <w:r>
        <w:rPr>
          <w:highlight w:val="none"/>
          <w:u w:val="single"/>
        </w:rPr>
        <w:t>-</w:t>
      </w:r>
      <w:r>
        <w:rPr>
          <w:rFonts w:hint="eastAsia"/>
          <w:highlight w:val="none"/>
          <w:u w:val="single"/>
          <w:lang w:val="en-US" w:eastAsia="zh-CN"/>
        </w:rPr>
        <w:t>1</w:t>
      </w:r>
      <w:r>
        <w:rPr>
          <w:highlight w:val="none"/>
          <w:u w:val="single"/>
        </w:rPr>
        <w:t>。</w:t>
      </w:r>
    </w:p>
    <w:p>
      <w:pPr>
        <w:pStyle w:val="7"/>
        <w:bidi w:val="0"/>
        <w:rPr>
          <w:highlight w:val="none"/>
          <w:u w:val="single"/>
        </w:rPr>
      </w:pPr>
      <w:r>
        <w:rPr>
          <w:highlight w:val="none"/>
          <w:u w:val="single"/>
        </w:rPr>
        <w:t>表3.</w:t>
      </w:r>
      <w:r>
        <w:rPr>
          <w:rFonts w:hint="eastAsia"/>
          <w:highlight w:val="none"/>
          <w:u w:val="single"/>
          <w:lang w:val="en-US" w:eastAsia="zh-CN"/>
        </w:rPr>
        <w:t>3</w:t>
      </w:r>
      <w:r>
        <w:rPr>
          <w:highlight w:val="none"/>
          <w:u w:val="single"/>
        </w:rPr>
        <w:t>-</w:t>
      </w:r>
      <w:r>
        <w:rPr>
          <w:rFonts w:hint="eastAsia"/>
          <w:highlight w:val="none"/>
          <w:u w:val="single"/>
          <w:lang w:val="en-US" w:eastAsia="zh-CN"/>
        </w:rPr>
        <w:t>1</w:t>
      </w:r>
      <w:r>
        <w:rPr>
          <w:highlight w:val="none"/>
          <w:u w:val="single"/>
        </w:rPr>
        <w:t xml:space="preserve">  项目产品方案</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37"/>
        <w:gridCol w:w="1432"/>
        <w:gridCol w:w="1048"/>
        <w:gridCol w:w="1954"/>
        <w:gridCol w:w="35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7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序号</w:t>
            </w:r>
          </w:p>
        </w:tc>
        <w:tc>
          <w:tcPr>
            <w:tcW w:w="81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产品类型</w:t>
            </w:r>
          </w:p>
        </w:tc>
        <w:tc>
          <w:tcPr>
            <w:tcW w:w="5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单位</w:t>
            </w:r>
          </w:p>
        </w:tc>
        <w:tc>
          <w:tcPr>
            <w:tcW w:w="11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出栏数量</w:t>
            </w:r>
          </w:p>
        </w:tc>
        <w:tc>
          <w:tcPr>
            <w:tcW w:w="200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7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p>
        </w:tc>
        <w:tc>
          <w:tcPr>
            <w:tcW w:w="81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育肥猪</w:t>
            </w:r>
          </w:p>
        </w:tc>
        <w:tc>
          <w:tcPr>
            <w:tcW w:w="59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头/年</w:t>
            </w:r>
          </w:p>
        </w:tc>
        <w:tc>
          <w:tcPr>
            <w:tcW w:w="11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11</w:t>
            </w:r>
            <w:r>
              <w:rPr>
                <w:rFonts w:hint="default" w:ascii="Times New Roman" w:hAnsi="Times New Roman" w:eastAsia="宋体" w:cs="Times New Roman"/>
                <w:snapToGrid w:val="0"/>
                <w:color w:val="000000"/>
                <w:spacing w:val="0"/>
                <w:w w:val="100"/>
                <w:kern w:val="0"/>
                <w:position w:val="0"/>
                <w:sz w:val="21"/>
                <w:szCs w:val="21"/>
                <w:highlight w:val="none"/>
                <w:u w:val="single"/>
              </w:rPr>
              <w:t>000</w:t>
            </w:r>
          </w:p>
        </w:tc>
        <w:tc>
          <w:tcPr>
            <w:tcW w:w="200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常年存栏量55</w:t>
            </w:r>
            <w:r>
              <w:rPr>
                <w:rFonts w:hint="default" w:ascii="Times New Roman" w:hAnsi="Times New Roman" w:eastAsia="宋体" w:cs="Times New Roman"/>
                <w:snapToGrid w:val="0"/>
                <w:color w:val="000000"/>
                <w:spacing w:val="0"/>
                <w:w w:val="100"/>
                <w:kern w:val="0"/>
                <w:position w:val="0"/>
                <w:sz w:val="21"/>
                <w:szCs w:val="21"/>
                <w:highlight w:val="none"/>
                <w:u w:val="single"/>
              </w:rPr>
              <w:t>00 头，年出栏育肥猪2批</w:t>
            </w:r>
          </w:p>
        </w:tc>
      </w:tr>
    </w:tbl>
    <w:p>
      <w:pPr>
        <w:pStyle w:val="4"/>
        <w:bidi w:val="0"/>
        <w:rPr>
          <w:highlight w:val="none"/>
        </w:rPr>
      </w:pPr>
      <w:bookmarkStart w:id="41" w:name="_Toc22157"/>
      <w:bookmarkStart w:id="42" w:name="_Toc5777"/>
      <w:r>
        <w:rPr>
          <w:highlight w:val="none"/>
        </w:rPr>
        <w:t xml:space="preserve">3.4 </w:t>
      </w:r>
      <w:r>
        <w:rPr>
          <w:rFonts w:hint="eastAsia"/>
          <w:highlight w:val="none"/>
          <w:lang w:val="en-US" w:eastAsia="zh-CN"/>
        </w:rPr>
        <w:t xml:space="preserve"> </w:t>
      </w:r>
      <w:r>
        <w:rPr>
          <w:highlight w:val="none"/>
        </w:rPr>
        <w:t>主要原辅材料及能源消耗</w:t>
      </w:r>
      <w:bookmarkEnd w:id="41"/>
      <w:bookmarkEnd w:id="42"/>
    </w:p>
    <w:p>
      <w:pPr>
        <w:bidi w:val="0"/>
        <w:rPr>
          <w:highlight w:val="none"/>
        </w:rPr>
      </w:pPr>
      <w:r>
        <w:rPr>
          <w:highlight w:val="none"/>
        </w:rPr>
        <w:t>本项目原辅材料及能源消耗情况详见表 3.4-</w:t>
      </w:r>
      <w:r>
        <w:rPr>
          <w:rFonts w:hint="eastAsia"/>
          <w:highlight w:val="none"/>
          <w:lang w:val="en-US" w:eastAsia="zh-CN"/>
        </w:rPr>
        <w:t>1</w:t>
      </w:r>
      <w:r>
        <w:rPr>
          <w:highlight w:val="none"/>
        </w:rPr>
        <w:t xml:space="preserve"> 、3.4-</w:t>
      </w:r>
      <w:r>
        <w:rPr>
          <w:rFonts w:hint="eastAsia"/>
          <w:highlight w:val="none"/>
          <w:lang w:val="en-US" w:eastAsia="zh-CN"/>
        </w:rPr>
        <w:t>2</w:t>
      </w:r>
      <w:r>
        <w:rPr>
          <w:highlight w:val="none"/>
        </w:rPr>
        <w:t>。</w:t>
      </w:r>
    </w:p>
    <w:p>
      <w:pPr>
        <w:pStyle w:val="7"/>
        <w:bidi w:val="0"/>
        <w:rPr>
          <w:highlight w:val="none"/>
        </w:rPr>
      </w:pPr>
      <w:r>
        <w:rPr>
          <w:highlight w:val="none"/>
        </w:rPr>
        <w:t>表3.4.</w:t>
      </w:r>
      <w:r>
        <w:rPr>
          <w:rFonts w:hint="eastAsia"/>
          <w:highlight w:val="none"/>
          <w:lang w:val="en-US" w:eastAsia="zh-CN"/>
        </w:rPr>
        <w:t>1</w:t>
      </w:r>
      <w:r>
        <w:rPr>
          <w:highlight w:val="none"/>
        </w:rPr>
        <w:t xml:space="preserve">  养猪场主要饲料消耗定额指标表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721"/>
        <w:gridCol w:w="2389"/>
        <w:gridCol w:w="1971"/>
        <w:gridCol w:w="17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每头猪饲料定额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（kg/d·头）</w:t>
            </w:r>
          </w:p>
        </w:tc>
        <w:tc>
          <w:tcPr>
            <w:tcW w:w="135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常年存栏量生猪数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（头）</w:t>
            </w:r>
          </w:p>
        </w:tc>
        <w:tc>
          <w:tcPr>
            <w:tcW w:w="111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饲料日消耗量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（t/d）</w:t>
            </w:r>
          </w:p>
        </w:tc>
        <w:tc>
          <w:tcPr>
            <w:tcW w:w="98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饲料年消耗量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4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2.68</w:t>
            </w:r>
          </w:p>
        </w:tc>
        <w:tc>
          <w:tcPr>
            <w:tcW w:w="135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eastAsia" w:ascii="Times New Roman" w:hAnsi="Times New Roman" w:eastAsia="宋体" w:cs="Times New Roman"/>
                <w:snapToGrid w:val="0"/>
                <w:color w:val="000000"/>
                <w:spacing w:val="0"/>
                <w:w w:val="100"/>
                <w:kern w:val="0"/>
                <w:position w:val="0"/>
                <w:sz w:val="21"/>
                <w:szCs w:val="21"/>
                <w:highlight w:val="none"/>
                <w:lang w:val="en-US" w:eastAsia="zh-CN"/>
              </w:rPr>
              <w:t>55</w:t>
            </w:r>
            <w:r>
              <w:rPr>
                <w:rFonts w:hint="default" w:ascii="Times New Roman" w:hAnsi="Times New Roman" w:eastAsia="宋体" w:cs="Times New Roman"/>
                <w:snapToGrid w:val="0"/>
                <w:color w:val="000000"/>
                <w:spacing w:val="0"/>
                <w:w w:val="100"/>
                <w:kern w:val="0"/>
                <w:position w:val="0"/>
                <w:sz w:val="21"/>
                <w:szCs w:val="21"/>
                <w:highlight w:val="none"/>
              </w:rPr>
              <w:t>00</w:t>
            </w:r>
          </w:p>
        </w:tc>
        <w:tc>
          <w:tcPr>
            <w:tcW w:w="111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lang w:val="en-US" w:eastAsia="zh-CN"/>
              </w:rPr>
              <w:t>14.74</w:t>
            </w:r>
          </w:p>
        </w:tc>
        <w:tc>
          <w:tcPr>
            <w:tcW w:w="98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lang w:val="en-US" w:eastAsia="zh-CN"/>
              </w:rPr>
              <w:t>5380.1</w:t>
            </w:r>
          </w:p>
        </w:tc>
      </w:tr>
    </w:tbl>
    <w:p>
      <w:pPr>
        <w:keepNext w:val="0"/>
        <w:keepLines w:val="0"/>
        <w:pageBreakBefore w:val="0"/>
        <w:widowControl w:val="0"/>
        <w:kinsoku/>
        <w:wordWrap/>
        <w:overflowPunct/>
        <w:topLinePunct w:val="0"/>
        <w:autoSpaceDE/>
        <w:autoSpaceDN/>
        <w:bidi w:val="0"/>
        <w:adjustRightInd/>
        <w:snapToGrid/>
        <w:spacing w:line="240" w:lineRule="auto"/>
        <w:ind w:firstLine="136"/>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注：本项目饲料全部外购，本项目不进行饲料加工。主要成分：玉米25%、高粱10%、麦麸20%、糠饼10%、统糠11%、胡豆 2%、菜饼18%、蚕蛹2%；禁止在饲料中添加激素及其他禁用药品。</w:t>
      </w:r>
    </w:p>
    <w:p>
      <w:pPr>
        <w:pStyle w:val="7"/>
        <w:bidi w:val="0"/>
        <w:rPr>
          <w:highlight w:val="none"/>
        </w:rPr>
      </w:pPr>
      <w:r>
        <w:rPr>
          <w:highlight w:val="none"/>
        </w:rPr>
        <w:t>表3.4-</w:t>
      </w:r>
      <w:r>
        <w:rPr>
          <w:rFonts w:hint="eastAsia"/>
          <w:highlight w:val="none"/>
          <w:lang w:val="en-US" w:eastAsia="zh-CN"/>
        </w:rPr>
        <w:t>2</w:t>
      </w:r>
      <w:r>
        <w:rPr>
          <w:highlight w:val="none"/>
        </w:rPr>
        <w:t xml:space="preserve">  主要原辅材料消耗表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321"/>
        <w:gridCol w:w="1183"/>
        <w:gridCol w:w="1180"/>
        <w:gridCol w:w="41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名称</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单位</w:t>
            </w:r>
          </w:p>
        </w:tc>
        <w:tc>
          <w:tcPr>
            <w:tcW w:w="6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用量</w:t>
            </w: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全价饲料</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t/a</w:t>
            </w:r>
          </w:p>
        </w:tc>
        <w:tc>
          <w:tcPr>
            <w:tcW w:w="6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lang w:val="en-US" w:eastAsia="zh-CN"/>
              </w:rPr>
              <w:t>5380.1</w:t>
            </w: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外购，主要为玉米、</w:t>
            </w:r>
            <w:r>
              <w:rPr>
                <w:rFonts w:hint="default" w:ascii="Times New Roman" w:hAnsi="Times New Roman" w:eastAsia="宋体" w:cs="Times New Roman"/>
                <w:spacing w:val="0"/>
                <w:sz w:val="21"/>
                <w:szCs w:val="21"/>
                <w:highlight w:val="none"/>
              </w:rPr>
              <w:t>麦麸</w:t>
            </w:r>
            <w:r>
              <w:rPr>
                <w:rFonts w:hint="default" w:ascii="Times New Roman" w:hAnsi="Times New Roman" w:eastAsia="宋体" w:cs="Times New Roman"/>
                <w:snapToGrid w:val="0"/>
                <w:color w:val="000000"/>
                <w:spacing w:val="0"/>
                <w:w w:val="100"/>
                <w:kern w:val="0"/>
                <w:position w:val="0"/>
                <w:sz w:val="21"/>
                <w:szCs w:val="21"/>
                <w:highlight w:val="none"/>
              </w:rPr>
              <w:t>等</w:t>
            </w:r>
            <w:r>
              <w:rPr>
                <w:rFonts w:hint="eastAsia" w:cs="Times New Roman"/>
                <w:snapToGrid w:val="0"/>
                <w:color w:val="000000"/>
                <w:spacing w:val="0"/>
                <w:w w:val="100"/>
                <w:kern w:val="0"/>
                <w:position w:val="0"/>
                <w:sz w:val="21"/>
                <w:szCs w:val="21"/>
                <w:highlight w:val="none"/>
                <w:lang w:eastAsia="zh-CN"/>
              </w:rPr>
              <w:t>，</w:t>
            </w:r>
            <w:r>
              <w:rPr>
                <w:rFonts w:hint="default" w:ascii="Times New Roman" w:hAnsi="Times New Roman" w:eastAsia="宋体" w:cs="Times New Roman"/>
                <w:snapToGrid w:val="0"/>
                <w:color w:val="000000"/>
                <w:spacing w:val="0"/>
                <w:w w:val="100"/>
                <w:kern w:val="0"/>
                <w:position w:val="0"/>
                <w:sz w:val="21"/>
                <w:szCs w:val="21"/>
                <w:highlight w:val="none"/>
              </w:rPr>
              <w:t>育肥猪设计指标值2.68kg/d.头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水</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m</w:t>
            </w:r>
            <w:r>
              <w:rPr>
                <w:rFonts w:hint="default" w:ascii="Times New Roman" w:hAnsi="Times New Roman" w:eastAsia="宋体" w:cs="Times New Roman"/>
                <w:snapToGrid w:val="0"/>
                <w:color w:val="000000"/>
                <w:spacing w:val="0"/>
                <w:w w:val="100"/>
                <w:kern w:val="0"/>
                <w:position w:val="0"/>
                <w:sz w:val="21"/>
                <w:szCs w:val="21"/>
                <w:highlight w:val="none"/>
                <w:vertAlign w:val="superscript"/>
              </w:rPr>
              <w:t>3</w:t>
            </w:r>
            <w:r>
              <w:rPr>
                <w:rFonts w:hint="default" w:ascii="Times New Roman" w:hAnsi="Times New Roman" w:eastAsia="宋体" w:cs="Times New Roman"/>
                <w:snapToGrid w:val="0"/>
                <w:color w:val="000000"/>
                <w:spacing w:val="0"/>
                <w:w w:val="100"/>
                <w:kern w:val="0"/>
                <w:position w:val="0"/>
                <w:sz w:val="21"/>
                <w:szCs w:val="21"/>
                <w:highlight w:val="none"/>
              </w:rPr>
              <w:t>/a</w:t>
            </w:r>
          </w:p>
        </w:tc>
        <w:tc>
          <w:tcPr>
            <w:tcW w:w="6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lang w:val="en-US" w:eastAsia="zh-CN"/>
              </w:rPr>
            </w:pPr>
            <w:r>
              <w:rPr>
                <w:rFonts w:hint="eastAsia" w:cs="Times New Roman"/>
                <w:sz w:val="21"/>
                <w:szCs w:val="21"/>
                <w:highlight w:val="none"/>
                <w:lang w:val="en-US" w:eastAsia="zh-CN"/>
              </w:rPr>
              <w:t>38269.688</w:t>
            </w: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场区水井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电</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kw·h/a</w:t>
            </w:r>
          </w:p>
        </w:tc>
        <w:tc>
          <w:tcPr>
            <w:tcW w:w="6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50万</w:t>
            </w: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当地电网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消毒剂（非含氯）</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t/a</w:t>
            </w:r>
          </w:p>
        </w:tc>
        <w:tc>
          <w:tcPr>
            <w:tcW w:w="6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eastAsia" w:ascii="Times New Roman" w:hAnsi="Times New Roman" w:eastAsia="宋体" w:cs="Times New Roman"/>
                <w:snapToGrid w:val="0"/>
                <w:color w:val="000000"/>
                <w:spacing w:val="0"/>
                <w:w w:val="100"/>
                <w:kern w:val="0"/>
                <w:position w:val="0"/>
                <w:sz w:val="21"/>
                <w:szCs w:val="21"/>
                <w:highlight w:val="none"/>
                <w:lang w:val="en-US" w:eastAsia="zh-CN"/>
              </w:rPr>
              <w:t>1</w:t>
            </w:r>
            <w:r>
              <w:rPr>
                <w:rFonts w:hint="default" w:ascii="Times New Roman" w:hAnsi="Times New Roman" w:eastAsia="宋体" w:cs="Times New Roman"/>
                <w:snapToGrid w:val="0"/>
                <w:color w:val="000000"/>
                <w:spacing w:val="0"/>
                <w:w w:val="100"/>
                <w:kern w:val="0"/>
                <w:position w:val="0"/>
                <w:sz w:val="21"/>
                <w:szCs w:val="21"/>
                <w:highlight w:val="none"/>
              </w:rPr>
              <w:t>.0</w:t>
            </w: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市场购进，消毒剂种类主要为氢氧化钠、 高锰酸钾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除臭剂</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t/a</w:t>
            </w:r>
          </w:p>
        </w:tc>
        <w:tc>
          <w:tcPr>
            <w:tcW w:w="669"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用量根据生产需要定</w:t>
            </w: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兽药</w:t>
            </w:r>
          </w:p>
        </w:tc>
        <w:tc>
          <w:tcPr>
            <w:tcW w:w="6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t/a</w:t>
            </w:r>
          </w:p>
        </w:tc>
        <w:tc>
          <w:tcPr>
            <w:tcW w:w="669"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p>
        </w:tc>
        <w:tc>
          <w:tcPr>
            <w:tcW w:w="23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rPr>
            </w:pPr>
            <w:r>
              <w:rPr>
                <w:rFonts w:hint="default" w:ascii="Times New Roman" w:hAnsi="Times New Roman" w:eastAsia="宋体" w:cs="Times New Roman"/>
                <w:snapToGrid w:val="0"/>
                <w:color w:val="000000"/>
                <w:spacing w:val="0"/>
                <w:w w:val="100"/>
                <w:kern w:val="0"/>
                <w:position w:val="0"/>
                <w:sz w:val="21"/>
                <w:szCs w:val="21"/>
                <w:highlight w:val="none"/>
              </w:rPr>
              <w:t>从当地畜牧防疫部门（站）用购进</w:t>
            </w:r>
          </w:p>
        </w:tc>
      </w:tr>
    </w:tbl>
    <w:p>
      <w:pPr>
        <w:pStyle w:val="4"/>
        <w:bidi w:val="0"/>
        <w:rPr>
          <w:rFonts w:hint="default"/>
          <w:highlight w:val="none"/>
          <w:lang w:val="en-US" w:eastAsia="zh-CN"/>
        </w:rPr>
      </w:pPr>
      <w:bookmarkStart w:id="43" w:name="_Toc31456"/>
      <w:bookmarkStart w:id="44" w:name="_Toc15107"/>
      <w:r>
        <w:rPr>
          <w:rFonts w:hint="eastAsia"/>
          <w:highlight w:val="none"/>
          <w:lang w:val="en-US" w:eastAsia="zh-CN"/>
        </w:rPr>
        <w:t>3.5  主要生产设备</w:t>
      </w:r>
      <w:bookmarkEnd w:id="43"/>
      <w:bookmarkEnd w:id="44"/>
    </w:p>
    <w:p>
      <w:pPr>
        <w:bidi w:val="0"/>
        <w:rPr>
          <w:highlight w:val="none"/>
          <w:u w:val="single"/>
        </w:rPr>
      </w:pPr>
      <w:r>
        <w:rPr>
          <w:highlight w:val="none"/>
          <w:u w:val="single"/>
        </w:rPr>
        <w:t>项目为养殖类型，非工业生产性企业，主要的设备为风机、</w:t>
      </w:r>
      <w:r>
        <w:rPr>
          <w:rFonts w:hint="eastAsia"/>
          <w:highlight w:val="none"/>
          <w:u w:val="single"/>
          <w:lang w:eastAsia="zh-CN"/>
        </w:rPr>
        <w:t>料塔</w:t>
      </w:r>
      <w:r>
        <w:rPr>
          <w:highlight w:val="none"/>
          <w:u w:val="single"/>
        </w:rPr>
        <w:t>及饮水器等，主要设备见表</w:t>
      </w:r>
      <w:r>
        <w:rPr>
          <w:rFonts w:hint="eastAsia"/>
          <w:highlight w:val="none"/>
          <w:u w:val="single"/>
          <w:lang w:val="en-US" w:eastAsia="zh-CN"/>
        </w:rPr>
        <w:t>3.5-1</w:t>
      </w:r>
      <w:r>
        <w:rPr>
          <w:highlight w:val="none"/>
          <w:u w:val="single"/>
        </w:rPr>
        <w:t>。</w:t>
      </w:r>
    </w:p>
    <w:p>
      <w:pPr>
        <w:pStyle w:val="7"/>
        <w:bidi w:val="0"/>
        <w:rPr>
          <w:highlight w:val="none"/>
          <w:u w:val="single"/>
        </w:rPr>
      </w:pPr>
      <w:r>
        <w:rPr>
          <w:highlight w:val="none"/>
          <w:u w:val="single"/>
        </w:rPr>
        <w:t>表</w:t>
      </w:r>
      <w:r>
        <w:rPr>
          <w:rFonts w:hint="eastAsia"/>
          <w:highlight w:val="none"/>
          <w:u w:val="single"/>
          <w:lang w:val="en-US" w:eastAsia="zh-CN"/>
        </w:rPr>
        <w:t xml:space="preserve">3.5-1 </w:t>
      </w:r>
      <w:r>
        <w:rPr>
          <w:highlight w:val="none"/>
          <w:u w:val="single"/>
        </w:rPr>
        <w:t xml:space="preserve"> 项目主要设备一览表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13"/>
        <w:gridCol w:w="2755"/>
        <w:gridCol w:w="1370"/>
        <w:gridCol w:w="2483"/>
        <w:gridCol w:w="15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序号</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产品名称</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规格</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产品参数</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数量（台/套）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p>
        </w:tc>
        <w:tc>
          <w:tcPr>
            <w:tcW w:w="1562"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玻璃钢风机</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50寸</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t>标准设备</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56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36</w:t>
            </w:r>
            <w:r>
              <w:rPr>
                <w:rFonts w:hint="default" w:ascii="Times New Roman" w:hAnsi="Times New Roman" w:eastAsia="宋体" w:cs="Times New Roman"/>
                <w:snapToGrid w:val="0"/>
                <w:color w:val="000000"/>
                <w:spacing w:val="0"/>
                <w:w w:val="100"/>
                <w:kern w:val="0"/>
                <w:position w:val="0"/>
                <w:sz w:val="21"/>
                <w:szCs w:val="21"/>
                <w:highlight w:val="none"/>
                <w:u w:val="single"/>
              </w:rPr>
              <w:t>寸</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t>标准设备</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56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24寸</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t>标准设备</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水帘</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50mm</w:t>
            </w:r>
            <w:r>
              <w:rPr>
                <w:rFonts w:hint="default" w:ascii="Times New Roman" w:hAnsi="Times New Roman" w:eastAsia="宋体" w:cs="Times New Roman"/>
                <w:snapToGrid w:val="0"/>
                <w:color w:val="000000"/>
                <w:spacing w:val="0"/>
                <w:w w:val="100"/>
                <w:kern w:val="0"/>
                <w:position w:val="0"/>
                <w:sz w:val="21"/>
                <w:szCs w:val="21"/>
                <w:highlight w:val="none"/>
                <w:u w:val="single"/>
              </w:rPr>
              <w:t>厚</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铝合金材质</w:t>
            </w:r>
            <w:r>
              <w:rPr>
                <w:rFonts w:hint="eastAsia" w:cs="Times New Roman"/>
                <w:snapToGrid w:val="0"/>
                <w:color w:val="000000"/>
                <w:spacing w:val="0"/>
                <w:w w:val="100"/>
                <w:kern w:val="0"/>
                <w:position w:val="0"/>
                <w:sz w:val="21"/>
                <w:szCs w:val="21"/>
                <w:highlight w:val="none"/>
                <w:u w:val="single"/>
                <w:lang w:eastAsia="zh-CN"/>
              </w:rPr>
              <w:t>，</w:t>
            </w:r>
            <w:r>
              <w:rPr>
                <w:rFonts w:hint="default" w:ascii="Times New Roman" w:hAnsi="Times New Roman" w:eastAsia="宋体" w:cs="Times New Roman"/>
                <w:snapToGrid w:val="0"/>
                <w:color w:val="000000"/>
                <w:spacing w:val="0"/>
                <w:w w:val="100"/>
                <w:kern w:val="0"/>
                <w:position w:val="0"/>
                <w:sz w:val="21"/>
                <w:szCs w:val="21"/>
                <w:highlight w:val="none"/>
                <w:u w:val="single"/>
              </w:rPr>
              <w:t>70/90 型湿帘</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57.76平方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cs="Times New Roman"/>
                <w:snapToGrid w:val="0"/>
                <w:color w:val="000000"/>
                <w:spacing w:val="0"/>
                <w:w w:val="100"/>
                <w:kern w:val="0"/>
                <w:position w:val="0"/>
                <w:sz w:val="21"/>
                <w:szCs w:val="21"/>
                <w:highlight w:val="none"/>
                <w:u w:val="single"/>
                <w:lang w:eastAsia="zh-CN"/>
              </w:rPr>
              <w:t>节水器</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72个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4</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snapToGrid w:val="0"/>
                <w:color w:val="000000"/>
                <w:spacing w:val="0"/>
                <w:w w:val="100"/>
                <w:kern w:val="0"/>
                <w:position w:val="0"/>
                <w:sz w:val="21"/>
                <w:szCs w:val="21"/>
                <w:highlight w:val="none"/>
                <w:u w:val="single"/>
                <w:lang w:eastAsia="zh-CN"/>
              </w:rPr>
              <w:t>外</w:t>
            </w:r>
            <w:r>
              <w:rPr>
                <w:rFonts w:hint="default" w:ascii="Times New Roman" w:hAnsi="Times New Roman" w:eastAsia="宋体" w:cs="Times New Roman"/>
                <w:snapToGrid w:val="0"/>
                <w:color w:val="000000"/>
                <w:spacing w:val="0"/>
                <w:w w:val="100"/>
                <w:kern w:val="0"/>
                <w:position w:val="0"/>
                <w:sz w:val="21"/>
                <w:szCs w:val="21"/>
                <w:highlight w:val="none"/>
                <w:u w:val="single"/>
              </w:rPr>
              <w:t>料塔</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30吨</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5</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cs="Times New Roman"/>
                <w:snapToGrid w:val="0"/>
                <w:color w:val="000000"/>
                <w:spacing w:val="0"/>
                <w:w w:val="100"/>
                <w:kern w:val="0"/>
                <w:position w:val="0"/>
                <w:sz w:val="21"/>
                <w:szCs w:val="21"/>
                <w:highlight w:val="none"/>
                <w:u w:val="single"/>
                <w:lang w:eastAsia="zh-CN"/>
              </w:rPr>
            </w:pPr>
            <w:r>
              <w:rPr>
                <w:rFonts w:hint="eastAsia" w:cs="Times New Roman"/>
                <w:snapToGrid w:val="0"/>
                <w:color w:val="000000"/>
                <w:spacing w:val="0"/>
                <w:w w:val="100"/>
                <w:kern w:val="0"/>
                <w:position w:val="0"/>
                <w:sz w:val="21"/>
                <w:szCs w:val="21"/>
                <w:highlight w:val="none"/>
                <w:u w:val="single"/>
                <w:lang w:eastAsia="zh-CN"/>
              </w:rPr>
              <w:t>内料塔</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15.5</w:t>
            </w:r>
            <w:r>
              <w:rPr>
                <w:rFonts w:hint="default" w:ascii="Times New Roman" w:hAnsi="Times New Roman" w:eastAsia="宋体" w:cs="Times New Roman"/>
                <w:snapToGrid w:val="0"/>
                <w:color w:val="000000"/>
                <w:spacing w:val="0"/>
                <w:w w:val="100"/>
                <w:kern w:val="0"/>
                <w:position w:val="0"/>
                <w:sz w:val="21"/>
                <w:szCs w:val="21"/>
                <w:highlight w:val="none"/>
                <w:u w:val="single"/>
              </w:rPr>
              <w:t>吨</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6</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snapToGrid w:val="0"/>
                <w:color w:val="000000"/>
                <w:spacing w:val="0"/>
                <w:w w:val="100"/>
                <w:kern w:val="0"/>
                <w:position w:val="0"/>
                <w:sz w:val="21"/>
                <w:szCs w:val="21"/>
                <w:highlight w:val="none"/>
                <w:u w:val="single"/>
                <w:lang w:eastAsia="zh-CN"/>
              </w:rPr>
              <w:t>固液</w:t>
            </w:r>
            <w:r>
              <w:rPr>
                <w:rFonts w:hint="default" w:ascii="Times New Roman" w:hAnsi="Times New Roman" w:eastAsia="宋体" w:cs="Times New Roman"/>
                <w:snapToGrid w:val="0"/>
                <w:color w:val="000000"/>
                <w:spacing w:val="0"/>
                <w:w w:val="100"/>
                <w:kern w:val="0"/>
                <w:position w:val="0"/>
                <w:sz w:val="21"/>
                <w:szCs w:val="21"/>
                <w:highlight w:val="none"/>
                <w:u w:val="single"/>
              </w:rPr>
              <w:t>分离机</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7</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水池水泵</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8</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生活区用电</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9</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ascii="宋体" w:hAnsi="宋体" w:eastAsia="宋体" w:cs="宋体"/>
                <w:spacing w:val="-3"/>
                <w:sz w:val="21"/>
                <w:szCs w:val="21"/>
                <w:highlight w:val="none"/>
                <w:u w:val="single"/>
              </w:rPr>
              <w:t>水塔</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cs="Times New Roman"/>
                <w:snapToGrid w:val="0"/>
                <w:color w:val="000000"/>
                <w:spacing w:val="0"/>
                <w:w w:val="100"/>
                <w:kern w:val="0"/>
                <w:position w:val="0"/>
                <w:sz w:val="21"/>
                <w:szCs w:val="21"/>
                <w:highlight w:val="none"/>
                <w:u w:val="single"/>
                <w:lang w:val="en-US" w:eastAsia="zh-CN"/>
              </w:rPr>
              <w:t>10</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猪舍照明及电烤灯</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175W</w:t>
            </w: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4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cs="Times New Roman"/>
                <w:snapToGrid w:val="0"/>
                <w:color w:val="000000"/>
                <w:spacing w:val="0"/>
                <w:w w:val="100"/>
                <w:kern w:val="0"/>
                <w:position w:val="0"/>
                <w:sz w:val="21"/>
                <w:szCs w:val="21"/>
                <w:highlight w:val="none"/>
                <w:u w:val="single"/>
                <w:lang w:val="en-US" w:eastAsia="zh-CN"/>
              </w:rPr>
            </w:pPr>
            <w:bookmarkStart w:id="45" w:name="_Toc6753"/>
            <w:r>
              <w:rPr>
                <w:rFonts w:hint="eastAsia" w:cs="Times New Roman"/>
                <w:snapToGrid w:val="0"/>
                <w:color w:val="000000"/>
                <w:spacing w:val="0"/>
                <w:w w:val="100"/>
                <w:kern w:val="0"/>
                <w:position w:val="0"/>
                <w:sz w:val="21"/>
                <w:szCs w:val="21"/>
                <w:highlight w:val="none"/>
                <w:u w:val="single"/>
                <w:lang w:val="en-US" w:eastAsia="zh-CN"/>
              </w:rPr>
              <w:t>11</w:t>
            </w:r>
          </w:p>
        </w:tc>
        <w:tc>
          <w:tcPr>
            <w:tcW w:w="156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ascii="宋体" w:hAnsi="宋体" w:eastAsia="宋体" w:cs="宋体"/>
                <w:spacing w:val="-4"/>
                <w:sz w:val="21"/>
                <w:szCs w:val="21"/>
                <w:highlight w:val="none"/>
                <w:u w:val="single"/>
              </w:rPr>
              <w:t>漏粪板</w:t>
            </w:r>
          </w:p>
        </w:tc>
        <w:tc>
          <w:tcPr>
            <w:tcW w:w="7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4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90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4</w:t>
            </w:r>
          </w:p>
        </w:tc>
      </w:tr>
    </w:tbl>
    <w:p>
      <w:pPr>
        <w:pStyle w:val="4"/>
        <w:bidi w:val="0"/>
        <w:rPr>
          <w:highlight w:val="none"/>
        </w:rPr>
      </w:pPr>
      <w:bookmarkStart w:id="46" w:name="_Toc6357"/>
      <w:r>
        <w:rPr>
          <w:rFonts w:hint="eastAsia"/>
          <w:highlight w:val="none"/>
          <w:lang w:val="en-US" w:eastAsia="zh-CN"/>
        </w:rPr>
        <w:t>3.6</w:t>
      </w:r>
      <w:r>
        <w:rPr>
          <w:highlight w:val="none"/>
        </w:rPr>
        <w:t xml:space="preserve">  平面布局合理性分析</w:t>
      </w:r>
      <w:bookmarkEnd w:id="45"/>
      <w:bookmarkEnd w:id="46"/>
    </w:p>
    <w:p>
      <w:pPr>
        <w:bidi w:val="0"/>
        <w:rPr>
          <w:highlight w:val="none"/>
        </w:rPr>
      </w:pPr>
      <w:r>
        <w:rPr>
          <w:highlight w:val="none"/>
        </w:rPr>
        <w:t>项目场区规划总用地</w:t>
      </w:r>
      <w:r>
        <w:rPr>
          <w:rFonts w:hint="eastAsia"/>
          <w:highlight w:val="none"/>
          <w:lang w:val="en-US" w:eastAsia="zh-CN"/>
        </w:rPr>
        <w:t>7213</w:t>
      </w:r>
      <w:r>
        <w:rPr>
          <w:highlight w:val="none"/>
        </w:rPr>
        <w:t>m</w:t>
      </w:r>
      <w:r>
        <w:rPr>
          <w:highlight w:val="none"/>
          <w:vertAlign w:val="superscript"/>
        </w:rPr>
        <w:t>2</w:t>
      </w:r>
      <w:r>
        <w:rPr>
          <w:highlight w:val="none"/>
        </w:rPr>
        <w:t>，分为办公生活区、养殖区、粪污处理区3大功能区。其中：办公生活区布置在该地块的</w:t>
      </w:r>
      <w:r>
        <w:rPr>
          <w:rFonts w:hint="eastAsia"/>
          <w:highlight w:val="none"/>
          <w:lang w:eastAsia="zh-CN"/>
        </w:rPr>
        <w:t>东</w:t>
      </w:r>
      <w:r>
        <w:rPr>
          <w:highlight w:val="none"/>
        </w:rPr>
        <w:t>面，由办公室、食堂、职工宿舍等组成，与养殖区、粪污处理区等均有较大距离；养殖区布置在场区</w:t>
      </w:r>
      <w:r>
        <w:rPr>
          <w:rFonts w:hint="eastAsia"/>
          <w:highlight w:val="none"/>
          <w:lang w:eastAsia="zh-CN"/>
        </w:rPr>
        <w:t>南</w:t>
      </w:r>
      <w:r>
        <w:rPr>
          <w:highlight w:val="none"/>
        </w:rPr>
        <w:t>部，主要由</w:t>
      </w:r>
      <w:r>
        <w:rPr>
          <w:rFonts w:hint="eastAsia"/>
          <w:highlight w:val="none"/>
          <w:lang w:val="en-US" w:eastAsia="zh-CN"/>
        </w:rPr>
        <w:t>4</w:t>
      </w:r>
      <w:r>
        <w:rPr>
          <w:highlight w:val="none"/>
        </w:rPr>
        <w:t>栋猪舍组成，包括配套的料塔等；粪污处理区布置在养殖区北面，其中</w:t>
      </w:r>
      <w:r>
        <w:rPr>
          <w:rFonts w:hint="eastAsia"/>
          <w:highlight w:val="none"/>
          <w:lang w:eastAsia="zh-CN"/>
        </w:rPr>
        <w:t>粪沟沉积池</w:t>
      </w:r>
      <w:r>
        <w:rPr>
          <w:highlight w:val="none"/>
        </w:rPr>
        <w:t>位于猪舍下部。</w:t>
      </w:r>
    </w:p>
    <w:p>
      <w:pPr>
        <w:bidi w:val="0"/>
        <w:rPr>
          <w:rFonts w:hint="eastAsia"/>
          <w:highlight w:val="none"/>
        </w:rPr>
      </w:pPr>
      <w:r>
        <w:rPr>
          <w:rFonts w:hint="eastAsia"/>
          <w:highlight w:val="none"/>
        </w:rPr>
        <w:t>根据《畜禽养殖业污染防治技术规范》</w:t>
      </w:r>
      <w:r>
        <w:rPr>
          <w:rFonts w:hint="eastAsia"/>
          <w:highlight w:val="none"/>
          <w:lang w:eastAsia="zh-CN"/>
        </w:rPr>
        <w:t>（</w:t>
      </w:r>
      <w:r>
        <w:rPr>
          <w:rFonts w:hint="eastAsia"/>
          <w:highlight w:val="none"/>
        </w:rPr>
        <w:t>HJ/T81—2001</w:t>
      </w:r>
      <w:r>
        <w:rPr>
          <w:rFonts w:hint="eastAsia"/>
          <w:highlight w:val="none"/>
          <w:lang w:eastAsia="zh-CN"/>
        </w:rPr>
        <w:t>）</w:t>
      </w:r>
      <w:r>
        <w:rPr>
          <w:rFonts w:hint="eastAsia"/>
          <w:highlight w:val="none"/>
        </w:rPr>
        <w:t>中有关规定：新建、改建、扩建的畜禽养殖场应实现生产区、生活管理区的隔离；粪便污水处理设施和粪便临时贮存池应设在养殖场的生产区、生活管理区的常年主导风向的下风向或侧风向处。养殖场的排水系统应实行雨水和污水收集输送系统分离，在场区内外设置的污水收集输送系统，不得采取明沟布设。</w:t>
      </w:r>
    </w:p>
    <w:p>
      <w:pPr>
        <w:bidi w:val="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粪污处理区位于场区北部，位于生活管理区的常年主导风向的侧风向处，是场内标高最低的区域，生产废水可靠重力流进行污水处理设施。基本实现了《畜禽养殖业污染防治技术规范》中关于生产区、生活管理区相隔离的要求。场区内道路全部实现硬底化，污水通过管道输送，大多为暗管，雨水多为排洪沟明渠设计，清污分流减少了畜病交叉感染的机会。</w:t>
      </w:r>
    </w:p>
    <w:p>
      <w:pPr>
        <w:bidi w:val="0"/>
        <w:rPr>
          <w:highlight w:val="none"/>
        </w:rPr>
      </w:pPr>
      <w:r>
        <w:rPr>
          <w:highlight w:val="none"/>
        </w:rPr>
        <w:t>根据场区平面布置，各区之间使用围墙隔离，区内绿化率较高，可减少猪场废气的传播与扩散。其中项目四周与项目敏感目标之间有大面积的林地，可有效减少猪场废气的对其影响。</w:t>
      </w:r>
    </w:p>
    <w:p>
      <w:pPr>
        <w:bidi w:val="0"/>
        <w:rPr>
          <w:highlight w:val="none"/>
        </w:rPr>
      </w:pPr>
      <w:r>
        <w:rPr>
          <w:highlight w:val="none"/>
        </w:rPr>
        <w:t>项目平面布置能满足《畜禽养殖业污染防治技术规范》（HJ/T81-2001）的要求。</w:t>
      </w:r>
    </w:p>
    <w:p>
      <w:pPr>
        <w:pStyle w:val="4"/>
        <w:bidi w:val="0"/>
        <w:rPr>
          <w:highlight w:val="none"/>
        </w:rPr>
      </w:pPr>
      <w:bookmarkStart w:id="47" w:name="_Toc24154"/>
      <w:bookmarkStart w:id="48" w:name="_Toc28763"/>
      <w:r>
        <w:rPr>
          <w:highlight w:val="none"/>
        </w:rPr>
        <w:t>3.</w:t>
      </w:r>
      <w:r>
        <w:rPr>
          <w:rFonts w:hint="eastAsia"/>
          <w:highlight w:val="none"/>
          <w:lang w:val="en-US" w:eastAsia="zh-CN"/>
        </w:rPr>
        <w:t xml:space="preserve">7 </w:t>
      </w:r>
      <w:r>
        <w:rPr>
          <w:highlight w:val="none"/>
        </w:rPr>
        <w:t xml:space="preserve"> 公用工程</w:t>
      </w:r>
      <w:bookmarkEnd w:id="47"/>
      <w:bookmarkEnd w:id="48"/>
    </w:p>
    <w:p>
      <w:pPr>
        <w:pStyle w:val="5"/>
        <w:bidi w:val="0"/>
        <w:rPr>
          <w:highlight w:val="none"/>
        </w:rPr>
      </w:pPr>
      <w:r>
        <w:rPr>
          <w:rFonts w:hint="eastAsia"/>
          <w:highlight w:val="none"/>
          <w:lang w:eastAsia="zh-CN"/>
        </w:rPr>
        <w:t>3.</w:t>
      </w:r>
      <w:r>
        <w:rPr>
          <w:rFonts w:hint="eastAsia"/>
          <w:highlight w:val="none"/>
          <w:lang w:val="en-US" w:eastAsia="zh-CN"/>
        </w:rPr>
        <w:t>7</w:t>
      </w:r>
      <w:r>
        <w:rPr>
          <w:highlight w:val="none"/>
        </w:rPr>
        <w:t>.1</w:t>
      </w:r>
      <w:r>
        <w:rPr>
          <w:rFonts w:hint="eastAsia"/>
          <w:highlight w:val="none"/>
          <w:lang w:val="en-US" w:eastAsia="zh-CN"/>
        </w:rPr>
        <w:t xml:space="preserve"> </w:t>
      </w:r>
      <w:r>
        <w:rPr>
          <w:highlight w:val="none"/>
        </w:rPr>
        <w:t xml:space="preserve"> 给排水</w:t>
      </w:r>
    </w:p>
    <w:p>
      <w:pPr>
        <w:bidi w:val="0"/>
        <w:rPr>
          <w:highlight w:val="none"/>
        </w:rPr>
      </w:pPr>
      <w:r>
        <w:rPr>
          <w:highlight w:val="none"/>
        </w:rPr>
        <w:t>1、给水系统</w:t>
      </w:r>
    </w:p>
    <w:p>
      <w:pPr>
        <w:bidi w:val="0"/>
        <w:rPr>
          <w:highlight w:val="none"/>
        </w:rPr>
      </w:pPr>
      <w:r>
        <w:rPr>
          <w:highlight w:val="none"/>
        </w:rPr>
        <w:t>本项目以地下水作为其生产、生活给水水源。养殖场拟建地下水水井，可满足项目生产、生活用水量的需要。</w:t>
      </w:r>
    </w:p>
    <w:p>
      <w:pPr>
        <w:bidi w:val="0"/>
        <w:rPr>
          <w:highlight w:val="none"/>
        </w:rPr>
      </w:pPr>
      <w:r>
        <w:rPr>
          <w:highlight w:val="none"/>
        </w:rPr>
        <w:t>场区给水系统设计为消防、生产、生活合一给水系统。其管网设计为枝状给水管网。</w:t>
      </w:r>
    </w:p>
    <w:p>
      <w:pPr>
        <w:bidi w:val="0"/>
        <w:rPr>
          <w:highlight w:val="none"/>
        </w:rPr>
      </w:pPr>
      <w:r>
        <w:rPr>
          <w:highlight w:val="none"/>
        </w:rPr>
        <w:t>场区给水管沿场区道路顺地势敷设。消防、生产、生活合一给水系统管材选用球墨铸铁管，橡皮胶圈接口；生产、生活给水系统管材选用 PP-R 给水管。电热熔接口；管道埋深0.7m。</w:t>
      </w:r>
    </w:p>
    <w:p>
      <w:pPr>
        <w:bidi w:val="0"/>
        <w:rPr>
          <w:highlight w:val="none"/>
          <w:u w:val="single"/>
        </w:rPr>
      </w:pPr>
      <w:r>
        <w:rPr>
          <w:highlight w:val="none"/>
          <w:u w:val="single"/>
        </w:rPr>
        <w:t>2、排水系统</w:t>
      </w:r>
    </w:p>
    <w:p>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猪舍排水实行雨污分流，</w:t>
      </w:r>
      <w:r>
        <w:rPr>
          <w:highlight w:val="none"/>
          <w:u w:val="single"/>
        </w:rPr>
        <w:t>场</w:t>
      </w:r>
      <w:r>
        <w:rPr>
          <w:rFonts w:hint="eastAsia" w:ascii="宋体" w:hAnsi="宋体" w:eastAsia="宋体" w:cs="宋体"/>
          <w:color w:val="000000"/>
          <w:kern w:val="0"/>
          <w:sz w:val="24"/>
          <w:szCs w:val="24"/>
          <w:u w:val="single"/>
          <w:lang w:val="en-US" w:eastAsia="zh-CN" w:bidi="ar"/>
        </w:rPr>
        <w:t>区设置雨水沟渠，室外雨水通过雨水沟渠自然排放，所有舍内污水均采用管道方式排到项目拟建的污水处理站集中处理。</w:t>
      </w:r>
    </w:p>
    <w:p>
      <w:pPr>
        <w:bidi w:val="0"/>
        <w:rPr>
          <w:highlight w:val="none"/>
          <w:u w:val="single"/>
        </w:rPr>
      </w:pPr>
      <w:r>
        <w:rPr>
          <w:highlight w:val="none"/>
          <w:u w:val="single"/>
        </w:rPr>
        <w:t>本项目在生产过程中污水主要包括养殖污水和生活污水。</w:t>
      </w:r>
    </w:p>
    <w:p>
      <w:pPr>
        <w:bidi w:val="0"/>
        <w:rPr>
          <w:rFonts w:hint="eastAsia"/>
          <w:highlight w:val="none"/>
          <w:u w:val="single"/>
        </w:rPr>
      </w:pPr>
      <w:r>
        <w:rPr>
          <w:rFonts w:hint="eastAsia"/>
          <w:highlight w:val="none"/>
          <w:u w:val="single"/>
        </w:rPr>
        <w:t>项目采用</w:t>
      </w:r>
      <w:r>
        <w:rPr>
          <w:rFonts w:hint="eastAsia"/>
          <w:highlight w:val="none"/>
          <w:u w:val="single"/>
          <w:lang w:eastAsia="zh-CN"/>
        </w:rPr>
        <w:t>干清粪</w:t>
      </w:r>
      <w:r>
        <w:rPr>
          <w:rFonts w:hint="eastAsia"/>
          <w:highlight w:val="none"/>
          <w:u w:val="single"/>
        </w:rPr>
        <w:t>处理工艺，</w:t>
      </w:r>
      <w:r>
        <w:rPr>
          <w:rFonts w:hint="eastAsia"/>
          <w:highlight w:val="none"/>
          <w:u w:val="single"/>
          <w:lang w:eastAsia="zh-CN"/>
        </w:rPr>
        <w:t>采取</w:t>
      </w:r>
      <w:r>
        <w:rPr>
          <w:rFonts w:hint="eastAsia"/>
          <w:highlight w:val="none"/>
          <w:u w:val="single"/>
        </w:rPr>
        <w:t>固液分离，养殖粪污分离出来的固态作为有机肥原料</w:t>
      </w:r>
      <w:r>
        <w:rPr>
          <w:rFonts w:hint="eastAsia"/>
          <w:highlight w:val="none"/>
          <w:u w:val="single"/>
          <w:lang w:eastAsia="zh-CN"/>
        </w:rPr>
        <w:t>通过罐车</w:t>
      </w:r>
      <w:r>
        <w:rPr>
          <w:rFonts w:hint="eastAsia"/>
          <w:highlight w:val="none"/>
          <w:u w:val="single"/>
        </w:rPr>
        <w:t>外运</w:t>
      </w:r>
      <w:r>
        <w:rPr>
          <w:rFonts w:hint="eastAsia"/>
          <w:highlight w:val="none"/>
          <w:u w:val="single"/>
          <w:lang w:eastAsia="zh-CN"/>
        </w:rPr>
        <w:t>，不在厂区内堆肥</w:t>
      </w:r>
      <w:r>
        <w:rPr>
          <w:highlight w:val="none"/>
          <w:u w:val="single"/>
        </w:rPr>
        <w:t>。</w:t>
      </w:r>
      <w:r>
        <w:rPr>
          <w:rFonts w:hint="eastAsia"/>
          <w:highlight w:val="none"/>
          <w:u w:val="single"/>
        </w:rPr>
        <w:t>项目养殖废水和生活污水经化粪池处理后均通过场区污水处理站处理后，用于周围</w:t>
      </w:r>
      <w:r>
        <w:rPr>
          <w:rFonts w:hint="eastAsia"/>
          <w:highlight w:val="none"/>
          <w:u w:val="single"/>
          <w:lang w:eastAsia="zh-CN"/>
        </w:rPr>
        <w:t>林地灌溉</w:t>
      </w:r>
      <w:r>
        <w:rPr>
          <w:rFonts w:hint="eastAsia"/>
          <w:highlight w:val="none"/>
          <w:u w:val="single"/>
        </w:rPr>
        <w:t>，不外排，最终全部实现综合利用；</w:t>
      </w:r>
    </w:p>
    <w:p>
      <w:pPr>
        <w:bidi w:val="0"/>
        <w:rPr>
          <w:highlight w:val="none"/>
          <w:u w:val="single"/>
        </w:rPr>
      </w:pPr>
      <w:r>
        <w:rPr>
          <w:highlight w:val="none"/>
          <w:u w:val="single"/>
        </w:rPr>
        <w:t>本项目生产区的废水主排水管设计为混凝土管，管径为450～600mm。</w:t>
      </w:r>
    </w:p>
    <w:p>
      <w:pPr>
        <w:pStyle w:val="5"/>
        <w:bidi w:val="0"/>
        <w:rPr>
          <w:highlight w:val="none"/>
        </w:rPr>
      </w:pPr>
      <w:r>
        <w:rPr>
          <w:rFonts w:hint="eastAsia"/>
          <w:highlight w:val="none"/>
          <w:lang w:eastAsia="zh-CN"/>
        </w:rPr>
        <w:t>3.</w:t>
      </w:r>
      <w:r>
        <w:rPr>
          <w:rFonts w:hint="eastAsia"/>
          <w:highlight w:val="none"/>
          <w:lang w:val="en-US" w:eastAsia="zh-CN"/>
        </w:rPr>
        <w:t>7</w:t>
      </w:r>
      <w:r>
        <w:rPr>
          <w:highlight w:val="none"/>
        </w:rPr>
        <w:t xml:space="preserve">.2 </w:t>
      </w:r>
      <w:r>
        <w:rPr>
          <w:rFonts w:hint="eastAsia"/>
          <w:highlight w:val="none"/>
          <w:lang w:val="en-US" w:eastAsia="zh-CN"/>
        </w:rPr>
        <w:t xml:space="preserve"> </w:t>
      </w:r>
      <w:r>
        <w:rPr>
          <w:highlight w:val="none"/>
        </w:rPr>
        <w:t>供配电</w:t>
      </w:r>
    </w:p>
    <w:p>
      <w:pPr>
        <w:bidi w:val="0"/>
        <w:rPr>
          <w:highlight w:val="none"/>
        </w:rPr>
      </w:pPr>
      <w:r>
        <w:rPr>
          <w:highlight w:val="none"/>
        </w:rPr>
        <w:t>本项目参照《集约化猪场建设标准》（NYJ/T04-2005）中相关规定，其电力负荷等级为二级。当地不能保证二级供电要求时，应设置自备电源。</w:t>
      </w:r>
    </w:p>
    <w:p>
      <w:pPr>
        <w:bidi w:val="0"/>
        <w:rPr>
          <w:highlight w:val="none"/>
        </w:rPr>
      </w:pPr>
      <w:r>
        <w:rPr>
          <w:highlight w:val="none"/>
        </w:rPr>
        <w:t>场区供电从当地变电站引进一条10kv 供电电源接至场区变电间。项目在场区建变配电间1处，安装50kVA变压器1台，以满足项目用电要求。项目年用电量为</w:t>
      </w:r>
      <w:r>
        <w:rPr>
          <w:rFonts w:hint="eastAsia"/>
          <w:highlight w:val="none"/>
          <w:lang w:val="en-US" w:eastAsia="zh-CN"/>
        </w:rPr>
        <w:t>50</w:t>
      </w:r>
      <w:r>
        <w:rPr>
          <w:highlight w:val="none"/>
        </w:rPr>
        <w:t>万 kWh。</w:t>
      </w:r>
    </w:p>
    <w:p>
      <w:pPr>
        <w:pStyle w:val="5"/>
        <w:bidi w:val="0"/>
        <w:rPr>
          <w:highlight w:val="none"/>
        </w:rPr>
      </w:pPr>
      <w:r>
        <w:rPr>
          <w:rFonts w:hint="eastAsia"/>
          <w:highlight w:val="none"/>
          <w:lang w:eastAsia="zh-CN"/>
        </w:rPr>
        <w:t>3.</w:t>
      </w:r>
      <w:r>
        <w:rPr>
          <w:rFonts w:hint="eastAsia"/>
          <w:highlight w:val="none"/>
          <w:lang w:val="en-US" w:eastAsia="zh-CN"/>
        </w:rPr>
        <w:t>7</w:t>
      </w:r>
      <w:r>
        <w:rPr>
          <w:highlight w:val="none"/>
        </w:rPr>
        <w:t xml:space="preserve">.3 </w:t>
      </w:r>
      <w:r>
        <w:rPr>
          <w:rFonts w:hint="eastAsia"/>
          <w:highlight w:val="none"/>
          <w:lang w:val="en-US" w:eastAsia="zh-CN"/>
        </w:rPr>
        <w:t xml:space="preserve"> </w:t>
      </w:r>
      <w:r>
        <w:rPr>
          <w:highlight w:val="none"/>
        </w:rPr>
        <w:t>照明系统</w:t>
      </w:r>
    </w:p>
    <w:p>
      <w:pPr>
        <w:bidi w:val="0"/>
        <w:rPr>
          <w:highlight w:val="none"/>
        </w:rPr>
      </w:pPr>
      <w:r>
        <w:rPr>
          <w:highlight w:val="none"/>
        </w:rPr>
        <w:t>猪舍、更衣消毒室照明防水、防尘、防暴灯，猪舍保温根据工艺要求采用红外线保温灯或地暖系统。室内照明导线采用BV-450/750V型导线，穿钢管沿墙暗敷。</w:t>
      </w:r>
    </w:p>
    <w:p>
      <w:pPr>
        <w:pStyle w:val="5"/>
        <w:bidi w:val="0"/>
        <w:rPr>
          <w:highlight w:val="none"/>
        </w:rPr>
      </w:pPr>
      <w:r>
        <w:rPr>
          <w:rFonts w:hint="eastAsia"/>
          <w:highlight w:val="none"/>
          <w:lang w:eastAsia="zh-CN"/>
        </w:rPr>
        <w:t>3.</w:t>
      </w:r>
      <w:r>
        <w:rPr>
          <w:rFonts w:hint="eastAsia"/>
          <w:highlight w:val="none"/>
          <w:lang w:val="en-US" w:eastAsia="zh-CN"/>
        </w:rPr>
        <w:t>7</w:t>
      </w:r>
      <w:r>
        <w:rPr>
          <w:highlight w:val="none"/>
        </w:rPr>
        <w:t>.4</w:t>
      </w:r>
      <w:r>
        <w:rPr>
          <w:rFonts w:hint="eastAsia"/>
          <w:highlight w:val="none"/>
          <w:lang w:val="en-US" w:eastAsia="zh-CN"/>
        </w:rPr>
        <w:t xml:space="preserve"> </w:t>
      </w:r>
      <w:r>
        <w:rPr>
          <w:highlight w:val="none"/>
        </w:rPr>
        <w:t xml:space="preserve"> 降温与供热</w:t>
      </w:r>
    </w:p>
    <w:p>
      <w:pPr>
        <w:bidi w:val="0"/>
        <w:rPr>
          <w:rFonts w:hint="eastAsia"/>
          <w:highlight w:val="none"/>
        </w:rPr>
      </w:pPr>
      <w:r>
        <w:rPr>
          <w:highlight w:val="none"/>
        </w:rPr>
        <w:t>猪舍降温与供热：夏季采用水帘降温系统进行通风降温；冬季采用</w:t>
      </w:r>
      <w:r>
        <w:rPr>
          <w:rFonts w:hint="eastAsia"/>
          <w:highlight w:val="none"/>
          <w:lang w:eastAsia="zh-CN"/>
        </w:rPr>
        <w:t>电热水泥地面</w:t>
      </w:r>
      <w:r>
        <w:rPr>
          <w:highlight w:val="none"/>
        </w:rPr>
        <w:t>，配套保温箱等，确保冬季进仔猪时所需适宜温度的需要。生产区能源全部采用电，项目不用采暖锅炉，采暖全部用电。</w:t>
      </w:r>
    </w:p>
    <w:p>
      <w:pPr>
        <w:pStyle w:val="5"/>
        <w:bidi w:val="0"/>
        <w:rPr>
          <w:highlight w:val="none"/>
        </w:rPr>
      </w:pPr>
      <w:r>
        <w:rPr>
          <w:rFonts w:hint="eastAsia"/>
          <w:highlight w:val="none"/>
          <w:lang w:eastAsia="zh-CN"/>
        </w:rPr>
        <w:t>3.</w:t>
      </w:r>
      <w:r>
        <w:rPr>
          <w:rFonts w:hint="eastAsia"/>
          <w:highlight w:val="none"/>
          <w:lang w:val="en-US" w:eastAsia="zh-CN"/>
        </w:rPr>
        <w:t>7</w:t>
      </w:r>
      <w:r>
        <w:rPr>
          <w:highlight w:val="none"/>
        </w:rPr>
        <w:t>.5</w:t>
      </w:r>
      <w:r>
        <w:rPr>
          <w:rFonts w:hint="eastAsia"/>
          <w:highlight w:val="none"/>
          <w:lang w:val="en-US" w:eastAsia="zh-CN"/>
        </w:rPr>
        <w:t xml:space="preserve"> </w:t>
      </w:r>
      <w:r>
        <w:rPr>
          <w:highlight w:val="none"/>
        </w:rPr>
        <w:t xml:space="preserve"> 通风</w:t>
      </w:r>
    </w:p>
    <w:p>
      <w:pPr>
        <w:bidi w:val="0"/>
        <w:rPr>
          <w:highlight w:val="none"/>
        </w:rPr>
      </w:pPr>
      <w:r>
        <w:rPr>
          <w:highlight w:val="none"/>
        </w:rPr>
        <w:t>通风：猪舍采</w:t>
      </w:r>
      <w:r>
        <w:rPr>
          <w:rFonts w:hint="eastAsia" w:ascii="宋体" w:hAnsi="宋体" w:eastAsia="宋体" w:cs="宋体"/>
          <w:highlight w:val="none"/>
        </w:rPr>
        <w:t>用“全封闭猪舍”</w:t>
      </w:r>
      <w:r>
        <w:rPr>
          <w:highlight w:val="none"/>
        </w:rPr>
        <w:t>结构；猪舍墙壁按有窗户封闭式形式设计其下部为砖墙；猪舍前墙设塑料窗，后墙体设有通风口，通过窗与风机来调节通风量。采用自然通风和辅助机械通风的方式。</w:t>
      </w:r>
    </w:p>
    <w:p>
      <w:pPr>
        <w:pStyle w:val="5"/>
        <w:bidi w:val="0"/>
        <w:rPr>
          <w:highlight w:val="none"/>
        </w:rPr>
      </w:pPr>
      <w:r>
        <w:rPr>
          <w:rFonts w:hint="eastAsia"/>
          <w:highlight w:val="none"/>
          <w:lang w:eastAsia="zh-CN"/>
        </w:rPr>
        <w:t>3.</w:t>
      </w:r>
      <w:r>
        <w:rPr>
          <w:rFonts w:hint="eastAsia"/>
          <w:highlight w:val="none"/>
          <w:lang w:val="en-US" w:eastAsia="zh-CN"/>
        </w:rPr>
        <w:t>7</w:t>
      </w:r>
      <w:r>
        <w:rPr>
          <w:highlight w:val="none"/>
        </w:rPr>
        <w:t xml:space="preserve">.6 </w:t>
      </w:r>
      <w:r>
        <w:rPr>
          <w:rFonts w:hint="eastAsia"/>
          <w:highlight w:val="none"/>
          <w:lang w:val="en-US" w:eastAsia="zh-CN"/>
        </w:rPr>
        <w:t xml:space="preserve"> </w:t>
      </w:r>
      <w:r>
        <w:rPr>
          <w:highlight w:val="none"/>
        </w:rPr>
        <w:t>消防</w:t>
      </w:r>
    </w:p>
    <w:p>
      <w:pPr>
        <w:bidi w:val="0"/>
        <w:rPr>
          <w:highlight w:val="none"/>
        </w:rPr>
      </w:pPr>
      <w:r>
        <w:rPr>
          <w:highlight w:val="none"/>
        </w:rPr>
        <w:t>按照《村镇建筑设计防火规范》（GBJ39）的有关规定，本工程同一时间内 发生的火灾次数为一次，室外消防用水量为15L/s，室内不做消防给水，</w:t>
      </w:r>
      <w:r>
        <w:rPr>
          <w:rFonts w:hint="eastAsia"/>
          <w:highlight w:val="none"/>
          <w:lang w:eastAsia="zh-CN"/>
        </w:rPr>
        <w:t>火</w:t>
      </w:r>
      <w:r>
        <w:rPr>
          <w:highlight w:val="none"/>
        </w:rPr>
        <w:t>灾延续时间为2h。其消防用水量为：</w:t>
      </w:r>
    </w:p>
    <w:p>
      <w:pPr>
        <w:bidi w:val="0"/>
        <w:rPr>
          <w:highlight w:val="none"/>
        </w:rPr>
      </w:pPr>
      <w:r>
        <w:rPr>
          <w:highlight w:val="none"/>
        </w:rPr>
        <w:t>Q 消=15×3600×2/1000=108 m</w:t>
      </w:r>
      <w:r>
        <w:rPr>
          <w:highlight w:val="none"/>
          <w:vertAlign w:val="superscript"/>
        </w:rPr>
        <w:t>3</w:t>
      </w:r>
      <w:r>
        <w:rPr>
          <w:highlight w:val="none"/>
        </w:rPr>
        <w:t>/次（54 m</w:t>
      </w:r>
      <w:r>
        <w:rPr>
          <w:highlight w:val="none"/>
          <w:vertAlign w:val="superscript"/>
        </w:rPr>
        <w:t>3</w:t>
      </w:r>
      <w:r>
        <w:rPr>
          <w:highlight w:val="none"/>
        </w:rPr>
        <w:t>/h）</w:t>
      </w:r>
    </w:p>
    <w:p>
      <w:pPr>
        <w:bidi w:val="0"/>
        <w:rPr>
          <w:highlight w:val="none"/>
        </w:rPr>
      </w:pPr>
      <w:r>
        <w:rPr>
          <w:highlight w:val="none"/>
        </w:rPr>
        <w:t>项目每栋建筑物均按要求设置灭火器。</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eastAsia="zh-CN"/>
        </w:rPr>
        <w:t>3.</w:t>
      </w:r>
      <w:r>
        <w:rPr>
          <w:rFonts w:hint="eastAsia" w:cs="Times New Roman"/>
          <w:b/>
          <w:bCs/>
          <w:spacing w:val="-1"/>
          <w:sz w:val="28"/>
          <w:szCs w:val="28"/>
          <w:highlight w:val="none"/>
          <w:lang w:val="en-US" w:eastAsia="zh-CN"/>
        </w:rPr>
        <w:t>7</w:t>
      </w:r>
      <w:r>
        <w:rPr>
          <w:rFonts w:ascii="Times New Roman" w:hAnsi="Times New Roman" w:eastAsia="Times New Roman" w:cs="Times New Roman"/>
          <w:b/>
          <w:bCs/>
          <w:spacing w:val="-1"/>
          <w:sz w:val="28"/>
          <w:szCs w:val="28"/>
          <w:highlight w:val="none"/>
        </w:rPr>
        <w:t>.7</w:t>
      </w:r>
      <w:r>
        <w:rPr>
          <w:rFonts w:ascii="Times New Roman" w:hAnsi="Times New Roman" w:eastAsia="Times New Roman" w:cs="Times New Roman"/>
          <w:spacing w:val="9"/>
          <w:w w:val="101"/>
          <w:sz w:val="28"/>
          <w:szCs w:val="28"/>
          <w:highlight w:val="none"/>
        </w:rPr>
        <w:t xml:space="preserve"> </w:t>
      </w:r>
      <w:r>
        <w:rPr>
          <w:rFonts w:hint="eastAsia" w:eastAsia="宋体" w:cs="Times New Roman"/>
          <w:spacing w:val="9"/>
          <w:w w:val="101"/>
          <w:sz w:val="28"/>
          <w:szCs w:val="28"/>
          <w:highlight w:val="none"/>
          <w:lang w:val="en-US" w:eastAsia="zh-CN"/>
        </w:rPr>
        <w:t xml:space="preserve"> </w:t>
      </w:r>
      <w:r>
        <w:rPr>
          <w:rFonts w:ascii="宋体" w:hAnsi="宋体" w:eastAsia="宋体" w:cs="宋体"/>
          <w:spacing w:val="-1"/>
          <w:sz w:val="28"/>
          <w:szCs w:val="28"/>
          <w:highlight w:val="none"/>
        </w:rPr>
        <w:t>运输</w:t>
      </w:r>
    </w:p>
    <w:p>
      <w:pPr>
        <w:bidi w:val="0"/>
        <w:rPr>
          <w:highlight w:val="none"/>
        </w:rPr>
      </w:pPr>
      <w:r>
        <w:rPr>
          <w:highlight w:val="none"/>
        </w:rPr>
        <w:t>1、运输方式</w:t>
      </w:r>
    </w:p>
    <w:p>
      <w:pPr>
        <w:bidi w:val="0"/>
        <w:rPr>
          <w:highlight w:val="none"/>
        </w:rPr>
      </w:pPr>
      <w:r>
        <w:rPr>
          <w:highlight w:val="none"/>
        </w:rPr>
        <w:t>本项目进场的原材料，出场的猪只及有机肥全部采用公路运输的方式。</w:t>
      </w:r>
    </w:p>
    <w:p>
      <w:pPr>
        <w:bidi w:val="0"/>
        <w:rPr>
          <w:highlight w:val="none"/>
        </w:rPr>
      </w:pPr>
      <w:r>
        <w:rPr>
          <w:highlight w:val="none"/>
        </w:rPr>
        <w:t>2、运输路线</w:t>
      </w:r>
    </w:p>
    <w:p>
      <w:pPr>
        <w:bidi w:val="0"/>
        <w:rPr>
          <w:highlight w:val="none"/>
        </w:rPr>
      </w:pPr>
      <w:r>
        <w:rPr>
          <w:highlight w:val="none"/>
        </w:rPr>
        <w:t>本项目原材料、猪只及有机肥运输路线主要依靠乡道、县道等。</w:t>
      </w:r>
    </w:p>
    <w:p>
      <w:pPr>
        <w:pStyle w:val="4"/>
        <w:bidi w:val="0"/>
        <w:rPr>
          <w:highlight w:val="none"/>
        </w:rPr>
      </w:pPr>
      <w:bookmarkStart w:id="49" w:name="_bookmark7"/>
      <w:bookmarkEnd w:id="49"/>
      <w:bookmarkStart w:id="50" w:name="_Toc21412"/>
      <w:bookmarkStart w:id="51" w:name="_Toc7949"/>
      <w:r>
        <w:rPr>
          <w:highlight w:val="none"/>
        </w:rPr>
        <w:t>3.</w:t>
      </w:r>
      <w:r>
        <w:rPr>
          <w:rFonts w:hint="eastAsia"/>
          <w:highlight w:val="none"/>
          <w:lang w:val="en-US" w:eastAsia="zh-CN"/>
        </w:rPr>
        <w:t>8</w:t>
      </w:r>
      <w:r>
        <w:rPr>
          <w:highlight w:val="none"/>
        </w:rPr>
        <w:t xml:space="preserve"> </w:t>
      </w:r>
      <w:r>
        <w:rPr>
          <w:rFonts w:hint="eastAsia"/>
          <w:highlight w:val="none"/>
          <w:lang w:val="en-US" w:eastAsia="zh-CN"/>
        </w:rPr>
        <w:t xml:space="preserve"> </w:t>
      </w:r>
      <w:r>
        <w:rPr>
          <w:highlight w:val="none"/>
        </w:rPr>
        <w:t>项目劳动定员与工作制度</w:t>
      </w:r>
      <w:bookmarkEnd w:id="50"/>
      <w:bookmarkEnd w:id="51"/>
    </w:p>
    <w:p>
      <w:pPr>
        <w:bidi w:val="0"/>
        <w:rPr>
          <w:highlight w:val="none"/>
        </w:rPr>
      </w:pPr>
      <w:r>
        <w:rPr>
          <w:highlight w:val="none"/>
        </w:rPr>
        <w:t>本项目劳动定员共计</w:t>
      </w:r>
      <w:r>
        <w:rPr>
          <w:rFonts w:hint="eastAsia"/>
          <w:highlight w:val="none"/>
          <w:lang w:val="en-US" w:eastAsia="zh-CN"/>
        </w:rPr>
        <w:t>5</w:t>
      </w:r>
      <w:r>
        <w:rPr>
          <w:highlight w:val="none"/>
        </w:rPr>
        <w:t>人，均为住场员工，全年工作天数为365天。</w:t>
      </w:r>
    </w:p>
    <w:p>
      <w:pPr>
        <w:pStyle w:val="2"/>
      </w:pPr>
    </w:p>
    <w:p>
      <w:pPr>
        <w:pStyle w:val="3"/>
        <w:bidi w:val="0"/>
        <w:rPr>
          <w:highlight w:val="none"/>
        </w:rPr>
      </w:pPr>
      <w:bookmarkStart w:id="52" w:name="_Toc22231"/>
      <w:bookmarkStart w:id="53" w:name="_Toc14803"/>
      <w:r>
        <w:rPr>
          <w:highlight w:val="none"/>
        </w:rPr>
        <w:t xml:space="preserve">4  </w:t>
      </w:r>
      <w:r>
        <w:rPr>
          <w:rFonts w:hint="eastAsia"/>
          <w:highlight w:val="none"/>
          <w:lang w:eastAsia="zh-CN"/>
        </w:rPr>
        <w:t>建设项目</w:t>
      </w:r>
      <w:r>
        <w:rPr>
          <w:highlight w:val="none"/>
        </w:rPr>
        <w:t>工程分析</w:t>
      </w:r>
      <w:bookmarkEnd w:id="52"/>
      <w:bookmarkEnd w:id="53"/>
    </w:p>
    <w:p>
      <w:pPr>
        <w:pStyle w:val="4"/>
        <w:bidi w:val="0"/>
        <w:rPr>
          <w:highlight w:val="none"/>
        </w:rPr>
      </w:pPr>
      <w:bookmarkStart w:id="54" w:name="_Toc30920"/>
      <w:bookmarkStart w:id="55" w:name="_Toc22546"/>
      <w:r>
        <w:rPr>
          <w:rFonts w:hint="eastAsia"/>
          <w:highlight w:val="none"/>
          <w:lang w:val="en-US" w:eastAsia="zh-CN"/>
        </w:rPr>
        <w:t xml:space="preserve">4.1 </w:t>
      </w:r>
      <w:r>
        <w:rPr>
          <w:rFonts w:hint="default"/>
          <w:highlight w:val="none"/>
          <w:lang w:val="en-US" w:eastAsia="zh-CN"/>
        </w:rPr>
        <w:t xml:space="preserve"> </w:t>
      </w:r>
      <w:r>
        <w:rPr>
          <w:highlight w:val="none"/>
          <w:lang w:val="en-US" w:eastAsia="zh-CN"/>
        </w:rPr>
        <w:t>工艺流程简述</w:t>
      </w:r>
      <w:bookmarkEnd w:id="54"/>
      <w:bookmarkEnd w:id="55"/>
      <w:r>
        <w:rPr>
          <w:highlight w:val="none"/>
          <w:lang w:val="en-US" w:eastAsia="zh-CN"/>
        </w:rPr>
        <w:t xml:space="preserve"> </w:t>
      </w:r>
    </w:p>
    <w:p>
      <w:pPr>
        <w:bidi w:val="0"/>
        <w:rPr>
          <w:rFonts w:hint="eastAsia"/>
          <w:highlight w:val="none"/>
          <w:lang w:val="en-US" w:eastAsia="zh-CN"/>
        </w:rPr>
      </w:pPr>
      <w:r>
        <w:rPr>
          <w:rFonts w:hint="eastAsia"/>
          <w:highlight w:val="none"/>
          <w:lang w:val="en-US" w:eastAsia="zh-CN"/>
        </w:rPr>
        <w:t>本项目分为施工期和运营期两个阶段。</w:t>
      </w:r>
    </w:p>
    <w:p>
      <w:pPr>
        <w:pStyle w:val="5"/>
        <w:bidi w:val="0"/>
        <w:rPr>
          <w:highlight w:val="none"/>
        </w:rPr>
      </w:pPr>
      <w:r>
        <w:rPr>
          <w:rFonts w:hint="eastAsia"/>
          <w:highlight w:val="none"/>
          <w:lang w:val="en-US" w:eastAsia="zh-CN"/>
        </w:rPr>
        <w:t>4.1</w:t>
      </w:r>
      <w:r>
        <w:rPr>
          <w:rFonts w:hint="default"/>
          <w:highlight w:val="none"/>
          <w:lang w:val="en-US" w:eastAsia="zh-CN"/>
        </w:rPr>
        <w:t xml:space="preserve">.1 </w:t>
      </w:r>
      <w:r>
        <w:rPr>
          <w:rFonts w:hint="eastAsia"/>
          <w:highlight w:val="none"/>
          <w:lang w:val="en-US" w:eastAsia="zh-CN"/>
        </w:rPr>
        <w:t xml:space="preserve">施工期工艺流程简述 </w:t>
      </w:r>
    </w:p>
    <w:p>
      <w:pPr>
        <w:bidi w:val="0"/>
        <w:rPr>
          <w:rFonts w:hint="eastAsia"/>
          <w:highlight w:val="none"/>
          <w:lang w:val="en-US" w:eastAsia="zh-CN"/>
        </w:rPr>
      </w:pPr>
      <w:r>
        <w:rPr>
          <w:rFonts w:hint="eastAsia"/>
          <w:highlight w:val="none"/>
          <w:lang w:val="en-US" w:eastAsia="zh-CN"/>
        </w:rPr>
        <w:t>项目施工期间基础工程、主体工程、装饰工程、设备安装等建设工序将产生噪声、扬尘、固体废弃物、少量污水和废气等污染物，其排放量随工期和施工强度不同而有所变化。其工艺流程如下：</w:t>
      </w:r>
    </w:p>
    <w:p>
      <w:pPr>
        <w:pStyle w:val="7"/>
        <w:bidi w:val="0"/>
        <w:rPr>
          <w:highlight w:val="none"/>
        </w:rPr>
      </w:pPr>
      <w:r>
        <w:rPr>
          <w:highlight w:val="none"/>
        </w:rPr>
        <w:drawing>
          <wp:anchor distT="0" distB="0" distL="114300" distR="114300" simplePos="0" relativeHeight="251660288" behindDoc="0" locked="0" layoutInCell="1" allowOverlap="1">
            <wp:simplePos x="0" y="0"/>
            <wp:positionH relativeFrom="column">
              <wp:posOffset>-50800</wp:posOffset>
            </wp:positionH>
            <wp:positionV relativeFrom="paragraph">
              <wp:posOffset>58420</wp:posOffset>
            </wp:positionV>
            <wp:extent cx="5266690" cy="1471295"/>
            <wp:effectExtent l="0" t="0" r="10160" b="14605"/>
            <wp:wrapTopAndBottom/>
            <wp:docPr id="7" name="图片 7" descr="163411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34110887(1)"/>
                    <pic:cNvPicPr>
                      <a:picLocks noChangeAspect="1"/>
                    </pic:cNvPicPr>
                  </pic:nvPicPr>
                  <pic:blipFill>
                    <a:blip r:embed="rId14"/>
                    <a:stretch>
                      <a:fillRect/>
                    </a:stretch>
                  </pic:blipFill>
                  <pic:spPr>
                    <a:xfrm>
                      <a:off x="0" y="0"/>
                      <a:ext cx="5266690" cy="1471295"/>
                    </a:xfrm>
                    <a:prstGeom prst="rect">
                      <a:avLst/>
                    </a:prstGeom>
                  </pic:spPr>
                </pic:pic>
              </a:graphicData>
            </a:graphic>
          </wp:anchor>
        </w:drawing>
      </w:r>
      <w:r>
        <w:rPr>
          <w:rFonts w:hint="eastAsia"/>
          <w:highlight w:val="none"/>
          <w:lang w:val="en-US" w:eastAsia="zh-CN"/>
        </w:rPr>
        <w:t>图4.1</w:t>
      </w:r>
      <w:r>
        <w:rPr>
          <w:rFonts w:hint="default"/>
          <w:highlight w:val="none"/>
          <w:lang w:val="en-US" w:eastAsia="zh-CN"/>
        </w:rPr>
        <w:t xml:space="preserve">-1 </w:t>
      </w:r>
      <w:r>
        <w:rPr>
          <w:rFonts w:hint="eastAsia"/>
          <w:highlight w:val="none"/>
          <w:lang w:val="en-US" w:eastAsia="zh-CN"/>
        </w:rPr>
        <w:t xml:space="preserve"> 施工期施工流程及产污环节图</w:t>
      </w:r>
    </w:p>
    <w:p>
      <w:pPr>
        <w:pStyle w:val="5"/>
        <w:bidi w:val="0"/>
        <w:rPr>
          <w:highlight w:val="none"/>
        </w:rPr>
      </w:pPr>
      <w:r>
        <w:rPr>
          <w:rFonts w:hint="eastAsia"/>
          <w:highlight w:val="none"/>
          <w:lang w:val="en-US" w:eastAsia="zh-CN"/>
        </w:rPr>
        <w:t>4.1</w:t>
      </w:r>
      <w:r>
        <w:rPr>
          <w:rFonts w:hint="default"/>
          <w:highlight w:val="none"/>
          <w:lang w:val="en-US" w:eastAsia="zh-CN"/>
        </w:rPr>
        <w:t xml:space="preserve">.2 </w:t>
      </w:r>
      <w:r>
        <w:rPr>
          <w:rFonts w:hint="eastAsia"/>
          <w:highlight w:val="none"/>
          <w:lang w:val="en-US" w:eastAsia="zh-CN"/>
        </w:rPr>
        <w:t>运营期工艺流程简述</w:t>
      </w:r>
    </w:p>
    <w:p>
      <w:pPr>
        <w:pStyle w:val="6"/>
        <w:bidi w:val="0"/>
        <w:rPr>
          <w:highlight w:val="none"/>
          <w:u w:val="single"/>
        </w:rPr>
      </w:pP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2.</w:t>
      </w:r>
      <w:r>
        <w:rPr>
          <w:rFonts w:hint="default"/>
          <w:highlight w:val="none"/>
          <w:u w:val="single"/>
          <w:lang w:val="en-US" w:eastAsia="zh-CN"/>
        </w:rPr>
        <w:t xml:space="preserve">1 </w:t>
      </w:r>
      <w:r>
        <w:rPr>
          <w:highlight w:val="none"/>
          <w:u w:val="single"/>
          <w:lang w:val="en-US" w:eastAsia="zh-CN"/>
        </w:rPr>
        <w:t>养殖工艺流程</w:t>
      </w:r>
    </w:p>
    <w:p>
      <w:pPr>
        <w:bidi w:val="0"/>
        <w:rPr>
          <w:highlight w:val="none"/>
          <w:u w:val="single"/>
        </w:rPr>
      </w:pPr>
      <w:r>
        <w:rPr>
          <w:rFonts w:hint="eastAsia"/>
          <w:highlight w:val="none"/>
          <w:u w:val="single"/>
          <w:lang w:val="en-US" w:eastAsia="zh-CN"/>
        </w:rPr>
        <w:t>本项目主要饲养育肥猪，具体工艺流程及产污环节见图 4.1</w:t>
      </w:r>
      <w:r>
        <w:rPr>
          <w:rFonts w:hint="default"/>
          <w:highlight w:val="none"/>
          <w:u w:val="single"/>
          <w:lang w:val="en-US" w:eastAsia="zh-CN"/>
        </w:rPr>
        <w:t>-</w:t>
      </w:r>
      <w:r>
        <w:rPr>
          <w:rFonts w:hint="eastAsia"/>
          <w:highlight w:val="none"/>
          <w:u w:val="single"/>
          <w:lang w:val="en-US" w:eastAsia="zh-CN"/>
        </w:rPr>
        <w:t xml:space="preserve">2。 </w:t>
      </w:r>
    </w:p>
    <w:p>
      <w:pPr>
        <w:bidi w:val="0"/>
        <w:rPr>
          <w:highlight w:val="none"/>
          <w:u w:val="single"/>
        </w:rPr>
      </w:pPr>
      <w:r>
        <w:rPr>
          <w:rFonts w:hint="eastAsia"/>
          <w:highlight w:val="none"/>
          <w:u w:val="single"/>
          <w:lang w:val="en-US" w:eastAsia="zh-CN"/>
        </w:rPr>
        <w:t>本项目采用的是集约化养猪工艺。集约化养猪的目的是要摆脱分散的、传统的季节性的生产方式，建立工场化、程序化、常年均衡的养猪生产体系，从而达到生产的高水平和经营的高效益。本项目产品为育肥猪，项目外购引进断奶后的保育仔猪，进行短时间仔猪保育，全程饲养约</w:t>
      </w:r>
      <w:r>
        <w:rPr>
          <w:rFonts w:hint="default"/>
          <w:highlight w:val="none"/>
          <w:u w:val="single"/>
          <w:lang w:val="en-US" w:eastAsia="zh-CN"/>
        </w:rPr>
        <w:t xml:space="preserve">150~180 </w:t>
      </w:r>
      <w:r>
        <w:rPr>
          <w:rFonts w:hint="eastAsia"/>
          <w:highlight w:val="none"/>
          <w:u w:val="single"/>
          <w:lang w:val="en-US" w:eastAsia="zh-CN"/>
        </w:rPr>
        <w:t>天，至育肥体重达</w:t>
      </w:r>
      <w:r>
        <w:rPr>
          <w:rFonts w:hint="default"/>
          <w:highlight w:val="none"/>
          <w:u w:val="single"/>
          <w:lang w:val="en-US" w:eastAsia="zh-CN"/>
        </w:rPr>
        <w:t>100kg</w:t>
      </w:r>
      <w:r>
        <w:rPr>
          <w:rFonts w:hint="eastAsia"/>
          <w:highlight w:val="none"/>
          <w:u w:val="single"/>
          <w:lang w:val="en-US" w:eastAsia="zh-CN"/>
        </w:rPr>
        <w:t>左右，即可上市出售。猪只养殖主要工艺如下：</w:t>
      </w:r>
      <w:r>
        <w:rPr>
          <w:rFonts w:hint="eastAsia" w:ascii="宋体" w:hAnsi="宋体" w:eastAsia="宋体" w:cs="宋体"/>
          <w:color w:val="000000"/>
          <w:kern w:val="0"/>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eastAsia="宋体"/>
          <w:highlight w:val="none"/>
          <w:u w:val="single"/>
          <w:lang w:eastAsia="zh-CN"/>
        </w:rPr>
      </w:pPr>
      <w:r>
        <w:rPr>
          <w:rFonts w:hint="eastAsia" w:eastAsia="宋体"/>
          <w:highlight w:val="none"/>
          <w:u w:val="single"/>
          <w:lang w:eastAsia="zh-CN"/>
        </w:rPr>
        <w:drawing>
          <wp:inline distT="0" distB="0" distL="114300" distR="114300">
            <wp:extent cx="5269865" cy="967105"/>
            <wp:effectExtent l="0" t="0" r="6985" b="4445"/>
            <wp:docPr id="8" name="图片 8" descr="1634111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34111094(1)"/>
                    <pic:cNvPicPr>
                      <a:picLocks noChangeAspect="1"/>
                    </pic:cNvPicPr>
                  </pic:nvPicPr>
                  <pic:blipFill>
                    <a:blip r:embed="rId15"/>
                    <a:stretch>
                      <a:fillRect/>
                    </a:stretch>
                  </pic:blipFill>
                  <pic:spPr>
                    <a:xfrm>
                      <a:off x="0" y="0"/>
                      <a:ext cx="5269865" cy="967105"/>
                    </a:xfrm>
                    <a:prstGeom prst="rect">
                      <a:avLst/>
                    </a:prstGeom>
                  </pic:spPr>
                </pic:pic>
              </a:graphicData>
            </a:graphic>
          </wp:inline>
        </w:drawing>
      </w:r>
    </w:p>
    <w:p>
      <w:pPr>
        <w:pStyle w:val="7"/>
        <w:bidi w:val="0"/>
        <w:rPr>
          <w:highlight w:val="none"/>
          <w:u w:val="single"/>
        </w:rPr>
      </w:pPr>
      <w:r>
        <w:rPr>
          <w:highlight w:val="none"/>
          <w:u w:val="single"/>
          <w:lang w:val="en-US" w:eastAsia="zh-CN"/>
        </w:rPr>
        <w:t>图</w:t>
      </w: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 xml:space="preserve">2 </w:t>
      </w:r>
      <w:r>
        <w:rPr>
          <w:rFonts w:hint="default"/>
          <w:highlight w:val="none"/>
          <w:u w:val="single"/>
          <w:lang w:val="en-US" w:eastAsia="zh-CN"/>
        </w:rPr>
        <w:t xml:space="preserve"> </w:t>
      </w:r>
      <w:r>
        <w:rPr>
          <w:rFonts w:hint="eastAsia"/>
          <w:highlight w:val="none"/>
          <w:u w:val="single"/>
          <w:lang w:val="en-US" w:eastAsia="zh-CN"/>
        </w:rPr>
        <w:t>育肥猪养殖流程图</w:t>
      </w:r>
    </w:p>
    <w:p>
      <w:pPr>
        <w:pStyle w:val="6"/>
        <w:bidi w:val="0"/>
        <w:rPr>
          <w:highlight w:val="none"/>
        </w:rPr>
      </w:pPr>
      <w:r>
        <w:rPr>
          <w:rFonts w:hint="eastAsia"/>
          <w:highlight w:val="none"/>
          <w:lang w:eastAsia="zh-CN"/>
        </w:rPr>
        <w:t>4.1</w:t>
      </w:r>
      <w:r>
        <w:rPr>
          <w:highlight w:val="none"/>
        </w:rPr>
        <w:t>.</w:t>
      </w:r>
      <w:r>
        <w:rPr>
          <w:rFonts w:hint="eastAsia"/>
          <w:highlight w:val="none"/>
          <w:lang w:val="en-US" w:eastAsia="zh-CN"/>
        </w:rPr>
        <w:t>2.2</w:t>
      </w:r>
      <w:r>
        <w:rPr>
          <w:highlight w:val="none"/>
        </w:rPr>
        <w:t xml:space="preserve"> </w:t>
      </w:r>
      <w:r>
        <w:rPr>
          <w:rFonts w:hint="eastAsia"/>
          <w:highlight w:val="none"/>
          <w:lang w:val="en-US" w:eastAsia="zh-CN"/>
        </w:rPr>
        <w:t xml:space="preserve"> </w:t>
      </w:r>
      <w:r>
        <w:rPr>
          <w:rFonts w:hint="eastAsia"/>
          <w:highlight w:val="none"/>
        </w:rPr>
        <w:t>清粪及粪污处理工艺</w:t>
      </w:r>
    </w:p>
    <w:p>
      <w:pPr>
        <w:bidi w:val="0"/>
        <w:rPr>
          <w:highlight w:val="none"/>
        </w:rPr>
      </w:pPr>
      <w:r>
        <w:rPr>
          <w:highlight w:val="none"/>
        </w:rPr>
        <w:t>根据《畜禽养殖业污染治理工程技术规范》（HJ497-2009）：新建、改建、扩建的养殖场宜采用干清粪工艺。同时，为了保持良好的环境，减少疾病发生，降低猪舍异味，保留猪鲜粪养分，猪舍粪便清理宜采用干清粪处理工艺，即粪便经漏缝地板+虹吸管收集池收集后（清粪的比例宜大于等于70%），先采用机械清除猪舍粪便，再用水冲洗，以减少冲洗水用量，从而减少污水量的产生量。排污系统设计为尿液与粪便干稀分流，机械清粪后清除的鲜猪粪和经干稀分流后的固形物</w:t>
      </w:r>
      <w:r>
        <w:rPr>
          <w:rFonts w:hint="eastAsia"/>
          <w:highlight w:val="none"/>
        </w:rPr>
        <w:t>作为有机肥原料外运，</w:t>
      </w:r>
      <w:r>
        <w:rPr>
          <w:rFonts w:hint="eastAsia"/>
          <w:highlight w:val="none"/>
          <w:lang w:eastAsia="zh-CN"/>
        </w:rPr>
        <w:t>养殖</w:t>
      </w:r>
      <w:r>
        <w:rPr>
          <w:highlight w:val="none"/>
        </w:rPr>
        <w:t>废水</w:t>
      </w:r>
      <w:r>
        <w:rPr>
          <w:rFonts w:hint="eastAsia"/>
          <w:highlight w:val="none"/>
          <w:lang w:eastAsia="zh-CN"/>
        </w:rPr>
        <w:t>和生活污水经化粪池处理后均</w:t>
      </w:r>
      <w:r>
        <w:rPr>
          <w:highlight w:val="none"/>
        </w:rPr>
        <w:t>进入污水处理工程进行处理后用于周边</w:t>
      </w:r>
      <w:r>
        <w:rPr>
          <w:rFonts w:hint="eastAsia"/>
          <w:highlight w:val="none"/>
          <w:lang w:eastAsia="zh-CN"/>
        </w:rPr>
        <w:t>林地灌溉</w:t>
      </w:r>
      <w:r>
        <w:rPr>
          <w:highlight w:val="none"/>
        </w:rPr>
        <w:t>。</w:t>
      </w:r>
    </w:p>
    <w:p>
      <w:pPr>
        <w:pStyle w:val="6"/>
        <w:bidi w:val="0"/>
        <w:rPr>
          <w:highlight w:val="none"/>
        </w:rPr>
      </w:pPr>
      <w:r>
        <w:rPr>
          <w:highlight w:val="none"/>
        </w:rPr>
        <w:t>4.1.</w:t>
      </w:r>
      <w:r>
        <w:rPr>
          <w:rFonts w:hint="eastAsia"/>
          <w:highlight w:val="none"/>
          <w:lang w:val="en-US" w:eastAsia="zh-CN"/>
        </w:rPr>
        <w:t>2.</w:t>
      </w:r>
      <w:r>
        <w:rPr>
          <w:highlight w:val="none"/>
        </w:rPr>
        <w:t>3  病死猪处理方案</w:t>
      </w:r>
    </w:p>
    <w:p>
      <w:pPr>
        <w:bidi w:val="0"/>
        <w:rPr>
          <w:highlight w:val="none"/>
        </w:rPr>
      </w:pPr>
      <w:r>
        <w:rPr>
          <w:highlight w:val="none"/>
        </w:rPr>
        <w:t>本项目病死猪</w:t>
      </w:r>
      <w:r>
        <w:rPr>
          <w:rFonts w:hint="eastAsia"/>
          <w:highlight w:val="none"/>
        </w:rPr>
        <w:t>病死猪当天委托当地畜禽无害化处理中心清运和处理，不在厂内暂存</w:t>
      </w:r>
      <w:r>
        <w:rPr>
          <w:highlight w:val="none"/>
        </w:rPr>
        <w:t>。项目病死猪处理要严格按操作规程进行操作，在驻场兽医或场内技术人员的监督下，由场内主管人员进行称重、登记造册，拍照存档后处理。处理数量每月汇总一次，上报当地畜牧兽医主管部门备案。处理结束后，要及时清理现场，被病死猪污染过的场地、工作台和车辆、用具等，要及时进行清洗消毒，防止病原扩散，形成交叉感染。</w:t>
      </w:r>
    </w:p>
    <w:p>
      <w:pPr>
        <w:pStyle w:val="6"/>
        <w:bidi w:val="0"/>
        <w:rPr>
          <w:highlight w:val="none"/>
          <w:u w:val="none"/>
        </w:rPr>
      </w:pPr>
      <w:r>
        <w:rPr>
          <w:highlight w:val="none"/>
          <w:u w:val="none"/>
        </w:rPr>
        <w:t>4.1.</w:t>
      </w:r>
      <w:r>
        <w:rPr>
          <w:rFonts w:hint="eastAsia"/>
          <w:highlight w:val="none"/>
          <w:u w:val="none"/>
          <w:lang w:val="en-US" w:eastAsia="zh-CN"/>
        </w:rPr>
        <w:t>2.</w:t>
      </w:r>
      <w:r>
        <w:rPr>
          <w:highlight w:val="none"/>
          <w:u w:val="none"/>
        </w:rPr>
        <w:t>4  消毒方案</w:t>
      </w:r>
    </w:p>
    <w:p>
      <w:pPr>
        <w:bidi w:val="0"/>
        <w:rPr>
          <w:highlight w:val="none"/>
          <w:u w:val="none"/>
        </w:rPr>
      </w:pPr>
      <w:r>
        <w:rPr>
          <w:highlight w:val="none"/>
          <w:u w:val="none"/>
        </w:rPr>
        <w:t>猪群的消毒分为定期消毒和空舍消毒。定期消毒是指带猪消毒、场区消毒和平时的一些规定性消毒。空舍消毒就是栋舍的猪全部转出或出栏后消毒。</w:t>
      </w:r>
    </w:p>
    <w:p>
      <w:pPr>
        <w:bidi w:val="0"/>
        <w:rPr>
          <w:highlight w:val="none"/>
          <w:u w:val="single"/>
        </w:rPr>
      </w:pPr>
      <w:r>
        <w:rPr>
          <w:highlight w:val="none"/>
          <w:u w:val="single"/>
        </w:rPr>
        <w:t>（1）空舍消毒遵循的程序：清扫、消毒、冲洗、熏蒸消毒</w:t>
      </w:r>
    </w:p>
    <w:p>
      <w:pPr>
        <w:bidi w:val="0"/>
        <w:rPr>
          <w:highlight w:val="none"/>
          <w:u w:val="single"/>
        </w:rPr>
      </w:pPr>
      <w:r>
        <w:rPr>
          <w:highlight w:val="none"/>
          <w:u w:val="single"/>
        </w:rPr>
        <w:t>①空舍后，彻底清除舍内的残料、垃圾及门窗尘埃等，并整理舍内用具。</w:t>
      </w:r>
    </w:p>
    <w:p>
      <w:pPr>
        <w:bidi w:val="0"/>
        <w:rPr>
          <w:highlight w:val="none"/>
          <w:u w:val="single"/>
        </w:rPr>
      </w:pPr>
      <w:r>
        <w:rPr>
          <w:highlight w:val="none"/>
          <w:u w:val="single"/>
        </w:rPr>
        <w:t>②舍内设备、用具清洗，对所有的物体表面进行低压喷洒，浓度为2%-3％火碱，使其充分湿润，喷洒的范围包括地面、猪栏、各种用具等，浸润1小时后再用高压冲洗机彻底冲洗地面、食槽、猪栏等各种用具，直至干净清洁为止。在冲洗的同时，要注意产房的烤灯插座及各栋电源的开关及插座。</w:t>
      </w:r>
    </w:p>
    <w:p>
      <w:pPr>
        <w:bidi w:val="0"/>
        <w:rPr>
          <w:highlight w:val="none"/>
          <w:u w:val="single"/>
        </w:rPr>
      </w:pPr>
      <w:r>
        <w:rPr>
          <w:highlight w:val="none"/>
          <w:u w:val="single"/>
        </w:rPr>
        <w:t>③用广谱消毒药彻底消毒空舍所有表面、设备、用具，不留死角。消毒后通风干燥空置5-7天。</w:t>
      </w:r>
    </w:p>
    <w:p>
      <w:pPr>
        <w:bidi w:val="0"/>
        <w:rPr>
          <w:highlight w:val="none"/>
          <w:u w:val="single"/>
        </w:rPr>
      </w:pPr>
      <w:r>
        <w:rPr>
          <w:highlight w:val="none"/>
          <w:u w:val="single"/>
        </w:rPr>
        <w:t>④进猪前2天恢复舍内布置，并检查维修设备用具，维修好后再用广谱药消毒一次。</w:t>
      </w:r>
    </w:p>
    <w:p>
      <w:pPr>
        <w:bidi w:val="0"/>
        <w:rPr>
          <w:highlight w:val="none"/>
          <w:u w:val="single"/>
        </w:rPr>
      </w:pPr>
      <w:r>
        <w:rPr>
          <w:highlight w:val="none"/>
          <w:u w:val="single"/>
        </w:rPr>
        <w:t>（2）定期消毒</w:t>
      </w:r>
    </w:p>
    <w:p>
      <w:pPr>
        <w:bidi w:val="0"/>
        <w:rPr>
          <w:highlight w:val="none"/>
          <w:u w:val="single"/>
        </w:rPr>
      </w:pPr>
      <w:r>
        <w:rPr>
          <w:highlight w:val="none"/>
          <w:u w:val="single"/>
        </w:rPr>
        <w:t>①进入生产区的消毒池必须保持溶液的有效浓度，消毒池的氢氧化钠浓度达到3％，每隔三天换一次。</w:t>
      </w:r>
    </w:p>
    <w:p>
      <w:pPr>
        <w:bidi w:val="0"/>
        <w:rPr>
          <w:highlight w:val="none"/>
          <w:u w:val="single"/>
        </w:rPr>
      </w:pPr>
      <w:r>
        <w:rPr>
          <w:highlight w:val="none"/>
          <w:u w:val="single"/>
        </w:rPr>
        <w:t>②外出员工或场外人员进入生产区须经过</w:t>
      </w:r>
      <w:r>
        <w:rPr>
          <w:rFonts w:hint="eastAsia" w:ascii="宋体" w:hAnsi="宋体" w:eastAsia="宋体" w:cs="宋体"/>
          <w:highlight w:val="none"/>
          <w:u w:val="single"/>
        </w:rPr>
        <w:t>“踏</w:t>
      </w:r>
      <w:r>
        <w:rPr>
          <w:highlight w:val="none"/>
          <w:u w:val="single"/>
        </w:rPr>
        <w:t>、照、洗、换</w:t>
      </w:r>
      <w:r>
        <w:rPr>
          <w:rFonts w:hint="eastAsia" w:ascii="宋体" w:hAnsi="宋体" w:eastAsia="宋体" w:cs="宋体"/>
          <w:highlight w:val="none"/>
          <w:u w:val="single"/>
        </w:rPr>
        <w:t>”</w:t>
      </w:r>
      <w:r>
        <w:rPr>
          <w:highlight w:val="none"/>
          <w:u w:val="single"/>
        </w:rPr>
        <w:t>四步消毒程序方能进入场区，即踏火碱池或垫、照紫外线5-10分钟、进洗澡间洗澡、更换工作服和鞋。</w:t>
      </w:r>
    </w:p>
    <w:p>
      <w:pPr>
        <w:bidi w:val="0"/>
        <w:rPr>
          <w:highlight w:val="none"/>
          <w:u w:val="single"/>
        </w:rPr>
      </w:pPr>
      <w:r>
        <w:rPr>
          <w:highlight w:val="none"/>
          <w:u w:val="single"/>
        </w:rPr>
        <w:t>③进入场区的物品照紫外线30分钟后方可进生产区，不怕湿的物品用浸润或消毒后进入场区，或熏蒸一次。</w:t>
      </w:r>
    </w:p>
    <w:p>
      <w:pPr>
        <w:bidi w:val="0"/>
        <w:rPr>
          <w:highlight w:val="none"/>
          <w:u w:val="single"/>
        </w:rPr>
      </w:pPr>
      <w:r>
        <w:rPr>
          <w:highlight w:val="none"/>
          <w:u w:val="single"/>
        </w:rPr>
        <w:t>④外购猪车辆在装猪前严格喷雾消毒2次，装猪后对使用过的装猪台、秤、过道及时进行清理、冲洗、消毒。</w:t>
      </w:r>
    </w:p>
    <w:p>
      <w:pPr>
        <w:bidi w:val="0"/>
        <w:rPr>
          <w:highlight w:val="none"/>
          <w:u w:val="single"/>
        </w:rPr>
      </w:pPr>
      <w:r>
        <w:rPr>
          <w:highlight w:val="none"/>
          <w:u w:val="single"/>
        </w:rPr>
        <w:t>⑤各单元门口有消毒池，人员进出时，双脚必须踏入消毒池，消毒池必须保持溶液的有效浓度。</w:t>
      </w:r>
    </w:p>
    <w:p>
      <w:pPr>
        <w:bidi w:val="0"/>
        <w:rPr>
          <w:highlight w:val="none"/>
          <w:u w:val="single"/>
        </w:rPr>
      </w:pPr>
      <w:r>
        <w:rPr>
          <w:highlight w:val="none"/>
          <w:u w:val="single"/>
        </w:rPr>
        <w:t>⑥各栋舍内按规定打扫卫生后带猪喷雾消毒一次，外环境根据情况消毒，每周2次或每周3次或每周1次。舍外生产区、装猪台都要消毒不留死角。消毒药轮流交叉使用。</w:t>
      </w:r>
    </w:p>
    <w:p>
      <w:pPr>
        <w:pStyle w:val="6"/>
        <w:bidi w:val="0"/>
        <w:rPr>
          <w:rFonts w:hint="eastAsia"/>
          <w:highlight w:val="none"/>
          <w:lang w:val="en-US" w:eastAsia="zh-CN"/>
        </w:rPr>
      </w:pPr>
      <w:r>
        <w:rPr>
          <w:rFonts w:hint="eastAsia"/>
          <w:highlight w:val="none"/>
          <w:lang w:val="en-US" w:eastAsia="zh-CN"/>
        </w:rPr>
        <w:t>4.1.2.5  污水处理工艺</w:t>
      </w:r>
    </w:p>
    <w:p>
      <w:pPr>
        <w:bidi w:val="0"/>
        <w:rPr>
          <w:rFonts w:hint="eastAsia" w:eastAsia="宋体"/>
          <w:highlight w:val="none"/>
          <w:lang w:val="en-US" w:eastAsia="zh-CN"/>
        </w:rPr>
      </w:pPr>
      <w:r>
        <w:rPr>
          <w:highlight w:val="none"/>
        </w:rPr>
        <w:t>根据本工程特点和《畜禽养殖业污染治理工程技术规范》（HJ497-2009）的要求</w:t>
      </w:r>
      <w:r>
        <w:rPr>
          <w:rFonts w:hint="eastAsia"/>
          <w:highlight w:val="none"/>
          <w:lang w:eastAsia="zh-CN"/>
        </w:rPr>
        <w:t>，湖南双宏养殖有限公司</w:t>
      </w:r>
      <w:r>
        <w:rPr>
          <w:highlight w:val="none"/>
        </w:rPr>
        <w:t>采用</w:t>
      </w:r>
      <w:r>
        <w:rPr>
          <w:rFonts w:hint="eastAsia"/>
          <w:highlight w:val="none"/>
          <w:lang w:val="en-US" w:eastAsia="zh-CN"/>
        </w:rPr>
        <w:t>“格栅池+收集池+固液分离+调节池+厌氧处理池+</w:t>
      </w:r>
      <w:r>
        <w:rPr>
          <w:rFonts w:hint="default" w:ascii="Times New Roman" w:hAnsi="Times New Roman" w:cs="Times New Roman"/>
          <w:highlight w:val="none"/>
          <w:u w:val="none" w:color="auto"/>
          <w:lang w:val="en-US" w:eastAsia="zh-CN"/>
        </w:rPr>
        <w:t>A</w:t>
      </w:r>
      <w:r>
        <w:rPr>
          <w:rFonts w:hint="eastAsia" w:cs="Times New Roman"/>
          <w:highlight w:val="none"/>
          <w:u w:val="none" w:color="auto"/>
          <w:vertAlign w:val="superscript"/>
          <w:lang w:val="en-US" w:eastAsia="zh-CN"/>
        </w:rPr>
        <w:t>2</w:t>
      </w:r>
      <w:r>
        <w:rPr>
          <w:rFonts w:hint="default" w:ascii="Times New Roman" w:hAnsi="Times New Roman" w:cs="Times New Roman"/>
          <w:highlight w:val="none"/>
          <w:u w:val="none" w:color="auto"/>
          <w:lang w:val="en-US" w:eastAsia="zh-CN"/>
        </w:rPr>
        <w:t>/O</w:t>
      </w:r>
      <w:r>
        <w:rPr>
          <w:rFonts w:hint="eastAsia" w:cs="Times New Roman"/>
          <w:highlight w:val="none"/>
          <w:u w:val="none" w:color="auto"/>
          <w:vertAlign w:val="superscript"/>
          <w:lang w:val="en-US" w:eastAsia="zh-CN"/>
        </w:rPr>
        <w:t>2</w:t>
      </w:r>
      <w:r>
        <w:rPr>
          <w:rFonts w:hint="eastAsia"/>
          <w:highlight w:val="none"/>
          <w:lang w:val="en-US" w:eastAsia="zh-CN"/>
        </w:rPr>
        <w:t>池+沉淀池+药剂反应池+大型沉淀池+清水池+氧化塘”</w:t>
      </w:r>
      <w:r>
        <w:rPr>
          <w:rFonts w:hint="eastAsia"/>
          <w:highlight w:val="none"/>
          <w:lang w:eastAsia="zh-CN"/>
        </w:rPr>
        <w:t>工艺处理项目养殖粪污。污水处理站为地埋式钢混结构，处理能力</w:t>
      </w:r>
      <w:r>
        <w:rPr>
          <w:rFonts w:hint="eastAsia"/>
          <w:highlight w:val="none"/>
          <w:lang w:val="en-US" w:eastAsia="zh-CN"/>
        </w:rPr>
        <w:t>11</w:t>
      </w:r>
      <w:r>
        <w:rPr>
          <w:rFonts w:hint="eastAsia"/>
          <w:highlight w:val="none"/>
          <w:lang w:eastAsia="zh-CN"/>
        </w:rPr>
        <w:t>0m</w:t>
      </w:r>
      <w:r>
        <w:rPr>
          <w:rFonts w:hint="eastAsia"/>
          <w:highlight w:val="none"/>
          <w:vertAlign w:val="superscript"/>
          <w:lang w:eastAsia="zh-CN"/>
        </w:rPr>
        <w:t>3</w:t>
      </w:r>
      <w:r>
        <w:rPr>
          <w:rFonts w:hint="eastAsia"/>
          <w:highlight w:val="none"/>
          <w:lang w:eastAsia="zh-CN"/>
        </w:rPr>
        <w:t>/d。</w:t>
      </w:r>
    </w:p>
    <w:p>
      <w:pPr>
        <w:bidi w:val="0"/>
        <w:rPr>
          <w:rFonts w:hint="eastAsia"/>
          <w:highlight w:val="none"/>
          <w:lang w:eastAsia="zh-CN"/>
        </w:rPr>
      </w:pPr>
      <w:r>
        <w:rPr>
          <w:rFonts w:hint="eastAsia"/>
          <w:highlight w:val="none"/>
          <w:lang w:eastAsia="zh-CN"/>
        </w:rPr>
        <w:t>一、处理工艺</w:t>
      </w:r>
    </w:p>
    <w:p>
      <w:pPr>
        <w:pStyle w:val="17"/>
        <w:rPr>
          <w:rFonts w:hint="eastAsia"/>
          <w:highlight w:val="none"/>
          <w:lang w:eastAsia="zh-CN"/>
        </w:rPr>
      </w:pPr>
      <w:r>
        <w:rPr>
          <w:rFonts w:hint="eastAsia"/>
          <w:highlight w:val="none"/>
          <w:lang w:eastAsia="zh-CN"/>
        </w:rPr>
        <w:object>
          <v:shape id="_x0000_i1026" o:spt="75" type="#_x0000_t75" style="height:620.15pt;width:265.05pt;" o:ole="t" filled="f" o:preferrelative="t" stroked="f" coordsize="21600,21600">
            <v:path/>
            <v:fill on="f" focussize="0,0"/>
            <v:stroke on="f"/>
            <v:imagedata r:id="rId17" o:title=""/>
            <o:lock v:ext="edit" aspectratio="f"/>
            <w10:wrap type="none"/>
            <w10:anchorlock/>
          </v:shape>
          <o:OLEObject Type="Embed" ProgID="Visio.Drawing.15" ShapeID="_x0000_i1026" DrawAspect="Content" ObjectID="_1468075726" r:id="rId16">
            <o:LockedField>false</o:LockedField>
          </o:OLEObject>
        </w:object>
      </w:r>
    </w:p>
    <w:p>
      <w:pPr>
        <w:pStyle w:val="7"/>
        <w:bidi w:val="0"/>
        <w:rPr>
          <w:highlight w:val="none"/>
        </w:rPr>
      </w:pPr>
      <w:r>
        <w:rPr>
          <w:highlight w:val="none"/>
        </w:rPr>
        <w:t>图4.1-</w:t>
      </w:r>
      <w:r>
        <w:rPr>
          <w:rFonts w:hint="eastAsia"/>
          <w:highlight w:val="none"/>
          <w:lang w:val="en-US" w:eastAsia="zh-CN"/>
        </w:rPr>
        <w:t>3</w:t>
      </w:r>
      <w:r>
        <w:rPr>
          <w:highlight w:val="none"/>
        </w:rPr>
        <w:t xml:space="preserve">  污水处理总体工艺流程</w:t>
      </w:r>
    </w:p>
    <w:p>
      <w:pPr>
        <w:widowControl w:val="0"/>
        <w:spacing w:line="1" w:lineRule="exact"/>
        <w:rPr>
          <w:rFonts w:ascii="Times New Roman" w:hAnsi="Times New Roman" w:eastAsia="宋体" w:cs="Times New Roman"/>
          <w:kern w:val="2"/>
          <w:sz w:val="24"/>
          <w:szCs w:val="24"/>
          <w:highlight w:val="none"/>
          <w:lang w:val="en-US" w:eastAsia="zh-CN" w:bidi="ar-SA"/>
        </w:rPr>
      </w:pPr>
    </w:p>
    <w:p>
      <w:pPr>
        <w:widowControl w:val="0"/>
        <w:spacing w:line="1" w:lineRule="exact"/>
        <w:rPr>
          <w:highlight w:val="none"/>
        </w:rPr>
      </w:pPr>
      <w:r>
        <w:rPr>
          <w:highlight w:val="none"/>
        </w:rPr>
        <w:br w:type="page"/>
      </w:r>
    </w:p>
    <w:p>
      <w:pPr>
        <w:rPr>
          <w:rFonts w:hint="eastAsia"/>
          <w:highlight w:val="none"/>
          <w:lang w:eastAsia="zh-CN"/>
        </w:rPr>
      </w:pPr>
      <w:bookmarkStart w:id="56" w:name="_Toc25119"/>
      <w:r>
        <w:rPr>
          <w:rFonts w:hint="eastAsia"/>
          <w:highlight w:val="none"/>
          <w:lang w:eastAsia="zh-CN"/>
        </w:rPr>
        <w:t>二、污水处理设施</w:t>
      </w:r>
    </w:p>
    <w:p>
      <w:pPr>
        <w:pStyle w:val="7"/>
        <w:bidi w:val="0"/>
        <w:rPr>
          <w:rFonts w:hint="eastAsia"/>
          <w:highlight w:val="none"/>
          <w:lang w:eastAsia="zh-CN"/>
        </w:rPr>
      </w:pPr>
      <w:r>
        <w:rPr>
          <w:rFonts w:hint="eastAsia"/>
          <w:highlight w:val="none"/>
          <w:lang w:eastAsia="zh-CN"/>
        </w:rPr>
        <w:t>表</w:t>
      </w:r>
      <w:r>
        <w:rPr>
          <w:rFonts w:hint="eastAsia"/>
          <w:highlight w:val="none"/>
          <w:lang w:val="en-US" w:eastAsia="zh-CN"/>
        </w:rPr>
        <w:t>4.1-1</w:t>
      </w:r>
      <w:r>
        <w:rPr>
          <w:highlight w:val="none"/>
        </w:rPr>
        <w:t xml:space="preserve">  </w:t>
      </w:r>
      <w:r>
        <w:rPr>
          <w:rFonts w:hint="eastAsia"/>
          <w:highlight w:val="none"/>
          <w:lang w:eastAsia="zh-CN"/>
        </w:rPr>
        <w:t>污水处理设施一览表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2313"/>
        <w:gridCol w:w="4614"/>
        <w:gridCol w:w="18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分项</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规格</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工程量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格栅收集池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10.34*2.68*4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110立方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调节池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10.34*2.68*4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110立方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厌氧池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10.35*2. 68*4+31.52*2.68*4*2</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786立方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缺氧池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13.275*3.5*4+4.265*3.5*4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245立方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好氧池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4.265*3.5*4+17.78*3. 4*4*2+13.275*3.5*4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729立方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好氧沉淀池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3.5*3.5*4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49立方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药剂反应池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1.63*1.53*4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10立方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药剂沉淀池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3.5*3.5*4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49立方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清水池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1.63*1.53*4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10立方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1312"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污泥浓缩池</w:t>
            </w:r>
          </w:p>
        </w:tc>
        <w:tc>
          <w:tcPr>
            <w:tcW w:w="2617"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bidi="en-US"/>
              </w:rPr>
              <w:t>3.5*3.5*4</w:t>
            </w:r>
            <w:r>
              <w:rPr>
                <w:rFonts w:hint="default" w:ascii="Times New Roman" w:hAnsi="Times New Roman" w:eastAsia="宋体" w:cs="Times New Roman"/>
                <w:color w:val="000000"/>
                <w:spacing w:val="0"/>
                <w:w w:val="100"/>
                <w:position w:val="0"/>
                <w:sz w:val="21"/>
                <w:szCs w:val="21"/>
                <w:highlight w:val="none"/>
              </w:rPr>
              <w:t>米</w:t>
            </w:r>
          </w:p>
        </w:tc>
        <w:tc>
          <w:tcPr>
            <w:tcW w:w="1070"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pacing w:val="0"/>
                <w:w w:val="100"/>
                <w:position w:val="0"/>
                <w:sz w:val="21"/>
                <w:szCs w:val="21"/>
                <w:highlight w:val="none"/>
              </w:rPr>
              <w:t>49立方</w:t>
            </w:r>
          </w:p>
        </w:tc>
      </w:tr>
    </w:tbl>
    <w:p>
      <w:pPr>
        <w:bidi w:val="0"/>
        <w:rPr>
          <w:rFonts w:hint="eastAsia"/>
          <w:highlight w:val="none"/>
          <w:lang w:eastAsia="zh-CN"/>
        </w:rPr>
      </w:pPr>
      <w:r>
        <w:rPr>
          <w:rFonts w:hint="eastAsia"/>
          <w:highlight w:val="none"/>
          <w:lang w:eastAsia="zh-CN"/>
        </w:rPr>
        <w:t>三、污水处理设备</w:t>
      </w:r>
    </w:p>
    <w:p>
      <w:pPr>
        <w:pStyle w:val="7"/>
        <w:bidi w:val="0"/>
        <w:rPr>
          <w:rFonts w:hint="eastAsia"/>
          <w:highlight w:val="none"/>
          <w:lang w:eastAsia="zh-CN"/>
        </w:rPr>
      </w:pPr>
      <w:r>
        <w:rPr>
          <w:rFonts w:hint="eastAsia"/>
          <w:highlight w:val="none"/>
          <w:lang w:eastAsia="zh-CN"/>
        </w:rPr>
        <w:t>表</w:t>
      </w:r>
      <w:r>
        <w:rPr>
          <w:rFonts w:hint="eastAsia"/>
          <w:highlight w:val="none"/>
          <w:lang w:val="en-US" w:eastAsia="zh-CN"/>
        </w:rPr>
        <w:t>4.1-2</w:t>
      </w:r>
      <w:r>
        <w:rPr>
          <w:highlight w:val="none"/>
        </w:rPr>
        <w:t xml:space="preserve">  </w:t>
      </w:r>
      <w:r>
        <w:rPr>
          <w:rFonts w:hint="eastAsia"/>
          <w:highlight w:val="none"/>
          <w:lang w:eastAsia="zh-CN"/>
        </w:rPr>
        <w:t>污水处理设备一览表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1266"/>
        <w:gridCol w:w="2480"/>
        <w:gridCol w:w="2829"/>
        <w:gridCol w:w="1118"/>
        <w:gridCol w:w="11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序号</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设备名称</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规格型号</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数量</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固液分离机</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不锈钢304</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2</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eastAsia" w:ascii="Times New Roman" w:hAnsi="Times New Roman" w:eastAsia="宋体" w:cs="Times New Roman"/>
                <w:color w:val="000000"/>
                <w:spacing w:val="0"/>
                <w:w w:val="100"/>
                <w:position w:val="0"/>
                <w:sz w:val="21"/>
                <w:szCs w:val="21"/>
                <w:highlight w:val="none"/>
                <w:lang w:eastAsia="zh-CN"/>
              </w:rPr>
              <w:t>叠</w:t>
            </w:r>
            <w:r>
              <w:rPr>
                <w:rFonts w:hint="default" w:ascii="Times New Roman" w:hAnsi="Times New Roman" w:eastAsia="宋体" w:cs="Times New Roman"/>
                <w:color w:val="000000"/>
                <w:spacing w:val="0"/>
                <w:w w:val="100"/>
                <w:position w:val="0"/>
                <w:sz w:val="21"/>
                <w:szCs w:val="21"/>
                <w:highlight w:val="none"/>
              </w:rPr>
              <w:t>螺机（自带搅拌）</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不锈钢304</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3</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罗茨风机</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2</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4</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配套电控</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型号：</w:t>
            </w:r>
            <w:r>
              <w:rPr>
                <w:rFonts w:hint="default" w:ascii="Times New Roman" w:hAnsi="Times New Roman" w:eastAsia="宋体" w:cs="Times New Roman"/>
                <w:color w:val="000000"/>
                <w:spacing w:val="0"/>
                <w:w w:val="100"/>
                <w:position w:val="0"/>
                <w:sz w:val="21"/>
                <w:szCs w:val="21"/>
                <w:highlight w:val="none"/>
                <w:lang w:val="en-US" w:eastAsia="en-US"/>
              </w:rPr>
              <w:t>HCZK</w:t>
            </w:r>
            <w:r>
              <w:rPr>
                <w:rFonts w:hint="default" w:ascii="Times New Roman" w:hAnsi="Times New Roman" w:eastAsia="宋体" w:cs="Times New Roman"/>
                <w:color w:val="000000"/>
                <w:spacing w:val="0"/>
                <w:w w:val="100"/>
                <w:position w:val="0"/>
                <w:sz w:val="21"/>
                <w:szCs w:val="21"/>
                <w:highlight w:val="none"/>
              </w:rPr>
              <w:t>系列</w:t>
            </w: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自动控制柜</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5</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辅助电控</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德力西系列</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2</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6</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污水提升泵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7</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污泥切割泵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8</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硝化液回流泵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9</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污泥回流泵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10</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消泡泵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11</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小型药剂搅拌泵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3</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12</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计量泵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3</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13</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大型搅拌泵</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2</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14</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eastAsia" w:ascii="Times New Roman" w:hAnsi="Times New Roman" w:eastAsia="宋体" w:cs="Times New Roman"/>
                <w:color w:val="000000"/>
                <w:spacing w:val="0"/>
                <w:w w:val="100"/>
                <w:position w:val="0"/>
                <w:sz w:val="21"/>
                <w:szCs w:val="21"/>
                <w:highlight w:val="none"/>
                <w:lang w:val="zh-CN" w:eastAsia="zh-CN"/>
              </w:rPr>
              <w:t>大型</w:t>
            </w:r>
            <w:r>
              <w:rPr>
                <w:rFonts w:hint="default" w:ascii="Times New Roman" w:hAnsi="Times New Roman" w:eastAsia="宋体" w:cs="Times New Roman"/>
                <w:color w:val="000000"/>
                <w:spacing w:val="0"/>
                <w:w w:val="100"/>
                <w:position w:val="0"/>
                <w:sz w:val="21"/>
                <w:szCs w:val="21"/>
                <w:highlight w:val="none"/>
                <w:lang w:val="zh-CN" w:eastAsia="zh-CN"/>
              </w:rPr>
              <w:t>潜</w:t>
            </w:r>
            <w:r>
              <w:rPr>
                <w:rFonts w:hint="default" w:ascii="Times New Roman" w:hAnsi="Times New Roman" w:eastAsia="宋体" w:cs="Times New Roman"/>
                <w:color w:val="000000"/>
                <w:spacing w:val="0"/>
                <w:w w:val="100"/>
                <w:position w:val="0"/>
                <w:sz w:val="21"/>
                <w:szCs w:val="21"/>
                <w:highlight w:val="none"/>
              </w:rPr>
              <w:t>水</w:t>
            </w:r>
            <w:r>
              <w:rPr>
                <w:rFonts w:hint="eastAsia" w:ascii="Times New Roman" w:hAnsi="Times New Roman" w:eastAsia="宋体" w:cs="Times New Roman"/>
                <w:color w:val="000000"/>
                <w:spacing w:val="0"/>
                <w:w w:val="100"/>
                <w:position w:val="0"/>
                <w:sz w:val="21"/>
                <w:szCs w:val="21"/>
                <w:highlight w:val="none"/>
                <w:lang w:eastAsia="zh-CN"/>
              </w:rPr>
              <w:t>推进</w:t>
            </w:r>
            <w:r>
              <w:rPr>
                <w:rFonts w:hint="default" w:ascii="Times New Roman" w:hAnsi="Times New Roman" w:eastAsia="宋体" w:cs="Times New Roman"/>
                <w:color w:val="000000"/>
                <w:spacing w:val="0"/>
                <w:w w:val="100"/>
                <w:position w:val="0"/>
                <w:sz w:val="21"/>
                <w:szCs w:val="21"/>
                <w:highlight w:val="none"/>
              </w:rPr>
              <w:t>器</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6</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15</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自动耦合装置</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型号：配套</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7</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eastAsia" w:ascii="Times New Roman" w:hAnsi="Times New Roman" w:eastAsia="宋体" w:cs="Times New Roman"/>
                <w:color w:val="000000"/>
                <w:spacing w:val="0"/>
                <w:w w:val="100"/>
                <w:position w:val="0"/>
                <w:sz w:val="21"/>
                <w:szCs w:val="21"/>
                <w:highlight w:val="none"/>
                <w:lang w:val="en-US" w:eastAsia="zh-CN"/>
              </w:rPr>
            </w:pPr>
            <w:r>
              <w:rPr>
                <w:rFonts w:hint="default" w:ascii="Times New Roman" w:hAnsi="Times New Roman" w:eastAsia="宋体" w:cs="Times New Roman"/>
                <w:color w:val="000000"/>
                <w:spacing w:val="0"/>
                <w:w w:val="100"/>
                <w:position w:val="0"/>
                <w:sz w:val="21"/>
                <w:szCs w:val="21"/>
                <w:highlight w:val="none"/>
                <w:lang w:val="en-US" w:eastAsia="en-US"/>
              </w:rPr>
              <w:t>1</w:t>
            </w:r>
            <w:r>
              <w:rPr>
                <w:rFonts w:hint="eastAsia" w:ascii="Times New Roman" w:hAnsi="Times New Roman" w:eastAsia="宋体" w:cs="Times New Roman"/>
                <w:color w:val="000000"/>
                <w:spacing w:val="0"/>
                <w:w w:val="100"/>
                <w:position w:val="0"/>
                <w:sz w:val="21"/>
                <w:szCs w:val="21"/>
                <w:highlight w:val="none"/>
                <w:lang w:val="en-US" w:eastAsia="zh-CN"/>
              </w:rPr>
              <w:t>6</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污水处理提升机</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13</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17</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加药装置</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3</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18</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上清液收集系统</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2</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19</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沉淀淤泥收集系统</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2</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20</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电线1</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1.5</w:t>
            </w:r>
            <w:r>
              <w:rPr>
                <w:rFonts w:hint="default" w:ascii="Times New Roman" w:hAnsi="Times New Roman" w:eastAsia="宋体" w:cs="Times New Roman"/>
                <w:color w:val="000000"/>
                <w:spacing w:val="0"/>
                <w:w w:val="100"/>
                <w:position w:val="0"/>
                <w:sz w:val="21"/>
                <w:szCs w:val="21"/>
                <w:highlight w:val="none"/>
              </w:rPr>
              <w:t>平方二合一线</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21</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电线2</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2.5</w:t>
            </w:r>
            <w:r>
              <w:rPr>
                <w:rFonts w:hint="default" w:ascii="Times New Roman" w:hAnsi="Times New Roman" w:eastAsia="宋体" w:cs="Times New Roman"/>
                <w:color w:val="000000"/>
                <w:spacing w:val="0"/>
                <w:w w:val="100"/>
                <w:position w:val="0"/>
                <w:sz w:val="21"/>
                <w:szCs w:val="21"/>
                <w:highlight w:val="none"/>
              </w:rPr>
              <w:t>平方三相线</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22</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电线3</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4平方三相线</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23</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电线4</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6平方三相四线线</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24</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线管</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配套电线</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25</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线管弯头等</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弯头</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直接</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三通</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26</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线管卡</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卡扣</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27</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电器</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三项接触器</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灯头</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插座，开关等</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28</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电磁阀</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29</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止回阀</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30</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回流调节阀</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31</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液位控制器</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32</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小型搅拌泵固定支架</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3</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33</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大型搅拌泵固定支架</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2</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34</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水管</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PVC200</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160</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110</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75</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50</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32</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25</w:t>
            </w:r>
            <w:r>
              <w:rPr>
                <w:rFonts w:hint="default" w:ascii="Times New Roman" w:hAnsi="Times New Roman" w:eastAsia="宋体" w:cs="Times New Roman"/>
                <w:color w:val="000000"/>
                <w:spacing w:val="0"/>
                <w:w w:val="100"/>
                <w:position w:val="0"/>
                <w:sz w:val="21"/>
                <w:szCs w:val="21"/>
                <w:highlight w:val="none"/>
              </w:rPr>
              <w:t>水管，弯头，直接，球阀，活接，三通，大小头等</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35</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气管</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eastAsia" w:ascii="Times New Roman" w:hAnsi="Times New Roman" w:eastAsia="宋体" w:cs="Times New Roman"/>
                <w:color w:val="000000"/>
                <w:spacing w:val="0"/>
                <w:w w:val="100"/>
                <w:position w:val="0"/>
                <w:sz w:val="21"/>
                <w:szCs w:val="21"/>
                <w:highlight w:val="none"/>
                <w:lang w:eastAsia="zh-CN"/>
              </w:rPr>
            </w:pPr>
            <w:r>
              <w:rPr>
                <w:rFonts w:hint="default" w:ascii="Times New Roman" w:hAnsi="Times New Roman" w:eastAsia="宋体" w:cs="Times New Roman"/>
                <w:color w:val="000000"/>
                <w:spacing w:val="0"/>
                <w:w w:val="100"/>
                <w:position w:val="0"/>
                <w:sz w:val="21"/>
                <w:szCs w:val="21"/>
                <w:highlight w:val="none"/>
              </w:rPr>
              <w:t>抱箍，膨胀螺丝，球阀，双接丝，</w:t>
            </w:r>
            <w:r>
              <w:rPr>
                <w:rFonts w:hint="default" w:ascii="Times New Roman" w:hAnsi="Times New Roman" w:eastAsia="宋体" w:cs="Times New Roman"/>
                <w:color w:val="000000"/>
                <w:spacing w:val="0"/>
                <w:w w:val="100"/>
                <w:position w:val="0"/>
                <w:sz w:val="21"/>
                <w:szCs w:val="21"/>
                <w:highlight w:val="none"/>
                <w:lang w:val="en-US" w:eastAsia="en-US"/>
              </w:rPr>
              <w:t>50</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90</w:t>
            </w:r>
            <w:r>
              <w:rPr>
                <w:rFonts w:hint="eastAsia" w:ascii="Times New Roman" w:hAnsi="Times New Roman" w:eastAsia="宋体" w:cs="Times New Roman"/>
                <w:color w:val="000000"/>
                <w:spacing w:val="0"/>
                <w:w w:val="100"/>
                <w:position w:val="0"/>
                <w:sz w:val="21"/>
                <w:szCs w:val="21"/>
                <w:highlight w:val="none"/>
                <w:lang w:val="en-US" w:eastAsia="zh-CN"/>
              </w:rPr>
              <w:t>不锈钢管</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36</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管式曝气器</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37</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曝气装置支架、阀门等</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不锈钢材质</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180</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38</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曝气池</w:t>
            </w:r>
            <w:r>
              <w:rPr>
                <w:rFonts w:hint="default" w:ascii="Times New Roman" w:hAnsi="Times New Roman" w:eastAsia="宋体" w:cs="Times New Roman"/>
                <w:color w:val="000000"/>
                <w:spacing w:val="0"/>
                <w:w w:val="100"/>
                <w:position w:val="0"/>
                <w:sz w:val="21"/>
                <w:szCs w:val="21"/>
                <w:highlight w:val="none"/>
                <w:lang w:val="en-US" w:eastAsia="en-US"/>
              </w:rPr>
              <w:t>MBBR</w:t>
            </w:r>
            <w:r>
              <w:rPr>
                <w:rFonts w:hint="default" w:ascii="Times New Roman" w:hAnsi="Times New Roman" w:eastAsia="宋体" w:cs="Times New Roman"/>
                <w:color w:val="000000"/>
                <w:spacing w:val="0"/>
                <w:w w:val="100"/>
                <w:position w:val="0"/>
                <w:sz w:val="21"/>
                <w:szCs w:val="21"/>
                <w:highlight w:val="none"/>
              </w:rPr>
              <w:t>流化床生物填料</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5</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m3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39</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不锈钢方管</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40不锈钢方管</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40</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不锈钢槽钢</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40*60</w:t>
            </w:r>
            <w:r>
              <w:rPr>
                <w:rFonts w:hint="default" w:ascii="Times New Roman" w:hAnsi="Times New Roman" w:eastAsia="宋体" w:cs="Times New Roman"/>
                <w:color w:val="000000"/>
                <w:spacing w:val="0"/>
                <w:w w:val="100"/>
                <w:position w:val="0"/>
                <w:sz w:val="21"/>
                <w:szCs w:val="21"/>
                <w:highlight w:val="none"/>
              </w:rPr>
              <w:t>不锈钢槽钢</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41</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不锈钢圆管</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32不锈钢</w:t>
            </w:r>
            <w:r>
              <w:rPr>
                <w:rFonts w:hint="default" w:ascii="Times New Roman" w:hAnsi="Times New Roman" w:eastAsia="宋体" w:cs="Times New Roman"/>
                <w:color w:val="000000"/>
                <w:spacing w:val="0"/>
                <w:w w:val="100"/>
                <w:position w:val="0"/>
                <w:sz w:val="21"/>
                <w:szCs w:val="21"/>
                <w:highlight w:val="none"/>
                <w:lang w:val="zh-CN" w:eastAsia="zh-CN"/>
              </w:rPr>
              <w:t>圆管.</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42</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不锈钢角铁</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40不锈钢角铁</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lang w:val="en-US" w:eastAsia="en-US"/>
              </w:rPr>
              <w:t>30</w:t>
            </w: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不锈钢角铁</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43</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不锈钢膨胀螺丝</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44</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不锈钢工字钢</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45</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杂项1一漆类</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防锈漆</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稀释剂</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环氧树脂</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刷子</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46</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杂项</w:t>
            </w:r>
            <w:r>
              <w:rPr>
                <w:rFonts w:hint="default" w:ascii="Times New Roman" w:hAnsi="Times New Roman" w:eastAsia="宋体" w:cs="Times New Roman"/>
                <w:color w:val="000000"/>
                <w:spacing w:val="0"/>
                <w:w w:val="100"/>
                <w:position w:val="0"/>
                <w:sz w:val="21"/>
                <w:szCs w:val="21"/>
                <w:highlight w:val="none"/>
                <w:lang w:val="en-US" w:eastAsia="en-US"/>
              </w:rPr>
              <w:t>2</w:t>
            </w:r>
            <w:r>
              <w:rPr>
                <w:rFonts w:hint="default" w:ascii="Times New Roman" w:hAnsi="Times New Roman" w:eastAsia="宋体" w:cs="Times New Roman"/>
                <w:color w:val="000000"/>
                <w:spacing w:val="0"/>
                <w:w w:val="100"/>
                <w:position w:val="0"/>
                <w:sz w:val="21"/>
                <w:szCs w:val="21"/>
                <w:highlight w:val="none"/>
              </w:rPr>
              <w:t>一焊磨具类</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焊条</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面罩</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手磨机</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打磨片</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切割机</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切割片</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冲击钻</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钻花</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氧气</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液化气</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氯气</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47</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杂项</w:t>
            </w:r>
            <w:r>
              <w:rPr>
                <w:rFonts w:hint="default" w:ascii="Times New Roman" w:hAnsi="Times New Roman" w:eastAsia="宋体" w:cs="Times New Roman"/>
                <w:color w:val="000000"/>
                <w:spacing w:val="0"/>
                <w:w w:val="100"/>
                <w:position w:val="0"/>
                <w:sz w:val="21"/>
                <w:szCs w:val="21"/>
                <w:highlight w:val="none"/>
                <w:lang w:val="en-US" w:eastAsia="en-US"/>
              </w:rPr>
              <w:t>3—</w:t>
            </w:r>
            <w:r>
              <w:rPr>
                <w:rFonts w:hint="default" w:ascii="Times New Roman" w:hAnsi="Times New Roman" w:eastAsia="宋体" w:cs="Times New Roman"/>
                <w:color w:val="000000"/>
                <w:spacing w:val="0"/>
                <w:w w:val="100"/>
                <w:position w:val="0"/>
                <w:sz w:val="21"/>
                <w:szCs w:val="21"/>
                <w:highlight w:val="none"/>
              </w:rPr>
              <w:t>其他类</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电胶布</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防水胶布</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轧带</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手套</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口罩</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油性笔等</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48</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调试用药剂</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lang w:val="en-US" w:eastAsia="en-US"/>
              </w:rPr>
              <w:t>1</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PAC</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2</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lang w:val="en-US" w:eastAsia="en-US"/>
              </w:rPr>
              <w:t>PAM</w:t>
            </w:r>
            <w:r>
              <w:rPr>
                <w:rFonts w:hint="eastAsia" w:ascii="Times New Roman" w:hAnsi="Times New Roman" w:eastAsia="宋体" w:cs="Times New Roman"/>
                <w:color w:val="000000"/>
                <w:spacing w:val="0"/>
                <w:w w:val="100"/>
                <w:position w:val="0"/>
                <w:sz w:val="21"/>
                <w:szCs w:val="21"/>
                <w:highlight w:val="none"/>
                <w:lang w:val="en-US" w:eastAsia="zh-CN"/>
              </w:rPr>
              <w:t>，</w:t>
            </w:r>
            <w:r>
              <w:rPr>
                <w:rFonts w:hint="default" w:ascii="Times New Roman" w:hAnsi="Times New Roman" w:eastAsia="宋体" w:cs="Times New Roman"/>
                <w:color w:val="000000"/>
                <w:spacing w:val="0"/>
                <w:w w:val="100"/>
                <w:position w:val="0"/>
                <w:sz w:val="21"/>
                <w:szCs w:val="21"/>
                <w:highlight w:val="none"/>
              </w:rPr>
              <w:t>3</w:t>
            </w:r>
            <w:r>
              <w:rPr>
                <w:rFonts w:hint="eastAsia" w:ascii="Times New Roman" w:hAnsi="Times New Roman" w:eastAsia="宋体" w:cs="Times New Roman"/>
                <w:color w:val="000000"/>
                <w:spacing w:val="0"/>
                <w:w w:val="100"/>
                <w:position w:val="0"/>
                <w:sz w:val="21"/>
                <w:szCs w:val="21"/>
                <w:highlight w:val="none"/>
                <w:lang w:eastAsia="zh-CN"/>
              </w:rPr>
              <w:t>、</w:t>
            </w:r>
            <w:r>
              <w:rPr>
                <w:rFonts w:hint="default" w:ascii="Times New Roman" w:hAnsi="Times New Roman" w:eastAsia="宋体" w:cs="Times New Roman"/>
                <w:color w:val="000000"/>
                <w:spacing w:val="0"/>
                <w:w w:val="100"/>
                <w:position w:val="0"/>
                <w:sz w:val="21"/>
                <w:szCs w:val="21"/>
                <w:highlight w:val="none"/>
              </w:rPr>
              <w:t>聚合硫酸铁</w:t>
            </w: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49</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微生物培养营养液</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50</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微生物菌种</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51</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活性污泥</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52</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安装调试费及人工费</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53</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技术服务费</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54</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eastAsia" w:ascii="Times New Roman" w:hAnsi="Times New Roman" w:eastAsia="宋体" w:cs="Times New Roman"/>
                <w:color w:val="000000"/>
                <w:spacing w:val="0"/>
                <w:w w:val="100"/>
                <w:position w:val="0"/>
                <w:sz w:val="21"/>
                <w:szCs w:val="21"/>
                <w:highlight w:val="none"/>
                <w:lang w:eastAsia="zh-CN"/>
              </w:rPr>
              <w:t>设计</w:t>
            </w:r>
            <w:r>
              <w:rPr>
                <w:rFonts w:hint="default" w:ascii="Times New Roman" w:hAnsi="Times New Roman" w:eastAsia="宋体" w:cs="Times New Roman"/>
                <w:color w:val="000000"/>
                <w:spacing w:val="0"/>
                <w:w w:val="100"/>
                <w:position w:val="0"/>
                <w:sz w:val="21"/>
                <w:szCs w:val="21"/>
                <w:highlight w:val="none"/>
              </w:rPr>
              <w:t>费</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718"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lang w:val="en-US" w:eastAsia="en-US"/>
              </w:rPr>
            </w:pPr>
            <w:r>
              <w:rPr>
                <w:rFonts w:hint="default" w:ascii="Times New Roman" w:hAnsi="Times New Roman" w:eastAsia="宋体" w:cs="Times New Roman"/>
                <w:color w:val="000000"/>
                <w:spacing w:val="0"/>
                <w:w w:val="100"/>
                <w:position w:val="0"/>
                <w:sz w:val="21"/>
                <w:szCs w:val="21"/>
                <w:highlight w:val="none"/>
                <w:lang w:val="en-US" w:eastAsia="en-US"/>
              </w:rPr>
              <w:t>55</w:t>
            </w:r>
          </w:p>
        </w:tc>
        <w:tc>
          <w:tcPr>
            <w:tcW w:w="1406"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eastAsia" w:ascii="Times New Roman" w:hAnsi="Times New Roman" w:eastAsia="宋体" w:cs="Times New Roman"/>
                <w:color w:val="000000"/>
                <w:spacing w:val="0"/>
                <w:w w:val="100"/>
                <w:position w:val="0"/>
                <w:sz w:val="21"/>
                <w:szCs w:val="21"/>
                <w:highlight w:val="none"/>
                <w:lang w:eastAsia="zh-CN"/>
              </w:rPr>
              <w:t>管理</w:t>
            </w:r>
            <w:r>
              <w:rPr>
                <w:rFonts w:hint="default" w:ascii="Times New Roman" w:hAnsi="Times New Roman" w:eastAsia="宋体" w:cs="Times New Roman"/>
                <w:color w:val="000000"/>
                <w:spacing w:val="0"/>
                <w:w w:val="100"/>
                <w:position w:val="0"/>
                <w:sz w:val="21"/>
                <w:szCs w:val="21"/>
                <w:highlight w:val="none"/>
              </w:rPr>
              <w:t>费</w:t>
            </w:r>
          </w:p>
        </w:tc>
        <w:tc>
          <w:tcPr>
            <w:tcW w:w="160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p>
        </w:tc>
        <w:tc>
          <w:tcPr>
            <w:tcW w:w="634"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1</w:t>
            </w:r>
          </w:p>
        </w:tc>
        <w:tc>
          <w:tcPr>
            <w:tcW w:w="635" w:type="pct"/>
            <w:tcBorders>
              <w:tl2br w:val="nil"/>
              <w:tr2bl w:val="nil"/>
            </w:tcBorders>
            <w:shd w:val="clear" w:color="auto" w:fill="FFFFFF"/>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color w:val="000000"/>
                <w:spacing w:val="0"/>
                <w:w w:val="100"/>
                <w:position w:val="0"/>
                <w:sz w:val="21"/>
                <w:szCs w:val="21"/>
                <w:highlight w:val="none"/>
              </w:rPr>
            </w:pPr>
            <w:r>
              <w:rPr>
                <w:rFonts w:hint="default" w:ascii="Times New Roman" w:hAnsi="Times New Roman" w:eastAsia="宋体" w:cs="Times New Roman"/>
                <w:color w:val="000000"/>
                <w:spacing w:val="0"/>
                <w:w w:val="100"/>
                <w:position w:val="0"/>
                <w:sz w:val="21"/>
                <w:szCs w:val="21"/>
                <w:highlight w:val="none"/>
              </w:rPr>
              <w:t>项</w:t>
            </w:r>
          </w:p>
        </w:tc>
      </w:tr>
    </w:tbl>
    <w:p>
      <w:pPr>
        <w:pStyle w:val="4"/>
        <w:bidi w:val="0"/>
        <w:rPr>
          <w:highlight w:val="none"/>
          <w:u w:val="single"/>
        </w:rPr>
      </w:pPr>
      <w:bookmarkStart w:id="57" w:name="_Toc14395"/>
      <w:r>
        <w:rPr>
          <w:rFonts w:hint="eastAsia"/>
          <w:highlight w:val="none"/>
          <w:u w:val="single"/>
          <w:lang w:val="en-US" w:eastAsia="zh-CN"/>
        </w:rPr>
        <w:t xml:space="preserve">4.2 </w:t>
      </w:r>
      <w:r>
        <w:rPr>
          <w:highlight w:val="none"/>
          <w:u w:val="single"/>
        </w:rPr>
        <w:t xml:space="preserve"> 水平衡</w:t>
      </w:r>
      <w:bookmarkEnd w:id="56"/>
      <w:bookmarkEnd w:id="57"/>
    </w:p>
    <w:p>
      <w:pPr>
        <w:bidi w:val="0"/>
        <w:rPr>
          <w:highlight w:val="none"/>
          <w:u w:val="single"/>
        </w:rPr>
      </w:pPr>
      <w:r>
        <w:rPr>
          <w:highlight w:val="none"/>
          <w:u w:val="single"/>
        </w:rPr>
        <w:t>项目用水主要为猪只饮用水、猪舍冲洗水、生活用水、水帘降温用水、防疫消毒用水等，具体分析如下：</w:t>
      </w:r>
    </w:p>
    <w:p>
      <w:pPr>
        <w:pStyle w:val="5"/>
        <w:bidi w:val="0"/>
        <w:rPr>
          <w:highlight w:val="none"/>
          <w:u w:val="single"/>
        </w:rPr>
      </w:pPr>
      <w:r>
        <w:rPr>
          <w:rFonts w:hint="eastAsia"/>
          <w:highlight w:val="none"/>
          <w:u w:val="single"/>
          <w:lang w:eastAsia="zh-CN"/>
        </w:rPr>
        <w:t>4.2</w:t>
      </w:r>
      <w:r>
        <w:rPr>
          <w:highlight w:val="none"/>
          <w:u w:val="single"/>
        </w:rPr>
        <w:t xml:space="preserve">.1 </w:t>
      </w:r>
      <w:r>
        <w:rPr>
          <w:rFonts w:hint="eastAsia"/>
          <w:highlight w:val="none"/>
          <w:u w:val="single"/>
          <w:lang w:val="en-US" w:eastAsia="zh-CN"/>
        </w:rPr>
        <w:t xml:space="preserve"> </w:t>
      </w:r>
      <w:r>
        <w:rPr>
          <w:highlight w:val="none"/>
          <w:u w:val="single"/>
        </w:rPr>
        <w:t>项目用水</w:t>
      </w:r>
    </w:p>
    <w:p>
      <w:pPr>
        <w:bidi w:val="0"/>
        <w:rPr>
          <w:highlight w:val="none"/>
          <w:u w:val="single"/>
        </w:rPr>
      </w:pPr>
      <w:r>
        <w:rPr>
          <w:highlight w:val="none"/>
          <w:u w:val="single"/>
        </w:rPr>
        <w:t>（1）员工生活用水</w:t>
      </w:r>
    </w:p>
    <w:p>
      <w:pPr>
        <w:bidi w:val="0"/>
        <w:rPr>
          <w:highlight w:val="none"/>
          <w:u w:val="single"/>
        </w:rPr>
      </w:pPr>
      <w:r>
        <w:rPr>
          <w:highlight w:val="none"/>
          <w:u w:val="single"/>
        </w:rPr>
        <w:t>本项目劳动定员共计</w:t>
      </w:r>
      <w:r>
        <w:rPr>
          <w:rFonts w:hint="eastAsia"/>
          <w:highlight w:val="none"/>
          <w:u w:val="single"/>
          <w:lang w:val="en-US" w:eastAsia="zh-CN"/>
        </w:rPr>
        <w:t>5</w:t>
      </w:r>
      <w:r>
        <w:rPr>
          <w:highlight w:val="none"/>
          <w:u w:val="single"/>
        </w:rPr>
        <w:t>人，均为住厂员工。根据湖南省地方标准《用水定额》（DB43/T388-2020），住宿人员人均生活用水定额按38m</w:t>
      </w:r>
      <w:r>
        <w:rPr>
          <w:highlight w:val="none"/>
          <w:u w:val="single"/>
          <w:vertAlign w:val="superscript"/>
        </w:rPr>
        <w:t>3</w:t>
      </w:r>
      <w:r>
        <w:rPr>
          <w:highlight w:val="none"/>
          <w:u w:val="single"/>
        </w:rPr>
        <w:t>/人/年计，则本项目生活用水为</w:t>
      </w:r>
      <w:r>
        <w:rPr>
          <w:rFonts w:hint="eastAsia"/>
          <w:highlight w:val="none"/>
          <w:u w:val="single"/>
          <w:lang w:val="en-US" w:eastAsia="zh-CN"/>
        </w:rPr>
        <w:t>0.52</w:t>
      </w:r>
      <w:r>
        <w:rPr>
          <w:highlight w:val="none"/>
          <w:u w:val="single"/>
        </w:rPr>
        <w:t>m</w:t>
      </w:r>
      <w:r>
        <w:rPr>
          <w:highlight w:val="none"/>
          <w:u w:val="single"/>
          <w:vertAlign w:val="superscript"/>
        </w:rPr>
        <w:t>3</w:t>
      </w:r>
      <w:r>
        <w:rPr>
          <w:highlight w:val="none"/>
          <w:u w:val="single"/>
        </w:rPr>
        <w:t>/d（</w:t>
      </w:r>
      <w:r>
        <w:rPr>
          <w:rFonts w:hint="eastAsia"/>
          <w:highlight w:val="none"/>
          <w:u w:val="single"/>
          <w:lang w:val="en-US" w:eastAsia="zh-CN"/>
        </w:rPr>
        <w:t>190</w:t>
      </w:r>
      <w:r>
        <w:rPr>
          <w:highlight w:val="none"/>
          <w:u w:val="single"/>
        </w:rPr>
        <w:t>m</w:t>
      </w:r>
      <w:r>
        <w:rPr>
          <w:highlight w:val="none"/>
          <w:u w:val="single"/>
          <w:vertAlign w:val="superscript"/>
        </w:rPr>
        <w:t>3</w:t>
      </w:r>
      <w:r>
        <w:rPr>
          <w:highlight w:val="none"/>
          <w:u w:val="single"/>
        </w:rPr>
        <w:t>/a）。</w:t>
      </w:r>
    </w:p>
    <w:p>
      <w:pPr>
        <w:bidi w:val="0"/>
        <w:rPr>
          <w:rFonts w:hint="eastAsia"/>
          <w:highlight w:val="none"/>
          <w:u w:val="single"/>
        </w:rPr>
      </w:pPr>
      <w:r>
        <w:rPr>
          <w:highlight w:val="none"/>
          <w:u w:val="single"/>
        </w:rPr>
        <w:t>（2）猪只饮用水</w:t>
      </w:r>
    </w:p>
    <w:p>
      <w:pPr>
        <w:bidi w:val="0"/>
        <w:rPr>
          <w:highlight w:val="none"/>
          <w:u w:val="single"/>
        </w:rPr>
      </w:pPr>
      <w:r>
        <w:rPr>
          <w:highlight w:val="none"/>
          <w:u w:val="single"/>
        </w:rPr>
        <w:t>参照《规模畜禽养殖场污染防治最佳可行技术指南（试行）》（HJ-BAT-10）征求意见稿编制说明及《规模猪场建设》（GB/T 17824.1-2008），不同阶段猪的饮水量详见下表。</w:t>
      </w:r>
    </w:p>
    <w:p>
      <w:pPr>
        <w:pStyle w:val="7"/>
        <w:bidi w:val="0"/>
        <w:rPr>
          <w:highlight w:val="none"/>
          <w:u w:val="single"/>
        </w:rPr>
      </w:pPr>
      <w:r>
        <w:rPr>
          <w:highlight w:val="none"/>
          <w:u w:val="single"/>
        </w:rPr>
        <w:t>表</w:t>
      </w:r>
      <w:r>
        <w:rPr>
          <w:rFonts w:hint="eastAsia"/>
          <w:highlight w:val="none"/>
          <w:u w:val="single"/>
          <w:lang w:eastAsia="zh-CN"/>
        </w:rPr>
        <w:t>4.2</w:t>
      </w:r>
      <w:r>
        <w:rPr>
          <w:highlight w:val="none"/>
          <w:u w:val="single"/>
        </w:rPr>
        <w:t>-1  生猪饮水参数表</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14"/>
        <w:gridCol w:w="2198"/>
        <w:gridCol w:w="1319"/>
        <w:gridCol w:w="1494"/>
        <w:gridCol w:w="1570"/>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2"/>
                <w:sz w:val="21"/>
                <w:szCs w:val="21"/>
                <w:highlight w:val="none"/>
                <w:u w:val="single"/>
              </w:rPr>
              <w:t>序号</w:t>
            </w:r>
          </w:p>
        </w:tc>
        <w:tc>
          <w:tcPr>
            <w:tcW w:w="12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2"/>
                <w:sz w:val="21"/>
                <w:szCs w:val="21"/>
                <w:highlight w:val="none"/>
                <w:u w:val="single"/>
              </w:rPr>
              <w:t>生猪种类</w:t>
            </w:r>
          </w:p>
        </w:tc>
        <w:tc>
          <w:tcPr>
            <w:tcW w:w="7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1"/>
                <w:sz w:val="21"/>
                <w:szCs w:val="21"/>
                <w:highlight w:val="none"/>
                <w:u w:val="single"/>
              </w:rPr>
              <w:t>常年存栏量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6"/>
                <w:sz w:val="21"/>
                <w:szCs w:val="21"/>
                <w:highlight w:val="none"/>
                <w:u w:val="single"/>
              </w:rPr>
              <w:t>（头）</w:t>
            </w:r>
          </w:p>
        </w:tc>
        <w:tc>
          <w:tcPr>
            <w:tcW w:w="8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2"/>
                <w:sz w:val="21"/>
                <w:szCs w:val="21"/>
                <w:highlight w:val="none"/>
                <w:u w:val="single"/>
              </w:rPr>
              <w:t>饮水定额</w:t>
            </w:r>
            <w:r>
              <w:rPr>
                <w:rFonts w:hint="default" w:ascii="Times New Roman" w:hAnsi="Times New Roman" w:eastAsia="宋体" w:cs="Times New Roman"/>
                <w:spacing w:val="-4"/>
                <w:sz w:val="21"/>
                <w:szCs w:val="21"/>
                <w:highlight w:val="none"/>
                <w:u w:val="single"/>
              </w:rPr>
              <w:t>（L/头/d）</w:t>
            </w:r>
          </w:p>
        </w:tc>
        <w:tc>
          <w:tcPr>
            <w:tcW w:w="8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vertAlign w:val="baseline"/>
                <w:lang w:val="en-US"/>
              </w:rPr>
            </w:pPr>
            <w:r>
              <w:rPr>
                <w:rFonts w:hint="default" w:ascii="Times New Roman" w:hAnsi="Times New Roman" w:eastAsia="宋体" w:cs="Times New Roman"/>
                <w:spacing w:val="-11"/>
                <w:position w:val="6"/>
                <w:sz w:val="21"/>
                <w:szCs w:val="21"/>
                <w:highlight w:val="none"/>
                <w:u w:val="single"/>
              </w:rPr>
              <w:t>日用水量</w:t>
            </w:r>
            <w:r>
              <w:rPr>
                <w:rFonts w:hint="eastAsia" w:ascii="Times New Roman" w:hAnsi="Times New Roman" w:eastAsia="宋体" w:cs="Times New Roman"/>
                <w:spacing w:val="-11"/>
                <w:position w:val="6"/>
                <w:sz w:val="21"/>
                <w:szCs w:val="21"/>
                <w:highlight w:val="none"/>
                <w:u w:val="single"/>
                <w:lang w:eastAsia="zh-CN"/>
              </w:rPr>
              <w:t>（</w:t>
            </w:r>
            <w:r>
              <w:rPr>
                <w:rFonts w:hint="eastAsia" w:ascii="Times New Roman" w:hAnsi="Times New Roman" w:eastAsia="宋体" w:cs="Times New Roman"/>
                <w:spacing w:val="-11"/>
                <w:position w:val="6"/>
                <w:sz w:val="21"/>
                <w:szCs w:val="21"/>
                <w:highlight w:val="none"/>
                <w:u w:val="single"/>
                <w:lang w:val="en-US" w:eastAsia="zh-CN"/>
              </w:rPr>
              <w:t>m</w:t>
            </w:r>
            <w:r>
              <w:rPr>
                <w:rFonts w:hint="eastAsia" w:ascii="Times New Roman" w:hAnsi="Times New Roman" w:eastAsia="宋体" w:cs="Times New Roman"/>
                <w:spacing w:val="-11"/>
                <w:position w:val="6"/>
                <w:sz w:val="21"/>
                <w:szCs w:val="21"/>
                <w:highlight w:val="none"/>
                <w:u w:val="single"/>
                <w:vertAlign w:val="superscript"/>
                <w:lang w:val="en-US" w:eastAsia="zh-CN"/>
              </w:rPr>
              <w:t>3</w:t>
            </w:r>
            <w:r>
              <w:rPr>
                <w:rFonts w:hint="eastAsia" w:ascii="Times New Roman" w:hAnsi="Times New Roman" w:eastAsia="宋体" w:cs="Times New Roman"/>
                <w:spacing w:val="-11"/>
                <w:position w:val="6"/>
                <w:sz w:val="21"/>
                <w:szCs w:val="21"/>
                <w:highlight w:val="none"/>
                <w:u w:val="single"/>
                <w:vertAlign w:val="baseline"/>
                <w:lang w:val="en-US" w:eastAsia="zh-CN"/>
              </w:rPr>
              <w:t>）</w:t>
            </w:r>
          </w:p>
        </w:tc>
        <w:tc>
          <w:tcPr>
            <w:tcW w:w="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2"/>
                <w:sz w:val="21"/>
                <w:szCs w:val="21"/>
                <w:highlight w:val="none"/>
                <w:u w:val="single"/>
              </w:rPr>
              <w:t>年用水量</w:t>
            </w:r>
            <w:r>
              <w:rPr>
                <w:rFonts w:hint="default" w:ascii="Times New Roman" w:hAnsi="Times New Roman" w:eastAsia="宋体" w:cs="Times New Roman"/>
                <w:spacing w:val="-4"/>
                <w:sz w:val="21"/>
                <w:szCs w:val="21"/>
                <w:highlight w:val="none"/>
                <w:u w:val="single"/>
              </w:rPr>
              <w:t>（m</w:t>
            </w:r>
            <w:r>
              <w:rPr>
                <w:rFonts w:hint="eastAsia" w:cs="Times New Roman"/>
                <w:spacing w:val="-4"/>
                <w:sz w:val="21"/>
                <w:szCs w:val="21"/>
                <w:highlight w:val="none"/>
                <w:u w:val="single"/>
                <w:vertAlign w:val="superscript"/>
                <w:lang w:val="en-US" w:eastAsia="zh-CN"/>
              </w:rPr>
              <w:t>3</w:t>
            </w:r>
            <w:r>
              <w:rPr>
                <w:rFonts w:hint="default" w:ascii="Times New Roman" w:hAnsi="Times New Roman" w:eastAsia="宋体" w:cs="Times New Roman"/>
                <w:spacing w:val="-4"/>
                <w:sz w:val="21"/>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1</w:t>
            </w:r>
          </w:p>
        </w:tc>
        <w:tc>
          <w:tcPr>
            <w:tcW w:w="12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3"/>
                <w:sz w:val="21"/>
                <w:szCs w:val="21"/>
                <w:highlight w:val="none"/>
                <w:u w:val="single"/>
              </w:rPr>
              <w:t>生长育肥猪（平均）</w:t>
            </w:r>
          </w:p>
        </w:tc>
        <w:tc>
          <w:tcPr>
            <w:tcW w:w="7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eastAsia" w:ascii="Times New Roman" w:hAnsi="Times New Roman" w:eastAsia="宋体" w:cs="Times New Roman"/>
                <w:spacing w:val="-5"/>
                <w:sz w:val="21"/>
                <w:szCs w:val="21"/>
                <w:highlight w:val="none"/>
                <w:u w:val="single"/>
                <w:lang w:val="en-US" w:eastAsia="zh-CN"/>
              </w:rPr>
              <w:t>55</w:t>
            </w:r>
            <w:r>
              <w:rPr>
                <w:rFonts w:hint="default" w:ascii="Times New Roman" w:hAnsi="Times New Roman" w:eastAsia="宋体" w:cs="Times New Roman"/>
                <w:spacing w:val="-5"/>
                <w:sz w:val="21"/>
                <w:szCs w:val="21"/>
                <w:highlight w:val="none"/>
                <w:u w:val="single"/>
              </w:rPr>
              <w:t>00</w:t>
            </w:r>
          </w:p>
        </w:tc>
        <w:tc>
          <w:tcPr>
            <w:tcW w:w="8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6</w:t>
            </w:r>
          </w:p>
        </w:tc>
        <w:tc>
          <w:tcPr>
            <w:tcW w:w="8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ascii="Times New Roman" w:hAnsi="Times New Roman" w:eastAsia="宋体" w:cs="Times New Roman"/>
                <w:spacing w:val="-2"/>
                <w:sz w:val="21"/>
                <w:szCs w:val="21"/>
                <w:highlight w:val="none"/>
                <w:u w:val="single"/>
                <w:lang w:val="en-US" w:eastAsia="zh-CN"/>
              </w:rPr>
              <w:t>33</w:t>
            </w:r>
          </w:p>
        </w:tc>
        <w:tc>
          <w:tcPr>
            <w:tcW w:w="8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ascii="Times New Roman" w:hAnsi="Times New Roman" w:eastAsia="宋体" w:cs="Times New Roman"/>
                <w:spacing w:val="-1"/>
                <w:sz w:val="21"/>
                <w:szCs w:val="21"/>
                <w:highlight w:val="none"/>
                <w:u w:val="single"/>
                <w:lang w:val="en-US" w:eastAsia="zh-CN"/>
              </w:rPr>
              <w:t>12045</w:t>
            </w:r>
          </w:p>
        </w:tc>
      </w:tr>
    </w:tbl>
    <w:p>
      <w:pPr>
        <w:bidi w:val="0"/>
        <w:rPr>
          <w:sz w:val="24"/>
          <w:szCs w:val="24"/>
          <w:highlight w:val="none"/>
          <w:u w:val="single"/>
        </w:rPr>
      </w:pPr>
      <w:r>
        <w:rPr>
          <w:sz w:val="24"/>
          <w:szCs w:val="24"/>
          <w:highlight w:val="none"/>
          <w:u w:val="single"/>
        </w:rPr>
        <w:t>由上表可知，本项目猪只饮用水量为</w:t>
      </w:r>
      <w:r>
        <w:rPr>
          <w:rFonts w:hint="eastAsia"/>
          <w:sz w:val="24"/>
          <w:szCs w:val="24"/>
          <w:highlight w:val="none"/>
          <w:u w:val="single"/>
          <w:lang w:val="en-US" w:eastAsia="zh-CN"/>
        </w:rPr>
        <w:t>33</w:t>
      </w:r>
      <w:r>
        <w:rPr>
          <w:rFonts w:hint="default" w:ascii="Times New Roman" w:hAnsi="Times New Roman" w:eastAsia="宋体" w:cs="Times New Roman"/>
          <w:spacing w:val="-4"/>
          <w:sz w:val="24"/>
          <w:szCs w:val="24"/>
          <w:highlight w:val="none"/>
          <w:u w:val="single"/>
        </w:rPr>
        <w:t>m</w:t>
      </w:r>
      <w:r>
        <w:rPr>
          <w:rFonts w:hint="eastAsia" w:cs="Times New Roman"/>
          <w:spacing w:val="-4"/>
          <w:sz w:val="24"/>
          <w:szCs w:val="24"/>
          <w:highlight w:val="none"/>
          <w:u w:val="single"/>
          <w:vertAlign w:val="superscript"/>
          <w:lang w:val="en-US" w:eastAsia="zh-CN"/>
        </w:rPr>
        <w:t>3</w:t>
      </w:r>
      <w:r>
        <w:rPr>
          <w:sz w:val="24"/>
          <w:szCs w:val="24"/>
          <w:highlight w:val="none"/>
          <w:u w:val="single"/>
        </w:rPr>
        <w:t>/d（</w:t>
      </w:r>
      <w:r>
        <w:rPr>
          <w:rFonts w:hint="eastAsia"/>
          <w:sz w:val="24"/>
          <w:szCs w:val="24"/>
          <w:highlight w:val="none"/>
          <w:u w:val="single"/>
          <w:lang w:val="en-US" w:eastAsia="zh-CN"/>
        </w:rPr>
        <w:t>12045</w:t>
      </w:r>
      <w:r>
        <w:rPr>
          <w:rFonts w:hint="default" w:ascii="Times New Roman" w:hAnsi="Times New Roman" w:eastAsia="宋体" w:cs="Times New Roman"/>
          <w:spacing w:val="-4"/>
          <w:sz w:val="24"/>
          <w:szCs w:val="24"/>
          <w:highlight w:val="none"/>
          <w:u w:val="single"/>
        </w:rPr>
        <w:t>m</w:t>
      </w:r>
      <w:r>
        <w:rPr>
          <w:rFonts w:hint="eastAsia" w:cs="Times New Roman"/>
          <w:spacing w:val="-4"/>
          <w:sz w:val="24"/>
          <w:szCs w:val="24"/>
          <w:highlight w:val="none"/>
          <w:u w:val="single"/>
          <w:vertAlign w:val="superscript"/>
          <w:lang w:val="en-US" w:eastAsia="zh-CN"/>
        </w:rPr>
        <w:t>3</w:t>
      </w:r>
      <w:r>
        <w:rPr>
          <w:sz w:val="24"/>
          <w:szCs w:val="24"/>
          <w:highlight w:val="none"/>
          <w:u w:val="single"/>
        </w:rPr>
        <w:t>/a）。</w:t>
      </w:r>
    </w:p>
    <w:p>
      <w:pPr>
        <w:bidi w:val="0"/>
        <w:rPr>
          <w:highlight w:val="none"/>
          <w:u w:val="single"/>
        </w:rPr>
      </w:pPr>
      <w:r>
        <w:rPr>
          <w:highlight w:val="none"/>
          <w:u w:val="single"/>
        </w:rPr>
        <w:t>（3）猪舍冲洗用水</w:t>
      </w:r>
    </w:p>
    <w:p>
      <w:pPr>
        <w:keepNext w:val="0"/>
        <w:keepLines w:val="0"/>
        <w:widowControl/>
        <w:suppressLineNumbers w:val="0"/>
        <w:jc w:val="left"/>
        <w:rPr>
          <w:rFonts w:hint="eastAsia" w:ascii="宋体" w:hAnsi="宋体" w:eastAsia="宋体" w:cs="宋体"/>
          <w:color w:val="000000"/>
          <w:spacing w:val="0"/>
          <w:kern w:val="0"/>
          <w:position w:val="0"/>
          <w:sz w:val="24"/>
          <w:szCs w:val="24"/>
          <w:highlight w:val="none"/>
          <w:u w:val="single"/>
          <w:lang w:val="en-US" w:eastAsia="zh-CN" w:bidi="ar"/>
        </w:rPr>
      </w:pPr>
      <w:r>
        <w:rPr>
          <w:rFonts w:ascii="宋体" w:hAnsi="宋体" w:eastAsia="宋体" w:cs="宋体"/>
          <w:spacing w:val="0"/>
          <w:position w:val="0"/>
          <w:sz w:val="24"/>
          <w:szCs w:val="24"/>
          <w:highlight w:val="none"/>
          <w:u w:val="single"/>
        </w:rPr>
        <w:t>本项目采用干清粪工艺，粪便经漏缝地板</w:t>
      </w:r>
      <w:r>
        <w:rPr>
          <w:rFonts w:ascii="Times New Roman" w:hAnsi="Times New Roman" w:eastAsia="Times New Roman" w:cs="Times New Roman"/>
          <w:spacing w:val="0"/>
          <w:position w:val="0"/>
          <w:sz w:val="24"/>
          <w:szCs w:val="24"/>
          <w:highlight w:val="none"/>
          <w:u w:val="single"/>
        </w:rPr>
        <w:t>+</w:t>
      </w:r>
      <w:r>
        <w:rPr>
          <w:rFonts w:ascii="宋体" w:hAnsi="宋体" w:eastAsia="宋体" w:cs="宋体"/>
          <w:spacing w:val="0"/>
          <w:position w:val="0"/>
          <w:sz w:val="24"/>
          <w:szCs w:val="24"/>
          <w:highlight w:val="none"/>
          <w:u w:val="single"/>
        </w:rPr>
        <w:t>虹吸管吸入集粪池，粪尿混合物用机械分离，猪舍采用适量的水冲洗。本项目养殖过程中猪舍冲洗次数为每周冲洗</w:t>
      </w:r>
      <w:r>
        <w:rPr>
          <w:rFonts w:ascii="Times New Roman" w:hAnsi="Times New Roman" w:eastAsia="Times New Roman" w:cs="Times New Roman"/>
          <w:spacing w:val="0"/>
          <w:position w:val="0"/>
          <w:sz w:val="24"/>
          <w:szCs w:val="24"/>
          <w:highlight w:val="none"/>
          <w:u w:val="single"/>
        </w:rPr>
        <w:t>3</w:t>
      </w:r>
      <w:r>
        <w:rPr>
          <w:rFonts w:ascii="宋体" w:hAnsi="宋体" w:eastAsia="宋体" w:cs="宋体"/>
          <w:spacing w:val="0"/>
          <w:position w:val="0"/>
          <w:sz w:val="24"/>
          <w:szCs w:val="24"/>
          <w:highlight w:val="none"/>
          <w:u w:val="single"/>
        </w:rPr>
        <w:t>次，冬季圈舍冲洗次数更少。根据《畜禽养殖业污染物排放标准》（</w:t>
      </w:r>
      <w:r>
        <w:rPr>
          <w:rFonts w:ascii="Times New Roman" w:hAnsi="Times New Roman" w:eastAsia="Times New Roman" w:cs="Times New Roman"/>
          <w:spacing w:val="0"/>
          <w:position w:val="0"/>
          <w:sz w:val="24"/>
          <w:szCs w:val="24"/>
          <w:highlight w:val="none"/>
          <w:u w:val="single"/>
        </w:rPr>
        <w:t>GB18596-2001</w:t>
      </w:r>
      <w:r>
        <w:rPr>
          <w:rFonts w:ascii="宋体" w:hAnsi="宋体" w:eastAsia="宋体" w:cs="宋体"/>
          <w:spacing w:val="0"/>
          <w:position w:val="0"/>
          <w:sz w:val="24"/>
          <w:szCs w:val="24"/>
          <w:highlight w:val="none"/>
          <w:u w:val="single"/>
        </w:rPr>
        <w:t>）中表</w:t>
      </w:r>
      <w:r>
        <w:rPr>
          <w:rFonts w:ascii="Times New Roman" w:hAnsi="Times New Roman" w:eastAsia="Times New Roman" w:cs="Times New Roman"/>
          <w:spacing w:val="0"/>
          <w:position w:val="0"/>
          <w:sz w:val="24"/>
          <w:szCs w:val="24"/>
          <w:highlight w:val="none"/>
          <w:u w:val="single"/>
        </w:rPr>
        <w:t>4</w:t>
      </w:r>
      <w:r>
        <w:rPr>
          <w:rFonts w:ascii="宋体" w:hAnsi="宋体" w:eastAsia="宋体" w:cs="宋体"/>
          <w:spacing w:val="0"/>
          <w:position w:val="0"/>
          <w:sz w:val="24"/>
          <w:szCs w:val="24"/>
          <w:highlight w:val="none"/>
          <w:u w:val="single"/>
        </w:rPr>
        <w:t>规定，养猪业冬季清粪工艺最高允许排水量</w:t>
      </w:r>
      <w:r>
        <w:rPr>
          <w:rFonts w:ascii="Times New Roman" w:hAnsi="Times New Roman" w:eastAsia="Times New Roman" w:cs="Times New Roman"/>
          <w:spacing w:val="0"/>
          <w:position w:val="0"/>
          <w:sz w:val="24"/>
          <w:szCs w:val="24"/>
          <w:highlight w:val="none"/>
          <w:u w:val="single"/>
        </w:rPr>
        <w:t>1.2m</w:t>
      </w:r>
      <w:r>
        <w:rPr>
          <w:rFonts w:hint="eastAsia" w:eastAsia="宋体" w:cs="Times New Roman"/>
          <w:spacing w:val="0"/>
          <w:position w:val="0"/>
          <w:sz w:val="24"/>
          <w:szCs w:val="24"/>
          <w:highlight w:val="none"/>
          <w:u w:val="single"/>
          <w:vertAlign w:val="superscript"/>
          <w:lang w:val="en-US" w:eastAsia="zh-CN"/>
        </w:rPr>
        <w:t>3</w:t>
      </w:r>
      <w:r>
        <w:rPr>
          <w:rFonts w:hint="eastAsia" w:eastAsia="宋体" w:cs="Times New Roman"/>
          <w:spacing w:val="0"/>
          <w:position w:val="0"/>
          <w:sz w:val="24"/>
          <w:szCs w:val="24"/>
          <w:highlight w:val="none"/>
          <w:u w:val="single"/>
          <w:lang w:eastAsia="zh-CN"/>
        </w:rPr>
        <w:t>（</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），夏季清粪工艺最高允许排水量</w:t>
      </w:r>
      <w:r>
        <w:rPr>
          <w:rFonts w:ascii="Times New Roman" w:hAnsi="Times New Roman" w:eastAsia="Times New Roman" w:cs="Times New Roman"/>
          <w:spacing w:val="0"/>
          <w:position w:val="0"/>
          <w:sz w:val="24"/>
          <w:szCs w:val="24"/>
          <w:highlight w:val="none"/>
          <w:u w:val="single"/>
        </w:rPr>
        <w:t>1.8m</w:t>
      </w:r>
      <w:r>
        <w:rPr>
          <w:rFonts w:hint="eastAsia" w:eastAsia="宋体" w:cs="Times New Roman"/>
          <w:spacing w:val="0"/>
          <w:position w:val="0"/>
          <w:sz w:val="24"/>
          <w:szCs w:val="24"/>
          <w:highlight w:val="none"/>
          <w:u w:val="single"/>
          <w:vertAlign w:val="superscript"/>
          <w:lang w:val="en-US" w:eastAsia="zh-CN"/>
        </w:rPr>
        <w:t>3</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）。春、秋季废水最高允许排放量按冬、夏两季的平均值</w:t>
      </w:r>
      <w:r>
        <w:rPr>
          <w:rFonts w:ascii="Times New Roman" w:hAnsi="Times New Roman" w:eastAsia="Times New Roman" w:cs="Times New Roman"/>
          <w:spacing w:val="0"/>
          <w:position w:val="0"/>
          <w:sz w:val="24"/>
          <w:szCs w:val="24"/>
          <w:highlight w:val="none"/>
          <w:u w:val="single"/>
        </w:rPr>
        <w:t>1.5m</w:t>
      </w:r>
      <w:r>
        <w:rPr>
          <w:rFonts w:hint="eastAsia" w:eastAsia="宋体" w:cs="Times New Roman"/>
          <w:spacing w:val="0"/>
          <w:position w:val="0"/>
          <w:sz w:val="24"/>
          <w:szCs w:val="24"/>
          <w:highlight w:val="none"/>
          <w:u w:val="single"/>
          <w:vertAlign w:val="superscript"/>
          <w:lang w:val="en-US" w:eastAsia="zh-CN"/>
        </w:rPr>
        <w:t>3</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）计算。在不超过标准规定的最高允许排水量的情况下核算，结合本项目干清粪养殖工艺，借鉴有关资料及经验数据，再参考其他已运行育肥猪场用排水相关资料，本项目冲洗水排水量平均按照</w:t>
      </w:r>
      <w:r>
        <w:rPr>
          <w:rFonts w:ascii="Times New Roman" w:hAnsi="Times New Roman" w:eastAsia="Times New Roman" w:cs="Times New Roman"/>
          <w:spacing w:val="0"/>
          <w:position w:val="0"/>
          <w:sz w:val="24"/>
          <w:szCs w:val="24"/>
          <w:highlight w:val="none"/>
          <w:u w:val="single"/>
        </w:rPr>
        <w:t>1m</w:t>
      </w:r>
      <w:r>
        <w:rPr>
          <w:rFonts w:hint="eastAsia" w:eastAsia="宋体" w:cs="Times New Roman"/>
          <w:spacing w:val="0"/>
          <w:position w:val="0"/>
          <w:sz w:val="24"/>
          <w:szCs w:val="24"/>
          <w:highlight w:val="none"/>
          <w:u w:val="single"/>
          <w:vertAlign w:val="superscript"/>
          <w:lang w:val="en-US" w:eastAsia="zh-CN"/>
        </w:rPr>
        <w:t>3</w:t>
      </w:r>
      <w:r>
        <w:rPr>
          <w:rFonts w:ascii="Times New Roman" w:hAnsi="Times New Roman" w:eastAsia="Times New Roman" w:cs="Times New Roman"/>
          <w:spacing w:val="0"/>
          <w:position w:val="0"/>
          <w:sz w:val="16"/>
          <w:szCs w:val="16"/>
          <w:highlight w:val="none"/>
          <w:u w:val="single"/>
        </w:rPr>
        <w:t xml:space="preserve"> </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）计算，本项目投入运营后</w:t>
      </w:r>
      <w:r>
        <w:rPr>
          <w:rFonts w:hint="eastAsia"/>
          <w:highlight w:val="none"/>
          <w:u w:val="single"/>
          <w:lang w:eastAsia="zh-CN"/>
        </w:rPr>
        <w:t>常年</w:t>
      </w:r>
      <w:r>
        <w:rPr>
          <w:highlight w:val="none"/>
          <w:u w:val="single"/>
        </w:rPr>
        <w:t>存栏量</w:t>
      </w:r>
      <w:r>
        <w:rPr>
          <w:rFonts w:ascii="宋体" w:hAnsi="宋体" w:eastAsia="宋体" w:cs="宋体"/>
          <w:spacing w:val="0"/>
          <w:position w:val="0"/>
          <w:sz w:val="24"/>
          <w:szCs w:val="24"/>
          <w:highlight w:val="none"/>
          <w:u w:val="single"/>
        </w:rPr>
        <w:t>育肥猪</w:t>
      </w:r>
      <w:r>
        <w:rPr>
          <w:rFonts w:hint="eastAsia" w:ascii="Times New Roman" w:hAnsi="Times New Roman" w:eastAsia="宋体" w:cs="Times New Roman"/>
          <w:spacing w:val="0"/>
          <w:position w:val="0"/>
          <w:sz w:val="24"/>
          <w:szCs w:val="24"/>
          <w:highlight w:val="none"/>
          <w:u w:val="single"/>
          <w:lang w:val="en-US" w:eastAsia="zh-CN"/>
        </w:rPr>
        <w:t>55</w:t>
      </w:r>
      <w:r>
        <w:rPr>
          <w:rFonts w:ascii="Times New Roman" w:hAnsi="Times New Roman" w:eastAsia="Times New Roman" w:cs="Times New Roman"/>
          <w:spacing w:val="0"/>
          <w:position w:val="0"/>
          <w:sz w:val="24"/>
          <w:szCs w:val="24"/>
          <w:highlight w:val="none"/>
          <w:u w:val="single"/>
        </w:rPr>
        <w:t>00</w:t>
      </w:r>
      <w:r>
        <w:rPr>
          <w:rFonts w:ascii="宋体" w:hAnsi="宋体" w:eastAsia="宋体" w:cs="宋体"/>
          <w:spacing w:val="0"/>
          <w:position w:val="0"/>
          <w:sz w:val="24"/>
          <w:szCs w:val="24"/>
          <w:highlight w:val="none"/>
          <w:u w:val="single"/>
        </w:rPr>
        <w:t>头,则</w:t>
      </w:r>
      <w:r>
        <w:rPr>
          <w:rFonts w:hint="eastAsia" w:ascii="Times New Roman" w:hAnsi="Times New Roman" w:eastAsia="宋体" w:cs="Times New Roman"/>
          <w:spacing w:val="0"/>
          <w:position w:val="0"/>
          <w:sz w:val="24"/>
          <w:szCs w:val="24"/>
          <w:highlight w:val="none"/>
          <w:u w:val="single"/>
          <w:lang w:val="en-US" w:eastAsia="zh-CN"/>
        </w:rPr>
        <w:t>5</w:t>
      </w:r>
      <w:r>
        <w:rPr>
          <w:rFonts w:ascii="Times New Roman" w:hAnsi="Times New Roman" w:eastAsia="Times New Roman" w:cs="Times New Roman"/>
          <w:spacing w:val="0"/>
          <w:position w:val="0"/>
          <w:sz w:val="24"/>
          <w:szCs w:val="24"/>
          <w:highlight w:val="none"/>
          <w:u w:val="single"/>
        </w:rPr>
        <w:t>5m</w:t>
      </w:r>
      <w:r>
        <w:rPr>
          <w:rFonts w:hint="eastAsia" w:eastAsia="宋体" w:cs="Times New Roman"/>
          <w:spacing w:val="0"/>
          <w:position w:val="0"/>
          <w:sz w:val="24"/>
          <w:szCs w:val="24"/>
          <w:highlight w:val="none"/>
          <w:u w:val="single"/>
          <w:vertAlign w:val="superscript"/>
          <w:lang w:val="en-US" w:eastAsia="zh-CN"/>
        </w:rPr>
        <w:t>3</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，年排水量约</w:t>
      </w:r>
      <w:r>
        <w:rPr>
          <w:rFonts w:hint="eastAsia" w:ascii="Times New Roman" w:hAnsi="Times New Roman" w:eastAsia="宋体" w:cs="Times New Roman"/>
          <w:spacing w:val="0"/>
          <w:position w:val="0"/>
          <w:sz w:val="24"/>
          <w:szCs w:val="24"/>
          <w:highlight w:val="none"/>
          <w:u w:val="single"/>
          <w:lang w:val="en-US" w:eastAsia="zh-CN"/>
        </w:rPr>
        <w:t>20075</w:t>
      </w:r>
      <w:r>
        <w:rPr>
          <w:rFonts w:ascii="Times New Roman" w:hAnsi="Times New Roman" w:eastAsia="Times New Roman" w:cs="Times New Roman"/>
          <w:spacing w:val="0"/>
          <w:position w:val="0"/>
          <w:sz w:val="24"/>
          <w:szCs w:val="24"/>
          <w:highlight w:val="none"/>
          <w:u w:val="single"/>
        </w:rPr>
        <w:t>m</w:t>
      </w:r>
      <w:r>
        <w:rPr>
          <w:rFonts w:hint="eastAsia" w:eastAsia="宋体" w:cs="Times New Roman"/>
          <w:spacing w:val="0"/>
          <w:position w:val="0"/>
          <w:sz w:val="24"/>
          <w:szCs w:val="24"/>
          <w:highlight w:val="none"/>
          <w:u w:val="single"/>
          <w:vertAlign w:val="superscript"/>
          <w:lang w:val="en-US" w:eastAsia="zh-CN"/>
        </w:rPr>
        <w:t>3</w:t>
      </w:r>
      <w:r>
        <w:rPr>
          <w:rFonts w:ascii="Times New Roman" w:hAnsi="Times New Roman" w:eastAsia="Times New Roman" w:cs="Times New Roman"/>
          <w:spacing w:val="0"/>
          <w:position w:val="0"/>
          <w:sz w:val="24"/>
          <w:szCs w:val="24"/>
          <w:highlight w:val="none"/>
          <w:u w:val="single"/>
        </w:rPr>
        <w:t>/a</w:t>
      </w:r>
      <w:r>
        <w:rPr>
          <w:rFonts w:ascii="宋体" w:hAnsi="宋体" w:eastAsia="宋体" w:cs="宋体"/>
          <w:spacing w:val="0"/>
          <w:position w:val="0"/>
          <w:sz w:val="24"/>
          <w:szCs w:val="24"/>
          <w:highlight w:val="none"/>
          <w:u w:val="single"/>
        </w:rPr>
        <w:t>。</w:t>
      </w:r>
    </w:p>
    <w:p>
      <w:pPr>
        <w:bidi w:val="0"/>
        <w:rPr>
          <w:spacing w:val="0"/>
          <w:position w:val="0"/>
          <w:highlight w:val="none"/>
          <w:u w:val="single"/>
        </w:rPr>
      </w:pPr>
      <w:r>
        <w:rPr>
          <w:spacing w:val="0"/>
          <w:position w:val="0"/>
          <w:highlight w:val="none"/>
          <w:u w:val="single"/>
        </w:rPr>
        <w:t>排水量按照用水量的80%推算，则用水量为</w:t>
      </w:r>
      <w:r>
        <w:rPr>
          <w:rFonts w:hint="eastAsia"/>
          <w:spacing w:val="0"/>
          <w:position w:val="0"/>
          <w:highlight w:val="none"/>
          <w:u w:val="single"/>
          <w:lang w:val="en-US" w:eastAsia="zh-CN"/>
        </w:rPr>
        <w:t>68.75</w:t>
      </w:r>
      <w:r>
        <w:rPr>
          <w:spacing w:val="0"/>
          <w:position w:val="0"/>
          <w:highlight w:val="none"/>
          <w:u w:val="single"/>
        </w:rPr>
        <w:t>m</w:t>
      </w:r>
      <w:r>
        <w:rPr>
          <w:spacing w:val="0"/>
          <w:position w:val="0"/>
          <w:highlight w:val="none"/>
          <w:u w:val="single"/>
          <w:vertAlign w:val="superscript"/>
        </w:rPr>
        <w:t>3</w:t>
      </w:r>
      <w:r>
        <w:rPr>
          <w:spacing w:val="0"/>
          <w:position w:val="0"/>
          <w:highlight w:val="none"/>
          <w:u w:val="single"/>
        </w:rPr>
        <w:t>/d，冲洗水的年用水量为</w:t>
      </w:r>
      <w:r>
        <w:rPr>
          <w:rFonts w:hint="eastAsia"/>
          <w:spacing w:val="0"/>
          <w:position w:val="0"/>
          <w:highlight w:val="none"/>
          <w:u w:val="single"/>
          <w:lang w:val="en-US" w:eastAsia="zh-CN"/>
        </w:rPr>
        <w:t>25093.75</w:t>
      </w:r>
      <w:r>
        <w:rPr>
          <w:spacing w:val="0"/>
          <w:position w:val="0"/>
          <w:highlight w:val="none"/>
          <w:u w:val="single"/>
        </w:rPr>
        <w:t>.75m</w:t>
      </w:r>
      <w:r>
        <w:rPr>
          <w:spacing w:val="0"/>
          <w:position w:val="0"/>
          <w:highlight w:val="none"/>
          <w:u w:val="single"/>
          <w:vertAlign w:val="superscript"/>
        </w:rPr>
        <w:t>3</w:t>
      </w:r>
      <w:r>
        <w:rPr>
          <w:spacing w:val="0"/>
          <w:position w:val="0"/>
          <w:highlight w:val="none"/>
          <w:u w:val="single"/>
        </w:rPr>
        <w:t>/a。</w:t>
      </w:r>
    </w:p>
    <w:p>
      <w:pPr>
        <w:bidi w:val="0"/>
        <w:rPr>
          <w:highlight w:val="none"/>
          <w:u w:val="single"/>
        </w:rPr>
      </w:pPr>
      <w:r>
        <w:rPr>
          <w:rFonts w:hint="eastAsia"/>
          <w:highlight w:val="none"/>
          <w:u w:val="single"/>
          <w:lang w:eastAsia="zh-CN"/>
        </w:rPr>
        <w:t>（</w:t>
      </w:r>
      <w:r>
        <w:rPr>
          <w:rFonts w:hint="eastAsia"/>
          <w:highlight w:val="none"/>
          <w:u w:val="single"/>
          <w:lang w:val="en-US" w:eastAsia="zh-CN"/>
        </w:rPr>
        <w:t>4</w:t>
      </w:r>
      <w:r>
        <w:rPr>
          <w:rFonts w:hint="eastAsia"/>
          <w:highlight w:val="none"/>
          <w:u w:val="single"/>
          <w:lang w:eastAsia="zh-CN"/>
        </w:rPr>
        <w:t>）</w:t>
      </w:r>
      <w:r>
        <w:rPr>
          <w:highlight w:val="none"/>
          <w:u w:val="single"/>
        </w:rPr>
        <w:t>水帘降温系统用水：水帘降温系统由电脑控制喷淋时间，喷淋不形成径流，降温过程不产生废水。本项目降温喷淋时间按夏季122天计，水帘蒸发补水量为0.3L/m</w:t>
      </w:r>
      <w:r>
        <w:rPr>
          <w:highlight w:val="none"/>
          <w:u w:val="single"/>
          <w:vertAlign w:val="superscript"/>
        </w:rPr>
        <w:t>2</w:t>
      </w:r>
      <w:r>
        <w:rPr>
          <w:highlight w:val="none"/>
          <w:u w:val="single"/>
        </w:rPr>
        <w:t>·d，项目需要降温的总面积为</w:t>
      </w:r>
      <w:r>
        <w:rPr>
          <w:rFonts w:hint="eastAsia"/>
          <w:highlight w:val="none"/>
          <w:u w:val="single"/>
          <w:lang w:val="en-US" w:eastAsia="zh-CN"/>
        </w:rPr>
        <w:t>5764.8</w:t>
      </w:r>
      <w:r>
        <w:rPr>
          <w:highlight w:val="none"/>
          <w:u w:val="single"/>
        </w:rPr>
        <w:t>m</w:t>
      </w:r>
      <w:r>
        <w:rPr>
          <w:highlight w:val="none"/>
          <w:u w:val="single"/>
          <w:vertAlign w:val="superscript"/>
        </w:rPr>
        <w:t>2</w:t>
      </w:r>
      <w:r>
        <w:rPr>
          <w:highlight w:val="none"/>
          <w:u w:val="single"/>
        </w:rPr>
        <w:t>，则降温补充用水量为</w:t>
      </w:r>
      <w:r>
        <w:rPr>
          <w:rFonts w:hint="eastAsia"/>
          <w:highlight w:val="none"/>
          <w:u w:val="single"/>
          <w:lang w:val="en-US" w:eastAsia="zh-CN"/>
        </w:rPr>
        <w:t>1.729</w:t>
      </w:r>
      <w:r>
        <w:rPr>
          <w:highlight w:val="none"/>
          <w:u w:val="single"/>
        </w:rPr>
        <w:t>m</w:t>
      </w:r>
      <w:r>
        <w:rPr>
          <w:highlight w:val="none"/>
          <w:u w:val="single"/>
          <w:vertAlign w:val="superscript"/>
        </w:rPr>
        <w:t>3</w:t>
      </w:r>
      <w:r>
        <w:rPr>
          <w:highlight w:val="none"/>
          <w:u w:val="single"/>
        </w:rPr>
        <w:t>/d，合计</w:t>
      </w:r>
      <w:r>
        <w:rPr>
          <w:rFonts w:hint="eastAsia"/>
          <w:highlight w:val="none"/>
          <w:u w:val="single"/>
          <w:lang w:val="en-US" w:eastAsia="zh-CN"/>
        </w:rPr>
        <w:t>210.938</w:t>
      </w:r>
      <w:r>
        <w:rPr>
          <w:highlight w:val="none"/>
          <w:u w:val="single"/>
        </w:rPr>
        <w:t>m</w:t>
      </w:r>
      <w:r>
        <w:rPr>
          <w:highlight w:val="none"/>
          <w:u w:val="single"/>
          <w:vertAlign w:val="superscript"/>
        </w:rPr>
        <w:t>3</w:t>
      </w:r>
      <w:r>
        <w:rPr>
          <w:highlight w:val="none"/>
          <w:u w:val="single"/>
        </w:rPr>
        <w:t>/122天。</w:t>
      </w:r>
    </w:p>
    <w:p>
      <w:pPr>
        <w:bidi w:val="0"/>
        <w:rPr>
          <w:highlight w:val="none"/>
          <w:u w:val="single"/>
        </w:rPr>
      </w:pPr>
      <w:r>
        <w:rPr>
          <w:rFonts w:hint="eastAsia"/>
          <w:highlight w:val="none"/>
          <w:u w:val="single"/>
          <w:lang w:eastAsia="zh-CN"/>
        </w:rPr>
        <w:t>（</w:t>
      </w:r>
      <w:r>
        <w:rPr>
          <w:rFonts w:hint="eastAsia"/>
          <w:highlight w:val="none"/>
          <w:u w:val="single"/>
          <w:lang w:val="en-US" w:eastAsia="zh-CN"/>
        </w:rPr>
        <w:t>5</w:t>
      </w:r>
      <w:r>
        <w:rPr>
          <w:rFonts w:hint="eastAsia"/>
          <w:highlight w:val="none"/>
          <w:u w:val="single"/>
          <w:lang w:eastAsia="zh-CN"/>
        </w:rPr>
        <w:t>）猪场</w:t>
      </w:r>
      <w:r>
        <w:rPr>
          <w:highlight w:val="none"/>
          <w:u w:val="single"/>
        </w:rPr>
        <w:t>消毒</w:t>
      </w:r>
      <w:r>
        <w:rPr>
          <w:rFonts w:hint="eastAsia"/>
          <w:highlight w:val="none"/>
          <w:u w:val="single"/>
          <w:lang w:eastAsia="zh-CN"/>
        </w:rPr>
        <w:t>用</w:t>
      </w:r>
      <w:r>
        <w:rPr>
          <w:highlight w:val="none"/>
          <w:u w:val="single"/>
        </w:rPr>
        <w:t>水</w:t>
      </w:r>
    </w:p>
    <w:p>
      <w:pPr>
        <w:bidi w:val="0"/>
        <w:rPr>
          <w:highlight w:val="none"/>
          <w:u w:val="single"/>
        </w:rPr>
      </w:pPr>
      <w:r>
        <w:rPr>
          <w:highlight w:val="none"/>
          <w:u w:val="single"/>
        </w:rPr>
        <w:t>消毒用水类比其他养殖业，则消毒水量约</w:t>
      </w:r>
      <w:r>
        <w:rPr>
          <w:rFonts w:hint="eastAsia"/>
          <w:highlight w:val="none"/>
          <w:u w:val="single"/>
          <w:lang w:val="en-US" w:eastAsia="zh-CN"/>
        </w:rPr>
        <w:t>2</w:t>
      </w:r>
      <w:r>
        <w:rPr>
          <w:highlight w:val="none"/>
          <w:u w:val="single"/>
        </w:rPr>
        <w:t>m</w:t>
      </w:r>
      <w:r>
        <w:rPr>
          <w:highlight w:val="none"/>
          <w:u w:val="single"/>
          <w:vertAlign w:val="superscript"/>
        </w:rPr>
        <w:t>3</w:t>
      </w:r>
      <w:r>
        <w:rPr>
          <w:highlight w:val="none"/>
          <w:u w:val="single"/>
        </w:rPr>
        <w:t>/d。总用水量为</w:t>
      </w:r>
      <w:r>
        <w:rPr>
          <w:rFonts w:hint="eastAsia"/>
          <w:highlight w:val="none"/>
          <w:u w:val="single"/>
          <w:lang w:val="en-US" w:eastAsia="zh-CN"/>
        </w:rPr>
        <w:t>730</w:t>
      </w:r>
      <w:r>
        <w:rPr>
          <w:highlight w:val="none"/>
          <w:u w:val="single"/>
        </w:rPr>
        <w:t>m</w:t>
      </w:r>
      <w:r>
        <w:rPr>
          <w:highlight w:val="none"/>
          <w:u w:val="single"/>
          <w:vertAlign w:val="superscript"/>
        </w:rPr>
        <w:t>3</w:t>
      </w:r>
      <w:r>
        <w:rPr>
          <w:highlight w:val="none"/>
          <w:u w:val="single"/>
        </w:rPr>
        <w:t>/a。</w:t>
      </w:r>
    </w:p>
    <w:p>
      <w:pPr>
        <w:pStyle w:val="5"/>
        <w:bidi w:val="0"/>
        <w:rPr>
          <w:highlight w:val="none"/>
          <w:u w:val="single"/>
        </w:rPr>
      </w:pPr>
      <w:r>
        <w:rPr>
          <w:rFonts w:hint="eastAsia"/>
          <w:highlight w:val="none"/>
          <w:u w:val="single"/>
          <w:lang w:eastAsia="zh-CN"/>
        </w:rPr>
        <w:t>4.2</w:t>
      </w:r>
      <w:r>
        <w:rPr>
          <w:highlight w:val="none"/>
          <w:u w:val="single"/>
        </w:rPr>
        <w:t xml:space="preserve">.2 </w:t>
      </w:r>
      <w:r>
        <w:rPr>
          <w:rFonts w:hint="eastAsia"/>
          <w:highlight w:val="none"/>
          <w:u w:val="single"/>
          <w:lang w:val="en-US" w:eastAsia="zh-CN"/>
        </w:rPr>
        <w:t xml:space="preserve"> </w:t>
      </w:r>
      <w:r>
        <w:rPr>
          <w:highlight w:val="none"/>
          <w:u w:val="single"/>
        </w:rPr>
        <w:t>项目排水量</w:t>
      </w:r>
    </w:p>
    <w:p>
      <w:pPr>
        <w:bidi w:val="0"/>
        <w:rPr>
          <w:highlight w:val="none"/>
          <w:u w:val="single"/>
        </w:rPr>
      </w:pPr>
      <w:r>
        <w:rPr>
          <w:highlight w:val="none"/>
          <w:u w:val="single"/>
        </w:rPr>
        <w:t>（</w:t>
      </w:r>
      <w:r>
        <w:rPr>
          <w:rFonts w:hint="eastAsia"/>
          <w:highlight w:val="none"/>
          <w:u w:val="single"/>
          <w:lang w:val="en-US" w:eastAsia="zh-CN"/>
        </w:rPr>
        <w:t>1</w:t>
      </w:r>
      <w:r>
        <w:rPr>
          <w:highlight w:val="none"/>
          <w:u w:val="single"/>
        </w:rPr>
        <w:t>）生活污水</w:t>
      </w:r>
    </w:p>
    <w:p>
      <w:pPr>
        <w:bidi w:val="0"/>
        <w:rPr>
          <w:highlight w:val="none"/>
          <w:u w:val="single"/>
        </w:rPr>
      </w:pPr>
      <w:r>
        <w:rPr>
          <w:highlight w:val="none"/>
          <w:u w:val="single"/>
        </w:rPr>
        <w:t>本项目生活用水产污系数以80％计，生活污水排放量为</w:t>
      </w:r>
      <w:r>
        <w:rPr>
          <w:rFonts w:hint="eastAsia"/>
          <w:highlight w:val="none"/>
          <w:u w:val="single"/>
          <w:lang w:val="en-US" w:eastAsia="zh-CN"/>
        </w:rPr>
        <w:t>0.416</w:t>
      </w:r>
      <w:r>
        <w:rPr>
          <w:highlight w:val="none"/>
          <w:u w:val="single"/>
        </w:rPr>
        <w:t>m</w:t>
      </w:r>
      <w:r>
        <w:rPr>
          <w:highlight w:val="none"/>
          <w:u w:val="single"/>
          <w:vertAlign w:val="superscript"/>
        </w:rPr>
        <w:t>3</w:t>
      </w:r>
      <w:r>
        <w:rPr>
          <w:highlight w:val="none"/>
          <w:u w:val="single"/>
        </w:rPr>
        <w:t>/d（</w:t>
      </w:r>
      <w:r>
        <w:rPr>
          <w:rFonts w:hint="eastAsia"/>
          <w:highlight w:val="none"/>
          <w:u w:val="single"/>
          <w:lang w:val="en-US" w:eastAsia="zh-CN"/>
        </w:rPr>
        <w:t>151.84</w:t>
      </w:r>
      <w:r>
        <w:rPr>
          <w:highlight w:val="none"/>
          <w:u w:val="single"/>
        </w:rPr>
        <w:t>m</w:t>
      </w:r>
      <w:r>
        <w:rPr>
          <w:highlight w:val="none"/>
          <w:u w:val="single"/>
          <w:vertAlign w:val="superscript"/>
        </w:rPr>
        <w:t>3</w:t>
      </w:r>
      <w:r>
        <w:rPr>
          <w:highlight w:val="none"/>
          <w:u w:val="single"/>
        </w:rPr>
        <w:t>/a）。</w:t>
      </w:r>
    </w:p>
    <w:p>
      <w:pPr>
        <w:bidi w:val="0"/>
        <w:rPr>
          <w:highlight w:val="none"/>
          <w:u w:val="single"/>
        </w:rPr>
      </w:pPr>
      <w:r>
        <w:rPr>
          <w:highlight w:val="none"/>
          <w:u w:val="single"/>
        </w:rPr>
        <w:t>（</w:t>
      </w:r>
      <w:r>
        <w:rPr>
          <w:rFonts w:hint="eastAsia"/>
          <w:highlight w:val="none"/>
          <w:u w:val="single"/>
          <w:lang w:val="en-US" w:eastAsia="zh-CN"/>
        </w:rPr>
        <w:t>2</w:t>
      </w:r>
      <w:r>
        <w:rPr>
          <w:highlight w:val="none"/>
          <w:u w:val="single"/>
        </w:rPr>
        <w:t>）猪只尿液</w:t>
      </w:r>
    </w:p>
    <w:p>
      <w:pPr>
        <w:bidi w:val="0"/>
        <w:rPr>
          <w:highlight w:val="none"/>
          <w:u w:val="single"/>
        </w:rPr>
      </w:pPr>
      <w:r>
        <w:rPr>
          <w:highlight w:val="none"/>
          <w:u w:val="single"/>
        </w:rPr>
        <w:t>本项目存栏猪只饮水消耗量约</w:t>
      </w:r>
      <w:r>
        <w:rPr>
          <w:rFonts w:hint="eastAsia"/>
          <w:highlight w:val="none"/>
          <w:u w:val="single"/>
          <w:lang w:val="en-US" w:eastAsia="zh-CN"/>
        </w:rPr>
        <w:t>33</w:t>
      </w:r>
      <w:r>
        <w:rPr>
          <w:highlight w:val="none"/>
          <w:u w:val="single"/>
        </w:rPr>
        <w:t>m</w:t>
      </w:r>
      <w:r>
        <w:rPr>
          <w:highlight w:val="none"/>
          <w:u w:val="single"/>
          <w:vertAlign w:val="superscript"/>
        </w:rPr>
        <w:t>3</w:t>
      </w:r>
      <w:r>
        <w:rPr>
          <w:highlight w:val="none"/>
          <w:u w:val="single"/>
        </w:rPr>
        <w:t>/d，这些饮水一部分参与猪只新陈代谢，另一部分以尿液的方式排放，对于尿液排放量没有实测数据，本环评采用《畜禽养殖业污染工程治理技术规范》（HJ497-2009）中提供的经验数据（每只猪每天排放尿液约3.3kg/d）进行核算，本项目常年出栏量为</w:t>
      </w:r>
      <w:r>
        <w:rPr>
          <w:rFonts w:hint="eastAsia"/>
          <w:highlight w:val="none"/>
          <w:u w:val="single"/>
          <w:lang w:val="en-US" w:eastAsia="zh-CN"/>
        </w:rPr>
        <w:t>55</w:t>
      </w:r>
      <w:r>
        <w:rPr>
          <w:highlight w:val="none"/>
          <w:u w:val="single"/>
        </w:rPr>
        <w:t>00头（折合成成年猪），通过核算，猪只饮用水中参与新陈代谢的约</w:t>
      </w:r>
      <w:r>
        <w:rPr>
          <w:rFonts w:hint="eastAsia"/>
          <w:highlight w:val="none"/>
          <w:u w:val="single"/>
          <w:lang w:val="en-US" w:eastAsia="zh-CN"/>
        </w:rPr>
        <w:t>14.85</w:t>
      </w:r>
      <w:r>
        <w:rPr>
          <w:highlight w:val="none"/>
          <w:u w:val="single"/>
        </w:rPr>
        <w:t>m</w:t>
      </w:r>
      <w:r>
        <w:rPr>
          <w:highlight w:val="none"/>
          <w:u w:val="single"/>
          <w:vertAlign w:val="superscript"/>
        </w:rPr>
        <w:t>3</w:t>
      </w:r>
      <w:r>
        <w:rPr>
          <w:highlight w:val="none"/>
          <w:u w:val="single"/>
        </w:rPr>
        <w:t>/d，以尿液排放的约</w:t>
      </w:r>
      <w:r>
        <w:rPr>
          <w:rFonts w:hint="eastAsia"/>
          <w:highlight w:val="none"/>
          <w:u w:val="single"/>
          <w:lang w:val="en-US" w:eastAsia="zh-CN"/>
        </w:rPr>
        <w:t>18.15</w:t>
      </w:r>
      <w:r>
        <w:rPr>
          <w:highlight w:val="none"/>
          <w:u w:val="single"/>
        </w:rPr>
        <w:t>m</w:t>
      </w:r>
      <w:r>
        <w:rPr>
          <w:highlight w:val="none"/>
          <w:u w:val="single"/>
          <w:vertAlign w:val="superscript"/>
        </w:rPr>
        <w:t>3</w:t>
      </w:r>
      <w:r>
        <w:rPr>
          <w:highlight w:val="none"/>
          <w:u w:val="single"/>
        </w:rPr>
        <w:t>/d，</w:t>
      </w:r>
      <w:r>
        <w:rPr>
          <w:rFonts w:hint="eastAsia"/>
          <w:highlight w:val="none"/>
          <w:u w:val="single"/>
          <w:lang w:val="en-US" w:eastAsia="zh-CN"/>
        </w:rPr>
        <w:t>6624.75</w:t>
      </w:r>
      <w:r>
        <w:rPr>
          <w:highlight w:val="none"/>
          <w:u w:val="single"/>
        </w:rPr>
        <w:t xml:space="preserve"> m</w:t>
      </w:r>
      <w:r>
        <w:rPr>
          <w:highlight w:val="none"/>
          <w:u w:val="single"/>
          <w:vertAlign w:val="superscript"/>
        </w:rPr>
        <w:t>3</w:t>
      </w:r>
      <w:r>
        <w:rPr>
          <w:highlight w:val="none"/>
          <w:u w:val="single"/>
        </w:rPr>
        <w:t>/a，排放的尿液进入</w:t>
      </w:r>
      <w:r>
        <w:rPr>
          <w:rFonts w:hint="eastAsia"/>
          <w:highlight w:val="none"/>
          <w:u w:val="single"/>
          <w:lang w:eastAsia="zh-CN"/>
        </w:rPr>
        <w:t>粪沟沉积池</w:t>
      </w:r>
      <w:r>
        <w:rPr>
          <w:highlight w:val="none"/>
          <w:u w:val="single"/>
        </w:rPr>
        <w:t>。</w:t>
      </w:r>
    </w:p>
    <w:p>
      <w:pPr>
        <w:bidi w:val="0"/>
        <w:rPr>
          <w:highlight w:val="none"/>
          <w:u w:val="single"/>
        </w:rPr>
      </w:pPr>
      <w:r>
        <w:rPr>
          <w:highlight w:val="none"/>
          <w:u w:val="single"/>
        </w:rPr>
        <w:t>（</w:t>
      </w:r>
      <w:r>
        <w:rPr>
          <w:rFonts w:hint="eastAsia"/>
          <w:highlight w:val="none"/>
          <w:u w:val="single"/>
          <w:lang w:val="en-US" w:eastAsia="zh-CN"/>
        </w:rPr>
        <w:t>3</w:t>
      </w:r>
      <w:r>
        <w:rPr>
          <w:highlight w:val="none"/>
          <w:u w:val="single"/>
        </w:rPr>
        <w:t>）猪舍冲洗废水</w:t>
      </w:r>
    </w:p>
    <w:p>
      <w:pPr>
        <w:keepNext w:val="0"/>
        <w:keepLines w:val="0"/>
        <w:widowControl/>
        <w:suppressLineNumbers w:val="0"/>
        <w:jc w:val="left"/>
        <w:rPr>
          <w:rFonts w:hint="eastAsia" w:ascii="宋体" w:hAnsi="宋体" w:eastAsia="宋体" w:cs="宋体"/>
          <w:color w:val="000000"/>
          <w:spacing w:val="0"/>
          <w:kern w:val="0"/>
          <w:position w:val="0"/>
          <w:sz w:val="24"/>
          <w:szCs w:val="24"/>
          <w:highlight w:val="none"/>
          <w:u w:val="single"/>
          <w:lang w:val="en-US" w:eastAsia="zh-CN" w:bidi="ar"/>
        </w:rPr>
      </w:pPr>
      <w:r>
        <w:rPr>
          <w:rFonts w:ascii="宋体" w:hAnsi="宋体" w:eastAsia="宋体" w:cs="宋体"/>
          <w:spacing w:val="0"/>
          <w:position w:val="0"/>
          <w:sz w:val="24"/>
          <w:szCs w:val="24"/>
          <w:highlight w:val="none"/>
          <w:u w:val="single"/>
        </w:rPr>
        <w:t>本项目采用干清粪工艺，粪便经漏缝地板</w:t>
      </w:r>
      <w:r>
        <w:rPr>
          <w:rFonts w:ascii="Times New Roman" w:hAnsi="Times New Roman" w:eastAsia="Times New Roman" w:cs="Times New Roman"/>
          <w:spacing w:val="0"/>
          <w:position w:val="0"/>
          <w:sz w:val="24"/>
          <w:szCs w:val="24"/>
          <w:highlight w:val="none"/>
          <w:u w:val="single"/>
        </w:rPr>
        <w:t>+</w:t>
      </w:r>
      <w:r>
        <w:rPr>
          <w:rFonts w:ascii="宋体" w:hAnsi="宋体" w:eastAsia="宋体" w:cs="宋体"/>
          <w:spacing w:val="0"/>
          <w:position w:val="0"/>
          <w:sz w:val="24"/>
          <w:szCs w:val="24"/>
          <w:highlight w:val="none"/>
          <w:u w:val="single"/>
        </w:rPr>
        <w:t>虹吸管吸入集粪池，粪尿混合物用机械分离，猪舍采用适量的水冲洗。本项目养殖过程中猪舍冲洗次数为每周冲洗</w:t>
      </w:r>
      <w:r>
        <w:rPr>
          <w:rFonts w:ascii="Times New Roman" w:hAnsi="Times New Roman" w:eastAsia="Times New Roman" w:cs="Times New Roman"/>
          <w:spacing w:val="0"/>
          <w:position w:val="0"/>
          <w:sz w:val="24"/>
          <w:szCs w:val="24"/>
          <w:highlight w:val="none"/>
          <w:u w:val="single"/>
        </w:rPr>
        <w:t>3</w:t>
      </w:r>
      <w:r>
        <w:rPr>
          <w:rFonts w:ascii="宋体" w:hAnsi="宋体" w:eastAsia="宋体" w:cs="宋体"/>
          <w:spacing w:val="0"/>
          <w:position w:val="0"/>
          <w:sz w:val="24"/>
          <w:szCs w:val="24"/>
          <w:highlight w:val="none"/>
          <w:u w:val="single"/>
        </w:rPr>
        <w:t>次，冬季圈舍冲洗次数更少。根据《畜禽养殖业污染物排放标准》（</w:t>
      </w:r>
      <w:r>
        <w:rPr>
          <w:rFonts w:ascii="Times New Roman" w:hAnsi="Times New Roman" w:eastAsia="Times New Roman" w:cs="Times New Roman"/>
          <w:spacing w:val="0"/>
          <w:position w:val="0"/>
          <w:sz w:val="24"/>
          <w:szCs w:val="24"/>
          <w:highlight w:val="none"/>
          <w:u w:val="single"/>
        </w:rPr>
        <w:t>GB18596-2001</w:t>
      </w:r>
      <w:r>
        <w:rPr>
          <w:rFonts w:ascii="宋体" w:hAnsi="宋体" w:eastAsia="宋体" w:cs="宋体"/>
          <w:spacing w:val="0"/>
          <w:position w:val="0"/>
          <w:sz w:val="24"/>
          <w:szCs w:val="24"/>
          <w:highlight w:val="none"/>
          <w:u w:val="single"/>
        </w:rPr>
        <w:t>）中表</w:t>
      </w:r>
      <w:r>
        <w:rPr>
          <w:rFonts w:ascii="Times New Roman" w:hAnsi="Times New Roman" w:eastAsia="Times New Roman" w:cs="Times New Roman"/>
          <w:spacing w:val="0"/>
          <w:position w:val="0"/>
          <w:sz w:val="24"/>
          <w:szCs w:val="24"/>
          <w:highlight w:val="none"/>
          <w:u w:val="single"/>
        </w:rPr>
        <w:t>4</w:t>
      </w:r>
      <w:r>
        <w:rPr>
          <w:rFonts w:ascii="宋体" w:hAnsi="宋体" w:eastAsia="宋体" w:cs="宋体"/>
          <w:spacing w:val="0"/>
          <w:position w:val="0"/>
          <w:sz w:val="24"/>
          <w:szCs w:val="24"/>
          <w:highlight w:val="none"/>
          <w:u w:val="single"/>
        </w:rPr>
        <w:t>规定，养猪业冬季清粪工艺最高允许排水量</w:t>
      </w:r>
      <w:r>
        <w:rPr>
          <w:rFonts w:ascii="Times New Roman" w:hAnsi="Times New Roman" w:eastAsia="Times New Roman" w:cs="Times New Roman"/>
          <w:spacing w:val="0"/>
          <w:position w:val="0"/>
          <w:sz w:val="24"/>
          <w:szCs w:val="24"/>
          <w:highlight w:val="none"/>
          <w:u w:val="single"/>
        </w:rPr>
        <w:t>1.2m</w:t>
      </w:r>
      <w:r>
        <w:rPr>
          <w:rFonts w:hint="eastAsia" w:eastAsia="宋体" w:cs="Times New Roman"/>
          <w:spacing w:val="0"/>
          <w:position w:val="0"/>
          <w:sz w:val="24"/>
          <w:szCs w:val="24"/>
          <w:highlight w:val="none"/>
          <w:u w:val="single"/>
          <w:vertAlign w:val="superscript"/>
          <w:lang w:val="en-US" w:eastAsia="zh-CN"/>
        </w:rPr>
        <w:t>3</w:t>
      </w:r>
      <w:r>
        <w:rPr>
          <w:rFonts w:hint="eastAsia" w:eastAsia="宋体" w:cs="Times New Roman"/>
          <w:spacing w:val="0"/>
          <w:position w:val="0"/>
          <w:sz w:val="24"/>
          <w:szCs w:val="24"/>
          <w:highlight w:val="none"/>
          <w:u w:val="single"/>
          <w:lang w:eastAsia="zh-CN"/>
        </w:rPr>
        <w:t>（</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），夏季清粪工艺最高允许排水量</w:t>
      </w:r>
      <w:r>
        <w:rPr>
          <w:rFonts w:ascii="Times New Roman" w:hAnsi="Times New Roman" w:eastAsia="Times New Roman" w:cs="Times New Roman"/>
          <w:spacing w:val="0"/>
          <w:position w:val="0"/>
          <w:sz w:val="24"/>
          <w:szCs w:val="24"/>
          <w:highlight w:val="none"/>
          <w:u w:val="single"/>
        </w:rPr>
        <w:t>1.8m</w:t>
      </w:r>
      <w:r>
        <w:rPr>
          <w:rFonts w:hint="eastAsia" w:eastAsia="宋体" w:cs="Times New Roman"/>
          <w:spacing w:val="0"/>
          <w:position w:val="0"/>
          <w:sz w:val="24"/>
          <w:szCs w:val="24"/>
          <w:highlight w:val="none"/>
          <w:u w:val="single"/>
          <w:vertAlign w:val="superscript"/>
          <w:lang w:val="en-US" w:eastAsia="zh-CN"/>
        </w:rPr>
        <w:t>3</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）。春、秋季废水最高允许排放量按冬、夏两季的平均值</w:t>
      </w:r>
      <w:r>
        <w:rPr>
          <w:rFonts w:ascii="Times New Roman" w:hAnsi="Times New Roman" w:eastAsia="Times New Roman" w:cs="Times New Roman"/>
          <w:spacing w:val="0"/>
          <w:position w:val="0"/>
          <w:sz w:val="24"/>
          <w:szCs w:val="24"/>
          <w:highlight w:val="none"/>
          <w:u w:val="single"/>
        </w:rPr>
        <w:t>1.5m</w:t>
      </w:r>
      <w:r>
        <w:rPr>
          <w:rFonts w:hint="eastAsia" w:eastAsia="宋体" w:cs="Times New Roman"/>
          <w:spacing w:val="0"/>
          <w:position w:val="0"/>
          <w:sz w:val="24"/>
          <w:szCs w:val="24"/>
          <w:highlight w:val="none"/>
          <w:u w:val="single"/>
          <w:vertAlign w:val="superscript"/>
          <w:lang w:val="en-US" w:eastAsia="zh-CN"/>
        </w:rPr>
        <w:t>3</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）计算。在不超过标准规定的最高允许排水量的情况下核算，结合本项目干清粪养殖工艺，借鉴有关资料及经验数据，再参考其他已运行育肥猪场用排水相关资料，本项目冲洗水排水量平均按照</w:t>
      </w:r>
      <w:r>
        <w:rPr>
          <w:rFonts w:ascii="Times New Roman" w:hAnsi="Times New Roman" w:eastAsia="Times New Roman" w:cs="Times New Roman"/>
          <w:spacing w:val="0"/>
          <w:position w:val="0"/>
          <w:sz w:val="24"/>
          <w:szCs w:val="24"/>
          <w:highlight w:val="none"/>
          <w:u w:val="single"/>
        </w:rPr>
        <w:t>1m</w:t>
      </w:r>
      <w:r>
        <w:rPr>
          <w:rFonts w:hint="eastAsia" w:eastAsia="宋体" w:cs="Times New Roman"/>
          <w:spacing w:val="0"/>
          <w:position w:val="0"/>
          <w:sz w:val="24"/>
          <w:szCs w:val="24"/>
          <w:highlight w:val="none"/>
          <w:u w:val="single"/>
          <w:vertAlign w:val="superscript"/>
          <w:lang w:val="en-US" w:eastAsia="zh-CN"/>
        </w:rPr>
        <w:t>3</w:t>
      </w:r>
      <w:r>
        <w:rPr>
          <w:rFonts w:ascii="Times New Roman" w:hAnsi="Times New Roman" w:eastAsia="Times New Roman" w:cs="Times New Roman"/>
          <w:spacing w:val="0"/>
          <w:position w:val="0"/>
          <w:sz w:val="16"/>
          <w:szCs w:val="16"/>
          <w:highlight w:val="none"/>
          <w:u w:val="single"/>
        </w:rPr>
        <w:t xml:space="preserve"> </w:t>
      </w:r>
      <w:r>
        <w:rPr>
          <w:rFonts w:ascii="宋体" w:hAnsi="宋体" w:eastAsia="宋体" w:cs="宋体"/>
          <w:spacing w:val="0"/>
          <w:position w:val="0"/>
          <w:sz w:val="24"/>
          <w:szCs w:val="24"/>
          <w:highlight w:val="none"/>
          <w:u w:val="single"/>
        </w:rPr>
        <w:t>百头·</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）计算，本项目投入运营后</w:t>
      </w:r>
      <w:r>
        <w:rPr>
          <w:rFonts w:hint="eastAsia"/>
          <w:highlight w:val="none"/>
          <w:u w:val="single"/>
          <w:lang w:eastAsia="zh-CN"/>
        </w:rPr>
        <w:t>常年</w:t>
      </w:r>
      <w:r>
        <w:rPr>
          <w:highlight w:val="none"/>
          <w:u w:val="single"/>
        </w:rPr>
        <w:t>存栏量</w:t>
      </w:r>
      <w:r>
        <w:rPr>
          <w:rFonts w:ascii="宋体" w:hAnsi="宋体" w:eastAsia="宋体" w:cs="宋体"/>
          <w:spacing w:val="0"/>
          <w:position w:val="0"/>
          <w:sz w:val="24"/>
          <w:szCs w:val="24"/>
          <w:highlight w:val="none"/>
          <w:u w:val="single"/>
        </w:rPr>
        <w:t>育肥猪</w:t>
      </w:r>
      <w:r>
        <w:rPr>
          <w:rFonts w:hint="eastAsia" w:ascii="Times New Roman" w:hAnsi="Times New Roman" w:eastAsia="宋体" w:cs="Times New Roman"/>
          <w:spacing w:val="0"/>
          <w:position w:val="0"/>
          <w:sz w:val="24"/>
          <w:szCs w:val="24"/>
          <w:highlight w:val="none"/>
          <w:u w:val="single"/>
          <w:lang w:val="en-US" w:eastAsia="zh-CN"/>
        </w:rPr>
        <w:t>55</w:t>
      </w:r>
      <w:r>
        <w:rPr>
          <w:rFonts w:ascii="Times New Roman" w:hAnsi="Times New Roman" w:eastAsia="Times New Roman" w:cs="Times New Roman"/>
          <w:spacing w:val="0"/>
          <w:position w:val="0"/>
          <w:sz w:val="24"/>
          <w:szCs w:val="24"/>
          <w:highlight w:val="none"/>
          <w:u w:val="single"/>
        </w:rPr>
        <w:t>00</w:t>
      </w:r>
      <w:r>
        <w:rPr>
          <w:rFonts w:ascii="宋体" w:hAnsi="宋体" w:eastAsia="宋体" w:cs="宋体"/>
          <w:spacing w:val="0"/>
          <w:position w:val="0"/>
          <w:sz w:val="24"/>
          <w:szCs w:val="24"/>
          <w:highlight w:val="none"/>
          <w:u w:val="single"/>
        </w:rPr>
        <w:t>头,则</w:t>
      </w:r>
      <w:r>
        <w:rPr>
          <w:rFonts w:hint="eastAsia" w:ascii="Times New Roman" w:hAnsi="Times New Roman" w:eastAsia="宋体" w:cs="Times New Roman"/>
          <w:spacing w:val="0"/>
          <w:position w:val="0"/>
          <w:sz w:val="24"/>
          <w:szCs w:val="24"/>
          <w:highlight w:val="none"/>
          <w:u w:val="single"/>
          <w:lang w:val="en-US" w:eastAsia="zh-CN"/>
        </w:rPr>
        <w:t>5</w:t>
      </w:r>
      <w:r>
        <w:rPr>
          <w:rFonts w:ascii="Times New Roman" w:hAnsi="Times New Roman" w:eastAsia="Times New Roman" w:cs="Times New Roman"/>
          <w:spacing w:val="0"/>
          <w:position w:val="0"/>
          <w:sz w:val="24"/>
          <w:szCs w:val="24"/>
          <w:highlight w:val="none"/>
          <w:u w:val="single"/>
        </w:rPr>
        <w:t>5m</w:t>
      </w:r>
      <w:r>
        <w:rPr>
          <w:rFonts w:hint="eastAsia" w:eastAsia="宋体" w:cs="Times New Roman"/>
          <w:spacing w:val="0"/>
          <w:position w:val="0"/>
          <w:sz w:val="24"/>
          <w:szCs w:val="24"/>
          <w:highlight w:val="none"/>
          <w:u w:val="single"/>
          <w:vertAlign w:val="superscript"/>
          <w:lang w:val="en-US" w:eastAsia="zh-CN"/>
        </w:rPr>
        <w:t>3</w:t>
      </w:r>
      <w:r>
        <w:rPr>
          <w:rFonts w:ascii="Times New Roman" w:hAnsi="Times New Roman" w:eastAsia="Times New Roman" w:cs="Times New Roman"/>
          <w:spacing w:val="0"/>
          <w:position w:val="0"/>
          <w:sz w:val="24"/>
          <w:szCs w:val="24"/>
          <w:highlight w:val="none"/>
          <w:u w:val="single"/>
        </w:rPr>
        <w:t>/d</w:t>
      </w:r>
      <w:r>
        <w:rPr>
          <w:rFonts w:ascii="宋体" w:hAnsi="宋体" w:eastAsia="宋体" w:cs="宋体"/>
          <w:spacing w:val="0"/>
          <w:position w:val="0"/>
          <w:sz w:val="24"/>
          <w:szCs w:val="24"/>
          <w:highlight w:val="none"/>
          <w:u w:val="single"/>
        </w:rPr>
        <w:t>，年排水量约</w:t>
      </w:r>
      <w:r>
        <w:rPr>
          <w:rFonts w:hint="eastAsia" w:ascii="Times New Roman" w:hAnsi="Times New Roman" w:eastAsia="宋体" w:cs="Times New Roman"/>
          <w:spacing w:val="0"/>
          <w:position w:val="0"/>
          <w:sz w:val="24"/>
          <w:szCs w:val="24"/>
          <w:highlight w:val="none"/>
          <w:u w:val="single"/>
          <w:lang w:val="en-US" w:eastAsia="zh-CN"/>
        </w:rPr>
        <w:t>20075</w:t>
      </w:r>
      <w:r>
        <w:rPr>
          <w:rFonts w:ascii="Times New Roman" w:hAnsi="Times New Roman" w:eastAsia="Times New Roman" w:cs="Times New Roman"/>
          <w:spacing w:val="0"/>
          <w:position w:val="0"/>
          <w:sz w:val="24"/>
          <w:szCs w:val="24"/>
          <w:highlight w:val="none"/>
          <w:u w:val="single"/>
        </w:rPr>
        <w:t>m</w:t>
      </w:r>
      <w:r>
        <w:rPr>
          <w:rFonts w:hint="eastAsia" w:eastAsia="宋体" w:cs="Times New Roman"/>
          <w:spacing w:val="0"/>
          <w:position w:val="0"/>
          <w:sz w:val="24"/>
          <w:szCs w:val="24"/>
          <w:highlight w:val="none"/>
          <w:u w:val="single"/>
          <w:vertAlign w:val="superscript"/>
          <w:lang w:val="en-US" w:eastAsia="zh-CN"/>
        </w:rPr>
        <w:t>3</w:t>
      </w:r>
      <w:r>
        <w:rPr>
          <w:rFonts w:ascii="Times New Roman" w:hAnsi="Times New Roman" w:eastAsia="Times New Roman" w:cs="Times New Roman"/>
          <w:spacing w:val="0"/>
          <w:position w:val="0"/>
          <w:sz w:val="24"/>
          <w:szCs w:val="24"/>
          <w:highlight w:val="none"/>
          <w:u w:val="single"/>
        </w:rPr>
        <w:t>/a</w:t>
      </w:r>
      <w:r>
        <w:rPr>
          <w:rFonts w:ascii="宋体" w:hAnsi="宋体" w:eastAsia="宋体" w:cs="宋体"/>
          <w:spacing w:val="0"/>
          <w:position w:val="0"/>
          <w:sz w:val="24"/>
          <w:szCs w:val="24"/>
          <w:highlight w:val="none"/>
          <w:u w:val="single"/>
        </w:rPr>
        <w:t>。</w:t>
      </w:r>
    </w:p>
    <w:p>
      <w:pPr>
        <w:bidi w:val="0"/>
        <w:rPr>
          <w:rFonts w:hint="eastAsia"/>
          <w:highlight w:val="none"/>
          <w:u w:val="single"/>
          <w:lang w:eastAsia="zh-CN"/>
        </w:rPr>
      </w:pPr>
      <w:r>
        <w:rPr>
          <w:rFonts w:hint="eastAsia"/>
          <w:highlight w:val="none"/>
          <w:u w:val="single"/>
          <w:lang w:eastAsia="zh-CN"/>
        </w:rPr>
        <w:t>（</w:t>
      </w:r>
      <w:r>
        <w:rPr>
          <w:rFonts w:hint="eastAsia"/>
          <w:highlight w:val="none"/>
          <w:u w:val="single"/>
          <w:lang w:val="en-US" w:eastAsia="zh-CN"/>
        </w:rPr>
        <w:t>4</w:t>
      </w:r>
      <w:r>
        <w:rPr>
          <w:rFonts w:hint="eastAsia"/>
          <w:highlight w:val="none"/>
          <w:u w:val="single"/>
          <w:lang w:eastAsia="zh-CN"/>
        </w:rPr>
        <w:t>）消毒废水</w:t>
      </w:r>
    </w:p>
    <w:p>
      <w:pPr>
        <w:bidi w:val="0"/>
        <w:rPr>
          <w:rFonts w:hint="eastAsia"/>
          <w:highlight w:val="none"/>
          <w:u w:val="single"/>
          <w:lang w:eastAsia="zh-CN"/>
        </w:rPr>
      </w:pPr>
      <w:r>
        <w:rPr>
          <w:rFonts w:hint="eastAsia"/>
          <w:highlight w:val="none"/>
          <w:u w:val="single"/>
          <w:lang w:eastAsia="zh-CN"/>
        </w:rPr>
        <w:t>猪舍消毒废水按用水量的80%计，则猪舍消毒废水产生量为</w:t>
      </w:r>
      <w:r>
        <w:rPr>
          <w:rFonts w:hint="eastAsia"/>
          <w:highlight w:val="none"/>
          <w:u w:val="single"/>
          <w:lang w:val="en-US" w:eastAsia="zh-CN"/>
        </w:rPr>
        <w:t>1.6</w:t>
      </w:r>
      <w:r>
        <w:rPr>
          <w:rFonts w:hint="eastAsia"/>
          <w:highlight w:val="none"/>
          <w:u w:val="single"/>
          <w:lang w:eastAsia="zh-CN"/>
        </w:rPr>
        <w:t>m</w:t>
      </w:r>
      <w:r>
        <w:rPr>
          <w:rFonts w:hint="eastAsia"/>
          <w:highlight w:val="none"/>
          <w:u w:val="single"/>
          <w:vertAlign w:val="superscript"/>
          <w:lang w:eastAsia="zh-CN"/>
        </w:rPr>
        <w:t>3</w:t>
      </w:r>
      <w:r>
        <w:rPr>
          <w:rFonts w:hint="eastAsia"/>
          <w:highlight w:val="none"/>
          <w:u w:val="single"/>
          <w:lang w:eastAsia="zh-CN"/>
        </w:rPr>
        <w:t>/</w:t>
      </w:r>
      <w:r>
        <w:rPr>
          <w:rFonts w:hint="eastAsia"/>
          <w:highlight w:val="none"/>
          <w:u w:val="single"/>
          <w:lang w:val="en-US" w:eastAsia="zh-CN"/>
        </w:rPr>
        <w:t>d</w:t>
      </w:r>
      <w:r>
        <w:rPr>
          <w:rFonts w:hint="eastAsia"/>
          <w:highlight w:val="none"/>
          <w:u w:val="single"/>
          <w:lang w:eastAsia="zh-CN"/>
        </w:rPr>
        <w:t>（</w:t>
      </w:r>
      <w:r>
        <w:rPr>
          <w:rFonts w:hint="eastAsia"/>
          <w:highlight w:val="none"/>
          <w:u w:val="single"/>
          <w:lang w:val="en-US" w:eastAsia="zh-CN"/>
        </w:rPr>
        <w:t>584</w:t>
      </w:r>
      <w:r>
        <w:rPr>
          <w:rFonts w:hint="eastAsia"/>
          <w:highlight w:val="none"/>
          <w:u w:val="single"/>
          <w:lang w:eastAsia="zh-CN"/>
        </w:rPr>
        <w:t>m</w:t>
      </w:r>
      <w:r>
        <w:rPr>
          <w:rFonts w:hint="eastAsia"/>
          <w:highlight w:val="none"/>
          <w:u w:val="single"/>
          <w:vertAlign w:val="superscript"/>
          <w:lang w:eastAsia="zh-CN"/>
        </w:rPr>
        <w:t>3</w:t>
      </w:r>
      <w:r>
        <w:rPr>
          <w:rFonts w:hint="eastAsia"/>
          <w:highlight w:val="none"/>
          <w:u w:val="single"/>
          <w:lang w:eastAsia="zh-CN"/>
        </w:rPr>
        <w:t>/a）。</w:t>
      </w:r>
    </w:p>
    <w:p>
      <w:pPr>
        <w:bidi w:val="0"/>
        <w:rPr>
          <w:highlight w:val="none"/>
          <w:u w:val="single"/>
        </w:rPr>
      </w:pPr>
      <w:r>
        <w:rPr>
          <w:rFonts w:hint="eastAsia"/>
          <w:highlight w:val="none"/>
          <w:u w:val="single"/>
        </w:rPr>
        <w:t>本项目采用</w:t>
      </w:r>
      <w:r>
        <w:rPr>
          <w:rFonts w:hint="eastAsia"/>
          <w:highlight w:val="none"/>
          <w:u w:val="single"/>
          <w:lang w:eastAsia="zh-CN"/>
        </w:rPr>
        <w:t>干清粪</w:t>
      </w:r>
      <w:r>
        <w:rPr>
          <w:rFonts w:hint="eastAsia"/>
          <w:highlight w:val="none"/>
          <w:u w:val="single"/>
        </w:rPr>
        <w:t>处理工艺，</w:t>
      </w:r>
      <w:r>
        <w:rPr>
          <w:rFonts w:hint="eastAsia"/>
          <w:highlight w:val="none"/>
          <w:u w:val="single"/>
          <w:lang w:eastAsia="zh-CN"/>
        </w:rPr>
        <w:t>采取</w:t>
      </w:r>
      <w:r>
        <w:rPr>
          <w:rFonts w:hint="eastAsia"/>
          <w:highlight w:val="none"/>
          <w:u w:val="single"/>
        </w:rPr>
        <w:t>固液分离，养殖粪污分离出来的固态作为有机肥原料</w:t>
      </w:r>
      <w:r>
        <w:rPr>
          <w:rFonts w:hint="eastAsia"/>
          <w:highlight w:val="none"/>
          <w:u w:val="single"/>
          <w:lang w:eastAsia="zh-CN"/>
        </w:rPr>
        <w:t>通过罐车</w:t>
      </w:r>
      <w:r>
        <w:rPr>
          <w:rFonts w:hint="eastAsia"/>
          <w:highlight w:val="none"/>
          <w:u w:val="single"/>
        </w:rPr>
        <w:t>外运</w:t>
      </w:r>
      <w:r>
        <w:rPr>
          <w:rFonts w:hint="eastAsia"/>
          <w:highlight w:val="none"/>
          <w:u w:val="single"/>
          <w:lang w:eastAsia="zh-CN"/>
        </w:rPr>
        <w:t>，不在厂区内堆肥</w:t>
      </w:r>
      <w:r>
        <w:rPr>
          <w:highlight w:val="none"/>
          <w:u w:val="single"/>
        </w:rPr>
        <w:t>。</w:t>
      </w:r>
      <w:r>
        <w:rPr>
          <w:rFonts w:hint="eastAsia"/>
          <w:highlight w:val="none"/>
          <w:u w:val="single"/>
        </w:rPr>
        <w:t>项目养殖废水和生活污水经化粪池处理后均通过场区污水处理站处理后，用于周围</w:t>
      </w:r>
      <w:r>
        <w:rPr>
          <w:rFonts w:hint="eastAsia"/>
          <w:highlight w:val="none"/>
          <w:u w:val="single"/>
          <w:lang w:eastAsia="zh-CN"/>
        </w:rPr>
        <w:t>林地灌溉</w:t>
      </w:r>
      <w:r>
        <w:rPr>
          <w:rFonts w:hint="eastAsia"/>
          <w:highlight w:val="none"/>
          <w:u w:val="single"/>
        </w:rPr>
        <w:t>，不外排，最终全部实现综合利用。</w:t>
      </w:r>
    </w:p>
    <w:p>
      <w:pPr>
        <w:bidi w:val="0"/>
        <w:rPr>
          <w:highlight w:val="none"/>
          <w:u w:val="single"/>
        </w:rPr>
      </w:pPr>
      <w:r>
        <w:rPr>
          <w:highlight w:val="none"/>
          <w:u w:val="single"/>
        </w:rPr>
        <w:t>根据上述分析</w:t>
      </w:r>
      <w:r>
        <w:rPr>
          <w:rFonts w:hint="eastAsia"/>
          <w:highlight w:val="none"/>
          <w:u w:val="single"/>
          <w:lang w:eastAsia="zh-CN"/>
        </w:rPr>
        <w:t>，</w:t>
      </w:r>
      <w:r>
        <w:rPr>
          <w:highlight w:val="none"/>
          <w:u w:val="single"/>
        </w:rPr>
        <w:t>项目全场用排水量表见表</w:t>
      </w:r>
      <w:r>
        <w:rPr>
          <w:rFonts w:hint="eastAsia"/>
          <w:highlight w:val="none"/>
          <w:u w:val="single"/>
          <w:lang w:eastAsia="zh-CN"/>
        </w:rPr>
        <w:t>4.2</w:t>
      </w:r>
      <w:r>
        <w:rPr>
          <w:highlight w:val="none"/>
          <w:u w:val="single"/>
        </w:rPr>
        <w:t>-</w:t>
      </w:r>
      <w:r>
        <w:rPr>
          <w:rFonts w:hint="eastAsia"/>
          <w:highlight w:val="none"/>
          <w:u w:val="single"/>
          <w:lang w:val="en-US" w:eastAsia="zh-CN"/>
        </w:rPr>
        <w:t>3</w:t>
      </w:r>
      <w:r>
        <w:rPr>
          <w:highlight w:val="none"/>
          <w:u w:val="single"/>
        </w:rPr>
        <w:t>，水平衡图见图</w:t>
      </w:r>
      <w:r>
        <w:rPr>
          <w:rFonts w:hint="eastAsia"/>
          <w:highlight w:val="none"/>
          <w:u w:val="single"/>
          <w:lang w:eastAsia="zh-CN"/>
        </w:rPr>
        <w:t>4.2</w:t>
      </w:r>
      <w:r>
        <w:rPr>
          <w:highlight w:val="none"/>
          <w:u w:val="single"/>
        </w:rPr>
        <w:t>- 1。</w:t>
      </w:r>
    </w:p>
    <w:p>
      <w:pPr>
        <w:pStyle w:val="7"/>
        <w:bidi w:val="0"/>
        <w:rPr>
          <w:highlight w:val="none"/>
          <w:u w:val="single"/>
        </w:rPr>
      </w:pPr>
      <w:r>
        <w:rPr>
          <w:highlight w:val="none"/>
          <w:u w:val="single"/>
        </w:rPr>
        <w:t>表</w:t>
      </w:r>
      <w:r>
        <w:rPr>
          <w:rFonts w:hint="eastAsia"/>
          <w:highlight w:val="none"/>
          <w:u w:val="single"/>
          <w:lang w:eastAsia="zh-CN"/>
        </w:rPr>
        <w:t>4.2</w:t>
      </w:r>
      <w:r>
        <w:rPr>
          <w:highlight w:val="none"/>
          <w:u w:val="single"/>
        </w:rPr>
        <w:t>-</w:t>
      </w:r>
      <w:r>
        <w:rPr>
          <w:rFonts w:hint="eastAsia"/>
          <w:highlight w:val="none"/>
          <w:u w:val="single"/>
          <w:lang w:val="en-US" w:eastAsia="zh-CN"/>
        </w:rPr>
        <w:t>3</w:t>
      </w:r>
      <w:r>
        <w:rPr>
          <w:highlight w:val="none"/>
          <w:u w:val="single"/>
        </w:rPr>
        <w:t xml:space="preserve">  全场用排水量表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71"/>
        <w:gridCol w:w="2137"/>
        <w:gridCol w:w="859"/>
        <w:gridCol w:w="1374"/>
        <w:gridCol w:w="866"/>
        <w:gridCol w:w="1372"/>
        <w:gridCol w:w="866"/>
        <w:gridCol w:w="8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2"/>
                <w:sz w:val="21"/>
                <w:szCs w:val="21"/>
                <w:highlight w:val="none"/>
                <w:u w:val="single"/>
              </w:rPr>
              <w:t>序号</w:t>
            </w:r>
          </w:p>
        </w:tc>
        <w:tc>
          <w:tcPr>
            <w:tcW w:w="12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3"/>
                <w:sz w:val="21"/>
                <w:szCs w:val="21"/>
                <w:highlight w:val="none"/>
                <w:u w:val="single"/>
              </w:rPr>
              <w:t>名称</w:t>
            </w:r>
          </w:p>
        </w:tc>
        <w:tc>
          <w:tcPr>
            <w:tcW w:w="126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2"/>
                <w:sz w:val="21"/>
                <w:szCs w:val="21"/>
                <w:highlight w:val="none"/>
                <w:u w:val="single"/>
              </w:rPr>
            </w:pPr>
            <w:r>
              <w:rPr>
                <w:rFonts w:hint="default" w:ascii="Times New Roman" w:hAnsi="Times New Roman" w:eastAsia="宋体" w:cs="Times New Roman"/>
                <w:spacing w:val="-2"/>
                <w:sz w:val="21"/>
                <w:szCs w:val="21"/>
                <w:highlight w:val="none"/>
                <w:u w:val="single"/>
              </w:rPr>
              <w:t>入方</w:t>
            </w:r>
          </w:p>
        </w:tc>
        <w:tc>
          <w:tcPr>
            <w:tcW w:w="2253"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7"/>
                <w:sz w:val="21"/>
                <w:szCs w:val="21"/>
                <w:highlight w:val="none"/>
                <w:u w:val="single"/>
              </w:rPr>
              <w:t>出方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p>
        </w:tc>
        <w:tc>
          <w:tcPr>
            <w:tcW w:w="12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2"/>
                <w:sz w:val="21"/>
                <w:szCs w:val="21"/>
                <w:highlight w:val="none"/>
                <w:u w:val="single"/>
              </w:rPr>
              <w:t>用水量（</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spacing w:val="-2"/>
                <w:sz w:val="21"/>
                <w:szCs w:val="21"/>
                <w:highlight w:val="none"/>
                <w:u w:val="single"/>
              </w:rPr>
              <w:t>/</w:t>
            </w:r>
            <w:r>
              <w:rPr>
                <w:rFonts w:hint="eastAsia" w:cs="Times New Roman"/>
                <w:spacing w:val="-2"/>
                <w:sz w:val="21"/>
                <w:szCs w:val="21"/>
                <w:highlight w:val="none"/>
                <w:u w:val="single"/>
                <w:lang w:val="en-US" w:eastAsia="zh-CN"/>
              </w:rPr>
              <w:t>d</w:t>
            </w:r>
            <w:r>
              <w:rPr>
                <w:rFonts w:hint="default" w:ascii="Times New Roman" w:hAnsi="Times New Roman" w:eastAsia="宋体" w:cs="Times New Roman"/>
                <w:spacing w:val="-2"/>
                <w:sz w:val="21"/>
                <w:szCs w:val="21"/>
                <w:highlight w:val="none"/>
                <w:u w:val="single"/>
              </w:rPr>
              <w:t>）</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2"/>
                <w:sz w:val="21"/>
                <w:szCs w:val="21"/>
                <w:highlight w:val="none"/>
                <w:u w:val="single"/>
              </w:rPr>
            </w:pPr>
            <w:r>
              <w:rPr>
                <w:rFonts w:hint="default" w:ascii="Times New Roman" w:hAnsi="Times New Roman" w:eastAsia="宋体" w:cs="Times New Roman"/>
                <w:spacing w:val="-2"/>
                <w:sz w:val="21"/>
                <w:szCs w:val="21"/>
                <w:highlight w:val="none"/>
                <w:u w:val="single"/>
              </w:rPr>
              <w:t>用水量（</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spacing w:val="-2"/>
                <w:sz w:val="21"/>
                <w:szCs w:val="21"/>
                <w:highlight w:val="none"/>
                <w:u w:val="single"/>
              </w:rPr>
              <w:t>/a）</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2"/>
                <w:sz w:val="21"/>
                <w:szCs w:val="21"/>
                <w:highlight w:val="none"/>
                <w:u w:val="single"/>
              </w:rPr>
            </w:pPr>
            <w:r>
              <w:rPr>
                <w:rFonts w:hint="default" w:ascii="Times New Roman" w:hAnsi="Times New Roman" w:eastAsia="宋体" w:cs="Times New Roman"/>
                <w:spacing w:val="-1"/>
                <w:sz w:val="21"/>
                <w:szCs w:val="21"/>
                <w:highlight w:val="none"/>
                <w:u w:val="single"/>
              </w:rPr>
              <w:t>损耗量（</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spacing w:val="-1"/>
                <w:sz w:val="21"/>
                <w:szCs w:val="21"/>
                <w:highlight w:val="none"/>
                <w:u w:val="single"/>
              </w:rPr>
              <w:t>/</w:t>
            </w:r>
            <w:r>
              <w:rPr>
                <w:rFonts w:hint="eastAsia" w:cs="Times New Roman"/>
                <w:spacing w:val="-1"/>
                <w:sz w:val="21"/>
                <w:szCs w:val="21"/>
                <w:highlight w:val="none"/>
                <w:u w:val="single"/>
                <w:lang w:val="en-US" w:eastAsia="zh-CN"/>
              </w:rPr>
              <w:t>d</w:t>
            </w:r>
            <w:r>
              <w:rPr>
                <w:rFonts w:hint="default" w:ascii="Times New Roman" w:hAnsi="Times New Roman" w:eastAsia="宋体" w:cs="Times New Roman"/>
                <w:spacing w:val="-1"/>
                <w:sz w:val="21"/>
                <w:szCs w:val="21"/>
                <w:highlight w:val="none"/>
                <w:u w:val="single"/>
              </w:rPr>
              <w:t>）</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2"/>
                <w:sz w:val="21"/>
                <w:szCs w:val="21"/>
                <w:highlight w:val="none"/>
                <w:u w:val="single"/>
              </w:rPr>
            </w:pPr>
            <w:r>
              <w:rPr>
                <w:rFonts w:hint="default" w:ascii="Times New Roman" w:hAnsi="Times New Roman" w:eastAsia="宋体" w:cs="Times New Roman"/>
                <w:spacing w:val="-1"/>
                <w:sz w:val="21"/>
                <w:szCs w:val="21"/>
                <w:highlight w:val="none"/>
                <w:u w:val="single"/>
              </w:rPr>
              <w:t>损耗量（</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spacing w:val="-1"/>
                <w:sz w:val="21"/>
                <w:szCs w:val="21"/>
                <w:highlight w:val="none"/>
                <w:u w:val="single"/>
              </w:rPr>
              <w:t>/a）</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spacing w:val="-1"/>
                <w:sz w:val="21"/>
                <w:szCs w:val="21"/>
                <w:highlight w:val="none"/>
                <w:u w:val="single"/>
              </w:rPr>
              <w:t>产生量（</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spacing w:val="-1"/>
                <w:sz w:val="21"/>
                <w:szCs w:val="21"/>
                <w:highlight w:val="none"/>
                <w:u w:val="single"/>
              </w:rPr>
              <w:t>/</w:t>
            </w:r>
            <w:r>
              <w:rPr>
                <w:rFonts w:hint="eastAsia" w:cs="Times New Roman"/>
                <w:spacing w:val="-1"/>
                <w:sz w:val="21"/>
                <w:szCs w:val="21"/>
                <w:highlight w:val="none"/>
                <w:u w:val="single"/>
                <w:lang w:val="en-US" w:eastAsia="zh-CN"/>
              </w:rPr>
              <w:t>d</w:t>
            </w:r>
            <w:r>
              <w:rPr>
                <w:rFonts w:hint="default" w:ascii="Times New Roman" w:hAnsi="Times New Roman" w:eastAsia="宋体" w:cs="Times New Roman"/>
                <w:spacing w:val="-1"/>
                <w:sz w:val="21"/>
                <w:szCs w:val="21"/>
                <w:highlight w:val="none"/>
                <w:u w:val="single"/>
              </w:rPr>
              <w:t>）</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1"/>
                <w:sz w:val="21"/>
                <w:szCs w:val="21"/>
                <w:highlight w:val="none"/>
                <w:u w:val="single"/>
              </w:rPr>
              <w:t>产生量（</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spacing w:val="-1"/>
                <w:sz w:val="21"/>
                <w:szCs w:val="21"/>
                <w:highlight w:val="none"/>
                <w:u w:val="single"/>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1</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3"/>
                <w:sz w:val="21"/>
                <w:szCs w:val="21"/>
                <w:highlight w:val="none"/>
                <w:u w:val="single"/>
              </w:rPr>
              <w:t>员工生活用水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0.52</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190</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0.104</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eastAsia" w:cs="Times New Roman"/>
                <w:sz w:val="21"/>
                <w:szCs w:val="21"/>
                <w:highlight w:val="none"/>
                <w:u w:val="single"/>
                <w:lang w:val="en-US" w:eastAsia="zh-CN"/>
              </w:rPr>
              <w:t>38.16</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0.416</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eastAsia" w:ascii="Times New Roman" w:hAnsi="Times New Roman" w:eastAsia="宋体" w:cs="Times New Roman"/>
                <w:spacing w:val="-6"/>
                <w:sz w:val="21"/>
                <w:szCs w:val="21"/>
                <w:highlight w:val="none"/>
                <w:u w:val="single"/>
                <w:lang w:val="en-US" w:eastAsia="zh-CN"/>
              </w:rPr>
              <w:t>151.84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3"/>
                <w:sz w:val="21"/>
                <w:szCs w:val="21"/>
                <w:highlight w:val="none"/>
                <w:u w:val="single"/>
                <w:lang w:eastAsia="zh-CN"/>
              </w:rPr>
            </w:pPr>
            <w:r>
              <w:rPr>
                <w:rFonts w:hint="eastAsia" w:cs="Times New Roman"/>
                <w:spacing w:val="-3"/>
                <w:sz w:val="21"/>
                <w:szCs w:val="21"/>
                <w:highlight w:val="none"/>
                <w:u w:val="single"/>
                <w:lang w:eastAsia="zh-CN"/>
              </w:rPr>
              <w:t>小计</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pacing w:val="-3"/>
                <w:sz w:val="21"/>
                <w:szCs w:val="21"/>
                <w:highlight w:val="none"/>
                <w:u w:val="single"/>
                <w:lang w:eastAsia="zh-CN"/>
              </w:rPr>
            </w:pPr>
            <w:r>
              <w:rPr>
                <w:rFonts w:hint="eastAsia" w:cs="Times New Roman"/>
                <w:spacing w:val="-3"/>
                <w:sz w:val="21"/>
                <w:szCs w:val="21"/>
                <w:highlight w:val="none"/>
                <w:u w:val="single"/>
                <w:lang w:eastAsia="zh-CN"/>
              </w:rPr>
              <w:t>生活水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sz w:val="21"/>
                <w:szCs w:val="21"/>
                <w:highlight w:val="none"/>
                <w:u w:val="single"/>
                <w:lang w:val="en-US" w:eastAsia="zh-CN"/>
              </w:rPr>
              <w:t>0.52</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highlight w:val="none"/>
                <w:u w:val="single"/>
                <w:lang w:val="en-US" w:eastAsia="zh-CN"/>
              </w:rPr>
            </w:pPr>
            <w:r>
              <w:rPr>
                <w:rFonts w:hint="eastAsia" w:cs="Times New Roman"/>
                <w:sz w:val="21"/>
                <w:szCs w:val="21"/>
                <w:highlight w:val="none"/>
                <w:u w:val="single"/>
                <w:lang w:val="en-US" w:eastAsia="zh-CN"/>
              </w:rPr>
              <w:t>190</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highlight w:val="none"/>
                <w:u w:val="single"/>
                <w:lang w:val="en-US" w:eastAsia="zh-CN"/>
              </w:rPr>
            </w:pPr>
            <w:r>
              <w:rPr>
                <w:rFonts w:hint="eastAsia" w:cs="Times New Roman"/>
                <w:sz w:val="21"/>
                <w:szCs w:val="21"/>
                <w:highlight w:val="none"/>
                <w:u w:val="single"/>
                <w:lang w:val="en-US" w:eastAsia="zh-CN"/>
              </w:rPr>
              <w:t>0.104</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highlight w:val="none"/>
                <w:u w:val="single"/>
                <w:lang w:val="en-US" w:eastAsia="zh-CN"/>
              </w:rPr>
            </w:pPr>
            <w:r>
              <w:rPr>
                <w:rFonts w:hint="eastAsia" w:cs="Times New Roman"/>
                <w:sz w:val="21"/>
                <w:szCs w:val="21"/>
                <w:highlight w:val="none"/>
                <w:u w:val="single"/>
                <w:lang w:val="en-US" w:eastAsia="zh-CN"/>
              </w:rPr>
              <w:t>38.16</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0.416</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6"/>
                <w:sz w:val="21"/>
                <w:szCs w:val="21"/>
                <w:highlight w:val="none"/>
                <w:u w:val="single"/>
                <w:lang w:val="en-US" w:eastAsia="zh-CN"/>
              </w:rPr>
            </w:pPr>
            <w:r>
              <w:rPr>
                <w:rFonts w:hint="eastAsia" w:cs="Times New Roman"/>
                <w:spacing w:val="-6"/>
                <w:sz w:val="21"/>
                <w:szCs w:val="21"/>
                <w:highlight w:val="none"/>
                <w:u w:val="single"/>
                <w:lang w:val="en-US" w:eastAsia="zh-CN"/>
              </w:rPr>
              <w:t>151.84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2</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1"/>
                <w:sz w:val="21"/>
                <w:szCs w:val="21"/>
                <w:highlight w:val="none"/>
                <w:u w:val="single"/>
              </w:rPr>
              <w:t>猪只饮用水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eastAsia" w:ascii="Times New Roman" w:hAnsi="Times New Roman" w:eastAsia="宋体" w:cs="Times New Roman"/>
                <w:spacing w:val="-2"/>
                <w:sz w:val="21"/>
                <w:szCs w:val="21"/>
                <w:highlight w:val="none"/>
                <w:u w:val="single"/>
                <w:lang w:val="en-US" w:eastAsia="zh-CN"/>
              </w:rPr>
              <w:t>33</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
                <w:sz w:val="21"/>
                <w:szCs w:val="21"/>
                <w:highlight w:val="none"/>
                <w:u w:val="single"/>
                <w:lang w:val="en-US" w:eastAsia="zh-CN"/>
              </w:rPr>
            </w:pPr>
            <w:r>
              <w:rPr>
                <w:rFonts w:hint="eastAsia" w:ascii="Times New Roman" w:hAnsi="Times New Roman" w:eastAsia="宋体" w:cs="Times New Roman"/>
                <w:spacing w:val="-1"/>
                <w:sz w:val="21"/>
                <w:szCs w:val="21"/>
                <w:highlight w:val="none"/>
                <w:u w:val="single"/>
                <w:lang w:val="en-US" w:eastAsia="zh-CN"/>
              </w:rPr>
              <w:t>12045</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1"/>
                <w:sz w:val="21"/>
                <w:szCs w:val="21"/>
                <w:highlight w:val="none"/>
                <w:u w:val="single"/>
                <w:lang w:val="en-US" w:eastAsia="zh-CN"/>
              </w:rPr>
            </w:pPr>
            <w:r>
              <w:rPr>
                <w:rFonts w:hint="eastAsia" w:cs="Times New Roman"/>
                <w:spacing w:val="-1"/>
                <w:sz w:val="21"/>
                <w:szCs w:val="21"/>
                <w:highlight w:val="none"/>
                <w:u w:val="single"/>
                <w:lang w:val="en-US" w:eastAsia="zh-CN"/>
              </w:rPr>
              <w:t>14.85</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1"/>
                <w:sz w:val="21"/>
                <w:szCs w:val="21"/>
                <w:highlight w:val="none"/>
                <w:u w:val="single"/>
                <w:lang w:val="en-US" w:eastAsia="zh-CN"/>
              </w:rPr>
            </w:pPr>
            <w:r>
              <w:rPr>
                <w:rFonts w:hint="eastAsia" w:ascii="Times New Roman" w:hAnsi="Times New Roman" w:eastAsia="宋体" w:cs="Times New Roman"/>
                <w:sz w:val="21"/>
                <w:szCs w:val="21"/>
                <w:highlight w:val="none"/>
                <w:u w:val="single"/>
                <w:lang w:val="en-US" w:eastAsia="zh-CN"/>
              </w:rPr>
              <w:t>5420.25</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18.15</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6624.75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3</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1"/>
                <w:sz w:val="21"/>
                <w:szCs w:val="21"/>
                <w:highlight w:val="none"/>
                <w:u w:val="single"/>
              </w:rPr>
              <w:t>猪舍冲洗用水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pacing w:val="-2"/>
                <w:sz w:val="21"/>
                <w:szCs w:val="21"/>
                <w:highlight w:val="none"/>
                <w:u w:val="single"/>
                <w:lang w:val="en-US" w:eastAsia="zh-CN"/>
              </w:rPr>
              <w:t>68.75</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pacing w:val="-2"/>
                <w:sz w:val="21"/>
                <w:szCs w:val="21"/>
                <w:highlight w:val="none"/>
                <w:u w:val="single"/>
                <w:lang w:val="en-US" w:eastAsia="zh-CN"/>
              </w:rPr>
            </w:pPr>
            <w:r>
              <w:rPr>
                <w:rFonts w:hint="eastAsia" w:cs="Times New Roman"/>
                <w:spacing w:val="-2"/>
                <w:sz w:val="21"/>
                <w:szCs w:val="21"/>
                <w:highlight w:val="none"/>
                <w:u w:val="single"/>
                <w:lang w:val="en-US" w:eastAsia="zh-CN"/>
              </w:rPr>
              <w:t>25093.75</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pacing w:val="-2"/>
                <w:sz w:val="21"/>
                <w:szCs w:val="21"/>
                <w:highlight w:val="none"/>
                <w:u w:val="single"/>
                <w:lang w:val="en-US" w:eastAsia="zh-CN"/>
              </w:rPr>
            </w:pPr>
            <w:r>
              <w:rPr>
                <w:rFonts w:hint="eastAsia" w:cs="Times New Roman"/>
                <w:spacing w:val="-2"/>
                <w:sz w:val="21"/>
                <w:szCs w:val="21"/>
                <w:highlight w:val="none"/>
                <w:u w:val="single"/>
                <w:lang w:val="en-US" w:eastAsia="zh-CN"/>
              </w:rPr>
              <w:t>13.75</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pacing w:val="-2"/>
                <w:sz w:val="21"/>
                <w:szCs w:val="21"/>
                <w:highlight w:val="none"/>
                <w:u w:val="single"/>
                <w:lang w:val="en-US" w:eastAsia="zh-CN"/>
              </w:rPr>
            </w:pPr>
            <w:r>
              <w:rPr>
                <w:rFonts w:hint="eastAsia" w:cs="Times New Roman"/>
                <w:sz w:val="21"/>
                <w:szCs w:val="21"/>
                <w:highlight w:val="none"/>
                <w:u w:val="single"/>
                <w:lang w:val="en-US" w:eastAsia="zh-CN"/>
              </w:rPr>
              <w:t>5018.75</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55</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20075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4</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spacing w:val="-1"/>
                <w:sz w:val="21"/>
                <w:szCs w:val="21"/>
                <w:highlight w:val="none"/>
                <w:u w:val="single"/>
              </w:rPr>
              <w:t>猪舍水帘用水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1.729</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210.938</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kern w:val="2"/>
                <w:sz w:val="21"/>
                <w:szCs w:val="21"/>
                <w:highlight w:val="none"/>
                <w:u w:val="single"/>
                <w:lang w:val="en-US" w:eastAsia="zh-CN" w:bidi="ar-SA"/>
              </w:rPr>
              <w:t>/122 天</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1.729</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kern w:val="2"/>
                <w:sz w:val="21"/>
                <w:szCs w:val="21"/>
                <w:highlight w:val="none"/>
                <w:u w:val="single"/>
                <w:lang w:val="en-US" w:eastAsia="zh-CN" w:bidi="ar-SA"/>
              </w:rPr>
              <w:t>210.938</w:t>
            </w:r>
            <w:r>
              <w:rPr>
                <w:sz w:val="21"/>
                <w:szCs w:val="21"/>
                <w:highlight w:val="none"/>
                <w:u w:val="single"/>
              </w:rPr>
              <w:t>m</w:t>
            </w:r>
            <w:r>
              <w:rPr>
                <w:sz w:val="21"/>
                <w:szCs w:val="21"/>
                <w:highlight w:val="none"/>
                <w:u w:val="single"/>
                <w:vertAlign w:val="superscript"/>
              </w:rPr>
              <w:t>3</w:t>
            </w:r>
            <w:r>
              <w:rPr>
                <w:rFonts w:hint="default" w:ascii="Times New Roman" w:hAnsi="Times New Roman" w:eastAsia="宋体" w:cs="Times New Roman"/>
                <w:kern w:val="2"/>
                <w:sz w:val="21"/>
                <w:szCs w:val="21"/>
                <w:highlight w:val="none"/>
                <w:u w:val="single"/>
                <w:lang w:val="en-US" w:eastAsia="zh-CN" w:bidi="ar-SA"/>
              </w:rPr>
              <w:t>/122 天</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eastAsia" w:cs="Times New Roman"/>
                <w:kern w:val="2"/>
                <w:sz w:val="21"/>
                <w:szCs w:val="21"/>
                <w:highlight w:val="none"/>
                <w:u w:val="single"/>
                <w:lang w:val="en-US" w:eastAsia="zh-CN" w:bidi="ar-SA"/>
              </w:rPr>
              <w:t>0</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single"/>
                <w:lang w:val="en-US" w:eastAsia="zh-CN" w:bidi="ar-SA"/>
              </w:rPr>
            </w:pPr>
            <w:r>
              <w:rPr>
                <w:rFonts w:hint="default" w:ascii="Times New Roman" w:hAnsi="Times New Roman" w:eastAsia="宋体" w:cs="Times New Roman"/>
                <w:sz w:val="21"/>
                <w:szCs w:val="21"/>
                <w:highlight w:val="none"/>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5</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3"/>
                <w:sz w:val="21"/>
                <w:szCs w:val="21"/>
                <w:highlight w:val="none"/>
                <w:u w:val="single"/>
              </w:rPr>
              <w:t>消毒用水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highlight w:val="none"/>
                <w:u w:val="single"/>
                <w:lang w:val="en-US" w:eastAsia="zh-CN"/>
              </w:rPr>
            </w:pPr>
            <w:r>
              <w:rPr>
                <w:rFonts w:hint="eastAsia" w:cs="Times New Roman"/>
                <w:sz w:val="21"/>
                <w:szCs w:val="21"/>
                <w:highlight w:val="none"/>
                <w:u w:val="single"/>
                <w:lang w:val="en-US" w:eastAsia="zh-CN"/>
              </w:rPr>
              <w:t>730</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0.4</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highlight w:val="none"/>
                <w:u w:val="single"/>
                <w:lang w:val="en-US" w:eastAsia="zh-CN"/>
              </w:rPr>
            </w:pPr>
            <w:r>
              <w:rPr>
                <w:rFonts w:hint="eastAsia" w:cs="Times New Roman"/>
                <w:sz w:val="21"/>
                <w:szCs w:val="21"/>
                <w:highlight w:val="none"/>
                <w:u w:val="single"/>
                <w:lang w:val="en-US" w:eastAsia="zh-CN"/>
              </w:rPr>
              <w:t>146</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1.6</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584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highlight w:val="none"/>
                <w:u w:val="single"/>
                <w:lang w:eastAsia="zh-CN"/>
              </w:rPr>
            </w:pPr>
            <w:r>
              <w:rPr>
                <w:rFonts w:hint="eastAsia" w:cs="Times New Roman"/>
                <w:sz w:val="21"/>
                <w:szCs w:val="21"/>
                <w:highlight w:val="none"/>
                <w:u w:val="single"/>
                <w:lang w:eastAsia="zh-CN"/>
              </w:rPr>
              <w:t>小计</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3"/>
                <w:sz w:val="21"/>
                <w:szCs w:val="21"/>
                <w:highlight w:val="none"/>
                <w:u w:val="single"/>
                <w:lang w:eastAsia="zh-CN"/>
              </w:rPr>
            </w:pPr>
            <w:r>
              <w:rPr>
                <w:rFonts w:hint="eastAsia" w:cs="Times New Roman"/>
                <w:spacing w:val="-3"/>
                <w:sz w:val="21"/>
                <w:szCs w:val="21"/>
                <w:highlight w:val="none"/>
                <w:u w:val="single"/>
                <w:lang w:eastAsia="zh-CN"/>
              </w:rPr>
              <w:t>生产水</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105.479</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38079.688</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30.729</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10795.938</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74.75</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27283.75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3"/>
                <w:sz w:val="21"/>
                <w:szCs w:val="21"/>
                <w:highlight w:val="none"/>
                <w:u w:val="single"/>
              </w:rPr>
              <w:t>总计</w:t>
            </w:r>
          </w:p>
        </w:tc>
        <w:tc>
          <w:tcPr>
            <w:tcW w:w="12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position w:val="1"/>
                <w:sz w:val="21"/>
                <w:szCs w:val="21"/>
                <w:highlight w:val="none"/>
                <w:u w:val="single"/>
              </w:rPr>
              <w:t>/</w:t>
            </w:r>
          </w:p>
        </w:tc>
        <w:tc>
          <w:tcPr>
            <w:tcW w:w="4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105.999</w:t>
            </w:r>
          </w:p>
        </w:tc>
        <w:tc>
          <w:tcPr>
            <w:tcW w:w="7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38269.688</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30.833</w:t>
            </w:r>
          </w:p>
        </w:tc>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u w:val="single"/>
                <w:lang w:val="en-US" w:eastAsia="zh-CN"/>
              </w:rPr>
            </w:pPr>
            <w:r>
              <w:rPr>
                <w:rFonts w:hint="eastAsia" w:cs="Times New Roman"/>
                <w:sz w:val="21"/>
                <w:szCs w:val="21"/>
                <w:highlight w:val="none"/>
                <w:u w:val="single"/>
                <w:lang w:val="en-US" w:eastAsia="zh-CN"/>
              </w:rPr>
              <w:t>10834.098</w:t>
            </w:r>
          </w:p>
        </w:tc>
        <w:tc>
          <w:tcPr>
            <w:tcW w:w="4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75.166</w:t>
            </w:r>
          </w:p>
        </w:tc>
        <w:tc>
          <w:tcPr>
            <w:tcW w:w="4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27435.59</w:t>
            </w:r>
          </w:p>
        </w:tc>
      </w:tr>
    </w:tbl>
    <w:p>
      <w:pPr>
        <w:bidi w:val="0"/>
        <w:rPr>
          <w:highlight w:val="none"/>
          <w:u w:val="single"/>
        </w:rPr>
      </w:pPr>
    </w:p>
    <w:p>
      <w:pPr>
        <w:pStyle w:val="7"/>
        <w:bidi w:val="0"/>
        <w:rPr>
          <w:highlight w:val="none"/>
          <w:u w:val="single"/>
        </w:rPr>
      </w:pPr>
      <w:r>
        <w:rPr>
          <w:highlight w:val="none"/>
          <w:u w:val="single"/>
        </w:rPr>
        <w:object>
          <v:shape id="_x0000_i1027" o:spt="75" type="#_x0000_t75" style="height:282.25pt;width:500.05pt;" o:ole="t" filled="f" o:preferrelative="t" stroked="f" coordsize="21600,21600">
            <v:path/>
            <v:fill on="f" focussize="0,0"/>
            <v:stroke on="f"/>
            <v:imagedata r:id="rId19" o:title=""/>
            <o:lock v:ext="edit" aspectratio="f"/>
            <w10:wrap type="none"/>
            <w10:anchorlock/>
          </v:shape>
          <o:OLEObject Type="Embed" ProgID="Visio.Drawing.15" ShapeID="_x0000_i1027" DrawAspect="Content" ObjectID="_1468075727" r:id="rId18">
            <o:LockedField>false</o:LockedField>
          </o:OLEObject>
        </w:object>
      </w:r>
      <w:r>
        <w:rPr>
          <w:highlight w:val="none"/>
          <w:u w:val="single"/>
        </w:rPr>
        <w:t>图</w:t>
      </w:r>
      <w:r>
        <w:rPr>
          <w:rFonts w:hint="eastAsia"/>
          <w:highlight w:val="none"/>
          <w:u w:val="single"/>
          <w:lang w:eastAsia="zh-CN"/>
        </w:rPr>
        <w:t>4.2</w:t>
      </w:r>
      <w:r>
        <w:rPr>
          <w:highlight w:val="none"/>
          <w:u w:val="single"/>
        </w:rPr>
        <w:t>-1  项目水平衡图（单位：m</w:t>
      </w:r>
      <w:r>
        <w:rPr>
          <w:highlight w:val="none"/>
          <w:u w:val="single"/>
          <w:vertAlign w:val="superscript"/>
        </w:rPr>
        <w:t>3</w:t>
      </w:r>
      <w:r>
        <w:rPr>
          <w:highlight w:val="none"/>
          <w:u w:val="single"/>
        </w:rPr>
        <w:t>/</w:t>
      </w:r>
      <w:r>
        <w:rPr>
          <w:rFonts w:hint="eastAsia"/>
          <w:highlight w:val="none"/>
          <w:u w:val="single"/>
          <w:lang w:val="en-US" w:eastAsia="zh-CN"/>
        </w:rPr>
        <w:t>d</w:t>
      </w:r>
      <w:r>
        <w:rPr>
          <w:highlight w:val="none"/>
          <w:u w:val="single"/>
        </w:rPr>
        <w:t>）</w:t>
      </w:r>
    </w:p>
    <w:p>
      <w:pPr>
        <w:pStyle w:val="4"/>
        <w:bidi w:val="0"/>
        <w:rPr>
          <w:highlight w:val="none"/>
        </w:rPr>
      </w:pPr>
      <w:bookmarkStart w:id="58" w:name="_Toc18052"/>
      <w:bookmarkStart w:id="59" w:name="_Toc20485"/>
      <w:r>
        <w:rPr>
          <w:rFonts w:hint="eastAsia"/>
          <w:highlight w:val="none"/>
          <w:lang w:eastAsia="zh-CN"/>
        </w:rPr>
        <w:t>4.3</w:t>
      </w:r>
      <w:r>
        <w:rPr>
          <w:highlight w:val="none"/>
        </w:rPr>
        <w:t xml:space="preserve"> </w:t>
      </w:r>
      <w:r>
        <w:rPr>
          <w:rFonts w:hint="eastAsia"/>
          <w:highlight w:val="none"/>
          <w:lang w:val="en-US" w:eastAsia="zh-CN"/>
        </w:rPr>
        <w:t xml:space="preserve"> </w:t>
      </w:r>
      <w:r>
        <w:rPr>
          <w:highlight w:val="none"/>
        </w:rPr>
        <w:t>主要产污环节分析</w:t>
      </w:r>
      <w:bookmarkEnd w:id="58"/>
      <w:bookmarkEnd w:id="59"/>
    </w:p>
    <w:p>
      <w:pPr>
        <w:bidi w:val="0"/>
        <w:rPr>
          <w:highlight w:val="none"/>
        </w:rPr>
      </w:pPr>
      <w:r>
        <w:rPr>
          <w:highlight w:val="none"/>
        </w:rPr>
        <w:t>本项目为新建项目，主要的污染源分为施工建设期污染源以及项目正常运营期污染源。</w:t>
      </w:r>
    </w:p>
    <w:p>
      <w:pPr>
        <w:pStyle w:val="5"/>
        <w:bidi w:val="0"/>
        <w:rPr>
          <w:highlight w:val="none"/>
        </w:rPr>
      </w:pPr>
      <w:r>
        <w:rPr>
          <w:rFonts w:hint="eastAsia"/>
          <w:highlight w:val="none"/>
          <w:lang w:eastAsia="zh-CN"/>
        </w:rPr>
        <w:t>4.3</w:t>
      </w:r>
      <w:r>
        <w:rPr>
          <w:highlight w:val="none"/>
        </w:rPr>
        <w:t>.1</w:t>
      </w:r>
      <w:r>
        <w:rPr>
          <w:rFonts w:hint="eastAsia"/>
          <w:highlight w:val="none"/>
          <w:lang w:val="en-US" w:eastAsia="zh-CN"/>
        </w:rPr>
        <w:t xml:space="preserve">  </w:t>
      </w:r>
      <w:r>
        <w:rPr>
          <w:highlight w:val="none"/>
        </w:rPr>
        <w:t>施工期主要产污环节分析</w:t>
      </w:r>
    </w:p>
    <w:p>
      <w:pPr>
        <w:pStyle w:val="6"/>
        <w:bidi w:val="0"/>
        <w:rPr>
          <w:rFonts w:ascii="宋体" w:hAnsi="宋体" w:eastAsia="宋体" w:cs="宋体"/>
          <w:sz w:val="24"/>
          <w:szCs w:val="24"/>
          <w:highlight w:val="none"/>
        </w:rPr>
      </w:pPr>
      <w:r>
        <w:rPr>
          <w:rFonts w:hint="eastAsia" w:eastAsia="宋体" w:cs="Times New Roman"/>
          <w:b/>
          <w:bCs/>
          <w:spacing w:val="-2"/>
          <w:sz w:val="24"/>
          <w:szCs w:val="24"/>
          <w:highlight w:val="none"/>
          <w:lang w:eastAsia="zh-CN"/>
        </w:rPr>
        <w:t>4.3</w:t>
      </w:r>
      <w:r>
        <w:rPr>
          <w:rFonts w:ascii="Times New Roman" w:hAnsi="Times New Roman" w:eastAsia="Times New Roman" w:cs="Times New Roman"/>
          <w:b/>
          <w:bCs/>
          <w:spacing w:val="-2"/>
          <w:sz w:val="24"/>
          <w:szCs w:val="24"/>
          <w:highlight w:val="none"/>
        </w:rPr>
        <w:t>.1.1</w:t>
      </w:r>
      <w:r>
        <w:rPr>
          <w:rFonts w:ascii="Times New Roman" w:hAnsi="Times New Roman" w:eastAsia="Times New Roman" w:cs="Times New Roman"/>
          <w:spacing w:val="4"/>
          <w:sz w:val="24"/>
          <w:szCs w:val="24"/>
          <w:highlight w:val="none"/>
        </w:rPr>
        <w:t xml:space="preserve"> </w:t>
      </w:r>
      <w:r>
        <w:rPr>
          <w:rFonts w:hint="eastAsia" w:ascii="Times New Roman" w:hAnsi="Times New Roman" w:eastAsia="宋体" w:cs="Times New Roman"/>
          <w:spacing w:val="4"/>
          <w:sz w:val="24"/>
          <w:szCs w:val="24"/>
          <w:highlight w:val="none"/>
          <w:lang w:val="en-US" w:eastAsia="zh-CN"/>
        </w:rPr>
        <w:t xml:space="preserve"> </w:t>
      </w:r>
      <w:r>
        <w:rPr>
          <w:rFonts w:ascii="宋体" w:hAnsi="宋体" w:eastAsia="宋体" w:cs="宋体"/>
          <w:spacing w:val="-2"/>
          <w:sz w:val="24"/>
          <w:szCs w:val="24"/>
          <w:highlight w:val="none"/>
        </w:rPr>
        <w:t>大气</w:t>
      </w:r>
    </w:p>
    <w:p>
      <w:pPr>
        <w:bidi w:val="0"/>
        <w:rPr>
          <w:highlight w:val="none"/>
        </w:rPr>
      </w:pPr>
      <w:r>
        <w:rPr>
          <w:highlight w:val="none"/>
        </w:rPr>
        <w:t>（1）扬尘</w:t>
      </w:r>
    </w:p>
    <w:p>
      <w:pPr>
        <w:bidi w:val="0"/>
        <w:rPr>
          <w:highlight w:val="none"/>
        </w:rPr>
      </w:pPr>
      <w:r>
        <w:rPr>
          <w:highlight w:val="none"/>
        </w:rPr>
        <w:t>扬尘是重要的大气污染物，在部分城市中，大气可吸入颗粒物中30%以上来自于工地施工直接扬尘或间接扬尘。本工程施工期大气污染源主要来源于以下几个方面：建筑材料（水泥、砂石等）的搬运及堆放；土方填挖；施工材料的堆放及清理；管沟回填；施工期运输车辆运行。回填土临时堆放于项目设置的临时堆放场所。</w:t>
      </w:r>
    </w:p>
    <w:p>
      <w:pPr>
        <w:bidi w:val="0"/>
        <w:rPr>
          <w:highlight w:val="none"/>
        </w:rPr>
      </w:pPr>
      <w:r>
        <w:rPr>
          <w:highlight w:val="none"/>
        </w:rPr>
        <w:t>为减少扬尘的产生量及其浓度，在施工过程中，施工单位必须采取一下措施：</w:t>
      </w:r>
    </w:p>
    <w:p>
      <w:pPr>
        <w:bidi w:val="0"/>
        <w:rPr>
          <w:highlight w:val="none"/>
        </w:rPr>
      </w:pPr>
      <w:r>
        <w:rPr>
          <w:highlight w:val="none"/>
        </w:rPr>
        <w:t>①施工现场使用商品砼。定期对地面洒水，并对撒落在路面的渣土进行了及时清除，且先洒水后清扫。</w:t>
      </w:r>
    </w:p>
    <w:p>
      <w:pPr>
        <w:bidi w:val="0"/>
        <w:rPr>
          <w:highlight w:val="none"/>
        </w:rPr>
      </w:pPr>
      <w:r>
        <w:rPr>
          <w:highlight w:val="none"/>
        </w:rPr>
        <w:t>②在施工场地对施工车辆实施限速行驶，同时对施工现场主要运输道路进行洒水抑尘；在施工场地出口放置防尘垫，对运输车辆现场设置洗车场，用水清洗轮胎；运输车辆不允许超载，选择对周围环境影响较小的运输路线，定时对运输路线进行清扫，运输车辆运输时必须封闭。</w:t>
      </w:r>
    </w:p>
    <w:p>
      <w:pPr>
        <w:bidi w:val="0"/>
        <w:rPr>
          <w:highlight w:val="none"/>
        </w:rPr>
      </w:pPr>
      <w:r>
        <w:rPr>
          <w:highlight w:val="none"/>
        </w:rPr>
        <w:t>（2）机械设备燃油尾气</w:t>
      </w:r>
    </w:p>
    <w:p>
      <w:pPr>
        <w:bidi w:val="0"/>
        <w:rPr>
          <w:highlight w:val="none"/>
        </w:rPr>
      </w:pPr>
      <w:r>
        <w:rPr>
          <w:highlight w:val="none"/>
        </w:rPr>
        <w:t>施工阶段，运输车辆和施工机械运行过程中排放的尾气中主要污染物是CH、CO、NO</w:t>
      </w:r>
      <w:r>
        <w:rPr>
          <w:highlight w:val="none"/>
          <w:vertAlign w:val="subscript"/>
        </w:rPr>
        <w:t>X</w:t>
      </w:r>
      <w:r>
        <w:rPr>
          <w:highlight w:val="none"/>
        </w:rPr>
        <w:t xml:space="preserve"> 等；施工机械和运输车辆产生的燃油废气其产生量较小，属间断性、分散性排放。</w:t>
      </w:r>
    </w:p>
    <w:p>
      <w:pPr>
        <w:bidi w:val="0"/>
        <w:rPr>
          <w:rFonts w:ascii="宋体" w:hAnsi="宋体" w:eastAsia="宋体" w:cs="宋体"/>
          <w:szCs w:val="24"/>
          <w:highlight w:val="none"/>
        </w:rPr>
      </w:pPr>
      <w:r>
        <w:rPr>
          <w:highlight w:val="none"/>
        </w:rPr>
        <w:t>防治措施：选择环保型机械设备，运输车辆按规定方向进出，减少怠速行使，将尾气排放降到最低。在施工期内多加注意施工设备的检查维修，使其能够正常的运行，从而避免施工机械非正常运行而使产生的废气超标排放。</w:t>
      </w:r>
    </w:p>
    <w:p>
      <w:pPr>
        <w:pStyle w:val="6"/>
        <w:bidi w:val="0"/>
        <w:rPr>
          <w:highlight w:val="none"/>
        </w:rPr>
      </w:pPr>
      <w:r>
        <w:rPr>
          <w:rFonts w:hint="eastAsia"/>
          <w:highlight w:val="none"/>
          <w:lang w:eastAsia="zh-CN"/>
        </w:rPr>
        <w:t>4.3</w:t>
      </w:r>
      <w:r>
        <w:rPr>
          <w:highlight w:val="none"/>
        </w:rPr>
        <w:t>.1.2</w:t>
      </w:r>
      <w:r>
        <w:rPr>
          <w:rFonts w:hint="eastAsia"/>
          <w:highlight w:val="none"/>
          <w:lang w:val="en-US" w:eastAsia="zh-CN"/>
        </w:rPr>
        <w:t xml:space="preserve"> </w:t>
      </w:r>
      <w:r>
        <w:rPr>
          <w:highlight w:val="none"/>
        </w:rPr>
        <w:t xml:space="preserve"> 废水</w:t>
      </w:r>
    </w:p>
    <w:p>
      <w:pPr>
        <w:bidi w:val="0"/>
        <w:rPr>
          <w:highlight w:val="none"/>
        </w:rPr>
      </w:pPr>
      <w:r>
        <w:rPr>
          <w:highlight w:val="none"/>
        </w:rPr>
        <w:t>主要分为生产废水以及施工人员生活污水。</w:t>
      </w:r>
    </w:p>
    <w:p>
      <w:pPr>
        <w:bidi w:val="0"/>
        <w:rPr>
          <w:highlight w:val="none"/>
        </w:rPr>
      </w:pPr>
      <w:r>
        <w:rPr>
          <w:highlight w:val="none"/>
        </w:rPr>
        <w:t>施工废水主要包括施工机械冲洗废水和施工阶段产生的泥浆废水，如果施工阶段不进行严格管理，将对施工场地造成一定的影响。评价建议在施工场地内设置沉淀池使建筑污水经沉淀后上清水用于施工建设和洒水逸尘。</w:t>
      </w:r>
    </w:p>
    <w:p>
      <w:pPr>
        <w:bidi w:val="0"/>
        <w:rPr>
          <w:highlight w:val="none"/>
        </w:rPr>
      </w:pPr>
      <w:r>
        <w:rPr>
          <w:highlight w:val="none"/>
        </w:rPr>
        <w:t>生活污水为施工人员日常生活产生的废水，包括洗漱废水和粪便废水，项目建设共需施工工人</w:t>
      </w:r>
      <w:r>
        <w:rPr>
          <w:rFonts w:hint="eastAsia"/>
          <w:highlight w:val="none"/>
          <w:lang w:val="en-US" w:eastAsia="zh-CN"/>
        </w:rPr>
        <w:t>2</w:t>
      </w:r>
      <w:r>
        <w:rPr>
          <w:highlight w:val="none"/>
        </w:rPr>
        <w:t>0人，施工人员为项目周边村民，施工现场不设施工营地，项目施工期间人员不在施工场地食宿。</w:t>
      </w:r>
      <w:r>
        <w:rPr>
          <w:rFonts w:hint="eastAsia"/>
          <w:highlight w:val="none"/>
          <w:lang w:eastAsia="zh-CN"/>
        </w:rPr>
        <w:t>不产生生活污水</w:t>
      </w:r>
      <w:r>
        <w:rPr>
          <w:rFonts w:ascii="宋体" w:hAnsi="宋体" w:eastAsia="宋体" w:cs="宋体"/>
          <w:spacing w:val="-2"/>
          <w:sz w:val="24"/>
          <w:szCs w:val="24"/>
          <w:highlight w:val="none"/>
        </w:rPr>
        <w:t>。</w:t>
      </w:r>
    </w:p>
    <w:p>
      <w:pPr>
        <w:pStyle w:val="6"/>
        <w:bidi w:val="0"/>
        <w:rPr>
          <w:highlight w:val="none"/>
        </w:rPr>
      </w:pPr>
      <w:r>
        <w:rPr>
          <w:rFonts w:hint="eastAsia"/>
          <w:highlight w:val="none"/>
          <w:lang w:eastAsia="zh-CN"/>
        </w:rPr>
        <w:t>4.3</w:t>
      </w:r>
      <w:r>
        <w:rPr>
          <w:highlight w:val="none"/>
        </w:rPr>
        <w:t xml:space="preserve">.1.3 </w:t>
      </w:r>
      <w:r>
        <w:rPr>
          <w:rFonts w:hint="eastAsia"/>
          <w:highlight w:val="none"/>
          <w:lang w:val="en-US" w:eastAsia="zh-CN"/>
        </w:rPr>
        <w:t xml:space="preserve"> </w:t>
      </w:r>
      <w:r>
        <w:rPr>
          <w:highlight w:val="none"/>
        </w:rPr>
        <w:t>噪声</w:t>
      </w:r>
    </w:p>
    <w:p>
      <w:pPr>
        <w:bidi w:val="0"/>
        <w:rPr>
          <w:highlight w:val="none"/>
        </w:rPr>
      </w:pPr>
      <w:r>
        <w:rPr>
          <w:highlight w:val="none"/>
        </w:rPr>
        <w:t>施工噪声主要为设备吊装机械、场地平整、建筑基础挖掘、建筑材料运输等施工机械产生的噪声。结合本工程的施工特点，根据类比调查分析，施工设备产噪声级值为70～</w:t>
      </w:r>
      <w:r>
        <w:rPr>
          <w:rFonts w:hint="eastAsia"/>
          <w:highlight w:val="none"/>
          <w:lang w:val="en-US" w:eastAsia="zh-CN"/>
        </w:rPr>
        <w:t>90</w:t>
      </w:r>
      <w:r>
        <w:rPr>
          <w:highlight w:val="none"/>
        </w:rPr>
        <w:t>dB（A）。经预测计算，</w:t>
      </w:r>
      <w:r>
        <w:rPr>
          <w:rFonts w:hint="eastAsia"/>
          <w:highlight w:val="none"/>
          <w:lang w:eastAsia="zh-CN"/>
        </w:rPr>
        <w:t>在采取相应措施后，</w:t>
      </w:r>
      <w:r>
        <w:rPr>
          <w:highlight w:val="none"/>
        </w:rPr>
        <w:t>昼间距施工设备</w:t>
      </w:r>
      <w:r>
        <w:rPr>
          <w:rFonts w:hint="eastAsia"/>
          <w:highlight w:val="none"/>
          <w:lang w:val="en-US" w:eastAsia="zh-CN"/>
        </w:rPr>
        <w:t>1</w:t>
      </w:r>
      <w:r>
        <w:rPr>
          <w:highlight w:val="none"/>
        </w:rPr>
        <w:t>0m，夜间300m方可满足《建筑施工场界环境噪声排放标准》（GB12523-2011）中的相应标准，本项目建设夜间不施工，不会对周边环境产生明显影响。</w:t>
      </w:r>
    </w:p>
    <w:p>
      <w:pPr>
        <w:bidi w:val="0"/>
        <w:rPr>
          <w:highlight w:val="none"/>
        </w:rPr>
      </w:pPr>
      <w:r>
        <w:rPr>
          <w:highlight w:val="none"/>
        </w:rPr>
        <w:t>为最大限度避免和减轻施工及运输噪声对周围声环境的不利影响，本评价要求建设单位施工期采取以下噪声控制对策和措施：</w:t>
      </w:r>
    </w:p>
    <w:p>
      <w:pPr>
        <w:bidi w:val="0"/>
        <w:rPr>
          <w:highlight w:val="none"/>
        </w:rPr>
      </w:pPr>
      <w:r>
        <w:rPr>
          <w:highlight w:val="none"/>
        </w:rPr>
        <w:t>（1）建设单位与施工单位签订合同时，应要求其使用的主要机械设备为低噪声机械设备，并在施工中应有专人对其进行保养维护，施工单位应对现场使用设备的人员进行培训，严格按操作规范使用各类机械。</w:t>
      </w:r>
    </w:p>
    <w:p>
      <w:pPr>
        <w:bidi w:val="0"/>
        <w:rPr>
          <w:highlight w:val="none"/>
        </w:rPr>
      </w:pPr>
      <w:r>
        <w:rPr>
          <w:highlight w:val="none"/>
        </w:rPr>
        <w:t>（2）对相对固定的机械设备尽量采取入棚操作。</w:t>
      </w:r>
    </w:p>
    <w:p>
      <w:pPr>
        <w:bidi w:val="0"/>
        <w:rPr>
          <w:highlight w:val="none"/>
        </w:rPr>
      </w:pPr>
      <w:r>
        <w:rPr>
          <w:highlight w:val="none"/>
        </w:rPr>
        <w:t>（3）建设单位应加强对施工工地的噪声管理，施工单位也应对施工噪声进行自律，文明施工，避免因施工噪声产生纠纷。</w:t>
      </w:r>
    </w:p>
    <w:p>
      <w:pPr>
        <w:bidi w:val="0"/>
        <w:rPr>
          <w:highlight w:val="none"/>
        </w:rPr>
      </w:pPr>
      <w:r>
        <w:rPr>
          <w:highlight w:val="none"/>
        </w:rPr>
        <w:t>（4）建设与施工单位应与施工场地周围居民建立良好关系，及时让他们了解施工进度及采取的降噪措施，并取得居民的理解。</w:t>
      </w:r>
    </w:p>
    <w:p>
      <w:pPr>
        <w:pStyle w:val="6"/>
        <w:bidi w:val="0"/>
        <w:rPr>
          <w:highlight w:val="none"/>
        </w:rPr>
      </w:pPr>
      <w:r>
        <w:rPr>
          <w:rFonts w:hint="eastAsia"/>
          <w:highlight w:val="none"/>
          <w:lang w:eastAsia="zh-CN"/>
        </w:rPr>
        <w:t>4.3</w:t>
      </w:r>
      <w:r>
        <w:rPr>
          <w:highlight w:val="none"/>
        </w:rPr>
        <w:t xml:space="preserve">.1.4 </w:t>
      </w:r>
      <w:r>
        <w:rPr>
          <w:rFonts w:hint="eastAsia"/>
          <w:highlight w:val="none"/>
          <w:lang w:val="en-US" w:eastAsia="zh-CN"/>
        </w:rPr>
        <w:t xml:space="preserve"> </w:t>
      </w:r>
      <w:r>
        <w:rPr>
          <w:highlight w:val="none"/>
        </w:rPr>
        <w:t>固体废弃物</w:t>
      </w:r>
    </w:p>
    <w:p>
      <w:pPr>
        <w:bidi w:val="0"/>
        <w:rPr>
          <w:highlight w:val="none"/>
        </w:rPr>
      </w:pPr>
      <w:r>
        <w:rPr>
          <w:highlight w:val="none"/>
        </w:rPr>
        <w:t>本工程施工期产生的固体废物主要为土方施工及建筑施工产生的弃土、废砖、 混凝土块等建筑垃圾和生活垃圾。施工过程中产生的固体废物均为 I 类一般固体废物。工程施工中产生的土方用于回填地基和场区平整等，不外排；废砖、废混凝土块等建筑垃圾运至当地环卫部门指定的地点填埋；生活垃圾产生量较小，统一收集后由环卫部门处理，不会对周围环境产生明显影响。</w:t>
      </w:r>
    </w:p>
    <w:p>
      <w:pPr>
        <w:pStyle w:val="5"/>
        <w:bidi w:val="0"/>
        <w:rPr>
          <w:highlight w:val="none"/>
        </w:rPr>
      </w:pPr>
      <w:r>
        <w:rPr>
          <w:rFonts w:hint="eastAsia"/>
          <w:highlight w:val="none"/>
          <w:lang w:eastAsia="zh-CN"/>
        </w:rPr>
        <w:t>4.3</w:t>
      </w:r>
      <w:r>
        <w:rPr>
          <w:highlight w:val="none"/>
        </w:rPr>
        <w:t xml:space="preserve">.2 </w:t>
      </w:r>
      <w:r>
        <w:rPr>
          <w:rFonts w:hint="eastAsia"/>
          <w:highlight w:val="none"/>
          <w:lang w:val="en-US" w:eastAsia="zh-CN"/>
        </w:rPr>
        <w:t xml:space="preserve"> </w:t>
      </w:r>
      <w:r>
        <w:rPr>
          <w:highlight w:val="none"/>
        </w:rPr>
        <w:t>运营期主要产污环节分析</w:t>
      </w:r>
    </w:p>
    <w:p>
      <w:pPr>
        <w:pStyle w:val="6"/>
        <w:bidi w:val="0"/>
        <w:rPr>
          <w:highlight w:val="none"/>
        </w:rPr>
      </w:pPr>
      <w:r>
        <w:rPr>
          <w:rFonts w:hint="eastAsia"/>
          <w:highlight w:val="none"/>
          <w:lang w:eastAsia="zh-CN"/>
        </w:rPr>
        <w:t>4.3</w:t>
      </w:r>
      <w:r>
        <w:rPr>
          <w:highlight w:val="none"/>
        </w:rPr>
        <w:t xml:space="preserve">.2.1 </w:t>
      </w:r>
      <w:r>
        <w:rPr>
          <w:rFonts w:hint="eastAsia"/>
          <w:highlight w:val="none"/>
          <w:lang w:val="en-US" w:eastAsia="zh-CN"/>
        </w:rPr>
        <w:t xml:space="preserve"> </w:t>
      </w:r>
      <w:r>
        <w:rPr>
          <w:highlight w:val="none"/>
        </w:rPr>
        <w:t>废气</w:t>
      </w:r>
    </w:p>
    <w:p>
      <w:pPr>
        <w:bidi w:val="0"/>
        <w:rPr>
          <w:highlight w:val="none"/>
        </w:rPr>
      </w:pPr>
      <w:r>
        <w:rPr>
          <w:highlight w:val="none"/>
        </w:rPr>
        <w:t>本项目产生的大气污染物主要包括恶臭气体</w:t>
      </w:r>
      <w:r>
        <w:rPr>
          <w:rFonts w:hint="eastAsia"/>
          <w:highlight w:val="none"/>
          <w:lang w:eastAsia="zh-CN"/>
        </w:rPr>
        <w:t>（</w:t>
      </w:r>
      <w:r>
        <w:rPr>
          <w:highlight w:val="none"/>
        </w:rPr>
        <w:t>NH</w:t>
      </w:r>
      <w:r>
        <w:rPr>
          <w:highlight w:val="none"/>
          <w:vertAlign w:val="subscript"/>
        </w:rPr>
        <w:t>3</w:t>
      </w:r>
      <w:r>
        <w:rPr>
          <w:rFonts w:hint="eastAsia"/>
          <w:highlight w:val="none"/>
          <w:lang w:eastAsia="zh-CN"/>
        </w:rPr>
        <w:t>、</w:t>
      </w:r>
      <w:r>
        <w:rPr>
          <w:rFonts w:hint="eastAsia"/>
          <w:highlight w:val="none"/>
          <w:lang w:val="en-US" w:eastAsia="zh-CN"/>
        </w:rPr>
        <w:t>H</w:t>
      </w:r>
      <w:r>
        <w:rPr>
          <w:rFonts w:hint="eastAsia"/>
          <w:highlight w:val="none"/>
          <w:vertAlign w:val="subscript"/>
          <w:lang w:val="en-US" w:eastAsia="zh-CN"/>
        </w:rPr>
        <w:t>2</w:t>
      </w:r>
      <w:r>
        <w:rPr>
          <w:rFonts w:hint="eastAsia"/>
          <w:highlight w:val="none"/>
          <w:lang w:val="en-US" w:eastAsia="zh-CN"/>
        </w:rPr>
        <w:t>S</w:t>
      </w:r>
      <w:r>
        <w:rPr>
          <w:rFonts w:hint="eastAsia"/>
          <w:highlight w:val="none"/>
          <w:lang w:eastAsia="zh-CN"/>
        </w:rPr>
        <w:t>）</w:t>
      </w:r>
      <w:r>
        <w:rPr>
          <w:highlight w:val="none"/>
        </w:rPr>
        <w:t>、厨房油烟废气。</w:t>
      </w:r>
    </w:p>
    <w:p>
      <w:pPr>
        <w:pStyle w:val="6"/>
        <w:bidi w:val="0"/>
        <w:rPr>
          <w:highlight w:val="none"/>
        </w:rPr>
      </w:pPr>
      <w:r>
        <w:rPr>
          <w:rFonts w:hint="eastAsia"/>
          <w:highlight w:val="none"/>
          <w:lang w:val="en-US" w:eastAsia="zh-CN"/>
        </w:rPr>
        <w:t xml:space="preserve">4.3.2.1.1  </w:t>
      </w:r>
      <w:r>
        <w:rPr>
          <w:highlight w:val="none"/>
        </w:rPr>
        <w:t>恶臭气体</w:t>
      </w:r>
    </w:p>
    <w:p>
      <w:pPr>
        <w:bidi w:val="0"/>
        <w:rPr>
          <w:highlight w:val="none"/>
          <w:u w:val="none"/>
        </w:rPr>
      </w:pPr>
      <w:r>
        <w:rPr>
          <w:highlight w:val="none"/>
          <w:u w:val="none"/>
        </w:rPr>
        <w:t>1、养殖区恶臭</w:t>
      </w:r>
    </w:p>
    <w:p>
      <w:pPr>
        <w:bidi w:val="0"/>
        <w:rPr>
          <w:highlight w:val="none"/>
          <w:u w:val="none"/>
        </w:rPr>
      </w:pPr>
      <w:r>
        <w:rPr>
          <w:highlight w:val="none"/>
          <w:u w:val="none"/>
        </w:rPr>
        <w:t>（1）主要污染源和主要污染物排放情况</w:t>
      </w:r>
    </w:p>
    <w:p>
      <w:pPr>
        <w:bidi w:val="0"/>
        <w:rPr>
          <w:highlight w:val="none"/>
          <w:u w:val="none"/>
        </w:rPr>
      </w:pPr>
      <w:r>
        <w:rPr>
          <w:highlight w:val="none"/>
          <w:u w:val="none"/>
        </w:rPr>
        <w:t>养殖场工艺废气主要来自猪舍的猪粪和猪尿、</w:t>
      </w:r>
      <w:r>
        <w:rPr>
          <w:rFonts w:hint="eastAsia"/>
          <w:highlight w:val="none"/>
          <w:u w:val="none"/>
        </w:rPr>
        <w:t>粪沟沉积池</w:t>
      </w:r>
      <w:r>
        <w:rPr>
          <w:highlight w:val="none"/>
          <w:u w:val="none"/>
        </w:rPr>
        <w:t>的粪便等散发的恶臭气体。养殖场恶臭来自猪粪便、猪尿腐败分解、发酵和变质的饲料以及死亡动物的腐臭。猪只的新鲜粪便、消化道排出气体、皮脂腺和汗腺的分泌物、粘附在体表的污物、畜体外激素、呼出气体中的CO</w:t>
      </w:r>
      <w:r>
        <w:rPr>
          <w:highlight w:val="none"/>
          <w:u w:val="none"/>
          <w:vertAlign w:val="subscript"/>
        </w:rPr>
        <w:t>2</w:t>
      </w:r>
      <w:r>
        <w:rPr>
          <w:highlight w:val="none"/>
          <w:u w:val="none"/>
        </w:rPr>
        <w:t>等也会散发出猪特有的难闻气味。目前，专家已鉴定出在猪粪尿中有恶臭成分220种，这些物质都是产生生化反应的中间产物或终端产物，其中包括了多种挥发性有机酸、醇类物质、醛类物质、不流动气体、酯类物质、胺类物质、硫化物、硫醇以及含氮杂环类物质。在粪尿中还发现80多种含氮化合物，其中对环境危害较大的是氨气（NH</w:t>
      </w:r>
      <w:r>
        <w:rPr>
          <w:highlight w:val="none"/>
          <w:u w:val="none"/>
          <w:vertAlign w:val="subscript"/>
        </w:rPr>
        <w:t>3</w:t>
      </w:r>
      <w:r>
        <w:rPr>
          <w:highlight w:val="none"/>
          <w:u w:val="none"/>
        </w:rPr>
        <w:t>）、硫化氢（H</w:t>
      </w:r>
      <w:r>
        <w:rPr>
          <w:highlight w:val="none"/>
          <w:u w:val="none"/>
          <w:vertAlign w:val="subscript"/>
        </w:rPr>
        <w:t>2</w:t>
      </w:r>
      <w:r>
        <w:rPr>
          <w:highlight w:val="none"/>
          <w:u w:val="none"/>
        </w:rPr>
        <w:t>S）等，刺激人的嗅觉器官，引起人的厌恶或不愉快。</w:t>
      </w:r>
    </w:p>
    <w:p>
      <w:pPr>
        <w:bidi w:val="0"/>
        <w:rPr>
          <w:highlight w:val="none"/>
          <w:u w:val="single"/>
        </w:rPr>
      </w:pPr>
      <w:r>
        <w:rPr>
          <w:highlight w:val="none"/>
          <w:u w:val="single"/>
        </w:rPr>
        <w:t>主要污染物排放情况：</w:t>
      </w:r>
    </w:p>
    <w:p>
      <w:pPr>
        <w:bidi w:val="0"/>
        <w:rPr>
          <w:highlight w:val="none"/>
          <w:u w:val="single"/>
        </w:rPr>
      </w:pPr>
      <w:r>
        <w:rPr>
          <w:highlight w:val="none"/>
          <w:u w:val="single"/>
        </w:rPr>
        <w:t>根据《养猪场恶臭影响量化分析及控制对策研究》（孙艳青，张璐，李万庆，中国环境科学学会学术年会，2010），猪舍NH</w:t>
      </w:r>
      <w:r>
        <w:rPr>
          <w:highlight w:val="none"/>
          <w:u w:val="single"/>
          <w:vertAlign w:val="subscript"/>
        </w:rPr>
        <w:t>3</w:t>
      </w:r>
      <w:r>
        <w:rPr>
          <w:highlight w:val="none"/>
          <w:u w:val="single"/>
        </w:rPr>
        <w:t>和H</w:t>
      </w:r>
      <w:r>
        <w:rPr>
          <w:highlight w:val="none"/>
          <w:u w:val="single"/>
          <w:vertAlign w:val="subscript"/>
        </w:rPr>
        <w:t>2</w:t>
      </w:r>
      <w:r>
        <w:rPr>
          <w:highlight w:val="none"/>
          <w:u w:val="single"/>
        </w:rPr>
        <w:t>S的排放强度受到许多因素的影响，包括生产工艺、气温、湿度、猪群种类、室内排风情况以及粪便的堆积时间等。根据各猪舍浓度、空间大小及排风强度。经统计，NH</w:t>
      </w:r>
      <w:r>
        <w:rPr>
          <w:highlight w:val="none"/>
          <w:u w:val="single"/>
          <w:vertAlign w:val="subscript"/>
        </w:rPr>
        <w:t>3</w:t>
      </w:r>
      <w:r>
        <w:rPr>
          <w:highlight w:val="none"/>
          <w:u w:val="single"/>
        </w:rPr>
        <w:t>和H</w:t>
      </w:r>
      <w:r>
        <w:rPr>
          <w:highlight w:val="none"/>
          <w:u w:val="single"/>
          <w:vertAlign w:val="subscript"/>
        </w:rPr>
        <w:t>2</w:t>
      </w:r>
      <w:r>
        <w:rPr>
          <w:highlight w:val="none"/>
          <w:u w:val="single"/>
        </w:rPr>
        <w:t>S产生强度见下表</w:t>
      </w:r>
      <w:r>
        <w:rPr>
          <w:rFonts w:hint="eastAsia"/>
          <w:highlight w:val="none"/>
          <w:u w:val="single"/>
          <w:lang w:eastAsia="zh-CN"/>
        </w:rPr>
        <w:t>4.3</w:t>
      </w:r>
      <w:r>
        <w:rPr>
          <w:highlight w:val="none"/>
          <w:u w:val="single"/>
        </w:rPr>
        <w:t>-1：</w:t>
      </w:r>
    </w:p>
    <w:p>
      <w:pPr>
        <w:pStyle w:val="2"/>
      </w:pPr>
    </w:p>
    <w:p>
      <w:pPr>
        <w:pStyle w:val="7"/>
        <w:bidi w:val="0"/>
        <w:rPr>
          <w:highlight w:val="none"/>
          <w:u w:val="single"/>
        </w:rPr>
      </w:pPr>
      <w:r>
        <w:rPr>
          <w:highlight w:val="none"/>
          <w:u w:val="single"/>
        </w:rPr>
        <w:t>表</w:t>
      </w:r>
      <w:r>
        <w:rPr>
          <w:rFonts w:hint="eastAsia"/>
          <w:highlight w:val="none"/>
          <w:u w:val="single"/>
          <w:lang w:eastAsia="zh-CN"/>
        </w:rPr>
        <w:t>4.3</w:t>
      </w:r>
      <w:r>
        <w:rPr>
          <w:highlight w:val="none"/>
          <w:u w:val="single"/>
        </w:rPr>
        <w:t xml:space="preserve">-1 </w:t>
      </w:r>
      <w:r>
        <w:rPr>
          <w:rFonts w:hint="eastAsia"/>
          <w:highlight w:val="none"/>
          <w:u w:val="single"/>
          <w:lang w:val="en-US" w:eastAsia="zh-CN"/>
        </w:rPr>
        <w:t xml:space="preserve"> </w:t>
      </w:r>
      <w:r>
        <w:rPr>
          <w:highlight w:val="none"/>
          <w:u w:val="single"/>
        </w:rPr>
        <w:t>猪舍NH</w:t>
      </w:r>
      <w:r>
        <w:rPr>
          <w:highlight w:val="none"/>
          <w:u w:val="single"/>
          <w:vertAlign w:val="subscript"/>
        </w:rPr>
        <w:t>3</w:t>
      </w:r>
      <w:r>
        <w:rPr>
          <w:highlight w:val="none"/>
          <w:u w:val="single"/>
        </w:rPr>
        <w:t>、H</w:t>
      </w:r>
      <w:r>
        <w:rPr>
          <w:highlight w:val="none"/>
          <w:u w:val="single"/>
          <w:vertAlign w:val="subscript"/>
        </w:rPr>
        <w:t>2</w:t>
      </w:r>
      <w:r>
        <w:rPr>
          <w:highlight w:val="none"/>
          <w:u w:val="single"/>
        </w:rPr>
        <w:t>S产生强度统计</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77"/>
        <w:gridCol w:w="878"/>
        <w:gridCol w:w="878"/>
        <w:gridCol w:w="878"/>
        <w:gridCol w:w="875"/>
        <w:gridCol w:w="1776"/>
        <w:gridCol w:w="1305"/>
        <w:gridCol w:w="13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9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养殖种类</w:t>
            </w:r>
          </w:p>
        </w:tc>
        <w:tc>
          <w:tcPr>
            <w:tcW w:w="49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r>
              <w:rPr>
                <w:rFonts w:hint="default" w:ascii="Times New Roman" w:hAnsi="Times New Roman" w:eastAsia="宋体" w:cs="Times New Roman"/>
                <w:snapToGrid w:val="0"/>
                <w:color w:val="000000"/>
                <w:spacing w:val="0"/>
                <w:w w:val="100"/>
                <w:kern w:val="0"/>
                <w:position w:val="0"/>
                <w:sz w:val="21"/>
                <w:szCs w:val="21"/>
                <w:highlight w:val="none"/>
                <w:u w:val="single"/>
              </w:rPr>
              <w:t>产生强度[g/[头.d]]</w:t>
            </w:r>
          </w:p>
        </w:tc>
        <w:tc>
          <w:tcPr>
            <w:tcW w:w="49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S产生强度[g/[头.d]]</w:t>
            </w:r>
          </w:p>
        </w:tc>
        <w:tc>
          <w:tcPr>
            <w:tcW w:w="49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常年存栏量（头）</w:t>
            </w:r>
          </w:p>
        </w:tc>
        <w:tc>
          <w:tcPr>
            <w:tcW w:w="1503"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恶臭污染物产生速率 kg/h</w:t>
            </w:r>
          </w:p>
        </w:tc>
        <w:tc>
          <w:tcPr>
            <w:tcW w:w="1504"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恶臭污染物产生</w:t>
            </w:r>
            <w:r>
              <w:rPr>
                <w:rFonts w:hint="eastAsia" w:cs="Times New Roman"/>
                <w:snapToGrid w:val="0"/>
                <w:color w:val="000000"/>
                <w:spacing w:val="0"/>
                <w:w w:val="100"/>
                <w:kern w:val="0"/>
                <w:position w:val="0"/>
                <w:sz w:val="21"/>
                <w:szCs w:val="21"/>
                <w:highlight w:val="none"/>
                <w:u w:val="single"/>
                <w:lang w:eastAsia="zh-CN"/>
              </w:rPr>
              <w:t>量</w:t>
            </w:r>
            <w:r>
              <w:rPr>
                <w:rFonts w:hint="default" w:ascii="Times New Roman" w:hAnsi="Times New Roman" w:eastAsia="宋体" w:cs="Times New Roman"/>
                <w:snapToGrid w:val="0"/>
                <w:color w:val="000000"/>
                <w:spacing w:val="0"/>
                <w:w w:val="100"/>
                <w:kern w:val="0"/>
                <w:position w:val="0"/>
                <w:sz w:val="21"/>
                <w:szCs w:val="21"/>
                <w:highlight w:val="none"/>
                <w:u w:val="single"/>
              </w:rPr>
              <w:t xml:space="preserve"> </w:t>
            </w:r>
            <w:r>
              <w:rPr>
                <w:rFonts w:hint="eastAsia" w:cs="Times New Roman"/>
                <w:snapToGrid w:val="0"/>
                <w:color w:val="000000"/>
                <w:spacing w:val="0"/>
                <w:w w:val="100"/>
                <w:kern w:val="0"/>
                <w:position w:val="0"/>
                <w:sz w:val="21"/>
                <w:szCs w:val="21"/>
                <w:highlight w:val="none"/>
                <w:u w:val="single"/>
                <w:lang w:val="en-US" w:eastAsia="zh-CN"/>
              </w:rPr>
              <w:t>t</w:t>
            </w:r>
            <w:r>
              <w:rPr>
                <w:rFonts w:hint="default" w:ascii="Times New Roman" w:hAnsi="Times New Roman" w:eastAsia="宋体" w:cs="Times New Roman"/>
                <w:snapToGrid w:val="0"/>
                <w:color w:val="000000"/>
                <w:spacing w:val="0"/>
                <w:w w:val="100"/>
                <w:kern w:val="0"/>
                <w:position w:val="0"/>
                <w:sz w:val="21"/>
                <w:szCs w:val="21"/>
                <w:highlight w:val="none"/>
                <w:u w:val="single"/>
              </w:rPr>
              <w:t>/</w:t>
            </w:r>
            <w:r>
              <w:rPr>
                <w:rFonts w:hint="eastAsia" w:cs="Times New Roman"/>
                <w:snapToGrid w:val="0"/>
                <w:color w:val="000000"/>
                <w:spacing w:val="0"/>
                <w:w w:val="100"/>
                <w:kern w:val="0"/>
                <w:position w:val="0"/>
                <w:sz w:val="21"/>
                <w:szCs w:val="21"/>
                <w:highlight w:val="none"/>
                <w:u w:val="single"/>
                <w:lang w:val="en-US" w:eastAsia="zh-CN"/>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9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9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9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9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100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7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76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育肥猪</w:t>
            </w:r>
          </w:p>
        </w:tc>
        <w:tc>
          <w:tcPr>
            <w:tcW w:w="4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2.0</w:t>
            </w:r>
          </w:p>
        </w:tc>
        <w:tc>
          <w:tcPr>
            <w:tcW w:w="4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0.3</w:t>
            </w:r>
          </w:p>
        </w:tc>
        <w:tc>
          <w:tcPr>
            <w:tcW w:w="49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rPr>
            </w:pPr>
            <w:r>
              <w:rPr>
                <w:rFonts w:hint="eastAsia" w:cs="Times New Roman"/>
                <w:snapToGrid w:val="0"/>
                <w:color w:val="000000"/>
                <w:spacing w:val="0"/>
                <w:w w:val="100"/>
                <w:kern w:val="0"/>
                <w:position w:val="0"/>
                <w:sz w:val="21"/>
                <w:szCs w:val="21"/>
                <w:highlight w:val="none"/>
                <w:u w:val="single"/>
                <w:lang w:val="en-US" w:eastAsia="zh-CN"/>
              </w:rPr>
              <w:t>5500</w:t>
            </w:r>
          </w:p>
        </w:tc>
        <w:tc>
          <w:tcPr>
            <w:tcW w:w="4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0.</w:t>
            </w:r>
            <w:r>
              <w:rPr>
                <w:rFonts w:hint="eastAsia" w:cs="Times New Roman"/>
                <w:snapToGrid w:val="0"/>
                <w:color w:val="000000"/>
                <w:spacing w:val="0"/>
                <w:w w:val="100"/>
                <w:kern w:val="0"/>
                <w:position w:val="0"/>
                <w:sz w:val="21"/>
                <w:szCs w:val="21"/>
                <w:highlight w:val="none"/>
                <w:u w:val="single"/>
                <w:lang w:val="en-US" w:eastAsia="zh-CN"/>
              </w:rPr>
              <w:t>458</w:t>
            </w:r>
          </w:p>
        </w:tc>
        <w:tc>
          <w:tcPr>
            <w:tcW w:w="100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0.0</w:t>
            </w:r>
            <w:r>
              <w:rPr>
                <w:rFonts w:hint="eastAsia" w:cs="Times New Roman"/>
                <w:snapToGrid w:val="0"/>
                <w:color w:val="000000"/>
                <w:spacing w:val="0"/>
                <w:w w:val="100"/>
                <w:kern w:val="0"/>
                <w:position w:val="0"/>
                <w:sz w:val="21"/>
                <w:szCs w:val="21"/>
                <w:highlight w:val="none"/>
                <w:u w:val="single"/>
                <w:lang w:val="en-US" w:eastAsia="zh-CN"/>
              </w:rPr>
              <w:t>69</w:t>
            </w:r>
          </w:p>
        </w:tc>
        <w:tc>
          <w:tcPr>
            <w:tcW w:w="74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4.015</w:t>
            </w:r>
          </w:p>
        </w:tc>
        <w:tc>
          <w:tcPr>
            <w:tcW w:w="76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0.602</w:t>
            </w:r>
          </w:p>
        </w:tc>
      </w:tr>
    </w:tbl>
    <w:p>
      <w:pPr>
        <w:bidi w:val="0"/>
        <w:rPr>
          <w:highlight w:val="none"/>
          <w:u w:val="single"/>
        </w:rPr>
      </w:pPr>
      <w:r>
        <w:rPr>
          <w:highlight w:val="none"/>
          <w:u w:val="single"/>
        </w:rPr>
        <w:t>（2）防治措施</w:t>
      </w:r>
    </w:p>
    <w:p>
      <w:pPr>
        <w:bidi w:val="0"/>
        <w:rPr>
          <w:highlight w:val="none"/>
          <w:u w:val="single"/>
        </w:rPr>
      </w:pPr>
      <w:r>
        <w:rPr>
          <w:highlight w:val="none"/>
          <w:u w:val="single"/>
        </w:rPr>
        <w:t>①根据《规模畜禽养殖场污染防治最佳可行技术指南（实行）》（HJ-BAT- 10），采用培育优良品种、科学饲养、科学配料、使用无公害绿色添加剂等措施，并利用高新技术改变饲料品质及物理形态（如生物制剂处理技术、饲料颗粒），提高畜禽饲料的利用率（尤其是氮的利用率），降低畜禽排泄物中氮的含量及恶臭气体的排放；使用无公害绿色添加剂畜禽养殖饲料中添加微生物制剂、酶制剂和植物提取液等活性物质，可减少污染物排放和恶臭气体的产生。</w:t>
      </w:r>
    </w:p>
    <w:p>
      <w:pPr>
        <w:bidi w:val="0"/>
        <w:rPr>
          <w:highlight w:val="none"/>
          <w:u w:val="single"/>
        </w:rPr>
      </w:pPr>
      <w:r>
        <w:rPr>
          <w:highlight w:val="none"/>
          <w:u w:val="single"/>
        </w:rPr>
        <w:t>结合建设单位介绍养殖过程中在饲料中添加活菌剂等，根据《猪舍内氨气排放控制研究进展》（山东省滕州市畜牧兽医局，高建萱），通过在饲料中添加活菌剂，添加前和持续添加10天后，2个猪舍的氨分别下降40.28%和56.46%（平均48.37%）；根据《家禽环境卫生学》（安立龙，高等出版社），在饲料中添加EM菌剂能在源头上控制恶臭气体的产生，能有效降解NH</w:t>
      </w:r>
      <w:r>
        <w:rPr>
          <w:highlight w:val="none"/>
          <w:u w:val="single"/>
          <w:vertAlign w:val="subscript"/>
        </w:rPr>
        <w:t>3</w:t>
      </w:r>
      <w:r>
        <w:rPr>
          <w:highlight w:val="none"/>
          <w:u w:val="single"/>
        </w:rPr>
        <w:t>、H</w:t>
      </w:r>
      <w:r>
        <w:rPr>
          <w:highlight w:val="none"/>
          <w:u w:val="single"/>
          <w:vertAlign w:val="subscript"/>
        </w:rPr>
        <w:t>2</w:t>
      </w:r>
      <w:r>
        <w:rPr>
          <w:highlight w:val="none"/>
          <w:u w:val="single"/>
        </w:rPr>
        <w:t>S等有害气体，通过添加有益菌剂，NH</w:t>
      </w:r>
      <w:r>
        <w:rPr>
          <w:highlight w:val="none"/>
          <w:u w:val="single"/>
          <w:vertAlign w:val="subscript"/>
        </w:rPr>
        <w:t>3</w:t>
      </w:r>
      <w:r>
        <w:rPr>
          <w:highlight w:val="none"/>
          <w:u w:val="single"/>
        </w:rPr>
        <w:t>的平均降解率为72.5%，H</w:t>
      </w:r>
      <w:r>
        <w:rPr>
          <w:highlight w:val="none"/>
          <w:u w:val="single"/>
          <w:vertAlign w:val="subscript"/>
        </w:rPr>
        <w:t>2</w:t>
      </w:r>
      <w:r>
        <w:rPr>
          <w:highlight w:val="none"/>
          <w:u w:val="single"/>
        </w:rPr>
        <w:t>S的平均降解率为81.5%。根据上述资料显示，通过估算，在采取饲料添加生物制剂（益生菌），NH</w:t>
      </w:r>
      <w:r>
        <w:rPr>
          <w:highlight w:val="none"/>
          <w:u w:val="single"/>
          <w:vertAlign w:val="subscript"/>
        </w:rPr>
        <w:t>3</w:t>
      </w:r>
      <w:r>
        <w:rPr>
          <w:highlight w:val="none"/>
          <w:u w:val="single"/>
        </w:rPr>
        <w:t>和H</w:t>
      </w:r>
      <w:r>
        <w:rPr>
          <w:highlight w:val="none"/>
          <w:u w:val="single"/>
          <w:vertAlign w:val="subscript"/>
        </w:rPr>
        <w:t>2</w:t>
      </w:r>
      <w:r>
        <w:rPr>
          <w:highlight w:val="none"/>
          <w:u w:val="single"/>
        </w:rPr>
        <w:t>S产生量可分别降低48.37%-72.5%（平均60.48%）和81.5%。</w:t>
      </w:r>
    </w:p>
    <w:p>
      <w:pPr>
        <w:bidi w:val="0"/>
        <w:rPr>
          <w:highlight w:val="none"/>
          <w:u w:val="single"/>
        </w:rPr>
      </w:pPr>
      <w:r>
        <w:rPr>
          <w:highlight w:val="none"/>
          <w:u w:val="single"/>
        </w:rPr>
        <w:t>②加强对圈舍的清洁卫生管理和通风措施，定期喷洒除臭剂，每餐定量喂食，最大程度减少剩食量，加强过程控制和清理，减轻饲料腐败产生的异味，进一步降低圈舍恶臭影响。</w:t>
      </w:r>
    </w:p>
    <w:p>
      <w:pPr>
        <w:bidi w:val="0"/>
        <w:rPr>
          <w:highlight w:val="none"/>
          <w:u w:val="single"/>
        </w:rPr>
      </w:pPr>
      <w:r>
        <w:rPr>
          <w:highlight w:val="none"/>
          <w:u w:val="single"/>
        </w:rPr>
        <w:t>通过喷洒生物除臭剂，可使猪舍中的恶臭气体浓度进一步降低，在夏季开启水帘系统降温和进一步除恶臭措施。根据《自然科学》现代化农业，2011年第6期</w:t>
      </w:r>
      <w:r>
        <w:rPr>
          <w:rFonts w:hint="eastAsia" w:eastAsia="宋体"/>
          <w:highlight w:val="none"/>
          <w:u w:val="single"/>
          <w:lang w:eastAsia="zh-CN"/>
        </w:rPr>
        <w:t>（</w:t>
      </w:r>
      <w:r>
        <w:rPr>
          <w:highlight w:val="none"/>
          <w:u w:val="single"/>
        </w:rPr>
        <w:t>第383期</w:t>
      </w:r>
      <w:r>
        <w:rPr>
          <w:rFonts w:hint="eastAsia" w:eastAsia="宋体"/>
          <w:highlight w:val="none"/>
          <w:u w:val="single"/>
          <w:lang w:eastAsia="zh-CN"/>
        </w:rPr>
        <w:t>）</w:t>
      </w:r>
      <w:r>
        <w:rPr>
          <w:highlight w:val="none"/>
          <w:u w:val="single"/>
        </w:rPr>
        <w:t>《微生物除臭剂研究进展》（赵晓锋，隋文志）的资料，经国家环境分析测试中心和陕西环境监测中心测试养殖场生物除臭剂（大力克、万洁芬等）对NH</w:t>
      </w:r>
      <w:r>
        <w:rPr>
          <w:highlight w:val="none"/>
          <w:u w:val="single"/>
          <w:vertAlign w:val="subscript"/>
        </w:rPr>
        <w:t>3</w:t>
      </w:r>
      <w:r>
        <w:rPr>
          <w:highlight w:val="none"/>
          <w:u w:val="single"/>
        </w:rPr>
        <w:t>和H</w:t>
      </w:r>
      <w:r>
        <w:rPr>
          <w:highlight w:val="none"/>
          <w:u w:val="single"/>
          <w:vertAlign w:val="subscript"/>
        </w:rPr>
        <w:t>2</w:t>
      </w:r>
      <w:r>
        <w:rPr>
          <w:highlight w:val="none"/>
          <w:u w:val="single"/>
        </w:rPr>
        <w:t>S的去除效率分别为92.6%和89%。另外，根据企业目前的养殖经验综合判断，喷洒除臭剂前后的效果明显。</w:t>
      </w:r>
    </w:p>
    <w:p>
      <w:pPr>
        <w:bidi w:val="0"/>
        <w:rPr>
          <w:highlight w:val="none"/>
          <w:u w:val="single"/>
        </w:rPr>
      </w:pPr>
      <w:r>
        <w:rPr>
          <w:highlight w:val="none"/>
          <w:u w:val="single"/>
        </w:rPr>
        <w:t>③加强场区及场界的绿化，养猪场周围栽种果树及其他灌木形成多层防护林带，以降低恶臭污染的影响程度。</w:t>
      </w:r>
    </w:p>
    <w:p>
      <w:pPr>
        <w:bidi w:val="0"/>
        <w:rPr>
          <w:highlight w:val="none"/>
          <w:u w:val="single"/>
        </w:rPr>
      </w:pPr>
      <w:r>
        <w:rPr>
          <w:highlight w:val="none"/>
          <w:u w:val="single"/>
        </w:rPr>
        <w:t>总之，项目注意圈舍的环境卫生，喷洒除臭剂等措施，最大程度的降低了恶臭气体的产生，可确保养殖场周界外NH</w:t>
      </w:r>
      <w:r>
        <w:rPr>
          <w:highlight w:val="none"/>
          <w:u w:val="single"/>
          <w:vertAlign w:val="subscript"/>
        </w:rPr>
        <w:t>3</w:t>
      </w:r>
      <w:r>
        <w:rPr>
          <w:highlight w:val="none"/>
          <w:u w:val="single"/>
        </w:rPr>
        <w:t>、H</w:t>
      </w:r>
      <w:r>
        <w:rPr>
          <w:highlight w:val="none"/>
          <w:u w:val="single"/>
          <w:vertAlign w:val="subscript"/>
        </w:rPr>
        <w:t>2</w:t>
      </w:r>
      <w:r>
        <w:rPr>
          <w:highlight w:val="none"/>
          <w:u w:val="single"/>
        </w:rPr>
        <w:t>S监控浓度限值满足《恶臭污染物排放标准》（GB14554-93）厂界无组织二级标准，臭气浓度满足《畜禽养殖业污染物排放标准》（GB18596-2001）相关标准。</w:t>
      </w:r>
    </w:p>
    <w:p>
      <w:pPr>
        <w:bidi w:val="0"/>
        <w:rPr>
          <w:highlight w:val="none"/>
          <w:u w:val="single"/>
        </w:rPr>
      </w:pPr>
      <w:r>
        <w:rPr>
          <w:highlight w:val="none"/>
          <w:u w:val="single"/>
        </w:rPr>
        <w:t xml:space="preserve">项目猪舍恶臭气体产生及排放情况见下表 </w:t>
      </w:r>
      <w:r>
        <w:rPr>
          <w:rFonts w:hint="eastAsia"/>
          <w:highlight w:val="none"/>
          <w:u w:val="single"/>
          <w:lang w:eastAsia="zh-CN"/>
        </w:rPr>
        <w:t>4.3</w:t>
      </w:r>
      <w:r>
        <w:rPr>
          <w:highlight w:val="none"/>
          <w:u w:val="single"/>
        </w:rPr>
        <w:t>-2：</w:t>
      </w:r>
    </w:p>
    <w:p>
      <w:pPr>
        <w:pStyle w:val="7"/>
        <w:bidi w:val="0"/>
        <w:rPr>
          <w:highlight w:val="none"/>
          <w:u w:val="single"/>
        </w:rPr>
      </w:pPr>
      <w:r>
        <w:rPr>
          <w:highlight w:val="none"/>
          <w:u w:val="single"/>
        </w:rPr>
        <w:t>表</w:t>
      </w:r>
      <w:r>
        <w:rPr>
          <w:rFonts w:hint="eastAsia"/>
          <w:highlight w:val="none"/>
          <w:u w:val="single"/>
          <w:lang w:eastAsia="zh-CN"/>
        </w:rPr>
        <w:t>4.3</w:t>
      </w:r>
      <w:r>
        <w:rPr>
          <w:highlight w:val="none"/>
          <w:u w:val="single"/>
        </w:rPr>
        <w:t xml:space="preserve">-2 </w:t>
      </w:r>
      <w:r>
        <w:rPr>
          <w:rFonts w:hint="eastAsia"/>
          <w:highlight w:val="none"/>
          <w:u w:val="single"/>
          <w:lang w:val="en-US" w:eastAsia="zh-CN"/>
        </w:rPr>
        <w:t xml:space="preserve"> </w:t>
      </w:r>
      <w:r>
        <w:rPr>
          <w:highlight w:val="none"/>
          <w:u w:val="single"/>
        </w:rPr>
        <w:t>猪舍恶臭气体产生及排放统计表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55"/>
        <w:gridCol w:w="635"/>
        <w:gridCol w:w="739"/>
        <w:gridCol w:w="3263"/>
        <w:gridCol w:w="794"/>
        <w:gridCol w:w="898"/>
        <w:gridCol w:w="1011"/>
        <w:gridCol w:w="10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排放源</w:t>
            </w:r>
          </w:p>
        </w:tc>
        <w:tc>
          <w:tcPr>
            <w:tcW w:w="779"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恶臭污染物产生</w:t>
            </w:r>
            <w:r>
              <w:rPr>
                <w:rFonts w:hint="eastAsia" w:cs="Times New Roman"/>
                <w:snapToGrid w:val="0"/>
                <w:color w:val="000000"/>
                <w:spacing w:val="0"/>
                <w:w w:val="100"/>
                <w:kern w:val="0"/>
                <w:position w:val="0"/>
                <w:sz w:val="21"/>
                <w:szCs w:val="21"/>
                <w:highlight w:val="none"/>
                <w:u w:val="single"/>
                <w:lang w:eastAsia="zh-CN"/>
              </w:rPr>
              <w:t>速率</w:t>
            </w:r>
            <w:r>
              <w:rPr>
                <w:rFonts w:hint="default" w:ascii="Times New Roman" w:hAnsi="Times New Roman" w:eastAsia="宋体" w:cs="Times New Roman"/>
                <w:snapToGrid w:val="0"/>
                <w:color w:val="000000"/>
                <w:spacing w:val="0"/>
                <w:w w:val="100"/>
                <w:kern w:val="0"/>
                <w:position w:val="0"/>
                <w:sz w:val="21"/>
                <w:szCs w:val="21"/>
                <w:highlight w:val="none"/>
                <w:u w:val="single"/>
              </w:rPr>
              <w:t>kg/h</w:t>
            </w:r>
          </w:p>
        </w:tc>
        <w:tc>
          <w:tcPr>
            <w:tcW w:w="1850"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治理措施</w:t>
            </w:r>
          </w:p>
        </w:tc>
        <w:tc>
          <w:tcPr>
            <w:tcW w:w="959"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恶臭污染物排放</w:t>
            </w:r>
            <w:r>
              <w:rPr>
                <w:rFonts w:hint="eastAsia" w:cs="Times New Roman"/>
                <w:snapToGrid w:val="0"/>
                <w:color w:val="000000"/>
                <w:spacing w:val="0"/>
                <w:w w:val="100"/>
                <w:kern w:val="0"/>
                <w:position w:val="0"/>
                <w:sz w:val="21"/>
                <w:szCs w:val="21"/>
                <w:highlight w:val="none"/>
                <w:u w:val="single"/>
                <w:lang w:eastAsia="zh-CN"/>
              </w:rPr>
              <w:t>速率</w:t>
            </w:r>
            <w:r>
              <w:rPr>
                <w:rFonts w:hint="default" w:ascii="Times New Roman" w:hAnsi="Times New Roman" w:eastAsia="宋体" w:cs="Times New Roman"/>
                <w:snapToGrid w:val="0"/>
                <w:color w:val="000000"/>
                <w:spacing w:val="0"/>
                <w:w w:val="100"/>
                <w:kern w:val="0"/>
                <w:position w:val="0"/>
                <w:sz w:val="21"/>
                <w:szCs w:val="21"/>
                <w:highlight w:val="none"/>
                <w:u w:val="single"/>
              </w:rPr>
              <w:t>kg/h</w:t>
            </w:r>
          </w:p>
        </w:tc>
        <w:tc>
          <w:tcPr>
            <w:tcW w:w="1151"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恶臭污染物排放量</w:t>
            </w:r>
            <w:r>
              <w:rPr>
                <w:rFonts w:hint="eastAsia" w:cs="Times New Roman"/>
                <w:snapToGrid w:val="0"/>
                <w:color w:val="000000"/>
                <w:spacing w:val="0"/>
                <w:w w:val="100"/>
                <w:kern w:val="0"/>
                <w:position w:val="0"/>
                <w:sz w:val="21"/>
                <w:szCs w:val="21"/>
                <w:highlight w:val="none"/>
                <w:u w:val="single"/>
                <w:lang w:val="en-US" w:eastAsia="zh-CN"/>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3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41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185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5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5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5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5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猪舍</w:t>
            </w:r>
          </w:p>
        </w:tc>
        <w:tc>
          <w:tcPr>
            <w:tcW w:w="3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0.4</w:t>
            </w:r>
            <w:r>
              <w:rPr>
                <w:rFonts w:hint="eastAsia" w:cs="Times New Roman"/>
                <w:snapToGrid w:val="0"/>
                <w:color w:val="000000"/>
                <w:spacing w:val="0"/>
                <w:w w:val="100"/>
                <w:kern w:val="0"/>
                <w:position w:val="0"/>
                <w:sz w:val="21"/>
                <w:szCs w:val="21"/>
                <w:highlight w:val="none"/>
                <w:u w:val="single"/>
                <w:lang w:val="en-US" w:eastAsia="zh-CN"/>
              </w:rPr>
              <w:t>58</w:t>
            </w:r>
          </w:p>
        </w:tc>
        <w:tc>
          <w:tcPr>
            <w:tcW w:w="41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0.06</w:t>
            </w:r>
            <w:r>
              <w:rPr>
                <w:rFonts w:hint="eastAsia" w:cs="Times New Roman"/>
                <w:snapToGrid w:val="0"/>
                <w:color w:val="000000"/>
                <w:spacing w:val="0"/>
                <w:w w:val="100"/>
                <w:kern w:val="0"/>
                <w:position w:val="0"/>
                <w:sz w:val="21"/>
                <w:szCs w:val="21"/>
                <w:highlight w:val="none"/>
                <w:u w:val="single"/>
                <w:lang w:val="en-US" w:eastAsia="zh-CN"/>
              </w:rPr>
              <w:t>9</w:t>
            </w:r>
          </w:p>
        </w:tc>
        <w:tc>
          <w:tcPr>
            <w:tcW w:w="185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在饲料中添加益生菌，NH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r>
              <w:rPr>
                <w:rFonts w:hint="default" w:ascii="Times New Roman" w:hAnsi="Times New Roman" w:eastAsia="宋体" w:cs="Times New Roman"/>
                <w:snapToGrid w:val="0"/>
                <w:color w:val="000000"/>
                <w:spacing w:val="0"/>
                <w:w w:val="100"/>
                <w:kern w:val="0"/>
                <w:position w:val="0"/>
                <w:sz w:val="21"/>
                <w:szCs w:val="21"/>
                <w:highlight w:val="none"/>
                <w:u w:val="single"/>
              </w:rPr>
              <w:t>和H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S去除效率分别为60.48%和81.5%；喷洒生物除臭剂，NH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r>
              <w:rPr>
                <w:rFonts w:hint="default" w:ascii="Times New Roman" w:hAnsi="Times New Roman" w:eastAsia="宋体" w:cs="Times New Roman"/>
                <w:snapToGrid w:val="0"/>
                <w:color w:val="000000"/>
                <w:spacing w:val="0"/>
                <w:w w:val="100"/>
                <w:kern w:val="0"/>
                <w:position w:val="0"/>
                <w:sz w:val="21"/>
                <w:szCs w:val="21"/>
                <w:highlight w:val="none"/>
                <w:u w:val="single"/>
              </w:rPr>
              <w:t>和H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S去除效率分别为92.6%和89%；夏季辅以水帘进一步去除恶臭</w:t>
            </w:r>
          </w:p>
        </w:tc>
        <w:tc>
          <w:tcPr>
            <w:tcW w:w="45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0.01</w:t>
            </w:r>
            <w:r>
              <w:rPr>
                <w:rFonts w:hint="eastAsia" w:cs="Times New Roman"/>
                <w:snapToGrid w:val="0"/>
                <w:color w:val="000000"/>
                <w:spacing w:val="0"/>
                <w:w w:val="100"/>
                <w:kern w:val="0"/>
                <w:position w:val="0"/>
                <w:sz w:val="21"/>
                <w:szCs w:val="21"/>
                <w:highlight w:val="none"/>
                <w:u w:val="single"/>
                <w:lang w:val="en-US" w:eastAsia="zh-CN"/>
              </w:rPr>
              <w:t>3</w:t>
            </w:r>
          </w:p>
        </w:tc>
        <w:tc>
          <w:tcPr>
            <w:tcW w:w="50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0.001</w:t>
            </w:r>
            <w:r>
              <w:rPr>
                <w:rFonts w:hint="eastAsia" w:cs="Times New Roman"/>
                <w:snapToGrid w:val="0"/>
                <w:color w:val="000000"/>
                <w:spacing w:val="0"/>
                <w:w w:val="100"/>
                <w:kern w:val="0"/>
                <w:position w:val="0"/>
                <w:sz w:val="21"/>
                <w:szCs w:val="21"/>
                <w:highlight w:val="none"/>
                <w:u w:val="single"/>
                <w:lang w:val="en-US" w:eastAsia="zh-CN"/>
              </w:rPr>
              <w:t>4</w:t>
            </w:r>
          </w:p>
        </w:tc>
        <w:tc>
          <w:tcPr>
            <w:tcW w:w="57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0.114</w:t>
            </w:r>
          </w:p>
        </w:tc>
        <w:tc>
          <w:tcPr>
            <w:tcW w:w="57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0.012</w:t>
            </w:r>
          </w:p>
        </w:tc>
      </w:tr>
    </w:tbl>
    <w:p>
      <w:pPr>
        <w:bidi w:val="0"/>
        <w:rPr>
          <w:highlight w:val="none"/>
          <w:u w:val="single"/>
        </w:rPr>
      </w:pPr>
      <w:r>
        <w:rPr>
          <w:rFonts w:hint="eastAsia"/>
          <w:highlight w:val="none"/>
          <w:u w:val="single"/>
          <w:lang w:val="en-US" w:eastAsia="zh-CN"/>
        </w:rPr>
        <w:t>2</w:t>
      </w:r>
      <w:r>
        <w:rPr>
          <w:highlight w:val="none"/>
          <w:u w:val="single"/>
        </w:rPr>
        <w:t>、</w:t>
      </w:r>
      <w:r>
        <w:rPr>
          <w:rFonts w:hint="eastAsia"/>
          <w:highlight w:val="none"/>
          <w:u w:val="single"/>
          <w:lang w:eastAsia="zh-CN"/>
        </w:rPr>
        <w:t>污水处理站</w:t>
      </w:r>
      <w:r>
        <w:rPr>
          <w:highlight w:val="none"/>
          <w:u w:val="single"/>
        </w:rPr>
        <w:t>恶臭</w:t>
      </w:r>
    </w:p>
    <w:p>
      <w:pPr>
        <w:bidi w:val="0"/>
        <w:rPr>
          <w:highlight w:val="none"/>
          <w:u w:val="single"/>
        </w:rPr>
      </w:pPr>
      <w:r>
        <w:rPr>
          <w:highlight w:val="none"/>
          <w:u w:val="single"/>
        </w:rPr>
        <w:t>根据美国EPA 对城市污水处理厂恶臭污染物产生情况的研究，每1gBOD</w:t>
      </w:r>
      <w:r>
        <w:rPr>
          <w:highlight w:val="none"/>
          <w:u w:val="single"/>
          <w:vertAlign w:val="subscript"/>
        </w:rPr>
        <w:t>5</w:t>
      </w:r>
      <w:r>
        <w:rPr>
          <w:highlight w:val="none"/>
          <w:u w:val="single"/>
        </w:rPr>
        <w:t>可产生0.0031gNH</w:t>
      </w:r>
      <w:r>
        <w:rPr>
          <w:highlight w:val="none"/>
          <w:u w:val="single"/>
          <w:vertAlign w:val="subscript"/>
        </w:rPr>
        <w:t>3</w:t>
      </w:r>
      <w:r>
        <w:rPr>
          <w:highlight w:val="none"/>
          <w:u w:val="single"/>
        </w:rPr>
        <w:t>和0.00012gH</w:t>
      </w:r>
      <w:r>
        <w:rPr>
          <w:highlight w:val="none"/>
          <w:u w:val="single"/>
          <w:vertAlign w:val="subscript"/>
        </w:rPr>
        <w:t>2</w:t>
      </w:r>
      <w:r>
        <w:rPr>
          <w:highlight w:val="none"/>
          <w:u w:val="single"/>
        </w:rPr>
        <w:t>S。为进一步减小项目污水处理过程恶臭气体对周边环境的影响，对</w:t>
      </w:r>
      <w:r>
        <w:rPr>
          <w:rFonts w:hint="eastAsia"/>
          <w:highlight w:val="none"/>
          <w:u w:val="single"/>
          <w:lang w:eastAsia="zh-CN"/>
        </w:rPr>
        <w:t>污水处理站</w:t>
      </w:r>
      <w:r>
        <w:rPr>
          <w:highlight w:val="none"/>
          <w:u w:val="single"/>
        </w:rPr>
        <w:t xml:space="preserve">喷洒除臭剂，进行场区绿化。喷洒除臭剂，加强绿化，去除效率约60%。本项目污水处理站恶臭产生及排放情况见下表 </w:t>
      </w:r>
      <w:r>
        <w:rPr>
          <w:rFonts w:hint="eastAsia"/>
          <w:highlight w:val="none"/>
          <w:u w:val="single"/>
          <w:lang w:eastAsia="zh-CN"/>
        </w:rPr>
        <w:t>4.3</w:t>
      </w:r>
      <w:r>
        <w:rPr>
          <w:highlight w:val="none"/>
          <w:u w:val="single"/>
        </w:rPr>
        <w:t>-3：</w:t>
      </w:r>
    </w:p>
    <w:p>
      <w:pPr>
        <w:pStyle w:val="7"/>
        <w:bidi w:val="0"/>
        <w:rPr>
          <w:highlight w:val="none"/>
          <w:u w:val="single"/>
        </w:rPr>
      </w:pPr>
      <w:r>
        <w:rPr>
          <w:highlight w:val="none"/>
          <w:u w:val="single"/>
        </w:rPr>
        <w:t>表</w:t>
      </w:r>
      <w:r>
        <w:rPr>
          <w:rFonts w:hint="eastAsia"/>
          <w:highlight w:val="none"/>
          <w:u w:val="single"/>
          <w:lang w:eastAsia="zh-CN"/>
        </w:rPr>
        <w:t>4.3</w:t>
      </w:r>
      <w:r>
        <w:rPr>
          <w:highlight w:val="none"/>
          <w:u w:val="single"/>
        </w:rPr>
        <w:t>-3</w:t>
      </w:r>
      <w:r>
        <w:rPr>
          <w:rFonts w:hint="eastAsia"/>
          <w:highlight w:val="none"/>
          <w:u w:val="single"/>
          <w:lang w:val="en-US" w:eastAsia="zh-CN"/>
        </w:rPr>
        <w:t xml:space="preserve"> </w:t>
      </w:r>
      <w:r>
        <w:rPr>
          <w:highlight w:val="none"/>
          <w:u w:val="single"/>
        </w:rPr>
        <w:t xml:space="preserve"> 本项目废水恶臭产排情况</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30"/>
        <w:gridCol w:w="833"/>
        <w:gridCol w:w="684"/>
        <w:gridCol w:w="801"/>
        <w:gridCol w:w="730"/>
        <w:gridCol w:w="2041"/>
        <w:gridCol w:w="774"/>
        <w:gridCol w:w="780"/>
        <w:gridCol w:w="795"/>
        <w:gridCol w:w="7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污染源</w:t>
            </w:r>
          </w:p>
        </w:tc>
        <w:tc>
          <w:tcPr>
            <w:tcW w:w="860"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污染物产生量（t/a）</w:t>
            </w:r>
          </w:p>
        </w:tc>
        <w:tc>
          <w:tcPr>
            <w:tcW w:w="868"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污染物产生</w:t>
            </w:r>
            <w:r>
              <w:rPr>
                <w:rFonts w:hint="eastAsia" w:cs="Times New Roman"/>
                <w:snapToGrid w:val="0"/>
                <w:color w:val="000000"/>
                <w:spacing w:val="0"/>
                <w:w w:val="100"/>
                <w:kern w:val="0"/>
                <w:position w:val="0"/>
                <w:sz w:val="21"/>
                <w:szCs w:val="21"/>
                <w:highlight w:val="none"/>
                <w:u w:val="single"/>
                <w:lang w:eastAsia="zh-CN"/>
              </w:rPr>
              <w:t>速率</w:t>
            </w:r>
            <w:r>
              <w:rPr>
                <w:rFonts w:hint="default" w:ascii="Times New Roman" w:hAnsi="Times New Roman" w:eastAsia="宋体" w:cs="Times New Roman"/>
                <w:snapToGrid w:val="0"/>
                <w:color w:val="000000"/>
                <w:spacing w:val="0"/>
                <w:w w:val="100"/>
                <w:kern w:val="0"/>
                <w:position w:val="0"/>
                <w:sz w:val="21"/>
                <w:szCs w:val="21"/>
                <w:highlight w:val="none"/>
                <w:u w:val="single"/>
              </w:rPr>
              <w:t>（</w:t>
            </w:r>
            <w:r>
              <w:rPr>
                <w:rFonts w:hint="eastAsia" w:cs="Times New Roman"/>
                <w:snapToGrid w:val="0"/>
                <w:color w:val="000000"/>
                <w:spacing w:val="0"/>
                <w:w w:val="100"/>
                <w:kern w:val="0"/>
                <w:position w:val="0"/>
                <w:sz w:val="21"/>
                <w:szCs w:val="21"/>
                <w:highlight w:val="none"/>
                <w:u w:val="single"/>
                <w:lang w:val="en-US" w:eastAsia="zh-CN"/>
              </w:rPr>
              <w:t>kg</w:t>
            </w:r>
            <w:r>
              <w:rPr>
                <w:rFonts w:hint="default" w:ascii="Times New Roman" w:hAnsi="Times New Roman" w:eastAsia="宋体" w:cs="Times New Roman"/>
                <w:snapToGrid w:val="0"/>
                <w:color w:val="000000"/>
                <w:spacing w:val="0"/>
                <w:w w:val="100"/>
                <w:kern w:val="0"/>
                <w:position w:val="0"/>
                <w:sz w:val="21"/>
                <w:szCs w:val="21"/>
                <w:highlight w:val="none"/>
                <w:u w:val="single"/>
              </w:rPr>
              <w:t>/</w:t>
            </w:r>
            <w:r>
              <w:rPr>
                <w:rFonts w:hint="eastAsia" w:cs="Times New Roman"/>
                <w:snapToGrid w:val="0"/>
                <w:color w:val="000000"/>
                <w:spacing w:val="0"/>
                <w:w w:val="100"/>
                <w:kern w:val="0"/>
                <w:position w:val="0"/>
                <w:sz w:val="21"/>
                <w:szCs w:val="21"/>
                <w:highlight w:val="none"/>
                <w:u w:val="single"/>
                <w:lang w:val="en-US" w:eastAsia="zh-CN"/>
              </w:rPr>
              <w:t>h</w:t>
            </w: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c>
          <w:tcPr>
            <w:tcW w:w="1157"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污染防治措施</w:t>
            </w:r>
          </w:p>
        </w:tc>
        <w:tc>
          <w:tcPr>
            <w:tcW w:w="881"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污染物排放源强（t/a）</w:t>
            </w:r>
          </w:p>
        </w:tc>
        <w:tc>
          <w:tcPr>
            <w:tcW w:w="874"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污染物</w:t>
            </w:r>
            <w:r>
              <w:rPr>
                <w:rFonts w:hint="eastAsia" w:cs="Times New Roman"/>
                <w:snapToGrid w:val="0"/>
                <w:color w:val="000000"/>
                <w:spacing w:val="0"/>
                <w:w w:val="100"/>
                <w:kern w:val="0"/>
                <w:position w:val="0"/>
                <w:sz w:val="21"/>
                <w:szCs w:val="21"/>
                <w:highlight w:val="none"/>
                <w:u w:val="single"/>
                <w:lang w:eastAsia="zh-CN"/>
              </w:rPr>
              <w:t>排放速率</w:t>
            </w:r>
            <w:r>
              <w:rPr>
                <w:rFonts w:hint="default" w:ascii="Times New Roman" w:hAnsi="Times New Roman" w:eastAsia="宋体" w:cs="Times New Roman"/>
                <w:snapToGrid w:val="0"/>
                <w:color w:val="000000"/>
                <w:spacing w:val="0"/>
                <w:w w:val="100"/>
                <w:kern w:val="0"/>
                <w:position w:val="0"/>
                <w:sz w:val="21"/>
                <w:szCs w:val="21"/>
                <w:highlight w:val="none"/>
                <w:u w:val="single"/>
              </w:rPr>
              <w:t>（</w:t>
            </w:r>
            <w:r>
              <w:rPr>
                <w:rFonts w:hint="eastAsia" w:cs="Times New Roman"/>
                <w:snapToGrid w:val="0"/>
                <w:color w:val="000000"/>
                <w:spacing w:val="0"/>
                <w:w w:val="100"/>
                <w:kern w:val="0"/>
                <w:position w:val="0"/>
                <w:sz w:val="21"/>
                <w:szCs w:val="21"/>
                <w:highlight w:val="none"/>
                <w:u w:val="single"/>
                <w:lang w:val="en-US" w:eastAsia="zh-CN"/>
              </w:rPr>
              <w:t>kg</w:t>
            </w:r>
            <w:r>
              <w:rPr>
                <w:rFonts w:hint="default" w:ascii="Times New Roman" w:hAnsi="Times New Roman" w:eastAsia="宋体" w:cs="Times New Roman"/>
                <w:snapToGrid w:val="0"/>
                <w:color w:val="000000"/>
                <w:spacing w:val="0"/>
                <w:w w:val="100"/>
                <w:kern w:val="0"/>
                <w:position w:val="0"/>
                <w:sz w:val="21"/>
                <w:szCs w:val="21"/>
                <w:highlight w:val="none"/>
                <w:u w:val="single"/>
              </w:rPr>
              <w:t>/</w:t>
            </w:r>
            <w:r>
              <w:rPr>
                <w:rFonts w:hint="eastAsia" w:cs="Times New Roman"/>
                <w:snapToGrid w:val="0"/>
                <w:color w:val="000000"/>
                <w:spacing w:val="0"/>
                <w:w w:val="100"/>
                <w:kern w:val="0"/>
                <w:position w:val="0"/>
                <w:sz w:val="21"/>
                <w:szCs w:val="21"/>
                <w:highlight w:val="none"/>
                <w:u w:val="single"/>
                <w:lang w:val="en-US" w:eastAsia="zh-CN"/>
              </w:rPr>
              <w:t>h</w:t>
            </w:r>
            <w:r>
              <w:rPr>
                <w:rFonts w:hint="default" w:ascii="Times New Roman" w:hAnsi="Times New Roman" w:eastAsia="宋体" w:cs="Times New Roman"/>
                <w:snapToGrid w:val="0"/>
                <w:color w:val="000000"/>
                <w:spacing w:val="0"/>
                <w:w w:val="100"/>
                <w:kern w:val="0"/>
                <w:position w:val="0"/>
                <w:sz w:val="21"/>
                <w:szCs w:val="21"/>
                <w:highlight w:val="none"/>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cs="Times New Roman"/>
                <w:snapToGrid w:val="0"/>
                <w:color w:val="000000"/>
                <w:spacing w:val="0"/>
                <w:w w:val="100"/>
                <w:kern w:val="0"/>
                <w:position w:val="0"/>
                <w:sz w:val="21"/>
                <w:szCs w:val="21"/>
                <w:highlight w:val="none"/>
                <w:u w:val="single"/>
                <w:lang w:eastAsia="zh-CN"/>
              </w:rPr>
              <w:t>污水处理站</w:t>
            </w:r>
          </w:p>
        </w:tc>
        <w:tc>
          <w:tcPr>
            <w:tcW w:w="47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38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45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4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1157"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3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45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42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47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0.</w:t>
            </w:r>
            <w:r>
              <w:rPr>
                <w:rFonts w:hint="eastAsia" w:cs="Times New Roman"/>
                <w:snapToGrid w:val="0"/>
                <w:color w:val="000000"/>
                <w:spacing w:val="0"/>
                <w:w w:val="100"/>
                <w:kern w:val="0"/>
                <w:position w:val="0"/>
                <w:sz w:val="21"/>
                <w:szCs w:val="21"/>
                <w:highlight w:val="none"/>
                <w:u w:val="single"/>
                <w:lang w:val="en-US" w:eastAsia="zh-CN"/>
              </w:rPr>
              <w:t>135</w:t>
            </w:r>
          </w:p>
        </w:tc>
        <w:tc>
          <w:tcPr>
            <w:tcW w:w="38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0.0</w:t>
            </w:r>
            <w:r>
              <w:rPr>
                <w:rFonts w:hint="eastAsia" w:cs="Times New Roman"/>
                <w:snapToGrid w:val="0"/>
                <w:color w:val="000000"/>
                <w:spacing w:val="0"/>
                <w:w w:val="100"/>
                <w:kern w:val="0"/>
                <w:position w:val="0"/>
                <w:sz w:val="21"/>
                <w:szCs w:val="21"/>
                <w:highlight w:val="none"/>
                <w:u w:val="single"/>
                <w:lang w:val="en-US" w:eastAsia="zh-CN"/>
              </w:rPr>
              <w:t>052</w:t>
            </w:r>
          </w:p>
        </w:tc>
        <w:tc>
          <w:tcPr>
            <w:tcW w:w="45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0.015</w:t>
            </w:r>
          </w:p>
        </w:tc>
        <w:tc>
          <w:tcPr>
            <w:tcW w:w="4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0.0006</w:t>
            </w:r>
          </w:p>
        </w:tc>
        <w:tc>
          <w:tcPr>
            <w:tcW w:w="11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喷洒除臭剂，加强绿化，去除效率约60%</w:t>
            </w:r>
          </w:p>
        </w:tc>
        <w:tc>
          <w:tcPr>
            <w:tcW w:w="43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0.0</w:t>
            </w:r>
            <w:r>
              <w:rPr>
                <w:rFonts w:hint="eastAsia" w:cs="Times New Roman"/>
                <w:snapToGrid w:val="0"/>
                <w:color w:val="000000"/>
                <w:spacing w:val="0"/>
                <w:w w:val="100"/>
                <w:kern w:val="0"/>
                <w:position w:val="0"/>
                <w:sz w:val="21"/>
                <w:szCs w:val="21"/>
                <w:highlight w:val="none"/>
                <w:u w:val="single"/>
                <w:lang w:val="en-US" w:eastAsia="zh-CN"/>
              </w:rPr>
              <w:t>54</w:t>
            </w:r>
          </w:p>
        </w:tc>
        <w:tc>
          <w:tcPr>
            <w:tcW w:w="44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rPr>
            </w:pPr>
            <w:r>
              <w:rPr>
                <w:rFonts w:hint="default" w:ascii="Times New Roman" w:hAnsi="Times New Roman" w:eastAsia="宋体" w:cs="Times New Roman"/>
                <w:snapToGrid w:val="0"/>
                <w:color w:val="000000"/>
                <w:spacing w:val="0"/>
                <w:w w:val="100"/>
                <w:kern w:val="0"/>
                <w:position w:val="0"/>
                <w:sz w:val="21"/>
                <w:szCs w:val="21"/>
                <w:highlight w:val="none"/>
                <w:u w:val="single"/>
              </w:rPr>
              <w:t>0.0</w:t>
            </w:r>
            <w:r>
              <w:rPr>
                <w:rFonts w:hint="eastAsia" w:cs="Times New Roman"/>
                <w:snapToGrid w:val="0"/>
                <w:color w:val="000000"/>
                <w:spacing w:val="0"/>
                <w:w w:val="100"/>
                <w:kern w:val="0"/>
                <w:position w:val="0"/>
                <w:sz w:val="21"/>
                <w:szCs w:val="21"/>
                <w:highlight w:val="none"/>
                <w:u w:val="single"/>
                <w:lang w:val="en-US" w:eastAsia="zh-CN"/>
              </w:rPr>
              <w:t>02</w:t>
            </w:r>
          </w:p>
        </w:tc>
        <w:tc>
          <w:tcPr>
            <w:tcW w:w="45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0.0062</w:t>
            </w:r>
          </w:p>
        </w:tc>
        <w:tc>
          <w:tcPr>
            <w:tcW w:w="42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0.0002</w:t>
            </w:r>
          </w:p>
        </w:tc>
      </w:tr>
    </w:tbl>
    <w:p>
      <w:pPr>
        <w:spacing w:before="1" w:line="241" w:lineRule="auto"/>
        <w:ind w:firstLine="119"/>
        <w:jc w:val="left"/>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5"/>
          <w:w w:val="99"/>
          <w:sz w:val="21"/>
          <w:szCs w:val="21"/>
          <w:highlight w:val="none"/>
          <w:u w:val="single"/>
        </w:rPr>
        <w:t>注：本项目</w:t>
      </w:r>
      <w:r>
        <w:rPr>
          <w:rFonts w:hint="default" w:ascii="Times New Roman" w:hAnsi="Times New Roman" w:eastAsia="宋体" w:cs="Times New Roman"/>
          <w:spacing w:val="-41"/>
          <w:sz w:val="21"/>
          <w:szCs w:val="21"/>
          <w:highlight w:val="none"/>
          <w:u w:val="single"/>
        </w:rPr>
        <w:t xml:space="preserve"> </w:t>
      </w:r>
      <w:r>
        <w:rPr>
          <w:rFonts w:hint="default" w:ascii="Times New Roman" w:hAnsi="Times New Roman" w:eastAsia="宋体" w:cs="Times New Roman"/>
          <w:spacing w:val="-5"/>
          <w:w w:val="99"/>
          <w:sz w:val="21"/>
          <w:szCs w:val="21"/>
          <w:highlight w:val="none"/>
          <w:u w:val="single"/>
        </w:rPr>
        <w:t>BOD</w:t>
      </w:r>
      <w:r>
        <w:rPr>
          <w:rFonts w:hint="default" w:ascii="Times New Roman" w:hAnsi="Times New Roman" w:eastAsia="宋体" w:cs="Times New Roman"/>
          <w:spacing w:val="-5"/>
          <w:w w:val="99"/>
          <w:position w:val="-1"/>
          <w:sz w:val="21"/>
          <w:szCs w:val="21"/>
          <w:highlight w:val="none"/>
          <w:u w:val="single"/>
          <w:vertAlign w:val="subscript"/>
        </w:rPr>
        <w:t>5</w:t>
      </w:r>
      <w:r>
        <w:rPr>
          <w:rFonts w:hint="default" w:ascii="Times New Roman" w:hAnsi="Times New Roman" w:eastAsia="宋体" w:cs="Times New Roman"/>
          <w:spacing w:val="-5"/>
          <w:w w:val="99"/>
          <w:sz w:val="21"/>
          <w:szCs w:val="21"/>
          <w:highlight w:val="none"/>
          <w:u w:val="single"/>
        </w:rPr>
        <w:t>的产生量的计算见</w:t>
      </w:r>
      <w:r>
        <w:rPr>
          <w:rFonts w:hint="default" w:ascii="Times New Roman" w:hAnsi="Times New Roman" w:eastAsia="宋体" w:cs="Times New Roman"/>
          <w:spacing w:val="-37"/>
          <w:sz w:val="21"/>
          <w:szCs w:val="21"/>
          <w:highlight w:val="none"/>
          <w:u w:val="single"/>
        </w:rPr>
        <w:t xml:space="preserve"> </w:t>
      </w:r>
      <w:r>
        <w:rPr>
          <w:rFonts w:hint="default" w:ascii="Times New Roman" w:hAnsi="Times New Roman" w:eastAsia="宋体" w:cs="Times New Roman"/>
          <w:spacing w:val="-5"/>
          <w:w w:val="99"/>
          <w:sz w:val="21"/>
          <w:szCs w:val="21"/>
          <w:highlight w:val="none"/>
          <w:u w:val="single"/>
          <w:lang w:eastAsia="zh-CN"/>
        </w:rPr>
        <w:t>4.3</w:t>
      </w:r>
      <w:r>
        <w:rPr>
          <w:rFonts w:hint="default" w:ascii="Times New Roman" w:hAnsi="Times New Roman" w:eastAsia="宋体" w:cs="Times New Roman"/>
          <w:spacing w:val="-5"/>
          <w:w w:val="99"/>
          <w:sz w:val="21"/>
          <w:szCs w:val="21"/>
          <w:highlight w:val="none"/>
          <w:u w:val="single"/>
        </w:rPr>
        <w:t>.2.2</w:t>
      </w:r>
      <w:r>
        <w:rPr>
          <w:rFonts w:hint="default" w:ascii="Times New Roman" w:hAnsi="Times New Roman" w:eastAsia="宋体" w:cs="Times New Roman"/>
          <w:spacing w:val="-1"/>
          <w:sz w:val="21"/>
          <w:szCs w:val="21"/>
          <w:highlight w:val="none"/>
          <w:u w:val="single"/>
        </w:rPr>
        <w:t xml:space="preserve"> </w:t>
      </w:r>
      <w:r>
        <w:rPr>
          <w:rFonts w:hint="default" w:ascii="Times New Roman" w:hAnsi="Times New Roman" w:eastAsia="宋体" w:cs="Times New Roman"/>
          <w:spacing w:val="-5"/>
          <w:w w:val="99"/>
          <w:sz w:val="21"/>
          <w:szCs w:val="21"/>
          <w:highlight w:val="none"/>
          <w:u w:val="single"/>
        </w:rPr>
        <w:t>一节，为</w:t>
      </w:r>
      <w:r>
        <w:rPr>
          <w:rFonts w:hint="eastAsia" w:cs="Times New Roman"/>
          <w:spacing w:val="-5"/>
          <w:w w:val="99"/>
          <w:sz w:val="21"/>
          <w:szCs w:val="21"/>
          <w:highlight w:val="none"/>
          <w:u w:val="single"/>
          <w:lang w:val="en-US" w:eastAsia="zh-CN"/>
        </w:rPr>
        <w:t>43.458</w:t>
      </w:r>
      <w:r>
        <w:rPr>
          <w:rFonts w:hint="default" w:ascii="Times New Roman" w:hAnsi="Times New Roman" w:eastAsia="宋体" w:cs="Times New Roman"/>
          <w:spacing w:val="-5"/>
          <w:w w:val="99"/>
          <w:sz w:val="21"/>
          <w:szCs w:val="21"/>
          <w:highlight w:val="none"/>
          <w:u w:val="single"/>
        </w:rPr>
        <w:t>t/a。</w:t>
      </w:r>
    </w:p>
    <w:p>
      <w:pPr>
        <w:bidi w:val="0"/>
        <w:rPr>
          <w:highlight w:val="none"/>
          <w:u w:val="single"/>
        </w:rPr>
      </w:pPr>
      <w:r>
        <w:rPr>
          <w:rFonts w:hint="eastAsia"/>
          <w:highlight w:val="none"/>
          <w:u w:val="single"/>
          <w:lang w:val="en-US" w:eastAsia="zh-CN"/>
        </w:rPr>
        <w:t>3</w:t>
      </w:r>
      <w:r>
        <w:rPr>
          <w:highlight w:val="none"/>
          <w:u w:val="single"/>
        </w:rPr>
        <w:t>、无组织恶臭气体</w:t>
      </w:r>
    </w:p>
    <w:p>
      <w:pPr>
        <w:bidi w:val="0"/>
        <w:rPr>
          <w:highlight w:val="none"/>
          <w:u w:val="single"/>
        </w:rPr>
      </w:pPr>
      <w:r>
        <w:rPr>
          <w:highlight w:val="none"/>
          <w:u w:val="single"/>
        </w:rPr>
        <w:t>类比同类项目，猪舍、污水处理系统附近臭气浓度一般较大，其值约在80～170（无量纲）之间。猪舍和</w:t>
      </w:r>
      <w:r>
        <w:rPr>
          <w:rFonts w:hint="eastAsia"/>
          <w:highlight w:val="none"/>
          <w:u w:val="single"/>
          <w:lang w:eastAsia="zh-CN"/>
        </w:rPr>
        <w:t>污水处理系统</w:t>
      </w:r>
      <w:r>
        <w:rPr>
          <w:highlight w:val="none"/>
          <w:u w:val="single"/>
        </w:rPr>
        <w:t>临近处的臭气浓度常常比较高，但浓度会随着下风处的距离增大而降低。养殖场的恶臭影响主要集中在恶臭源周围100m 内范围。距离增加四倍，臭气浓度可下降到1/10。</w:t>
      </w:r>
    </w:p>
    <w:p>
      <w:pPr>
        <w:bidi w:val="0"/>
        <w:rPr>
          <w:rFonts w:ascii="宋体" w:hAnsi="宋体" w:eastAsia="宋体" w:cs="宋体"/>
          <w:sz w:val="24"/>
          <w:szCs w:val="24"/>
          <w:highlight w:val="none"/>
          <w:u w:val="single"/>
        </w:rPr>
      </w:pPr>
      <w:r>
        <w:rPr>
          <w:highlight w:val="none"/>
          <w:u w:val="single"/>
        </w:rPr>
        <w:t>本项目所涉及的硫化氢、氨均为恶臭气体，主要由猪粪产生，通过对猪舍、</w:t>
      </w:r>
      <w:r>
        <w:rPr>
          <w:rFonts w:hint="eastAsia"/>
          <w:highlight w:val="none"/>
          <w:u w:val="single"/>
          <w:lang w:eastAsia="zh-CN"/>
        </w:rPr>
        <w:t>污水处理站</w:t>
      </w:r>
      <w:r>
        <w:rPr>
          <w:highlight w:val="none"/>
          <w:u w:val="single"/>
        </w:rPr>
        <w:t>分别采取以上措施，排放量见表</w:t>
      </w:r>
      <w:r>
        <w:rPr>
          <w:rFonts w:hint="eastAsia"/>
          <w:highlight w:val="none"/>
          <w:u w:val="single"/>
          <w:lang w:eastAsia="zh-CN"/>
        </w:rPr>
        <w:t>4.3</w:t>
      </w:r>
      <w:r>
        <w:rPr>
          <w:highlight w:val="none"/>
          <w:u w:val="single"/>
        </w:rPr>
        <w:t>-4，经类比分析臭气浓度约50，厂界臭气浓度满足《畜禽养殖业污染物排放标准》（GB18596-2001）表7要求，</w:t>
      </w:r>
      <w:r>
        <w:rPr>
          <w:rFonts w:hint="eastAsia" w:ascii="Times New Roman" w:eastAsia="宋体"/>
          <w:highlight w:val="none"/>
          <w:u w:val="single"/>
          <w:lang w:val="en-US" w:eastAsia="zh-CN"/>
        </w:rPr>
        <w:t>N</w:t>
      </w:r>
      <w:r>
        <w:rPr>
          <w:rFonts w:ascii="Times New Roman" w:hAnsi="Times New Roman" w:eastAsia="Times New Roman" w:cs="Times New Roman"/>
          <w:spacing w:val="-3"/>
          <w:sz w:val="24"/>
          <w:szCs w:val="24"/>
          <w:highlight w:val="none"/>
          <w:u w:val="single"/>
        </w:rPr>
        <w:t>H</w:t>
      </w:r>
      <w:r>
        <w:rPr>
          <w:rFonts w:hint="eastAsia" w:ascii="Times New Roman" w:hAnsi="Times New Roman" w:eastAsia="宋体" w:cs="Times New Roman"/>
          <w:spacing w:val="-3"/>
          <w:sz w:val="24"/>
          <w:szCs w:val="24"/>
          <w:highlight w:val="none"/>
          <w:u w:val="single"/>
          <w:vertAlign w:val="subscript"/>
          <w:lang w:val="en-US" w:eastAsia="zh-CN"/>
        </w:rPr>
        <w:t>3</w:t>
      </w:r>
      <w:r>
        <w:rPr>
          <w:highlight w:val="none"/>
          <w:u w:val="single"/>
        </w:rPr>
        <w:t>、H</w:t>
      </w:r>
      <w:r>
        <w:rPr>
          <w:highlight w:val="none"/>
          <w:u w:val="single"/>
          <w:vertAlign w:val="subscript"/>
        </w:rPr>
        <w:t>2</w:t>
      </w:r>
      <w:r>
        <w:rPr>
          <w:highlight w:val="none"/>
          <w:u w:val="single"/>
        </w:rPr>
        <w:t>S</w:t>
      </w:r>
      <w:r>
        <w:rPr>
          <w:rFonts w:ascii="宋体" w:hAnsi="宋体" w:eastAsia="宋体" w:cs="宋体"/>
          <w:spacing w:val="-3"/>
          <w:sz w:val="24"/>
          <w:szCs w:val="24"/>
          <w:highlight w:val="none"/>
          <w:u w:val="single"/>
        </w:rPr>
        <w:t>监控浓度限值满足《恶臭污染物排放标准》（</w:t>
      </w:r>
      <w:r>
        <w:rPr>
          <w:rFonts w:ascii="Times New Roman" w:hAnsi="Times New Roman" w:eastAsia="Times New Roman" w:cs="Times New Roman"/>
          <w:spacing w:val="-3"/>
          <w:sz w:val="24"/>
          <w:szCs w:val="24"/>
          <w:highlight w:val="none"/>
          <w:u w:val="single"/>
        </w:rPr>
        <w:t>GB14554-93</w:t>
      </w:r>
      <w:r>
        <w:rPr>
          <w:rFonts w:ascii="宋体" w:hAnsi="宋体" w:eastAsia="宋体" w:cs="宋体"/>
          <w:spacing w:val="-3"/>
          <w:sz w:val="24"/>
          <w:szCs w:val="24"/>
          <w:highlight w:val="none"/>
          <w:u w:val="single"/>
        </w:rPr>
        <w:t>）厂界无组织二级</w:t>
      </w:r>
      <w:r>
        <w:rPr>
          <w:highlight w:val="none"/>
          <w:u w:val="single"/>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-59690</wp:posOffset>
                </wp:positionV>
                <wp:extent cx="170815" cy="18034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70815" cy="180340"/>
                        </a:xfrm>
                        <a:prstGeom prst="rect">
                          <a:avLst/>
                        </a:prstGeom>
                        <a:noFill/>
                        <a:ln>
                          <a:noFill/>
                        </a:ln>
                      </wps:spPr>
                      <wps:txbx>
                        <w:txbxContent>
                          <w:p>
                            <w:pPr>
                              <w:spacing w:before="20" w:line="187" w:lineRule="auto"/>
                              <w:ind w:firstLine="20"/>
                              <w:rPr>
                                <w:rFonts w:ascii="宋体" w:hAnsi="宋体" w:eastAsia="宋体" w:cs="宋体"/>
                                <w:sz w:val="24"/>
                                <w:szCs w:val="24"/>
                              </w:rPr>
                            </w:pPr>
                            <w:r>
                              <w:rPr>
                                <w:rFonts w:ascii="宋体" w:hAnsi="宋体" w:eastAsia="宋体" w:cs="宋体"/>
                                <w:sz w:val="24"/>
                                <w:szCs w:val="24"/>
                              </w:rPr>
                              <w:t>准</w:t>
                            </w:r>
                          </w:p>
                        </w:txbxContent>
                      </wps:txbx>
                      <wps:bodyPr lIns="0" tIns="0" rIns="0" bIns="0" upright="1"/>
                    </wps:wsp>
                  </a:graphicData>
                </a:graphic>
              </wp:anchor>
            </w:drawing>
          </mc:Choice>
          <mc:Fallback>
            <w:pict>
              <v:shape id="_x0000_s1026" o:spid="_x0000_s1026" o:spt="202" type="#_x0000_t202" style="position:absolute;left:0pt;margin-left:0.25pt;margin-top:-4.7pt;height:14.2pt;width:13.45pt;z-index:251661312;mso-width-relative:page;mso-height-relative:page;" filled="f" stroked="f" coordsize="21600,21600" o:gfxdata="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e+KRdQAAAAFAQAADwAAAAAAAAABACAAAAAiAAAAZHJzL2Rvd25yZXYueG1sUEsBAhQAFAAA&#10;AAgAh07iQIo32W66AQAAcwMAAA4AAAAAAAAAAQAgAAAAIwEAAGRycy9lMm9Eb2MueG1sUEsFBgAA&#10;AAAGAAYAWQEAAE8FAAAAAA==&#10;">
                <v:fill on="f" focussize="0,0"/>
                <v:stroke on="f"/>
                <v:imagedata o:title=""/>
                <o:lock v:ext="edit" aspectratio="f"/>
                <v:textbox inset="0mm,0mm,0mm,0mm">
                  <w:txbxContent>
                    <w:p>
                      <w:pPr>
                        <w:spacing w:before="20" w:line="187" w:lineRule="auto"/>
                        <w:ind w:firstLine="20"/>
                        <w:rPr>
                          <w:rFonts w:ascii="宋体" w:hAnsi="宋体" w:eastAsia="宋体" w:cs="宋体"/>
                          <w:sz w:val="24"/>
                          <w:szCs w:val="24"/>
                        </w:rPr>
                      </w:pPr>
                      <w:r>
                        <w:rPr>
                          <w:rFonts w:ascii="宋体" w:hAnsi="宋体" w:eastAsia="宋体" w:cs="宋体"/>
                          <w:sz w:val="24"/>
                          <w:szCs w:val="24"/>
                        </w:rPr>
                        <w:t>准</w:t>
                      </w:r>
                    </w:p>
                  </w:txbxContent>
                </v:textbox>
              </v:shape>
            </w:pict>
          </mc:Fallback>
        </mc:AlternateContent>
      </w:r>
      <w:r>
        <w:rPr>
          <w:rFonts w:hint="eastAsia" w:ascii="宋体" w:hAnsi="宋体" w:eastAsia="宋体" w:cs="宋体"/>
          <w:spacing w:val="-3"/>
          <w:sz w:val="24"/>
          <w:szCs w:val="24"/>
          <w:highlight w:val="none"/>
          <w:u w:val="single"/>
          <w:lang w:eastAsia="zh-CN"/>
        </w:rPr>
        <w:t>标准</w:t>
      </w:r>
      <w:r>
        <w:rPr>
          <w:rFonts w:ascii="宋体" w:hAnsi="宋体" w:eastAsia="宋体" w:cs="宋体"/>
          <w:sz w:val="24"/>
          <w:szCs w:val="24"/>
          <w:highlight w:val="none"/>
          <w:u w:val="single"/>
        </w:rPr>
        <w:t>。</w:t>
      </w:r>
    </w:p>
    <w:p>
      <w:pPr>
        <w:bidi w:val="0"/>
        <w:rPr>
          <w:highlight w:val="none"/>
          <w:u w:val="single"/>
        </w:rPr>
      </w:pPr>
      <w:r>
        <w:rPr>
          <w:highlight w:val="none"/>
          <w:u w:val="single"/>
        </w:rPr>
        <w:t>另外，从本项目场址与周围敏感点的距离来看，与最近的敏感点—</w:t>
      </w:r>
      <w:r>
        <w:rPr>
          <w:rFonts w:hint="eastAsia"/>
          <w:highlight w:val="none"/>
          <w:u w:val="single"/>
          <w:lang w:eastAsia="zh-CN"/>
        </w:rPr>
        <w:t>南泥湾居民</w:t>
      </w:r>
      <w:r>
        <w:rPr>
          <w:highlight w:val="none"/>
          <w:u w:val="single"/>
        </w:rPr>
        <w:t>距离</w:t>
      </w:r>
      <w:r>
        <w:rPr>
          <w:rFonts w:hint="eastAsia"/>
          <w:highlight w:val="none"/>
          <w:u w:val="single"/>
          <w:lang w:val="en-US" w:eastAsia="zh-CN"/>
        </w:rPr>
        <w:t>20</w:t>
      </w:r>
      <w:r>
        <w:rPr>
          <w:highlight w:val="none"/>
          <w:u w:val="single"/>
        </w:rPr>
        <w:t>0m，且位于主导风向的上风向，不会对周围敏感点产生明显污染影响。</w:t>
      </w:r>
    </w:p>
    <w:p>
      <w:pPr>
        <w:pStyle w:val="7"/>
        <w:bidi w:val="0"/>
        <w:rPr>
          <w:highlight w:val="none"/>
          <w:u w:val="single"/>
        </w:rPr>
      </w:pPr>
      <w:r>
        <w:rPr>
          <w:highlight w:val="none"/>
          <w:u w:val="single"/>
        </w:rPr>
        <w:t>表</w:t>
      </w:r>
      <w:r>
        <w:rPr>
          <w:rFonts w:hint="eastAsia"/>
          <w:highlight w:val="none"/>
          <w:u w:val="single"/>
          <w:lang w:eastAsia="zh-CN"/>
        </w:rPr>
        <w:t>4.3</w:t>
      </w:r>
      <w:r>
        <w:rPr>
          <w:highlight w:val="none"/>
          <w:u w:val="single"/>
        </w:rPr>
        <w:t>-4  废气产生排放情况一览表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596"/>
        <w:gridCol w:w="1535"/>
        <w:gridCol w:w="1662"/>
        <w:gridCol w:w="30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7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项目</w:t>
            </w: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污染物</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kg/h</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72"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养殖区猪舍</w:t>
            </w: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0.01</w:t>
            </w:r>
            <w:r>
              <w:rPr>
                <w:rFonts w:hint="eastAsia" w:cs="Times New Roman"/>
                <w:snapToGrid w:val="0"/>
                <w:color w:val="000000"/>
                <w:spacing w:val="0"/>
                <w:w w:val="100"/>
                <w:kern w:val="0"/>
                <w:position w:val="0"/>
                <w:sz w:val="21"/>
                <w:szCs w:val="21"/>
                <w:highlight w:val="none"/>
                <w:u w:val="single"/>
                <w:lang w:val="en-US" w:eastAsia="zh-CN"/>
              </w:rPr>
              <w:t>3</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0.114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7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0.001</w:t>
            </w:r>
            <w:r>
              <w:rPr>
                <w:rFonts w:hint="eastAsia" w:cs="Times New Roman"/>
                <w:snapToGrid w:val="0"/>
                <w:color w:val="000000"/>
                <w:spacing w:val="0"/>
                <w:w w:val="100"/>
                <w:kern w:val="0"/>
                <w:position w:val="0"/>
                <w:sz w:val="21"/>
                <w:szCs w:val="21"/>
                <w:highlight w:val="none"/>
                <w:u w:val="single"/>
                <w:lang w:val="en-US" w:eastAsia="zh-CN"/>
              </w:rPr>
              <w:t>4</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72"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污水处理区</w:t>
            </w: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0.00</w:t>
            </w:r>
            <w:r>
              <w:rPr>
                <w:rFonts w:hint="eastAsia" w:cs="Times New Roman"/>
                <w:snapToGrid w:val="0"/>
                <w:color w:val="000000"/>
                <w:spacing w:val="0"/>
                <w:w w:val="100"/>
                <w:kern w:val="0"/>
                <w:position w:val="0"/>
                <w:sz w:val="21"/>
                <w:szCs w:val="21"/>
                <w:highlight w:val="none"/>
                <w:u w:val="single"/>
                <w:lang w:val="en-US" w:eastAsia="zh-CN"/>
              </w:rPr>
              <w:t>62</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0.054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7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0.000</w:t>
            </w:r>
            <w:r>
              <w:rPr>
                <w:rFonts w:hint="eastAsia" w:cs="Times New Roman"/>
                <w:snapToGrid w:val="0"/>
                <w:color w:val="000000"/>
                <w:spacing w:val="0"/>
                <w:w w:val="100"/>
                <w:kern w:val="0"/>
                <w:position w:val="0"/>
                <w:sz w:val="21"/>
                <w:szCs w:val="21"/>
                <w:highlight w:val="none"/>
                <w:u w:val="single"/>
                <w:lang w:val="en-US" w:eastAsia="zh-CN"/>
              </w:rPr>
              <w:t>2</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72"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合计</w:t>
            </w: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cs="Times New Roman"/>
                <w:snapToGrid w:val="0"/>
                <w:color w:val="000000"/>
                <w:spacing w:val="0"/>
                <w:w w:val="100"/>
                <w:kern w:val="0"/>
                <w:position w:val="0"/>
                <w:sz w:val="21"/>
                <w:szCs w:val="21"/>
                <w:highlight w:val="none"/>
                <w:u w:val="single"/>
                <w:lang w:val="en-US" w:eastAsia="zh-CN" w:bidi="ar-SA"/>
              </w:rPr>
              <w:t>0.0192</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bidi="ar-SA"/>
              </w:rPr>
            </w:pPr>
            <w:r>
              <w:rPr>
                <w:rFonts w:hint="eastAsia" w:cs="Times New Roman"/>
                <w:snapToGrid w:val="0"/>
                <w:color w:val="000000"/>
                <w:spacing w:val="0"/>
                <w:w w:val="100"/>
                <w:kern w:val="0"/>
                <w:position w:val="0"/>
                <w:sz w:val="21"/>
                <w:szCs w:val="21"/>
                <w:highlight w:val="none"/>
                <w:u w:val="single"/>
                <w:lang w:val="en-US" w:eastAsia="zh-CN" w:bidi="ar-SA"/>
              </w:rPr>
              <w:t>0.168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7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87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94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0.0016</w:t>
            </w:r>
          </w:p>
        </w:tc>
        <w:tc>
          <w:tcPr>
            <w:tcW w:w="171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0.014</w:t>
            </w:r>
          </w:p>
        </w:tc>
      </w:tr>
    </w:tbl>
    <w:p>
      <w:pPr>
        <w:spacing w:line="31" w:lineRule="exact"/>
        <w:rPr>
          <w:highlight w:val="none"/>
          <w:u w:val="single"/>
        </w:rPr>
      </w:pPr>
    </w:p>
    <w:p>
      <w:pPr>
        <w:pStyle w:val="6"/>
        <w:bidi w:val="0"/>
        <w:rPr>
          <w:highlight w:val="none"/>
        </w:rPr>
      </w:pPr>
      <w:r>
        <w:rPr>
          <w:rFonts w:hint="eastAsia"/>
          <w:highlight w:val="none"/>
          <w:lang w:val="en-US" w:eastAsia="zh-CN"/>
        </w:rPr>
        <w:t xml:space="preserve">4.3.2.1.2  </w:t>
      </w:r>
      <w:r>
        <w:rPr>
          <w:highlight w:val="none"/>
        </w:rPr>
        <w:t>食堂油烟</w:t>
      </w:r>
    </w:p>
    <w:p>
      <w:pPr>
        <w:bidi w:val="0"/>
        <w:rPr>
          <w:highlight w:val="none"/>
        </w:rPr>
      </w:pPr>
      <w:r>
        <w:rPr>
          <w:highlight w:val="none"/>
        </w:rPr>
        <w:t>厨房油烟废气主要成分是动植物油烟。据统计，目前居民人均食用油用量约30g/ 人·d，一般油烟挥发量占总耗油量的 2～4%（本项目取 3%）。根据建设方提供的资料，本项目拟用劳动定员5人。项目油烟产生量为</w:t>
      </w:r>
      <w:r>
        <w:rPr>
          <w:rFonts w:hint="eastAsia"/>
          <w:highlight w:val="none"/>
          <w:lang w:val="en-US" w:eastAsia="zh-CN"/>
        </w:rPr>
        <w:t>1.643</w:t>
      </w:r>
      <w:r>
        <w:rPr>
          <w:highlight w:val="none"/>
        </w:rPr>
        <w:t>kg/a 。项目食堂内设有</w:t>
      </w:r>
      <w:r>
        <w:rPr>
          <w:rFonts w:hint="eastAsia"/>
          <w:highlight w:val="none"/>
          <w:lang w:val="en-US" w:eastAsia="zh-CN"/>
        </w:rPr>
        <w:t>1</w:t>
      </w:r>
      <w:r>
        <w:rPr>
          <w:highlight w:val="none"/>
        </w:rPr>
        <w:t>个 灶头，食堂油烟由静电式油烟净化器处理后由烟道引至高于楼顶3m处排放，排放口避开受影响的建筑物。油烟净化器的处理效率约70%，单灶头排风量约为2000m</w:t>
      </w:r>
      <w:r>
        <w:rPr>
          <w:highlight w:val="none"/>
          <w:vertAlign w:val="superscript"/>
        </w:rPr>
        <w:t>3</w:t>
      </w:r>
      <w:r>
        <w:rPr>
          <w:highlight w:val="none"/>
        </w:rPr>
        <w:t>/h，每天的工作时间按3h计算，项目油烟排放量为：</w:t>
      </w:r>
      <w:r>
        <w:rPr>
          <w:rFonts w:hint="eastAsia"/>
          <w:highlight w:val="none"/>
          <w:lang w:val="en-US" w:eastAsia="zh-CN"/>
        </w:rPr>
        <w:t>0.493</w:t>
      </w:r>
      <w:r>
        <w:rPr>
          <w:highlight w:val="none"/>
        </w:rPr>
        <w:t>kg/a，排放浓度为0.</w:t>
      </w:r>
      <w:r>
        <w:rPr>
          <w:rFonts w:hint="eastAsia"/>
          <w:highlight w:val="none"/>
          <w:lang w:val="en-US" w:eastAsia="zh-CN"/>
        </w:rPr>
        <w:t>225</w:t>
      </w:r>
      <w:r>
        <w:rPr>
          <w:highlight w:val="none"/>
        </w:rPr>
        <w:t>mg/m</w:t>
      </w:r>
      <w:r>
        <w:rPr>
          <w:highlight w:val="none"/>
          <w:vertAlign w:val="superscript"/>
        </w:rPr>
        <w:t>3</w:t>
      </w:r>
      <w:r>
        <w:rPr>
          <w:highlight w:val="none"/>
        </w:rPr>
        <w:t>。</w:t>
      </w:r>
    </w:p>
    <w:p>
      <w:pPr>
        <w:pStyle w:val="6"/>
        <w:bidi w:val="0"/>
        <w:rPr>
          <w:highlight w:val="none"/>
          <w:u w:val="single"/>
        </w:rPr>
      </w:pPr>
      <w:r>
        <w:rPr>
          <w:rFonts w:hint="eastAsia"/>
          <w:highlight w:val="none"/>
          <w:lang w:eastAsia="zh-CN"/>
        </w:rPr>
        <w:t>4</w:t>
      </w:r>
      <w:r>
        <w:rPr>
          <w:rFonts w:hint="eastAsia"/>
          <w:highlight w:val="none"/>
          <w:u w:val="single"/>
          <w:lang w:eastAsia="zh-CN"/>
        </w:rPr>
        <w:t>.3</w:t>
      </w:r>
      <w:r>
        <w:rPr>
          <w:highlight w:val="none"/>
          <w:u w:val="single"/>
        </w:rPr>
        <w:t xml:space="preserve">.2.2 </w:t>
      </w:r>
      <w:r>
        <w:rPr>
          <w:rFonts w:hint="eastAsia"/>
          <w:highlight w:val="none"/>
          <w:u w:val="single"/>
          <w:lang w:val="en-US" w:eastAsia="zh-CN"/>
        </w:rPr>
        <w:t xml:space="preserve"> </w:t>
      </w:r>
      <w:r>
        <w:rPr>
          <w:highlight w:val="none"/>
          <w:u w:val="single"/>
        </w:rPr>
        <w:t>废水</w:t>
      </w:r>
    </w:p>
    <w:p>
      <w:pPr>
        <w:bidi w:val="0"/>
        <w:rPr>
          <w:highlight w:val="none"/>
          <w:u w:val="single"/>
        </w:rPr>
      </w:pPr>
      <w:r>
        <w:rPr>
          <w:highlight w:val="none"/>
          <w:u w:val="single"/>
        </w:rPr>
        <w:t>本项目运营期产生的废水主要有猪尿、猪舍冲洗废水、</w:t>
      </w:r>
      <w:r>
        <w:rPr>
          <w:rFonts w:hint="eastAsia"/>
          <w:highlight w:val="none"/>
          <w:u w:val="single"/>
          <w:lang w:eastAsia="zh-CN"/>
        </w:rPr>
        <w:t>消毒废水、</w:t>
      </w:r>
      <w:r>
        <w:rPr>
          <w:highlight w:val="none"/>
          <w:u w:val="single"/>
        </w:rPr>
        <w:t>员工生活废水。猪尿、猪舍冲洗废水</w:t>
      </w:r>
      <w:r>
        <w:rPr>
          <w:rFonts w:hint="eastAsia"/>
          <w:highlight w:val="none"/>
          <w:u w:val="single"/>
          <w:lang w:eastAsia="zh-CN"/>
        </w:rPr>
        <w:t>、消毒废水</w:t>
      </w:r>
      <w:r>
        <w:rPr>
          <w:highlight w:val="none"/>
          <w:u w:val="single"/>
        </w:rPr>
        <w:t>统称为项目养殖生产废水。因此本项主要废水源为养殖废水和生活污水。</w:t>
      </w:r>
      <w:r>
        <w:rPr>
          <w:rFonts w:hint="eastAsia"/>
          <w:highlight w:val="none"/>
          <w:u w:val="single"/>
          <w:lang w:eastAsia="zh-CN"/>
        </w:rPr>
        <w:t>养殖废水</w:t>
      </w:r>
      <w:r>
        <w:rPr>
          <w:highlight w:val="none"/>
          <w:u w:val="single"/>
        </w:rPr>
        <w:t>产生量为</w:t>
      </w:r>
      <w:r>
        <w:rPr>
          <w:rFonts w:hint="eastAsia"/>
          <w:highlight w:val="none"/>
          <w:u w:val="single"/>
          <w:lang w:val="en-US" w:eastAsia="zh-CN"/>
        </w:rPr>
        <w:t>27283.75</w:t>
      </w:r>
      <w:r>
        <w:rPr>
          <w:highlight w:val="none"/>
          <w:u w:val="single"/>
        </w:rPr>
        <w:t>m</w:t>
      </w:r>
      <w:r>
        <w:rPr>
          <w:highlight w:val="none"/>
          <w:u w:val="single"/>
          <w:vertAlign w:val="superscript"/>
        </w:rPr>
        <w:t>3</w:t>
      </w:r>
      <w:r>
        <w:rPr>
          <w:highlight w:val="none"/>
          <w:u w:val="single"/>
        </w:rPr>
        <w:t>/a</w:t>
      </w:r>
      <w:r>
        <w:rPr>
          <w:rFonts w:hint="eastAsia"/>
          <w:highlight w:val="none"/>
          <w:u w:val="single"/>
          <w:lang w:eastAsia="zh-CN"/>
        </w:rPr>
        <w:t>（</w:t>
      </w:r>
      <w:r>
        <w:rPr>
          <w:rFonts w:hint="eastAsia"/>
          <w:highlight w:val="none"/>
          <w:u w:val="single"/>
          <w:lang w:val="en-US" w:eastAsia="zh-CN"/>
        </w:rPr>
        <w:t>74.75</w:t>
      </w:r>
      <w:r>
        <w:rPr>
          <w:highlight w:val="none"/>
          <w:u w:val="single"/>
        </w:rPr>
        <w:t>m</w:t>
      </w:r>
      <w:r>
        <w:rPr>
          <w:highlight w:val="none"/>
          <w:u w:val="single"/>
          <w:vertAlign w:val="superscript"/>
        </w:rPr>
        <w:t>3</w:t>
      </w:r>
      <w:r>
        <w:rPr>
          <w:highlight w:val="none"/>
          <w:u w:val="single"/>
        </w:rPr>
        <w:t>/d</w:t>
      </w:r>
      <w:r>
        <w:rPr>
          <w:rFonts w:hint="eastAsia"/>
          <w:highlight w:val="none"/>
          <w:u w:val="single"/>
          <w:lang w:eastAsia="zh-CN"/>
        </w:rPr>
        <w:t>）</w:t>
      </w:r>
      <w:r>
        <w:rPr>
          <w:highlight w:val="none"/>
          <w:u w:val="single"/>
        </w:rPr>
        <w:t>；生活污水产生量为</w:t>
      </w:r>
      <w:r>
        <w:rPr>
          <w:rFonts w:hint="eastAsia"/>
          <w:highlight w:val="none"/>
          <w:u w:val="single"/>
          <w:lang w:val="en-US" w:eastAsia="zh-CN"/>
        </w:rPr>
        <w:t>151.84</w:t>
      </w:r>
      <w:r>
        <w:rPr>
          <w:highlight w:val="none"/>
          <w:u w:val="single"/>
        </w:rPr>
        <w:t>m</w:t>
      </w:r>
      <w:r>
        <w:rPr>
          <w:highlight w:val="none"/>
          <w:u w:val="single"/>
          <w:vertAlign w:val="superscript"/>
        </w:rPr>
        <w:t>3</w:t>
      </w:r>
      <w:r>
        <w:rPr>
          <w:highlight w:val="none"/>
          <w:u w:val="single"/>
        </w:rPr>
        <w:t>/a</w:t>
      </w:r>
      <w:r>
        <w:rPr>
          <w:rFonts w:hint="eastAsia"/>
          <w:highlight w:val="none"/>
          <w:u w:val="single"/>
          <w:lang w:eastAsia="zh-CN"/>
        </w:rPr>
        <w:t>（</w:t>
      </w:r>
      <w:r>
        <w:rPr>
          <w:rFonts w:hint="eastAsia"/>
          <w:highlight w:val="none"/>
          <w:u w:val="single"/>
          <w:lang w:val="en-US" w:eastAsia="zh-CN"/>
        </w:rPr>
        <w:t>0.416</w:t>
      </w:r>
      <w:r>
        <w:rPr>
          <w:highlight w:val="none"/>
          <w:u w:val="single"/>
        </w:rPr>
        <w:t>m</w:t>
      </w:r>
      <w:r>
        <w:rPr>
          <w:highlight w:val="none"/>
          <w:u w:val="single"/>
          <w:vertAlign w:val="superscript"/>
        </w:rPr>
        <w:t>3</w:t>
      </w:r>
      <w:r>
        <w:rPr>
          <w:highlight w:val="none"/>
          <w:u w:val="single"/>
        </w:rPr>
        <w:t>/d</w:t>
      </w:r>
      <w:r>
        <w:rPr>
          <w:rFonts w:hint="eastAsia"/>
          <w:highlight w:val="none"/>
          <w:u w:val="single"/>
          <w:lang w:eastAsia="zh-CN"/>
        </w:rPr>
        <w:t>）</w:t>
      </w:r>
      <w:r>
        <w:rPr>
          <w:highlight w:val="none"/>
          <w:u w:val="single"/>
        </w:rPr>
        <w:t>。</w:t>
      </w:r>
    </w:p>
    <w:p>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single"/>
          <w:lang w:val="en-US" w:eastAsia="zh-CN" w:bidi="ar"/>
        </w:rPr>
        <w:t>（1）养殖废水</w:t>
      </w:r>
    </w:p>
    <w:p>
      <w:pPr>
        <w:keepNext w:val="0"/>
        <w:keepLines w:val="0"/>
        <w:widowControl/>
        <w:suppressLineNumbers w:val="0"/>
        <w:jc w:val="left"/>
        <w:rPr>
          <w:highlight w:val="none"/>
          <w:u w:val="single"/>
        </w:rPr>
      </w:pPr>
      <w:r>
        <w:rPr>
          <w:rFonts w:hint="eastAsia" w:ascii="宋体" w:hAnsi="宋体" w:eastAsia="宋体" w:cs="宋体"/>
          <w:color w:val="000000"/>
          <w:kern w:val="0"/>
          <w:sz w:val="24"/>
          <w:szCs w:val="24"/>
          <w:highlight w:val="none"/>
          <w:u w:val="single"/>
          <w:lang w:val="en-US" w:eastAsia="zh-CN" w:bidi="ar"/>
        </w:rPr>
        <w:t>本项目采取干清粪工艺，参考《畜禽养殖污染防治最佳可行技术指南（试行）编制说明（征求意见稿）》中“表</w:t>
      </w:r>
      <w:r>
        <w:rPr>
          <w:rFonts w:hint="default" w:ascii="Times New Roman" w:hAnsi="Times New Roman" w:eastAsia="宋体" w:cs="Times New Roman"/>
          <w:color w:val="000000"/>
          <w:kern w:val="0"/>
          <w:sz w:val="24"/>
          <w:szCs w:val="24"/>
          <w:highlight w:val="none"/>
          <w:u w:val="single"/>
          <w:lang w:val="en-US" w:eastAsia="zh-CN" w:bidi="ar"/>
        </w:rPr>
        <w:t>6.12</w:t>
      </w:r>
      <w:r>
        <w:rPr>
          <w:rFonts w:hint="eastAsia" w:ascii="宋体" w:hAnsi="宋体" w:eastAsia="宋体" w:cs="宋体"/>
          <w:color w:val="000000"/>
          <w:kern w:val="0"/>
          <w:sz w:val="24"/>
          <w:szCs w:val="24"/>
          <w:highlight w:val="none"/>
          <w:u w:val="single"/>
          <w:lang w:val="en-US" w:eastAsia="zh-CN" w:bidi="ar"/>
        </w:rPr>
        <w:t xml:space="preserve">养殖场污水成分”和“表 </w:t>
      </w:r>
      <w:r>
        <w:rPr>
          <w:rFonts w:hint="default" w:ascii="Times New Roman" w:hAnsi="Times New Roman" w:eastAsia="宋体" w:cs="Times New Roman"/>
          <w:color w:val="000000"/>
          <w:kern w:val="0"/>
          <w:sz w:val="24"/>
          <w:szCs w:val="24"/>
          <w:highlight w:val="none"/>
          <w:u w:val="single"/>
          <w:lang w:val="en-US" w:eastAsia="zh-CN" w:bidi="ar"/>
        </w:rPr>
        <w:t xml:space="preserve">6.13 </w:t>
      </w:r>
      <w:r>
        <w:rPr>
          <w:rFonts w:hint="eastAsia" w:ascii="宋体" w:hAnsi="宋体" w:eastAsia="宋体" w:cs="宋体"/>
          <w:color w:val="000000"/>
          <w:kern w:val="0"/>
          <w:sz w:val="24"/>
          <w:szCs w:val="24"/>
          <w:highlight w:val="none"/>
          <w:u w:val="single"/>
          <w:lang w:val="en-US" w:eastAsia="zh-CN" w:bidi="ar"/>
        </w:rPr>
        <w:t>各类养殖场废水中污染物浓度”相关统计数据、《畜禽养殖业污染治理工程技术规范》（</w:t>
      </w:r>
      <w:r>
        <w:rPr>
          <w:rFonts w:hint="default" w:ascii="Times New Roman" w:hAnsi="Times New Roman" w:eastAsia="宋体" w:cs="Times New Roman"/>
          <w:color w:val="000000"/>
          <w:kern w:val="0"/>
          <w:sz w:val="24"/>
          <w:szCs w:val="24"/>
          <w:highlight w:val="none"/>
          <w:u w:val="single"/>
          <w:lang w:val="en-US" w:eastAsia="zh-CN" w:bidi="ar"/>
        </w:rPr>
        <w:t>HJ 497-2009</w:t>
      </w:r>
      <w:r>
        <w:rPr>
          <w:rFonts w:hint="eastAsia" w:ascii="宋体" w:hAnsi="宋体" w:eastAsia="宋体" w:cs="宋体"/>
          <w:color w:val="000000"/>
          <w:kern w:val="0"/>
          <w:sz w:val="24"/>
          <w:szCs w:val="24"/>
          <w:highlight w:val="none"/>
          <w:u w:val="single"/>
          <w:lang w:val="en-US" w:eastAsia="zh-CN" w:bidi="ar"/>
        </w:rPr>
        <w:t xml:space="preserve">）中表 </w:t>
      </w:r>
      <w:r>
        <w:rPr>
          <w:rFonts w:hint="default" w:ascii="Times New Roman" w:hAnsi="Times New Roman" w:eastAsia="宋体" w:cs="Times New Roman"/>
          <w:color w:val="000000"/>
          <w:kern w:val="0"/>
          <w:sz w:val="24"/>
          <w:szCs w:val="24"/>
          <w:highlight w:val="none"/>
          <w:u w:val="single"/>
          <w:lang w:val="en-US" w:eastAsia="zh-CN" w:bidi="ar"/>
        </w:rPr>
        <w:t xml:space="preserve">A.1 </w:t>
      </w:r>
      <w:r>
        <w:rPr>
          <w:rFonts w:hint="eastAsia" w:ascii="宋体" w:hAnsi="宋体" w:eastAsia="宋体" w:cs="宋体"/>
          <w:color w:val="000000"/>
          <w:kern w:val="0"/>
          <w:sz w:val="24"/>
          <w:szCs w:val="24"/>
          <w:highlight w:val="none"/>
          <w:u w:val="single"/>
          <w:lang w:val="en-US" w:eastAsia="zh-CN" w:bidi="ar"/>
        </w:rPr>
        <w:t>对干清粪工艺的养猪废水水质情况以及《规模化养猪场粪污综合处理的试验研究》（农业工程学报，高增月等）、《不同来源水样中蛔虫卵的检出》（张小琼、张皓等）等设计资料及文献的试验研究，项目养殖废水中各污染物产生浓度为：</w:t>
      </w:r>
      <w:r>
        <w:rPr>
          <w:rFonts w:hint="default" w:ascii="Times New Roman" w:hAnsi="Times New Roman" w:eastAsia="宋体" w:cs="Times New Roman"/>
          <w:color w:val="000000"/>
          <w:kern w:val="0"/>
          <w:sz w:val="24"/>
          <w:szCs w:val="24"/>
          <w:highlight w:val="none"/>
          <w:u w:val="single"/>
          <w:lang w:val="en-US" w:eastAsia="zh-CN" w:bidi="ar"/>
        </w:rPr>
        <w:t>COD 2640mg/L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BOD</w:t>
      </w:r>
      <w:r>
        <w:rPr>
          <w:rFonts w:hint="default" w:ascii="Times New Roman" w:hAnsi="Times New Roman" w:eastAsia="宋体" w:cs="Times New Roman"/>
          <w:color w:val="000000"/>
          <w:kern w:val="0"/>
          <w:sz w:val="15"/>
          <w:szCs w:val="15"/>
          <w:highlight w:val="none"/>
          <w:u w:val="single"/>
          <w:lang w:val="en-US" w:eastAsia="zh-CN" w:bidi="ar"/>
        </w:rPr>
        <w:t xml:space="preserve">5 </w:t>
      </w:r>
      <w:r>
        <w:rPr>
          <w:rFonts w:hint="default" w:ascii="Times New Roman" w:hAnsi="Times New Roman" w:eastAsia="宋体" w:cs="Times New Roman"/>
          <w:color w:val="000000"/>
          <w:kern w:val="0"/>
          <w:sz w:val="24"/>
          <w:szCs w:val="24"/>
          <w:highlight w:val="none"/>
          <w:u w:val="single"/>
          <w:lang w:val="en-US" w:eastAsia="zh-CN" w:bidi="ar"/>
        </w:rPr>
        <w:t>1300mg/L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SS 800mg/L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NH</w:t>
      </w:r>
      <w:r>
        <w:rPr>
          <w:rFonts w:hint="default" w:ascii="Times New Roman" w:hAnsi="Times New Roman" w:eastAsia="宋体" w:cs="Times New Roman"/>
          <w:color w:val="000000"/>
          <w:kern w:val="0"/>
          <w:sz w:val="15"/>
          <w:szCs w:val="15"/>
          <w:highlight w:val="none"/>
          <w:u w:val="single"/>
          <w:lang w:val="en-US" w:eastAsia="zh-CN" w:bidi="ar"/>
        </w:rPr>
        <w:t>3</w:t>
      </w:r>
      <w:r>
        <w:rPr>
          <w:rFonts w:hint="default" w:ascii="Times New Roman" w:hAnsi="Times New Roman" w:eastAsia="宋体" w:cs="Times New Roman"/>
          <w:color w:val="000000"/>
          <w:kern w:val="0"/>
          <w:sz w:val="24"/>
          <w:szCs w:val="24"/>
          <w:highlight w:val="none"/>
          <w:u w:val="single"/>
          <w:lang w:val="en-US" w:eastAsia="zh-CN" w:bidi="ar"/>
        </w:rPr>
        <w:t xml:space="preserve">-N </w:t>
      </w:r>
      <w:r>
        <w:rPr>
          <w:rFonts w:hint="eastAsia" w:ascii="Times New Roman" w:hAnsi="Times New Roman" w:eastAsia="宋体" w:cs="Times New Roman"/>
          <w:color w:val="000000"/>
          <w:kern w:val="0"/>
          <w:sz w:val="24"/>
          <w:szCs w:val="24"/>
          <w:highlight w:val="none"/>
          <w:u w:val="single"/>
          <w:lang w:val="en-US" w:eastAsia="zh-CN" w:bidi="ar"/>
        </w:rPr>
        <w:t>2</w:t>
      </w:r>
      <w:r>
        <w:rPr>
          <w:rFonts w:hint="default" w:ascii="Times New Roman" w:hAnsi="Times New Roman" w:eastAsia="宋体" w:cs="Times New Roman"/>
          <w:color w:val="000000"/>
          <w:kern w:val="0"/>
          <w:sz w:val="24"/>
          <w:szCs w:val="24"/>
          <w:highlight w:val="none"/>
          <w:u w:val="single"/>
          <w:lang w:val="en-US" w:eastAsia="zh-CN" w:bidi="ar"/>
        </w:rPr>
        <w:t>61mg/L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TN 370mg/L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TP 43.5mg/L</w:t>
      </w:r>
      <w:r>
        <w:rPr>
          <w:rFonts w:hint="eastAsia" w:ascii="宋体" w:hAnsi="宋体" w:eastAsia="宋体" w:cs="宋体"/>
          <w:color w:val="000000"/>
          <w:kern w:val="0"/>
          <w:sz w:val="24"/>
          <w:szCs w:val="24"/>
          <w:highlight w:val="none"/>
          <w:u w:val="single"/>
          <w:lang w:val="en-US" w:eastAsia="zh-CN" w:bidi="ar"/>
        </w:rPr>
        <w:t xml:space="preserve">、粪大肠菌群数 </w:t>
      </w:r>
      <w:r>
        <w:rPr>
          <w:rFonts w:hint="default" w:ascii="Times New Roman" w:hAnsi="Times New Roman" w:eastAsia="宋体" w:cs="Times New Roman"/>
          <w:color w:val="000000"/>
          <w:kern w:val="0"/>
          <w:sz w:val="24"/>
          <w:szCs w:val="24"/>
          <w:highlight w:val="none"/>
          <w:u w:val="single"/>
          <w:lang w:val="en-US" w:eastAsia="zh-CN" w:bidi="ar"/>
        </w:rPr>
        <w:t>2×10</w:t>
      </w:r>
      <w:r>
        <w:rPr>
          <w:rFonts w:hint="eastAsia" w:ascii="Times New Roman" w:hAnsi="Times New Roman" w:eastAsia="宋体" w:cs="Times New Roman"/>
          <w:color w:val="000000"/>
          <w:kern w:val="0"/>
          <w:sz w:val="24"/>
          <w:szCs w:val="24"/>
          <w:highlight w:val="none"/>
          <w:u w:val="single"/>
          <w:vertAlign w:val="superscript"/>
          <w:lang w:val="en-US" w:eastAsia="zh-CN" w:bidi="ar"/>
        </w:rPr>
        <w:t>6</w:t>
      </w:r>
      <w:r>
        <w:rPr>
          <w:rFonts w:hint="eastAsia" w:ascii="宋体" w:hAnsi="宋体" w:eastAsia="宋体" w:cs="宋体"/>
          <w:color w:val="000000"/>
          <w:kern w:val="0"/>
          <w:sz w:val="24"/>
          <w:szCs w:val="24"/>
          <w:highlight w:val="none"/>
          <w:u w:val="single"/>
          <w:lang w:val="en-US" w:eastAsia="zh-CN" w:bidi="ar"/>
        </w:rPr>
        <w:t>个</w:t>
      </w:r>
      <w:r>
        <w:rPr>
          <w:rFonts w:hint="default" w:ascii="Times New Roman" w:hAnsi="Times New Roman" w:eastAsia="宋体" w:cs="Times New Roman"/>
          <w:color w:val="000000"/>
          <w:kern w:val="0"/>
          <w:sz w:val="24"/>
          <w:szCs w:val="24"/>
          <w:highlight w:val="none"/>
          <w:u w:val="single"/>
          <w:lang w:val="en-US" w:eastAsia="zh-CN" w:bidi="ar"/>
        </w:rPr>
        <w:t>/L</w:t>
      </w:r>
      <w:r>
        <w:rPr>
          <w:rFonts w:hint="eastAsia" w:ascii="宋体" w:hAnsi="宋体" w:eastAsia="宋体" w:cs="宋体"/>
          <w:color w:val="000000"/>
          <w:kern w:val="0"/>
          <w:sz w:val="24"/>
          <w:szCs w:val="24"/>
          <w:highlight w:val="none"/>
          <w:u w:val="single"/>
          <w:lang w:val="en-US" w:eastAsia="zh-CN" w:bidi="ar"/>
        </w:rPr>
        <w:t xml:space="preserve">、蛔虫卵 </w:t>
      </w:r>
      <w:r>
        <w:rPr>
          <w:rFonts w:hint="default" w:ascii="Times New Roman" w:hAnsi="Times New Roman" w:eastAsia="宋体" w:cs="Times New Roman"/>
          <w:color w:val="000000"/>
          <w:kern w:val="0"/>
          <w:sz w:val="24"/>
          <w:szCs w:val="24"/>
          <w:highlight w:val="none"/>
          <w:u w:val="single"/>
          <w:lang w:val="en-US" w:eastAsia="zh-CN" w:bidi="ar"/>
        </w:rPr>
        <w:t xml:space="preserve">12 </w:t>
      </w:r>
      <w:r>
        <w:rPr>
          <w:rFonts w:hint="eastAsia" w:ascii="宋体" w:hAnsi="宋体" w:eastAsia="宋体" w:cs="宋体"/>
          <w:color w:val="000000"/>
          <w:kern w:val="0"/>
          <w:sz w:val="24"/>
          <w:szCs w:val="24"/>
          <w:highlight w:val="none"/>
          <w:u w:val="single"/>
          <w:lang w:val="en-US" w:eastAsia="zh-CN" w:bidi="ar"/>
        </w:rPr>
        <w:t>个</w:t>
      </w:r>
      <w:r>
        <w:rPr>
          <w:rFonts w:hint="default" w:ascii="Times New Roman" w:hAnsi="Times New Roman" w:eastAsia="宋体" w:cs="Times New Roman"/>
          <w:color w:val="000000"/>
          <w:kern w:val="0"/>
          <w:sz w:val="24"/>
          <w:szCs w:val="24"/>
          <w:highlight w:val="none"/>
          <w:u w:val="single"/>
          <w:lang w:val="en-US" w:eastAsia="zh-CN" w:bidi="ar"/>
        </w:rPr>
        <w:t>/L</w:t>
      </w:r>
      <w:r>
        <w:rPr>
          <w:rFonts w:hint="eastAsia" w:ascii="宋体" w:hAnsi="宋体" w:eastAsia="宋体" w:cs="宋体"/>
          <w:color w:val="000000"/>
          <w:kern w:val="0"/>
          <w:sz w:val="24"/>
          <w:szCs w:val="24"/>
          <w:highlight w:val="none"/>
          <w:u w:val="single"/>
          <w:lang w:val="en-US" w:eastAsia="zh-CN" w:bidi="ar"/>
        </w:rPr>
        <w:t>。</w:t>
      </w:r>
    </w:p>
    <w:p>
      <w:pPr>
        <w:keepNext w:val="0"/>
        <w:keepLines w:val="0"/>
        <w:widowControl/>
        <w:suppressLineNumbers w:val="0"/>
        <w:jc w:val="left"/>
        <w:rPr>
          <w:highlight w:val="none"/>
          <w:u w:val="single"/>
        </w:rPr>
      </w:pP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2</w:t>
      </w:r>
      <w:r>
        <w:rPr>
          <w:rFonts w:hint="eastAsia" w:ascii="宋体" w:hAnsi="宋体" w:eastAsia="宋体" w:cs="宋体"/>
          <w:color w:val="000000"/>
          <w:kern w:val="0"/>
          <w:sz w:val="24"/>
          <w:szCs w:val="24"/>
          <w:highlight w:val="none"/>
          <w:u w:val="single"/>
          <w:lang w:val="en-US" w:eastAsia="zh-CN" w:bidi="ar"/>
        </w:rPr>
        <w:t>）生活污水</w:t>
      </w:r>
    </w:p>
    <w:p>
      <w:pPr>
        <w:keepNext w:val="0"/>
        <w:keepLines w:val="0"/>
        <w:widowControl/>
        <w:suppressLineNumbers w:val="0"/>
        <w:jc w:val="left"/>
        <w:rPr>
          <w:highlight w:val="none"/>
          <w:u w:val="single"/>
        </w:rPr>
      </w:pPr>
      <w:r>
        <w:rPr>
          <w:rFonts w:hint="eastAsia" w:ascii="宋体" w:hAnsi="宋体" w:eastAsia="宋体" w:cs="宋体"/>
          <w:color w:val="000000"/>
          <w:kern w:val="0"/>
          <w:sz w:val="24"/>
          <w:szCs w:val="24"/>
          <w:highlight w:val="none"/>
          <w:u w:val="single"/>
          <w:lang w:val="en-US" w:eastAsia="zh-CN" w:bidi="ar"/>
        </w:rPr>
        <w:t>生活污水主要污染物为</w:t>
      </w:r>
      <w:r>
        <w:rPr>
          <w:rFonts w:hint="default" w:ascii="Times New Roman" w:hAnsi="Times New Roman" w:eastAsia="宋体" w:cs="Times New Roman"/>
          <w:color w:val="000000"/>
          <w:kern w:val="0"/>
          <w:sz w:val="24"/>
          <w:szCs w:val="24"/>
          <w:highlight w:val="none"/>
          <w:u w:val="single"/>
          <w:lang w:val="en-US" w:eastAsia="zh-CN" w:bidi="ar"/>
        </w:rPr>
        <w:t>COD</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BOD</w:t>
      </w:r>
      <w:r>
        <w:rPr>
          <w:rFonts w:hint="default" w:ascii="Times New Roman" w:hAnsi="Times New Roman" w:eastAsia="宋体" w:cs="Times New Roman"/>
          <w:color w:val="000000"/>
          <w:kern w:val="0"/>
          <w:sz w:val="15"/>
          <w:szCs w:val="15"/>
          <w:highlight w:val="none"/>
          <w:u w:val="single"/>
          <w:lang w:val="en-US" w:eastAsia="zh-CN" w:bidi="ar"/>
        </w:rPr>
        <w:t>5</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SS</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NH</w:t>
      </w:r>
      <w:r>
        <w:rPr>
          <w:rFonts w:hint="default" w:ascii="Times New Roman" w:hAnsi="Times New Roman" w:eastAsia="宋体" w:cs="Times New Roman"/>
          <w:color w:val="000000"/>
          <w:kern w:val="0"/>
          <w:sz w:val="15"/>
          <w:szCs w:val="15"/>
          <w:highlight w:val="none"/>
          <w:u w:val="single"/>
          <w:lang w:val="en-US" w:eastAsia="zh-CN" w:bidi="ar"/>
        </w:rPr>
        <w:t>3</w:t>
      </w:r>
      <w:r>
        <w:rPr>
          <w:rFonts w:hint="default" w:ascii="Times New Roman" w:hAnsi="Times New Roman" w:eastAsia="宋体" w:cs="Times New Roman"/>
          <w:color w:val="000000"/>
          <w:kern w:val="0"/>
          <w:sz w:val="24"/>
          <w:szCs w:val="24"/>
          <w:highlight w:val="none"/>
          <w:u w:val="single"/>
          <w:lang w:val="en-US" w:eastAsia="zh-CN" w:bidi="ar"/>
        </w:rPr>
        <w:t>-N</w:t>
      </w:r>
      <w:r>
        <w:rPr>
          <w:rFonts w:hint="eastAsia" w:ascii="宋体" w:hAnsi="宋体" w:eastAsia="宋体" w:cs="宋体"/>
          <w:color w:val="000000"/>
          <w:kern w:val="0"/>
          <w:sz w:val="24"/>
          <w:szCs w:val="24"/>
          <w:highlight w:val="none"/>
          <w:u w:val="single"/>
          <w:lang w:val="en-US" w:eastAsia="zh-CN" w:bidi="ar"/>
        </w:rPr>
        <w:t>、粪大肠菌群数，产生浓度为</w:t>
      </w:r>
      <w:r>
        <w:rPr>
          <w:rFonts w:hint="default" w:ascii="Times New Roman" w:hAnsi="Times New Roman" w:eastAsia="宋体" w:cs="Times New Roman"/>
          <w:color w:val="000000"/>
          <w:kern w:val="0"/>
          <w:sz w:val="24"/>
          <w:szCs w:val="24"/>
          <w:highlight w:val="none"/>
          <w:u w:val="single"/>
          <w:lang w:val="en-US" w:eastAsia="zh-CN" w:bidi="ar"/>
        </w:rPr>
        <w:t>COD 300mg/L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BOD</w:t>
      </w:r>
      <w:r>
        <w:rPr>
          <w:rFonts w:hint="default" w:ascii="Times New Roman" w:hAnsi="Times New Roman" w:eastAsia="宋体" w:cs="Times New Roman"/>
          <w:color w:val="000000"/>
          <w:kern w:val="0"/>
          <w:sz w:val="15"/>
          <w:szCs w:val="15"/>
          <w:highlight w:val="none"/>
          <w:u w:val="single"/>
          <w:lang w:val="en-US" w:eastAsia="zh-CN" w:bidi="ar"/>
        </w:rPr>
        <w:t xml:space="preserve">5 </w:t>
      </w:r>
      <w:r>
        <w:rPr>
          <w:rFonts w:hint="default" w:ascii="Times New Roman" w:hAnsi="Times New Roman" w:eastAsia="宋体" w:cs="Times New Roman"/>
          <w:color w:val="000000"/>
          <w:kern w:val="0"/>
          <w:sz w:val="24"/>
          <w:szCs w:val="24"/>
          <w:highlight w:val="none"/>
          <w:u w:val="single"/>
          <w:lang w:val="en-US" w:eastAsia="zh-CN" w:bidi="ar"/>
        </w:rPr>
        <w:t>150mg/L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SS 200mg/L</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NH</w:t>
      </w:r>
      <w:r>
        <w:rPr>
          <w:rFonts w:hint="default" w:ascii="Times New Roman" w:hAnsi="Times New Roman" w:eastAsia="宋体" w:cs="Times New Roman"/>
          <w:color w:val="000000"/>
          <w:kern w:val="0"/>
          <w:sz w:val="15"/>
          <w:szCs w:val="15"/>
          <w:highlight w:val="none"/>
          <w:u w:val="single"/>
          <w:lang w:val="en-US" w:eastAsia="zh-CN" w:bidi="ar"/>
        </w:rPr>
        <w:t>3</w:t>
      </w:r>
      <w:r>
        <w:rPr>
          <w:rFonts w:hint="default" w:ascii="Times New Roman" w:hAnsi="Times New Roman" w:eastAsia="宋体" w:cs="Times New Roman"/>
          <w:color w:val="000000"/>
          <w:kern w:val="0"/>
          <w:sz w:val="24"/>
          <w:szCs w:val="24"/>
          <w:highlight w:val="none"/>
          <w:u w:val="single"/>
          <w:lang w:val="en-US" w:eastAsia="zh-CN" w:bidi="ar"/>
        </w:rPr>
        <w:t>-N 30mg/L</w:t>
      </w:r>
      <w:r>
        <w:rPr>
          <w:rFonts w:hint="eastAsia" w:ascii="Times New Roman" w:hAnsi="Times New Roman" w:eastAsia="宋体" w:cs="Times New Roman"/>
          <w:color w:val="000000"/>
          <w:kern w:val="0"/>
          <w:sz w:val="24"/>
          <w:szCs w:val="24"/>
          <w:highlight w:val="none"/>
          <w:u w:val="single"/>
          <w:lang w:val="en-US" w:eastAsia="zh-CN" w:bidi="ar"/>
        </w:rPr>
        <w:t>、</w:t>
      </w:r>
      <w:r>
        <w:rPr>
          <w:rFonts w:hint="eastAsia" w:ascii="宋体" w:hAnsi="宋体" w:eastAsia="宋体" w:cs="宋体"/>
          <w:color w:val="000000"/>
          <w:kern w:val="0"/>
          <w:sz w:val="24"/>
          <w:szCs w:val="24"/>
          <w:highlight w:val="none"/>
          <w:u w:val="single"/>
          <w:lang w:val="en-US" w:eastAsia="zh-CN" w:bidi="ar"/>
        </w:rPr>
        <w:t>粪大肠菌群数</w:t>
      </w:r>
      <w:r>
        <w:rPr>
          <w:rFonts w:hint="eastAsia" w:ascii="宋体" w:hAnsi="宋体" w:cs="宋体"/>
          <w:color w:val="000000"/>
          <w:kern w:val="0"/>
          <w:sz w:val="24"/>
          <w:szCs w:val="24"/>
          <w:highlight w:val="none"/>
          <w:u w:val="single"/>
          <w:lang w:val="en-US" w:eastAsia="zh-CN" w:bidi="ar"/>
        </w:rPr>
        <w:t>1</w:t>
      </w:r>
      <w:r>
        <w:rPr>
          <w:rFonts w:hint="default" w:ascii="Times New Roman" w:hAnsi="Times New Roman" w:eastAsia="宋体" w:cs="Times New Roman"/>
          <w:color w:val="000000"/>
          <w:kern w:val="0"/>
          <w:sz w:val="24"/>
          <w:szCs w:val="24"/>
          <w:highlight w:val="none"/>
          <w:u w:val="single"/>
          <w:lang w:val="en-US" w:eastAsia="zh-CN" w:bidi="ar"/>
        </w:rPr>
        <w:t>×10</w:t>
      </w:r>
      <w:r>
        <w:rPr>
          <w:rFonts w:hint="eastAsia" w:ascii="Times New Roman" w:hAnsi="Times New Roman" w:eastAsia="宋体" w:cs="Times New Roman"/>
          <w:color w:val="000000"/>
          <w:kern w:val="0"/>
          <w:sz w:val="24"/>
          <w:szCs w:val="24"/>
          <w:highlight w:val="none"/>
          <w:u w:val="single"/>
          <w:vertAlign w:val="superscript"/>
          <w:lang w:val="en-US" w:eastAsia="zh-CN" w:bidi="ar"/>
        </w:rPr>
        <w:t>6</w:t>
      </w:r>
      <w:r>
        <w:rPr>
          <w:rFonts w:hint="eastAsia" w:ascii="宋体" w:hAnsi="宋体" w:eastAsia="宋体" w:cs="宋体"/>
          <w:color w:val="000000"/>
          <w:kern w:val="0"/>
          <w:sz w:val="24"/>
          <w:szCs w:val="24"/>
          <w:highlight w:val="none"/>
          <w:u w:val="single"/>
          <w:lang w:val="en-US" w:eastAsia="zh-CN" w:bidi="ar"/>
        </w:rPr>
        <w:t>个</w:t>
      </w:r>
      <w:r>
        <w:rPr>
          <w:rFonts w:hint="default" w:ascii="Times New Roman" w:hAnsi="Times New Roman" w:eastAsia="宋体" w:cs="Times New Roman"/>
          <w:color w:val="000000"/>
          <w:kern w:val="0"/>
          <w:sz w:val="24"/>
          <w:szCs w:val="24"/>
          <w:highlight w:val="none"/>
          <w:u w:val="single"/>
          <w:lang w:val="en-US" w:eastAsia="zh-CN" w:bidi="ar"/>
        </w:rPr>
        <w:t>/L</w:t>
      </w:r>
      <w:r>
        <w:rPr>
          <w:rFonts w:hint="eastAsia" w:ascii="宋体" w:hAnsi="宋体" w:eastAsia="宋体" w:cs="宋体"/>
          <w:color w:val="000000"/>
          <w:kern w:val="0"/>
          <w:sz w:val="24"/>
          <w:szCs w:val="24"/>
          <w:highlight w:val="none"/>
          <w:u w:val="single"/>
          <w:lang w:val="en-US" w:eastAsia="zh-CN" w:bidi="ar"/>
        </w:rPr>
        <w:t>。生活污水经污水管道收集后进入污水处理站处理。</w:t>
      </w:r>
    </w:p>
    <w:p>
      <w:pPr>
        <w:bidi w:val="0"/>
        <w:rPr>
          <w:highlight w:val="none"/>
          <w:u w:val="single"/>
        </w:rPr>
        <w:sectPr>
          <w:headerReference r:id="rId7" w:type="default"/>
          <w:footerReference r:id="rId8" w:type="default"/>
          <w:pgSz w:w="11906" w:h="16838"/>
          <w:pgMar w:top="1417" w:right="1417" w:bottom="1417" w:left="1701"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000000"/>
          <w:kern w:val="0"/>
          <w:sz w:val="24"/>
          <w:szCs w:val="24"/>
          <w:highlight w:val="none"/>
          <w:u w:val="single"/>
          <w:lang w:val="en-US" w:eastAsia="zh-CN" w:bidi="ar"/>
        </w:rPr>
        <w:t>项目养殖废水和生活污水均排入污水处理站处理，综合废水水质情况详见表</w:t>
      </w:r>
      <w:r>
        <w:rPr>
          <w:rFonts w:hint="eastAsia"/>
          <w:highlight w:val="none"/>
          <w:u w:val="single"/>
          <w:lang w:val="en-US" w:eastAsia="zh-CN"/>
        </w:rPr>
        <w:t>4</w:t>
      </w:r>
      <w:r>
        <w:rPr>
          <w:highlight w:val="none"/>
          <w:u w:val="single"/>
        </w:rPr>
        <w:t>.3-5：</w:t>
      </w:r>
    </w:p>
    <w:p>
      <w:pPr>
        <w:pStyle w:val="7"/>
        <w:bidi w:val="0"/>
        <w:rPr>
          <w:highlight w:val="none"/>
          <w:u w:val="single"/>
        </w:rPr>
      </w:pPr>
      <w:r>
        <w:rPr>
          <w:highlight w:val="none"/>
          <w:u w:val="single"/>
        </w:rPr>
        <w:t>表</w:t>
      </w:r>
      <w:r>
        <w:rPr>
          <w:rFonts w:hint="eastAsia"/>
          <w:highlight w:val="none"/>
          <w:u w:val="single"/>
          <w:lang w:val="en-US" w:eastAsia="zh-CN"/>
        </w:rPr>
        <w:t>4</w:t>
      </w:r>
      <w:r>
        <w:rPr>
          <w:highlight w:val="none"/>
          <w:u w:val="single"/>
        </w:rPr>
        <w:t>.3-5</w:t>
      </w:r>
      <w:r>
        <w:rPr>
          <w:rFonts w:hint="eastAsia"/>
          <w:highlight w:val="none"/>
          <w:u w:val="single"/>
          <w:lang w:val="en-US" w:eastAsia="zh-CN"/>
        </w:rPr>
        <w:t xml:space="preserve"> </w:t>
      </w:r>
      <w:r>
        <w:rPr>
          <w:highlight w:val="none"/>
          <w:u w:val="single"/>
        </w:rPr>
        <w:t xml:space="preserve"> 干清粪工艺混合废水产生情况</w:t>
      </w:r>
    </w:p>
    <w:tbl>
      <w:tblPr>
        <w:tblStyle w:val="2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004"/>
        <w:gridCol w:w="671"/>
        <w:gridCol w:w="794"/>
        <w:gridCol w:w="671"/>
        <w:gridCol w:w="794"/>
        <w:gridCol w:w="731"/>
        <w:gridCol w:w="817"/>
        <w:gridCol w:w="671"/>
        <w:gridCol w:w="778"/>
        <w:gridCol w:w="671"/>
        <w:gridCol w:w="795"/>
        <w:gridCol w:w="672"/>
        <w:gridCol w:w="746"/>
        <w:gridCol w:w="981"/>
        <w:gridCol w:w="1154"/>
        <w:gridCol w:w="636"/>
        <w:gridCol w:w="1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废水种类</w:t>
            </w:r>
          </w:p>
        </w:tc>
        <w:tc>
          <w:tcPr>
            <w:tcW w:w="226"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废水量m</w:t>
            </w:r>
            <w:r>
              <w:rPr>
                <w:rFonts w:hint="default" w:ascii="Times New Roman" w:hAnsi="Times New Roman" w:eastAsia="宋体" w:cs="Times New Roman"/>
                <w:snapToGrid w:val="0"/>
                <w:color w:val="000000"/>
                <w:spacing w:val="0"/>
                <w:w w:val="100"/>
                <w:kern w:val="0"/>
                <w:position w:val="0"/>
                <w:sz w:val="21"/>
                <w:szCs w:val="21"/>
                <w:highlight w:val="none"/>
                <w:u w:val="single"/>
                <w:vertAlign w:val="superscript"/>
              </w:rPr>
              <w:t>3</w:t>
            </w:r>
            <w:r>
              <w:rPr>
                <w:rFonts w:hint="default" w:ascii="Times New Roman" w:hAnsi="Times New Roman" w:eastAsia="宋体" w:cs="Times New Roman"/>
                <w:snapToGrid w:val="0"/>
                <w:color w:val="000000"/>
                <w:spacing w:val="0"/>
                <w:w w:val="100"/>
                <w:kern w:val="0"/>
                <w:position w:val="0"/>
                <w:sz w:val="21"/>
                <w:szCs w:val="21"/>
                <w:highlight w:val="none"/>
                <w:u w:val="single"/>
              </w:rPr>
              <w:t>/a</w:t>
            </w:r>
          </w:p>
        </w:tc>
        <w:tc>
          <w:tcPr>
            <w:tcW w:w="4570" w:type="pct"/>
            <w:gridSpan w:val="16"/>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t>污染物产生源强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p>
        </w:tc>
        <w:tc>
          <w:tcPr>
            <w:tcW w:w="22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p>
        </w:tc>
        <w:tc>
          <w:tcPr>
            <w:tcW w:w="56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COD</w:t>
            </w:r>
          </w:p>
        </w:tc>
        <w:tc>
          <w:tcPr>
            <w:tcW w:w="56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BOD</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5</w:t>
            </w:r>
          </w:p>
        </w:tc>
        <w:tc>
          <w:tcPr>
            <w:tcW w:w="611"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SS</w:t>
            </w:r>
          </w:p>
        </w:tc>
        <w:tc>
          <w:tcPr>
            <w:tcW w:w="56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r>
              <w:rPr>
                <w:rFonts w:hint="default" w:ascii="Times New Roman" w:hAnsi="Times New Roman" w:eastAsia="宋体" w:cs="Times New Roman"/>
                <w:snapToGrid w:val="0"/>
                <w:color w:val="000000"/>
                <w:spacing w:val="0"/>
                <w:w w:val="100"/>
                <w:kern w:val="0"/>
                <w:position w:val="0"/>
                <w:sz w:val="21"/>
                <w:szCs w:val="21"/>
                <w:highlight w:val="none"/>
                <w:u w:val="single"/>
              </w:rPr>
              <w:t>-N</w:t>
            </w:r>
          </w:p>
        </w:tc>
        <w:tc>
          <w:tcPr>
            <w:tcW w:w="56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TN</w:t>
            </w:r>
          </w:p>
        </w:tc>
        <w:tc>
          <w:tcPr>
            <w:tcW w:w="559"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TP</w:t>
            </w:r>
          </w:p>
        </w:tc>
        <w:tc>
          <w:tcPr>
            <w:tcW w:w="571"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粪大肠菌群数</w:t>
            </w:r>
          </w:p>
        </w:tc>
        <w:tc>
          <w:tcPr>
            <w:tcW w:w="566"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蛔虫卵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22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mg/L</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产生量t/a</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mg/L</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产生量t/a</w:t>
            </w:r>
          </w:p>
        </w:tc>
        <w:tc>
          <w:tcPr>
            <w:tcW w:w="29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mg/L</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产生量t/a</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mg/L</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产生量t/a</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mg/L</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产生量t/a</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mg/L</w:t>
            </w:r>
          </w:p>
        </w:tc>
        <w:tc>
          <w:tcPr>
            <w:tcW w:w="30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产生量t/a</w:t>
            </w:r>
          </w:p>
        </w:tc>
        <w:tc>
          <w:tcPr>
            <w:tcW w:w="25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个/L</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个/a</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个/L</w:t>
            </w:r>
          </w:p>
        </w:tc>
        <w:tc>
          <w:tcPr>
            <w:tcW w:w="3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产生量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个/a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养殖废水</w:t>
            </w:r>
          </w:p>
        </w:tc>
        <w:tc>
          <w:tcPr>
            <w:tcW w:w="22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sz w:val="21"/>
                <w:szCs w:val="21"/>
                <w:highlight w:val="none"/>
                <w:u w:val="single"/>
                <w:lang w:val="en-US" w:eastAsia="zh-CN"/>
              </w:rPr>
              <w:t>27283.75</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2640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72.029</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1300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35.469</w:t>
            </w:r>
          </w:p>
        </w:tc>
        <w:tc>
          <w:tcPr>
            <w:tcW w:w="29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800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21.827</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261</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7.121</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370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10.095</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43.5</w:t>
            </w:r>
          </w:p>
        </w:tc>
        <w:tc>
          <w:tcPr>
            <w:tcW w:w="30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1.187</w:t>
            </w:r>
          </w:p>
        </w:tc>
        <w:tc>
          <w:tcPr>
            <w:tcW w:w="25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rPr>
            </w:pPr>
            <w:r>
              <w:rPr>
                <w:rFonts w:hint="default" w:ascii="Times New Roman" w:hAnsi="Times New Roman" w:eastAsia="宋体" w:cs="Times New Roman"/>
                <w:color w:val="000000"/>
                <w:kern w:val="0"/>
                <w:sz w:val="21"/>
                <w:szCs w:val="21"/>
                <w:highlight w:val="none"/>
                <w:u w:val="single"/>
                <w:lang w:val="en-US" w:eastAsia="zh-CN" w:bidi="ar"/>
              </w:rPr>
              <w:t>2×10</w:t>
            </w:r>
            <w:r>
              <w:rPr>
                <w:rFonts w:hint="eastAsia" w:cs="Times New Roman"/>
                <w:color w:val="000000"/>
                <w:kern w:val="0"/>
                <w:sz w:val="21"/>
                <w:szCs w:val="21"/>
                <w:highlight w:val="none"/>
                <w:u w:val="single"/>
                <w:vertAlign w:val="superscript"/>
                <w:lang w:val="en-US" w:eastAsia="zh-CN" w:bidi="ar"/>
              </w:rPr>
              <w:t>6</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rPr>
            </w:pPr>
            <w:r>
              <w:rPr>
                <w:rFonts w:hint="eastAsia" w:cs="Times New Roman"/>
                <w:color w:val="000000"/>
                <w:kern w:val="0"/>
                <w:sz w:val="21"/>
                <w:szCs w:val="21"/>
                <w:highlight w:val="none"/>
                <w:u w:val="single"/>
                <w:lang w:val="en-US" w:eastAsia="zh-CN" w:bidi="ar"/>
              </w:rPr>
              <w:t>5.457</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13</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color w:val="000000"/>
                <w:kern w:val="0"/>
                <w:sz w:val="21"/>
                <w:szCs w:val="21"/>
                <w:highlight w:val="none"/>
                <w:u w:val="single"/>
                <w:lang w:val="en-US" w:eastAsia="zh-CN" w:bidi="ar"/>
              </w:rPr>
              <w:t>12</w:t>
            </w:r>
          </w:p>
        </w:tc>
        <w:tc>
          <w:tcPr>
            <w:tcW w:w="3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rPr>
            </w:pPr>
            <w:r>
              <w:rPr>
                <w:rFonts w:hint="eastAsia" w:cs="Times New Roman"/>
                <w:color w:val="000000"/>
                <w:kern w:val="0"/>
                <w:sz w:val="21"/>
                <w:szCs w:val="21"/>
                <w:highlight w:val="none"/>
                <w:u w:val="single"/>
                <w:lang w:val="en-US" w:eastAsia="zh-CN" w:bidi="ar"/>
              </w:rPr>
              <w:t>3.274</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t>生活污水</w:t>
            </w:r>
          </w:p>
        </w:tc>
        <w:tc>
          <w:tcPr>
            <w:tcW w:w="22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sz w:val="21"/>
                <w:szCs w:val="21"/>
                <w:highlight w:val="none"/>
                <w:u w:val="single"/>
                <w:lang w:val="en-US" w:eastAsia="zh-CN"/>
              </w:rPr>
              <w:t>151.84</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300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0.046</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150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0.023</w:t>
            </w:r>
          </w:p>
        </w:tc>
        <w:tc>
          <w:tcPr>
            <w:tcW w:w="29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200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0.030</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0.005</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w:t>
            </w:r>
          </w:p>
        </w:tc>
        <w:tc>
          <w:tcPr>
            <w:tcW w:w="30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w:t>
            </w:r>
          </w:p>
        </w:tc>
        <w:tc>
          <w:tcPr>
            <w:tcW w:w="25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color w:val="000000"/>
                <w:kern w:val="0"/>
                <w:sz w:val="21"/>
                <w:szCs w:val="21"/>
                <w:highlight w:val="none"/>
                <w:u w:val="single"/>
                <w:lang w:val="en-US" w:eastAsia="zh-CN" w:bidi="ar"/>
              </w:rPr>
              <w:t>1</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6</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rPr>
            </w:pPr>
            <w:r>
              <w:rPr>
                <w:rFonts w:hint="eastAsia" w:cs="Times New Roman"/>
                <w:color w:val="000000"/>
                <w:kern w:val="0"/>
                <w:sz w:val="21"/>
                <w:szCs w:val="21"/>
                <w:highlight w:val="none"/>
                <w:u w:val="single"/>
                <w:lang w:val="en-US" w:eastAsia="zh-CN" w:bidi="ar"/>
              </w:rPr>
              <w:t>1.518</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11</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w:t>
            </w:r>
          </w:p>
        </w:tc>
        <w:tc>
          <w:tcPr>
            <w:tcW w:w="3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t>综合废水</w:t>
            </w:r>
          </w:p>
        </w:tc>
        <w:tc>
          <w:tcPr>
            <w:tcW w:w="22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snapToGrid w:val="0"/>
                <w:color w:val="000000"/>
                <w:spacing w:val="0"/>
                <w:w w:val="100"/>
                <w:kern w:val="0"/>
                <w:position w:val="0"/>
                <w:sz w:val="21"/>
                <w:szCs w:val="21"/>
                <w:highlight w:val="none"/>
                <w:u w:val="single"/>
                <w:lang w:val="en-US" w:eastAsia="zh-CN"/>
              </w:rPr>
              <w:t>27435.59</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w:t>
            </w:r>
            <w:r>
              <w:rPr>
                <w:rFonts w:hint="eastAsia" w:cs="Times New Roman"/>
                <w:snapToGrid w:val="0"/>
                <w:color w:val="000000"/>
                <w:spacing w:val="0"/>
                <w:w w:val="100"/>
                <w:kern w:val="0"/>
                <w:position w:val="0"/>
                <w:sz w:val="21"/>
                <w:szCs w:val="21"/>
                <w:highlight w:val="none"/>
                <w:u w:val="single"/>
                <w:lang w:val="en-US" w:eastAsia="zh-CN"/>
              </w:rPr>
              <w:t>6</w:t>
            </w: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27</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72.075</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1294</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35.492</w:t>
            </w:r>
          </w:p>
        </w:tc>
        <w:tc>
          <w:tcPr>
            <w:tcW w:w="29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797</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21.857</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260</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7.126</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368</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10.095</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43.</w:t>
            </w:r>
            <w:r>
              <w:rPr>
                <w:rFonts w:hint="eastAsia" w:cs="Times New Roman"/>
                <w:snapToGrid w:val="0"/>
                <w:color w:val="000000"/>
                <w:spacing w:val="0"/>
                <w:w w:val="100"/>
                <w:kern w:val="0"/>
                <w:position w:val="0"/>
                <w:sz w:val="21"/>
                <w:szCs w:val="21"/>
                <w:highlight w:val="none"/>
                <w:u w:val="single"/>
                <w:lang w:val="en-US" w:eastAsia="zh-CN"/>
              </w:rPr>
              <w:t>3</w:t>
            </w:r>
          </w:p>
        </w:tc>
        <w:tc>
          <w:tcPr>
            <w:tcW w:w="30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1.187</w:t>
            </w:r>
          </w:p>
        </w:tc>
        <w:tc>
          <w:tcPr>
            <w:tcW w:w="25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color w:val="000000"/>
                <w:kern w:val="0"/>
                <w:sz w:val="21"/>
                <w:szCs w:val="21"/>
                <w:highlight w:val="none"/>
                <w:u w:val="single"/>
                <w:lang w:val="en-US" w:eastAsia="zh-CN" w:bidi="ar"/>
              </w:rPr>
              <w:t>1.99</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6</w:t>
            </w:r>
          </w:p>
        </w:tc>
        <w:tc>
          <w:tcPr>
            <w:tcW w:w="31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color w:val="000000"/>
                <w:kern w:val="0"/>
                <w:sz w:val="21"/>
                <w:szCs w:val="21"/>
                <w:highlight w:val="none"/>
                <w:u w:val="single"/>
                <w:lang w:val="en-US" w:eastAsia="zh-CN" w:bidi="ar"/>
              </w:rPr>
              <w:t>5.47</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13</w:t>
            </w:r>
          </w:p>
        </w:tc>
        <w:tc>
          <w:tcPr>
            <w:tcW w:w="25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12</w:t>
            </w:r>
          </w:p>
        </w:tc>
        <w:tc>
          <w:tcPr>
            <w:tcW w:w="3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eastAsia" w:cs="Times New Roman"/>
                <w:color w:val="000000"/>
                <w:kern w:val="0"/>
                <w:sz w:val="21"/>
                <w:szCs w:val="21"/>
                <w:highlight w:val="none"/>
                <w:u w:val="single"/>
                <w:lang w:val="en-US" w:eastAsia="zh-CN" w:bidi="ar"/>
              </w:rPr>
              <w:t>3.274</w:t>
            </w:r>
            <w:r>
              <w:rPr>
                <w:rFonts w:hint="default" w:ascii="Times New Roman" w:hAnsi="Times New Roman" w:eastAsia="宋体" w:cs="Times New Roman"/>
                <w:color w:val="000000"/>
                <w:kern w:val="0"/>
                <w:sz w:val="21"/>
                <w:szCs w:val="21"/>
                <w:highlight w:val="none"/>
                <w:u w:val="single"/>
                <w:lang w:val="en-US" w:eastAsia="zh-CN" w:bidi="ar"/>
              </w:rPr>
              <w:t>×10</w:t>
            </w:r>
            <w:r>
              <w:rPr>
                <w:rFonts w:hint="eastAsia" w:cs="Times New Roman"/>
                <w:color w:val="000000"/>
                <w:kern w:val="0"/>
                <w:sz w:val="21"/>
                <w:szCs w:val="21"/>
                <w:highlight w:val="none"/>
                <w:u w:val="single"/>
                <w:vertAlign w:val="superscript"/>
                <w:lang w:val="en-US" w:eastAsia="zh-CN" w:bidi="ar"/>
              </w:rPr>
              <w:t>8</w:t>
            </w:r>
          </w:p>
        </w:tc>
      </w:tr>
    </w:tbl>
    <w:p>
      <w:pPr>
        <w:pStyle w:val="18"/>
        <w:rPr>
          <w:highlight w:val="none"/>
        </w:rPr>
      </w:pPr>
    </w:p>
    <w:p>
      <w:pPr>
        <w:spacing w:line="29" w:lineRule="exact"/>
        <w:rPr>
          <w:highlight w:val="none"/>
        </w:rPr>
      </w:pPr>
    </w:p>
    <w:p>
      <w:pPr>
        <w:pStyle w:val="18"/>
        <w:rPr>
          <w:highlight w:val="none"/>
        </w:rPr>
        <w:sectPr>
          <w:pgSz w:w="16838" w:h="11906" w:orient="landscape"/>
          <w:pgMar w:top="1800" w:right="1440" w:bottom="1800" w:left="144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widowControl/>
        <w:suppressLineNumbers w:val="0"/>
        <w:jc w:val="left"/>
        <w:rPr>
          <w:rFonts w:hint="default" w:ascii="Times New Roman" w:hAnsi="Times New Roman" w:eastAsia="宋体" w:cs="Times New Roman"/>
          <w:color w:val="000000"/>
          <w:kern w:val="0"/>
          <w:sz w:val="24"/>
          <w:szCs w:val="24"/>
          <w:highlight w:val="none"/>
          <w:u w:val="single" w:color="auto"/>
          <w:lang w:val="en-US" w:eastAsia="zh-CN" w:bidi="ar"/>
        </w:rPr>
      </w:pPr>
      <w:r>
        <w:rPr>
          <w:rFonts w:hint="default" w:ascii="Times New Roman" w:hAnsi="Times New Roman" w:eastAsia="宋体" w:cs="Times New Roman"/>
          <w:color w:val="000000"/>
          <w:kern w:val="0"/>
          <w:sz w:val="24"/>
          <w:szCs w:val="24"/>
          <w:highlight w:val="none"/>
          <w:u w:val="single" w:color="auto"/>
          <w:lang w:val="en-US" w:eastAsia="zh-CN" w:bidi="ar"/>
        </w:rPr>
        <w:t>项目拟建设 1 座设计处理能力为1</w:t>
      </w:r>
      <w:r>
        <w:rPr>
          <w:rFonts w:hint="default" w:ascii="Times New Roman" w:hAnsi="Times New Roman" w:cs="Times New Roman"/>
          <w:color w:val="000000"/>
          <w:kern w:val="0"/>
          <w:sz w:val="24"/>
          <w:szCs w:val="24"/>
          <w:highlight w:val="none"/>
          <w:u w:val="single" w:color="auto"/>
          <w:lang w:val="en-US" w:eastAsia="zh-CN" w:bidi="ar"/>
        </w:rPr>
        <w:t>1</w:t>
      </w:r>
      <w:r>
        <w:rPr>
          <w:rFonts w:hint="default" w:ascii="Times New Roman" w:hAnsi="Times New Roman" w:eastAsia="宋体" w:cs="Times New Roman"/>
          <w:color w:val="000000"/>
          <w:kern w:val="0"/>
          <w:sz w:val="24"/>
          <w:szCs w:val="24"/>
          <w:highlight w:val="none"/>
          <w:u w:val="single" w:color="auto"/>
          <w:lang w:val="en-US" w:eastAsia="zh-CN" w:bidi="ar"/>
        </w:rPr>
        <w:t>0m</w:t>
      </w:r>
      <w:r>
        <w:rPr>
          <w:rFonts w:hint="default" w:ascii="Times New Roman" w:hAnsi="Times New Roman" w:eastAsia="宋体" w:cs="Times New Roman"/>
          <w:color w:val="000000"/>
          <w:kern w:val="0"/>
          <w:sz w:val="24"/>
          <w:szCs w:val="24"/>
          <w:highlight w:val="none"/>
          <w:u w:val="single" w:color="auto"/>
          <w:vertAlign w:val="superscript"/>
          <w:lang w:val="en-US" w:eastAsia="zh-CN" w:bidi="ar"/>
        </w:rPr>
        <w:t>3</w:t>
      </w:r>
      <w:r>
        <w:rPr>
          <w:rFonts w:hint="default" w:ascii="Times New Roman" w:hAnsi="Times New Roman" w:eastAsia="宋体" w:cs="Times New Roman"/>
          <w:color w:val="000000"/>
          <w:kern w:val="0"/>
          <w:sz w:val="24"/>
          <w:szCs w:val="24"/>
          <w:highlight w:val="none"/>
          <w:u w:val="single" w:color="auto"/>
          <w:lang w:val="en-US" w:eastAsia="zh-CN" w:bidi="ar"/>
        </w:rPr>
        <w:t>/d 的污水处理站，污水处理站采用</w:t>
      </w:r>
      <w:r>
        <w:rPr>
          <w:rFonts w:hint="default" w:ascii="Times New Roman" w:hAnsi="Times New Roman" w:cs="Times New Roman"/>
          <w:highlight w:val="none"/>
          <w:u w:val="single" w:color="auto"/>
          <w:lang w:val="en-US" w:eastAsia="zh-CN"/>
        </w:rPr>
        <w:t>“格栅池+收集池+固液分离+调节池+厌氧处理池+A</w:t>
      </w:r>
      <w:r>
        <w:rPr>
          <w:rFonts w:hint="eastAsia" w:cs="Times New Roman"/>
          <w:highlight w:val="none"/>
          <w:u w:val="single" w:color="auto"/>
          <w:vertAlign w:val="superscript"/>
          <w:lang w:val="en-US" w:eastAsia="zh-CN"/>
        </w:rPr>
        <w:t>2</w:t>
      </w:r>
      <w:r>
        <w:rPr>
          <w:rFonts w:hint="default" w:ascii="Times New Roman" w:hAnsi="Times New Roman" w:cs="Times New Roman"/>
          <w:highlight w:val="none"/>
          <w:u w:val="single" w:color="auto"/>
          <w:lang w:val="en-US" w:eastAsia="zh-CN"/>
        </w:rPr>
        <w:t>/O</w:t>
      </w:r>
      <w:r>
        <w:rPr>
          <w:rFonts w:hint="eastAsia" w:cs="Times New Roman"/>
          <w:highlight w:val="none"/>
          <w:u w:val="single" w:color="auto"/>
          <w:vertAlign w:val="superscript"/>
          <w:lang w:val="en-US" w:eastAsia="zh-CN"/>
        </w:rPr>
        <w:t>2</w:t>
      </w:r>
      <w:r>
        <w:rPr>
          <w:rFonts w:hint="default" w:ascii="Times New Roman" w:hAnsi="Times New Roman" w:cs="Times New Roman"/>
          <w:highlight w:val="none"/>
          <w:u w:val="single" w:color="auto"/>
          <w:lang w:val="en-US" w:eastAsia="zh-CN"/>
        </w:rPr>
        <w:t xml:space="preserve"> 池+沉淀池+药剂反应池+大型沉淀池+清水池+氧化塘”</w:t>
      </w:r>
      <w:r>
        <w:rPr>
          <w:rFonts w:hint="default" w:ascii="Times New Roman" w:hAnsi="Times New Roman" w:cs="Times New Roman"/>
          <w:highlight w:val="none"/>
          <w:u w:val="single" w:color="auto"/>
          <w:lang w:eastAsia="zh-CN"/>
        </w:rPr>
        <w:t>工艺处理项目养殖粪污。</w:t>
      </w:r>
      <w:r>
        <w:rPr>
          <w:rFonts w:hint="default" w:ascii="Times New Roman" w:hAnsi="Times New Roman" w:eastAsia="宋体" w:cs="Times New Roman"/>
          <w:color w:val="000000"/>
          <w:kern w:val="0"/>
          <w:sz w:val="24"/>
          <w:szCs w:val="24"/>
          <w:highlight w:val="none"/>
          <w:u w:val="single" w:color="auto"/>
          <w:lang w:val="en-US" w:eastAsia="zh-CN" w:bidi="ar"/>
        </w:rPr>
        <w:t>该废水处理工艺已有大量的工程运用实践，是一种运用成熟的废水处理工艺。根据建设单位提供的设计资料，项目选用的污水处理工艺在污染物的去除效果上具有良好的去除率，其中COD去除率97%、BOD</w:t>
      </w:r>
      <w:r>
        <w:rPr>
          <w:rFonts w:hint="default" w:ascii="Times New Roman" w:hAnsi="Times New Roman" w:eastAsia="宋体" w:cs="Times New Roman"/>
          <w:color w:val="000000"/>
          <w:kern w:val="0"/>
          <w:sz w:val="15"/>
          <w:szCs w:val="15"/>
          <w:highlight w:val="none"/>
          <w:u w:val="single" w:color="auto"/>
          <w:lang w:val="en-US" w:eastAsia="zh-CN" w:bidi="ar"/>
        </w:rPr>
        <w:t>5</w:t>
      </w:r>
      <w:r>
        <w:rPr>
          <w:rFonts w:hint="default" w:ascii="Times New Roman" w:hAnsi="Times New Roman" w:eastAsia="宋体" w:cs="Times New Roman"/>
          <w:color w:val="000000"/>
          <w:kern w:val="0"/>
          <w:sz w:val="24"/>
          <w:szCs w:val="24"/>
          <w:highlight w:val="none"/>
          <w:u w:val="single" w:color="auto"/>
          <w:lang w:val="en-US" w:eastAsia="zh-CN" w:bidi="ar"/>
        </w:rPr>
        <w:t>去除率97.5%、SS 去除率96.2%、NH</w:t>
      </w:r>
      <w:r>
        <w:rPr>
          <w:rFonts w:hint="default" w:ascii="Times New Roman" w:hAnsi="Times New Roman" w:eastAsia="宋体" w:cs="Times New Roman"/>
          <w:color w:val="000000"/>
          <w:kern w:val="0"/>
          <w:sz w:val="15"/>
          <w:szCs w:val="15"/>
          <w:highlight w:val="none"/>
          <w:u w:val="single" w:color="auto"/>
          <w:lang w:val="en-US" w:eastAsia="zh-CN" w:bidi="ar"/>
        </w:rPr>
        <w:t>3</w:t>
      </w:r>
      <w:r>
        <w:rPr>
          <w:rFonts w:hint="default" w:ascii="Times New Roman" w:hAnsi="Times New Roman" w:eastAsia="宋体" w:cs="Times New Roman"/>
          <w:color w:val="000000"/>
          <w:kern w:val="0"/>
          <w:sz w:val="24"/>
          <w:szCs w:val="24"/>
          <w:highlight w:val="none"/>
          <w:u w:val="single" w:color="auto"/>
          <w:lang w:val="en-US" w:eastAsia="zh-CN" w:bidi="ar"/>
        </w:rPr>
        <w:t>-N 去除率91%、TN去除率90%、TP去除率93%、蛔虫卵去除率99%，对粪大肠菌群数的去除率在90%以上，出水可稳定达到《农田灌溉水质标准》（GB5084-2021）中水作标准的水质要求，用于周边林地灌溉。</w:t>
      </w:r>
    </w:p>
    <w:p>
      <w:pPr>
        <w:pStyle w:val="7"/>
        <w:bidi w:val="0"/>
        <w:rPr>
          <w:rFonts w:hint="eastAsia"/>
          <w:highlight w:val="none"/>
          <w:u w:val="single" w:color="auto"/>
        </w:rPr>
      </w:pPr>
      <w:r>
        <w:rPr>
          <w:highlight w:val="none"/>
          <w:u w:val="single" w:color="auto"/>
        </w:rPr>
        <w:t>表</w:t>
      </w:r>
      <w:r>
        <w:rPr>
          <w:rFonts w:hint="eastAsia"/>
          <w:highlight w:val="none"/>
          <w:u w:val="single" w:color="auto"/>
          <w:lang w:val="en-US" w:eastAsia="zh-CN"/>
        </w:rPr>
        <w:t>4</w:t>
      </w:r>
      <w:r>
        <w:rPr>
          <w:highlight w:val="none"/>
          <w:u w:val="single" w:color="auto"/>
        </w:rPr>
        <w:t>.3-</w:t>
      </w:r>
      <w:r>
        <w:rPr>
          <w:rFonts w:hint="eastAsia"/>
          <w:highlight w:val="none"/>
          <w:u w:val="single" w:color="auto"/>
          <w:lang w:val="en-US" w:eastAsia="zh-CN"/>
        </w:rPr>
        <w:t xml:space="preserve">6 </w:t>
      </w:r>
      <w:r>
        <w:rPr>
          <w:highlight w:val="none"/>
          <w:u w:val="single" w:color="auto"/>
        </w:rPr>
        <w:t xml:space="preserve"> </w:t>
      </w:r>
      <w:r>
        <w:rPr>
          <w:rFonts w:hint="eastAsia"/>
          <w:highlight w:val="none"/>
          <w:u w:val="single" w:color="auto"/>
        </w:rPr>
        <w:t>项目综合废水中各污染物产生和排放情况一览表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689"/>
        <w:gridCol w:w="822"/>
        <w:gridCol w:w="823"/>
        <w:gridCol w:w="823"/>
        <w:gridCol w:w="689"/>
        <w:gridCol w:w="815"/>
        <w:gridCol w:w="1383"/>
        <w:gridCol w:w="10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综合废水</w:t>
            </w: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27435.59</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m</w:t>
            </w:r>
            <w:r>
              <w:rPr>
                <w:rFonts w:hint="default" w:ascii="Times New Roman" w:hAnsi="Times New Roman" w:eastAsia="宋体" w:cs="Times New Roman"/>
                <w:snapToGrid w:val="0"/>
                <w:color w:val="000000"/>
                <w:spacing w:val="0"/>
                <w:w w:val="100"/>
                <w:kern w:val="0"/>
                <w:position w:val="0"/>
                <w:sz w:val="21"/>
                <w:szCs w:val="21"/>
                <w:highlight w:val="none"/>
                <w:u w:val="single" w:color="auto"/>
                <w:vertAlign w:val="superscript"/>
              </w:rPr>
              <w:t>3</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/a</w:t>
            </w:r>
          </w:p>
        </w:tc>
        <w:tc>
          <w:tcPr>
            <w:tcW w:w="4186" w:type="pct"/>
            <w:gridSpan w:val="8"/>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污染物指标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COD</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BOD</w:t>
            </w:r>
            <w:r>
              <w:rPr>
                <w:rFonts w:hint="default" w:ascii="Times New Roman" w:hAnsi="Times New Roman" w:eastAsia="宋体" w:cs="Times New Roman"/>
                <w:snapToGrid w:val="0"/>
                <w:color w:val="000000"/>
                <w:spacing w:val="0"/>
                <w:w w:val="100"/>
                <w:kern w:val="0"/>
                <w:position w:val="0"/>
                <w:sz w:val="21"/>
                <w:szCs w:val="21"/>
                <w:highlight w:val="none"/>
                <w:u w:val="single" w:color="auto"/>
                <w:vertAlign w:val="subscript"/>
              </w:rPr>
              <w:t>5</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SS</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NH</w:t>
            </w:r>
            <w:r>
              <w:rPr>
                <w:rFonts w:hint="default" w:ascii="Times New Roman" w:hAnsi="Times New Roman" w:eastAsia="宋体" w:cs="Times New Roman"/>
                <w:snapToGrid w:val="0"/>
                <w:color w:val="000000"/>
                <w:spacing w:val="0"/>
                <w:w w:val="100"/>
                <w:kern w:val="0"/>
                <w:position w:val="0"/>
                <w:sz w:val="21"/>
                <w:szCs w:val="21"/>
                <w:highlight w:val="none"/>
                <w:u w:val="single" w:color="auto"/>
                <w:vertAlign w:val="subscript"/>
              </w:rPr>
              <w:t>3</w:t>
            </w:r>
            <w:r>
              <w:rPr>
                <w:rFonts w:hint="default" w:ascii="Times New Roman" w:hAnsi="Times New Roman" w:eastAsia="宋体" w:cs="Times New Roman"/>
                <w:snapToGrid w:val="0"/>
                <w:color w:val="000000"/>
                <w:spacing w:val="0"/>
                <w:w w:val="100"/>
                <w:kern w:val="0"/>
                <w:position w:val="0"/>
                <w:sz w:val="21"/>
                <w:szCs w:val="21"/>
                <w:highlight w:val="none"/>
                <w:u w:val="single" w:color="auto"/>
              </w:rPr>
              <w:t>-N</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TN</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TP</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粪大肠菌群数</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蛔虫卵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处理前浓度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（mg/L）</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2</w:t>
            </w:r>
            <w:r>
              <w:rPr>
                <w:rFonts w:hint="eastAsia" w:cs="Times New Roman"/>
                <w:snapToGrid w:val="0"/>
                <w:color w:val="000000"/>
                <w:spacing w:val="0"/>
                <w:w w:val="100"/>
                <w:kern w:val="0"/>
                <w:position w:val="0"/>
                <w:sz w:val="21"/>
                <w:szCs w:val="21"/>
                <w:highlight w:val="none"/>
                <w:u w:val="single" w:color="auto"/>
                <w:lang w:val="en-US" w:eastAsia="zh-CN"/>
              </w:rPr>
              <w:t>6</w:t>
            </w: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27</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1294</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797</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260</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368</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43.</w:t>
            </w:r>
            <w:r>
              <w:rPr>
                <w:rFonts w:hint="eastAsia" w:cs="Times New Roman"/>
                <w:snapToGrid w:val="0"/>
                <w:color w:val="000000"/>
                <w:spacing w:val="0"/>
                <w:w w:val="100"/>
                <w:kern w:val="0"/>
                <w:position w:val="0"/>
                <w:sz w:val="21"/>
                <w:szCs w:val="21"/>
                <w:highlight w:val="none"/>
                <w:u w:val="single" w:color="auto"/>
                <w:lang w:val="en-US" w:eastAsia="zh-CN"/>
              </w:rPr>
              <w:t>3</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1.99</w:t>
            </w:r>
            <w:r>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t>×10</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superscript"/>
                <w:lang w:val="en-US" w:eastAsia="zh-CN"/>
              </w:rPr>
              <w:t>6</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12</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处理效率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97</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97.5</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96.2</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91</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90</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93</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99</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处理后浓度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（mg/L）</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78.81</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32.35</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30.286</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23.4</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36.8</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3.031</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t>1.99</w:t>
            </w:r>
            <w:r>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t>×10</w:t>
            </w:r>
            <w:r>
              <w:rPr>
                <w:rFonts w:hint="eastAsia" w:cs="Times New Roman"/>
                <w:snapToGrid w:val="0"/>
                <w:color w:val="000000"/>
                <w:spacing w:val="0"/>
                <w:w w:val="100"/>
                <w:kern w:val="0"/>
                <w:position w:val="0"/>
                <w:sz w:val="21"/>
                <w:szCs w:val="21"/>
                <w:highlight w:val="none"/>
                <w:u w:val="single" w:color="auto"/>
                <w:vertAlign w:val="superscript"/>
                <w:lang w:val="en-US" w:eastAsia="zh-CN"/>
              </w:rPr>
              <w:t>4</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0.12</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标准限值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（mg/L）</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≤150</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≤60</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≤80</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≤80</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≤8</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w:t>
            </w:r>
            <w:r>
              <w:rPr>
                <w:rFonts w:hint="default" w:ascii="Times New Roman" w:hAnsi="Times New Roman" w:eastAsia="宋体" w:cs="Times New Roman"/>
                <w:sz w:val="21"/>
                <w:szCs w:val="21"/>
                <w:highlight w:val="none"/>
                <w:u w:val="single" w:color="auto"/>
              </w:rPr>
              <w:t>40000</w:t>
            </w:r>
            <w:r>
              <w:rPr>
                <w:rFonts w:hint="eastAsia" w:cs="Times New Roman"/>
                <w:sz w:val="21"/>
                <w:szCs w:val="21"/>
                <w:highlight w:val="none"/>
                <w:u w:val="single" w:color="auto"/>
                <w:lang w:val="en-US" w:eastAsia="zh-CN"/>
              </w:rPr>
              <w:t>MPN/L</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rPr>
            </w:pPr>
            <w:r>
              <w:rPr>
                <w:rFonts w:hint="eastAsia" w:cs="Times New Roman"/>
                <w:snapToGrid w:val="0"/>
                <w:color w:val="000000"/>
                <w:spacing w:val="0"/>
                <w:w w:val="100"/>
                <w:kern w:val="0"/>
                <w:position w:val="0"/>
                <w:sz w:val="21"/>
                <w:szCs w:val="21"/>
                <w:highlight w:val="none"/>
                <w:u w:val="single" w:color="auto"/>
                <w:lang w:val="en-US" w:eastAsia="zh-CN"/>
              </w:rPr>
              <w:t>≤2.0</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达标情况</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pPr>
            <w:r>
              <w:rPr>
                <w:rFonts w:hint="eastAsia" w:cs="Times New Roman"/>
                <w:snapToGrid w:val="0"/>
                <w:color w:val="000000"/>
                <w:spacing w:val="0"/>
                <w:w w:val="100"/>
                <w:kern w:val="0"/>
                <w:position w:val="0"/>
                <w:sz w:val="21"/>
                <w:szCs w:val="21"/>
                <w:highlight w:val="none"/>
                <w:u w:val="single" w:color="auto"/>
                <w:lang w:val="en-US" w:eastAsia="zh-CN"/>
              </w:rPr>
              <w:t>/</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rPr>
              <w:t>处理后排放量（t/a）</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2.162</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0.888</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0.831</w:t>
            </w:r>
          </w:p>
        </w:tc>
        <w:tc>
          <w:tcPr>
            <w:tcW w:w="4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0.642</w:t>
            </w:r>
          </w:p>
        </w:tc>
        <w:tc>
          <w:tcPr>
            <w:tcW w:w="40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1.010</w:t>
            </w:r>
          </w:p>
        </w:tc>
        <w:tc>
          <w:tcPr>
            <w:tcW w:w="478"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0.084</w:t>
            </w:r>
          </w:p>
        </w:tc>
        <w:tc>
          <w:tcPr>
            <w:tcW w:w="8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pPr>
            <w:r>
              <w:rPr>
                <w:rFonts w:hint="eastAsia" w:cs="Times New Roman"/>
                <w:snapToGrid w:val="0"/>
                <w:color w:val="000000"/>
                <w:spacing w:val="0"/>
                <w:w w:val="100"/>
                <w:kern w:val="0"/>
                <w:position w:val="0"/>
                <w:sz w:val="21"/>
                <w:szCs w:val="21"/>
                <w:highlight w:val="none"/>
                <w:u w:val="single" w:color="auto"/>
                <w:lang w:val="en-US" w:eastAsia="zh-CN"/>
              </w:rPr>
              <w:t>5.460</w:t>
            </w:r>
            <w:r>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t>×10</w:t>
            </w:r>
            <w:r>
              <w:rPr>
                <w:rFonts w:hint="eastAsia" w:cs="Times New Roman"/>
                <w:snapToGrid w:val="0"/>
                <w:color w:val="000000"/>
                <w:spacing w:val="0"/>
                <w:w w:val="100"/>
                <w:kern w:val="0"/>
                <w:position w:val="0"/>
                <w:sz w:val="21"/>
                <w:szCs w:val="21"/>
                <w:highlight w:val="none"/>
                <w:u w:val="single" w:color="auto"/>
                <w:vertAlign w:val="superscript"/>
                <w:lang w:val="en-US" w:eastAsia="zh-CN"/>
              </w:rPr>
              <w:t>11</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c>
          <w:tcPr>
            <w:tcW w:w="63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eastAsia" w:cs="Times New Roman"/>
                <w:snapToGrid w:val="0"/>
                <w:color w:val="000000"/>
                <w:spacing w:val="0"/>
                <w:w w:val="100"/>
                <w:kern w:val="0"/>
                <w:position w:val="0"/>
                <w:sz w:val="21"/>
                <w:szCs w:val="21"/>
                <w:highlight w:val="none"/>
                <w:u w:val="single" w:color="auto"/>
                <w:lang w:val="en-US" w:eastAsia="zh-CN"/>
              </w:rPr>
              <w:t>3.292</w:t>
            </w:r>
            <w:r>
              <w:rPr>
                <w:rFonts w:hint="default" w:ascii="Times New Roman" w:hAnsi="Times New Roman" w:eastAsia="宋体" w:cs="Times New Roman"/>
                <w:snapToGrid w:val="0"/>
                <w:color w:val="000000"/>
                <w:spacing w:val="0"/>
                <w:w w:val="100"/>
                <w:kern w:val="0"/>
                <w:position w:val="0"/>
                <w:sz w:val="21"/>
                <w:szCs w:val="21"/>
                <w:highlight w:val="none"/>
                <w:u w:val="single" w:color="auto"/>
                <w:lang w:val="en-US" w:eastAsia="zh-CN"/>
              </w:rPr>
              <w:t>×10</w:t>
            </w:r>
            <w:r>
              <w:rPr>
                <w:rFonts w:hint="eastAsia" w:cs="Times New Roman"/>
                <w:snapToGrid w:val="0"/>
                <w:color w:val="000000"/>
                <w:spacing w:val="0"/>
                <w:w w:val="100"/>
                <w:kern w:val="0"/>
                <w:position w:val="0"/>
                <w:sz w:val="21"/>
                <w:szCs w:val="21"/>
                <w:highlight w:val="none"/>
                <w:u w:val="single" w:color="auto"/>
                <w:vertAlign w:val="superscript"/>
                <w:lang w:val="en-US" w:eastAsia="zh-CN"/>
              </w:rPr>
              <w:t>6</w:t>
            </w:r>
            <w:r>
              <w:rPr>
                <w:rFonts w:hint="eastAsia" w:ascii="Times New Roman" w:hAnsi="Times New Roman" w:eastAsia="宋体" w:cs="Times New Roman"/>
                <w:snapToGrid w:val="0"/>
                <w:color w:val="000000"/>
                <w:spacing w:val="0"/>
                <w:w w:val="100"/>
                <w:kern w:val="0"/>
                <w:position w:val="0"/>
                <w:sz w:val="21"/>
                <w:szCs w:val="21"/>
                <w:highlight w:val="none"/>
                <w:u w:val="single" w:color="auto"/>
                <w:vertAlign w:val="baseline"/>
                <w:lang w:val="en-US" w:eastAsia="zh-CN"/>
              </w:rPr>
              <w:t>个/L</w:t>
            </w:r>
          </w:p>
        </w:tc>
      </w:tr>
    </w:tbl>
    <w:p>
      <w:pPr>
        <w:pStyle w:val="6"/>
        <w:bidi w:val="0"/>
        <w:rPr>
          <w:highlight w:val="none"/>
        </w:rPr>
      </w:pPr>
      <w:r>
        <w:rPr>
          <w:highlight w:val="none"/>
        </w:rPr>
        <w:t>4.3.2.3  噪声</w:t>
      </w:r>
    </w:p>
    <w:p>
      <w:pPr>
        <w:bidi w:val="0"/>
        <w:rPr>
          <w:highlight w:val="none"/>
        </w:rPr>
      </w:pPr>
      <w:r>
        <w:rPr>
          <w:highlight w:val="none"/>
        </w:rPr>
        <w:t>本项目噪声主要来自猪群叫声、猪舍排气扇、和各类水泵等，噪声在75～90dB之间。主要噪声源排放情况见表4.3-</w:t>
      </w:r>
      <w:r>
        <w:rPr>
          <w:rFonts w:hint="eastAsia"/>
          <w:highlight w:val="none"/>
          <w:lang w:val="en-US" w:eastAsia="zh-CN"/>
        </w:rPr>
        <w:t>7</w:t>
      </w:r>
      <w:r>
        <w:rPr>
          <w:highlight w:val="none"/>
        </w:rPr>
        <w:t>。</w:t>
      </w:r>
    </w:p>
    <w:p>
      <w:pPr>
        <w:pStyle w:val="7"/>
        <w:bidi w:val="0"/>
        <w:rPr>
          <w:highlight w:val="none"/>
        </w:rPr>
      </w:pPr>
      <w:r>
        <w:rPr>
          <w:highlight w:val="none"/>
        </w:rPr>
        <w:t>表4.3-</w:t>
      </w:r>
      <w:r>
        <w:rPr>
          <w:rFonts w:hint="eastAsia"/>
          <w:highlight w:val="none"/>
          <w:lang w:val="en-US" w:eastAsia="zh-CN"/>
        </w:rPr>
        <w:t>7</w:t>
      </w:r>
      <w:r>
        <w:rPr>
          <w:highlight w:val="none"/>
        </w:rPr>
        <w:t xml:space="preserve">  项目主要噪声源强表</w:t>
      </w:r>
    </w:p>
    <w:tbl>
      <w:tblPr>
        <w:tblStyle w:val="34"/>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31"/>
        <w:gridCol w:w="2609"/>
        <w:gridCol w:w="1606"/>
        <w:gridCol w:w="25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种类</w:t>
            </w:r>
          </w:p>
        </w:tc>
        <w:tc>
          <w:tcPr>
            <w:tcW w:w="15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噪声源</w:t>
            </w:r>
          </w:p>
        </w:tc>
        <w:tc>
          <w:tcPr>
            <w:tcW w:w="9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产生方式</w:t>
            </w:r>
          </w:p>
        </w:tc>
        <w:tc>
          <w:tcPr>
            <w:tcW w:w="1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产生量 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猪叫</w:t>
            </w:r>
          </w:p>
        </w:tc>
        <w:tc>
          <w:tcPr>
            <w:tcW w:w="15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全部猪舍</w:t>
            </w:r>
          </w:p>
        </w:tc>
        <w:tc>
          <w:tcPr>
            <w:tcW w:w="9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间断</w:t>
            </w:r>
          </w:p>
        </w:tc>
        <w:tc>
          <w:tcPr>
            <w:tcW w:w="1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75～80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排气扇</w:t>
            </w:r>
          </w:p>
        </w:tc>
        <w:tc>
          <w:tcPr>
            <w:tcW w:w="15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全部猪舍</w:t>
            </w:r>
          </w:p>
        </w:tc>
        <w:tc>
          <w:tcPr>
            <w:tcW w:w="9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连续</w:t>
            </w:r>
          </w:p>
        </w:tc>
        <w:tc>
          <w:tcPr>
            <w:tcW w:w="1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75～85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sz w:val="21"/>
                <w:szCs w:val="21"/>
                <w:highlight w:val="none"/>
                <w:lang w:eastAsia="zh-CN"/>
              </w:rPr>
            </w:pPr>
            <w:r>
              <w:rPr>
                <w:rFonts w:hint="eastAsia" w:cs="Times New Roman"/>
                <w:spacing w:val="0"/>
                <w:sz w:val="21"/>
                <w:szCs w:val="21"/>
                <w:highlight w:val="none"/>
                <w:lang w:eastAsia="zh-CN"/>
              </w:rPr>
              <w:t>固液分离机</w:t>
            </w:r>
          </w:p>
        </w:tc>
        <w:tc>
          <w:tcPr>
            <w:tcW w:w="15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sz w:val="21"/>
                <w:szCs w:val="21"/>
                <w:highlight w:val="none"/>
                <w:lang w:eastAsia="zh-CN"/>
              </w:rPr>
            </w:pPr>
            <w:r>
              <w:rPr>
                <w:rFonts w:hint="eastAsia" w:cs="Times New Roman"/>
                <w:spacing w:val="0"/>
                <w:sz w:val="21"/>
                <w:szCs w:val="21"/>
                <w:highlight w:val="none"/>
                <w:lang w:eastAsia="zh-CN"/>
              </w:rPr>
              <w:t>固液分离机</w:t>
            </w:r>
          </w:p>
        </w:tc>
        <w:tc>
          <w:tcPr>
            <w:tcW w:w="9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连续</w:t>
            </w:r>
          </w:p>
        </w:tc>
        <w:tc>
          <w:tcPr>
            <w:tcW w:w="1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85～90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水泵</w:t>
            </w:r>
          </w:p>
        </w:tc>
        <w:tc>
          <w:tcPr>
            <w:tcW w:w="15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给水和粪污处理系统</w:t>
            </w:r>
          </w:p>
        </w:tc>
        <w:tc>
          <w:tcPr>
            <w:tcW w:w="9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连续</w:t>
            </w:r>
          </w:p>
        </w:tc>
        <w:tc>
          <w:tcPr>
            <w:tcW w:w="1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80～90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运输系统</w:t>
            </w:r>
          </w:p>
        </w:tc>
        <w:tc>
          <w:tcPr>
            <w:tcW w:w="15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运输车辆</w:t>
            </w:r>
          </w:p>
        </w:tc>
        <w:tc>
          <w:tcPr>
            <w:tcW w:w="9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间断</w:t>
            </w:r>
          </w:p>
        </w:tc>
        <w:tc>
          <w:tcPr>
            <w:tcW w:w="1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80～85</w:t>
            </w:r>
          </w:p>
        </w:tc>
      </w:tr>
    </w:tbl>
    <w:p>
      <w:pPr>
        <w:pStyle w:val="6"/>
        <w:bidi w:val="0"/>
        <w:rPr>
          <w:highlight w:val="none"/>
        </w:rPr>
      </w:pPr>
      <w:r>
        <w:rPr>
          <w:highlight w:val="none"/>
        </w:rPr>
        <w:t>4.3.2.4  固废</w:t>
      </w:r>
    </w:p>
    <w:p>
      <w:pPr>
        <w:bidi w:val="0"/>
        <w:rPr>
          <w:highlight w:val="none"/>
        </w:rPr>
      </w:pPr>
      <w:r>
        <w:rPr>
          <w:highlight w:val="none"/>
        </w:rPr>
        <w:t>本项目产生的固体废物主要为猪粪</w:t>
      </w:r>
      <w:r>
        <w:rPr>
          <w:rFonts w:hint="eastAsia"/>
          <w:highlight w:val="none"/>
          <w:lang w:eastAsia="zh-CN"/>
        </w:rPr>
        <w:t>、</w:t>
      </w:r>
      <w:r>
        <w:rPr>
          <w:highlight w:val="none"/>
        </w:rPr>
        <w:t>病死猪及员工生活垃圾。此外，猪只检疫、生病等使用医疗设备会产生的医疗废物。</w:t>
      </w:r>
    </w:p>
    <w:p>
      <w:pPr>
        <w:bidi w:val="0"/>
        <w:rPr>
          <w:highlight w:val="none"/>
        </w:rPr>
      </w:pPr>
      <w:r>
        <w:rPr>
          <w:rFonts w:hint="eastAsia" w:eastAsia="宋体"/>
          <w:highlight w:val="none"/>
          <w:lang w:eastAsia="zh-CN"/>
        </w:rPr>
        <w:t>一、</w:t>
      </w:r>
      <w:r>
        <w:rPr>
          <w:highlight w:val="none"/>
        </w:rPr>
        <w:t>固体废物污染源分析</w:t>
      </w:r>
    </w:p>
    <w:p>
      <w:pPr>
        <w:bidi w:val="0"/>
        <w:rPr>
          <w:highlight w:val="none"/>
        </w:rPr>
      </w:pPr>
      <w:r>
        <w:rPr>
          <w:highlight w:val="none"/>
        </w:rPr>
        <w:t>（1）猪粪</w:t>
      </w:r>
    </w:p>
    <w:p>
      <w:pPr>
        <w:bidi w:val="0"/>
        <w:rPr>
          <w:highlight w:val="none"/>
        </w:rPr>
      </w:pPr>
      <w:r>
        <w:rPr>
          <w:rFonts w:hint="eastAsia"/>
          <w:highlight w:val="none"/>
        </w:rPr>
        <w:t>本项目采用</w:t>
      </w:r>
      <w:r>
        <w:rPr>
          <w:rFonts w:hint="eastAsia"/>
          <w:highlight w:val="none"/>
          <w:lang w:eastAsia="zh-CN"/>
        </w:rPr>
        <w:t>干清粪</w:t>
      </w:r>
      <w:r>
        <w:rPr>
          <w:rFonts w:hint="eastAsia"/>
          <w:highlight w:val="none"/>
        </w:rPr>
        <w:t>处理工艺，实现了固液分离，养殖粪污分离出来的固态作为有机肥原料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。据《畜禽养殖业污染治理工程技术规范》（HJ497-2009），猪粪每日排放量为2kg/d。本项目</w:t>
      </w:r>
      <w:r>
        <w:rPr>
          <w:rFonts w:hint="eastAsia"/>
          <w:highlight w:val="none"/>
          <w:lang w:eastAsia="zh-CN"/>
        </w:rPr>
        <w:t>常年</w:t>
      </w:r>
      <w:r>
        <w:rPr>
          <w:highlight w:val="none"/>
        </w:rPr>
        <w:t>存栏量猪5</w:t>
      </w:r>
      <w:r>
        <w:rPr>
          <w:rFonts w:hint="eastAsia"/>
          <w:highlight w:val="none"/>
          <w:lang w:val="en-US" w:eastAsia="zh-CN"/>
        </w:rPr>
        <w:t>5</w:t>
      </w:r>
      <w:r>
        <w:rPr>
          <w:highlight w:val="none"/>
        </w:rPr>
        <w:t>00头，猪粪产生量：</w:t>
      </w:r>
      <w:r>
        <w:rPr>
          <w:rFonts w:hint="eastAsia"/>
          <w:highlight w:val="none"/>
          <w:lang w:val="en-US" w:eastAsia="zh-CN"/>
        </w:rPr>
        <w:t>11</w:t>
      </w:r>
      <w:r>
        <w:rPr>
          <w:highlight w:val="none"/>
        </w:rPr>
        <w:t>t/d，</w:t>
      </w:r>
      <w:r>
        <w:rPr>
          <w:rFonts w:hint="eastAsia"/>
          <w:highlight w:val="none"/>
          <w:lang w:val="en-US" w:eastAsia="zh-CN"/>
        </w:rPr>
        <w:t>4015</w:t>
      </w:r>
      <w:r>
        <w:rPr>
          <w:highlight w:val="none"/>
        </w:rPr>
        <w:t>t/a。</w:t>
      </w:r>
    </w:p>
    <w:p>
      <w:pPr>
        <w:bidi w:val="0"/>
        <w:rPr>
          <w:highlight w:val="none"/>
        </w:rPr>
      </w:pPr>
      <w:r>
        <w:rPr>
          <w:highlight w:val="none"/>
        </w:rPr>
        <w:t>（</w:t>
      </w:r>
      <w:r>
        <w:rPr>
          <w:rFonts w:hint="eastAsia" w:ascii="Times New Roman" w:eastAsia="宋体"/>
          <w:highlight w:val="none"/>
          <w:lang w:val="en-US" w:eastAsia="zh-CN"/>
        </w:rPr>
        <w:t>2</w:t>
      </w:r>
      <w:r>
        <w:rPr>
          <w:highlight w:val="none"/>
        </w:rPr>
        <w:t>）病死猪</w:t>
      </w:r>
    </w:p>
    <w:p>
      <w:pPr>
        <w:bidi w:val="0"/>
        <w:rPr>
          <w:highlight w:val="none"/>
        </w:rPr>
      </w:pPr>
      <w:r>
        <w:rPr>
          <w:highlight w:val="none"/>
        </w:rPr>
        <w:t>病死猪的产生量与猪养殖场的饲养管理和疫病防治水平有关，病死猪主要为猪仔，根据建设方提供资料，一般为</w:t>
      </w:r>
      <w:r>
        <w:rPr>
          <w:rFonts w:hint="eastAsia"/>
          <w:highlight w:val="none"/>
          <w:lang w:eastAsia="zh-CN"/>
        </w:rPr>
        <w:t>常年</w:t>
      </w:r>
      <w:r>
        <w:rPr>
          <w:highlight w:val="none"/>
        </w:rPr>
        <w:t>存栏量的1%，则每年病死猪只约</w:t>
      </w:r>
      <w:r>
        <w:rPr>
          <w:rFonts w:hint="eastAsia"/>
          <w:highlight w:val="none"/>
          <w:lang w:val="en-US" w:eastAsia="zh-CN"/>
        </w:rPr>
        <w:t>55</w:t>
      </w:r>
      <w:r>
        <w:rPr>
          <w:highlight w:val="none"/>
        </w:rPr>
        <w:t>头，均重以60kg/头计，则养殖场病死猪产生量3.</w:t>
      </w:r>
      <w:r>
        <w:rPr>
          <w:rFonts w:hint="eastAsia"/>
          <w:highlight w:val="none"/>
          <w:lang w:val="en-US" w:eastAsia="zh-CN"/>
        </w:rPr>
        <w:t>3</w:t>
      </w:r>
      <w:r>
        <w:rPr>
          <w:highlight w:val="none"/>
        </w:rPr>
        <w:t>t/a。</w:t>
      </w:r>
    </w:p>
    <w:p>
      <w:pPr>
        <w:bidi w:val="0"/>
        <w:rPr>
          <w:highlight w:val="none"/>
        </w:rPr>
      </w:pPr>
      <w:r>
        <w:rPr>
          <w:highlight w:val="none"/>
        </w:rPr>
        <w:t>根据《病害动物和病害动物产品生物安全处理规程》（GB16548-2006），场区内产生的</w:t>
      </w:r>
      <w:r>
        <w:rPr>
          <w:rFonts w:hint="eastAsia"/>
          <w:highlight w:val="none"/>
        </w:rPr>
        <w:t>病死猪当天委托当地畜禽无害化处理中心清运和处理，不在厂内暂存</w:t>
      </w:r>
      <w:r>
        <w:rPr>
          <w:rFonts w:ascii="宋体" w:hAnsi="宋体" w:eastAsia="宋体" w:cs="宋体"/>
          <w:spacing w:val="-3"/>
          <w:sz w:val="24"/>
          <w:szCs w:val="24"/>
          <w:highlight w:val="none"/>
        </w:rPr>
        <w:t>猪。</w:t>
      </w:r>
    </w:p>
    <w:p>
      <w:pPr>
        <w:bidi w:val="0"/>
        <w:rPr>
          <w:highlight w:val="none"/>
        </w:rPr>
      </w:pPr>
      <w:r>
        <w:rPr>
          <w:highlight w:val="none"/>
        </w:rPr>
        <w:t>（</w:t>
      </w:r>
      <w:r>
        <w:rPr>
          <w:rFonts w:hint="eastAsia" w:ascii="Times New Roman" w:eastAsia="宋体"/>
          <w:highlight w:val="none"/>
          <w:lang w:val="en-US" w:eastAsia="zh-CN"/>
        </w:rPr>
        <w:t>3</w:t>
      </w:r>
      <w:r>
        <w:rPr>
          <w:highlight w:val="none"/>
        </w:rPr>
        <w:t>）疾病防疫产生的医疗废物</w:t>
      </w:r>
    </w:p>
    <w:p>
      <w:pPr>
        <w:bidi w:val="0"/>
        <w:rPr>
          <w:highlight w:val="none"/>
        </w:rPr>
      </w:pPr>
      <w:r>
        <w:rPr>
          <w:highlight w:val="none"/>
        </w:rPr>
        <w:t>生猪在生长过程中接种免疫或发病期接收治疗产生的少量医疗废物，类比其他猪场实际生产情况，每头猪防疫产生医疗废物量为0.001kg/a，全场产生量约为0.0</w:t>
      </w:r>
      <w:r>
        <w:rPr>
          <w:rFonts w:hint="eastAsia"/>
          <w:highlight w:val="none"/>
          <w:lang w:val="en-US" w:eastAsia="zh-CN"/>
        </w:rPr>
        <w:t>1</w:t>
      </w:r>
      <w:r>
        <w:rPr>
          <w:highlight w:val="none"/>
        </w:rPr>
        <w:t>1t/a</w:t>
      </w:r>
      <w:r>
        <w:rPr>
          <w:rFonts w:hint="eastAsia"/>
          <w:highlight w:val="none"/>
          <w:lang w:eastAsia="zh-CN"/>
        </w:rPr>
        <w:t>。</w:t>
      </w:r>
      <w:r>
        <w:rPr>
          <w:highlight w:val="none"/>
        </w:rPr>
        <w:t>本项目在场区</w:t>
      </w:r>
      <w:r>
        <w:rPr>
          <w:rFonts w:hint="eastAsia"/>
          <w:highlight w:val="none"/>
          <w:lang w:eastAsia="zh-CN"/>
        </w:rPr>
        <w:t>北侧</w:t>
      </w:r>
      <w:r>
        <w:rPr>
          <w:highlight w:val="none"/>
        </w:rPr>
        <w:t>设置危险废物暂存间，用于收集、暂存养猪过程产生的医疗废物，医疗废物在场区暂存后，由有资质的危险废物处理单位清运集中进行处理。该医疗废物将按照类别分别置于防渗漏、放锐器穿透的专用包装物或者密闭的容器内，在密封袋及容器进行明显的警示标识和警示说明，经分类收集、密封后的医疗防疫废物暂存于医疗废物暂存间，由有资质的危险废物处理单位清运集中进行处理。</w:t>
      </w:r>
    </w:p>
    <w:p>
      <w:pPr>
        <w:bidi w:val="0"/>
        <w:rPr>
          <w:highlight w:val="none"/>
        </w:rPr>
      </w:pPr>
      <w:r>
        <w:rPr>
          <w:highlight w:val="none"/>
        </w:rPr>
        <w:t>（</w:t>
      </w:r>
      <w:r>
        <w:rPr>
          <w:rFonts w:hint="eastAsia" w:ascii="Times New Roman" w:eastAsia="宋体"/>
          <w:highlight w:val="none"/>
          <w:lang w:val="en-US" w:eastAsia="zh-CN"/>
        </w:rPr>
        <w:t>4</w:t>
      </w:r>
      <w:r>
        <w:rPr>
          <w:highlight w:val="none"/>
        </w:rPr>
        <w:t>）生活垃圾</w:t>
      </w:r>
    </w:p>
    <w:p>
      <w:pPr>
        <w:bidi w:val="0"/>
        <w:rPr>
          <w:highlight w:val="none"/>
        </w:rPr>
      </w:pPr>
      <w:r>
        <w:rPr>
          <w:highlight w:val="none"/>
        </w:rPr>
        <w:t>本项目劳动定员5人，垃圾平均产生量为0.5kg/人·d，年产生生活垃圾量为</w:t>
      </w:r>
      <w:r>
        <w:rPr>
          <w:rFonts w:hint="eastAsia"/>
          <w:highlight w:val="none"/>
          <w:lang w:val="en-US" w:eastAsia="zh-CN"/>
        </w:rPr>
        <w:t>2.5kg/d，0.913</w:t>
      </w:r>
      <w:r>
        <w:rPr>
          <w:highlight w:val="none"/>
        </w:rPr>
        <w:t>t/a，产生的生活垃圾由当地环卫部门指定地点处理，不外排。</w:t>
      </w:r>
    </w:p>
    <w:p>
      <w:pPr>
        <w:bidi w:val="0"/>
        <w:rPr>
          <w:highlight w:val="none"/>
        </w:rPr>
      </w:pPr>
      <w:r>
        <w:rPr>
          <w:highlight w:val="none"/>
        </w:rPr>
        <w:t>本项目固体废物汇总如下表</w:t>
      </w:r>
      <w:r>
        <w:rPr>
          <w:rFonts w:hint="eastAsia"/>
          <w:highlight w:val="none"/>
          <w:lang w:eastAsia="zh-CN"/>
        </w:rPr>
        <w:t>4.3</w:t>
      </w:r>
      <w:r>
        <w:rPr>
          <w:highlight w:val="none"/>
        </w:rPr>
        <w:t>-</w:t>
      </w:r>
      <w:r>
        <w:rPr>
          <w:rFonts w:hint="eastAsia"/>
          <w:highlight w:val="none"/>
          <w:lang w:val="en-US" w:eastAsia="zh-CN"/>
        </w:rPr>
        <w:t>8</w:t>
      </w:r>
      <w:r>
        <w:rPr>
          <w:highlight w:val="none"/>
        </w:rPr>
        <w:t>。</w:t>
      </w:r>
    </w:p>
    <w:p>
      <w:pPr>
        <w:pStyle w:val="2"/>
      </w:pPr>
    </w:p>
    <w:p>
      <w:pPr>
        <w:pStyle w:val="7"/>
        <w:bidi w:val="0"/>
        <w:rPr>
          <w:highlight w:val="none"/>
        </w:rPr>
      </w:pPr>
      <w:r>
        <w:rPr>
          <w:highlight w:val="none"/>
        </w:rPr>
        <w:t>表</w:t>
      </w:r>
      <w:r>
        <w:rPr>
          <w:rFonts w:hint="eastAsia"/>
          <w:highlight w:val="none"/>
          <w:lang w:eastAsia="zh-CN"/>
        </w:rPr>
        <w:t>4.3</w:t>
      </w:r>
      <w:r>
        <w:rPr>
          <w:highlight w:val="none"/>
        </w:rPr>
        <w:t>-</w:t>
      </w:r>
      <w:r>
        <w:rPr>
          <w:rFonts w:hint="eastAsia"/>
          <w:highlight w:val="none"/>
          <w:lang w:val="en-US" w:eastAsia="zh-CN"/>
        </w:rPr>
        <w:t xml:space="preserve">8 </w:t>
      </w:r>
      <w:r>
        <w:rPr>
          <w:highlight w:val="none"/>
        </w:rPr>
        <w:t xml:space="preserve"> 项目固体废物汇总表</w:t>
      </w:r>
    </w:p>
    <w:tbl>
      <w:tblPr>
        <w:tblStyle w:val="3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07"/>
        <w:gridCol w:w="1262"/>
        <w:gridCol w:w="1317"/>
        <w:gridCol w:w="840"/>
        <w:gridCol w:w="1082"/>
        <w:gridCol w:w="837"/>
        <w:gridCol w:w="1089"/>
        <w:gridCol w:w="10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序号</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6"/>
                <w:sz w:val="21"/>
                <w:szCs w:val="21"/>
                <w:highlight w:val="none"/>
              </w:rPr>
              <w:t>固废名称</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污染来源</w:t>
            </w:r>
          </w:p>
        </w:tc>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6"/>
                <w:sz w:val="21"/>
                <w:szCs w:val="21"/>
                <w:highlight w:val="none"/>
              </w:rPr>
              <w:t>形态</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属性</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危险废物</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4"/>
                <w:sz w:val="21"/>
                <w:szCs w:val="21"/>
                <w:highlight w:val="none"/>
              </w:rPr>
              <w:t>类别</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危险废物</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4"/>
                <w:sz w:val="21"/>
                <w:szCs w:val="21"/>
                <w:highlight w:val="none"/>
              </w:rPr>
              <w:t>代码</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position w:val="4"/>
                <w:sz w:val="21"/>
                <w:szCs w:val="21"/>
                <w:highlight w:val="none"/>
              </w:rPr>
              <w:t>产生量</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b w:val="0"/>
                <w:bCs w:val="0"/>
                <w:spacing w:val="-3"/>
                <w:sz w:val="21"/>
                <w:szCs w:val="21"/>
                <w:highlight w:val="none"/>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生活垃圾</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员工生活</w:t>
            </w:r>
          </w:p>
        </w:tc>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4"/>
                <w:sz w:val="21"/>
                <w:szCs w:val="21"/>
                <w:highlight w:val="none"/>
              </w:rPr>
              <w:t>固态</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一般固废</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pacing w:val="-3"/>
                <w:sz w:val="21"/>
                <w:szCs w:val="21"/>
                <w:highlight w:val="none"/>
                <w:lang w:val="en-US" w:eastAsia="zh-CN"/>
              </w:rPr>
              <w:t>0.913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猪粪</w:t>
            </w:r>
          </w:p>
        </w:tc>
        <w:tc>
          <w:tcPr>
            <w:tcW w:w="7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5"/>
                <w:sz w:val="21"/>
                <w:szCs w:val="21"/>
                <w:highlight w:val="none"/>
              </w:rPr>
              <w:t>猪舍</w:t>
            </w:r>
          </w:p>
        </w:tc>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4"/>
                <w:sz w:val="21"/>
                <w:szCs w:val="21"/>
                <w:highlight w:val="none"/>
              </w:rPr>
              <w:t>固态</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一般固废</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pacing w:val="-4"/>
                <w:sz w:val="21"/>
                <w:szCs w:val="21"/>
                <w:highlight w:val="none"/>
                <w:lang w:val="en-US" w:eastAsia="zh-CN"/>
              </w:rPr>
              <w:t>4015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病死猪</w:t>
            </w:r>
          </w:p>
        </w:tc>
        <w:tc>
          <w:tcPr>
            <w:tcW w:w="7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4"/>
                <w:sz w:val="21"/>
                <w:szCs w:val="21"/>
                <w:highlight w:val="none"/>
              </w:rPr>
              <w:t>固态</w:t>
            </w:r>
          </w:p>
        </w:tc>
        <w:tc>
          <w:tcPr>
            <w:tcW w:w="6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3"/>
                <w:sz w:val="21"/>
                <w:szCs w:val="21"/>
                <w:highlight w:val="none"/>
              </w:rPr>
              <w:t>危险废物</w:t>
            </w: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HW01</w:t>
            </w:r>
          </w:p>
        </w:tc>
        <w:tc>
          <w:tcPr>
            <w:tcW w:w="65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900-001-01</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6"/>
                <w:sz w:val="21"/>
                <w:szCs w:val="21"/>
                <w:highlight w:val="none"/>
              </w:rPr>
              <w:t>医疗废物</w:t>
            </w:r>
          </w:p>
        </w:tc>
        <w:tc>
          <w:tcPr>
            <w:tcW w:w="7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4"/>
                <w:sz w:val="21"/>
                <w:szCs w:val="21"/>
                <w:highlight w:val="none"/>
              </w:rPr>
              <w:t>固态</w:t>
            </w:r>
          </w:p>
        </w:tc>
        <w:tc>
          <w:tcPr>
            <w:tcW w:w="6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65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3"/>
                <w:sz w:val="21"/>
                <w:szCs w:val="21"/>
                <w:highlight w:val="none"/>
              </w:rPr>
              <w:t>0.01</w:t>
            </w:r>
            <w:r>
              <w:rPr>
                <w:rFonts w:hint="eastAsia" w:cs="Times New Roman"/>
                <w:spacing w:val="-3"/>
                <w:sz w:val="21"/>
                <w:szCs w:val="21"/>
                <w:highlight w:val="none"/>
                <w:lang w:val="en-US" w:eastAsia="zh-CN"/>
              </w:rPr>
              <w:t>1</w:t>
            </w:r>
          </w:p>
        </w:tc>
      </w:tr>
    </w:tbl>
    <w:p>
      <w:pPr>
        <w:bidi w:val="0"/>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pStyle w:val="3"/>
        <w:bidi w:val="0"/>
        <w:rPr>
          <w:highlight w:val="none"/>
        </w:rPr>
      </w:pPr>
      <w:bookmarkStart w:id="60" w:name="_Toc29406"/>
      <w:bookmarkStart w:id="61" w:name="_Toc16494"/>
      <w:r>
        <w:rPr>
          <w:rFonts w:hint="eastAsia"/>
          <w:highlight w:val="none"/>
          <w:lang w:val="en-US" w:eastAsia="zh-CN"/>
        </w:rPr>
        <w:t xml:space="preserve">5 </w:t>
      </w:r>
      <w:r>
        <w:rPr>
          <w:highlight w:val="none"/>
        </w:rPr>
        <w:t xml:space="preserve"> 环境现状调查与评价</w:t>
      </w:r>
      <w:bookmarkEnd w:id="60"/>
      <w:bookmarkEnd w:id="61"/>
    </w:p>
    <w:p>
      <w:pPr>
        <w:pStyle w:val="4"/>
        <w:bidi w:val="0"/>
        <w:rPr>
          <w:highlight w:val="none"/>
        </w:rPr>
      </w:pPr>
      <w:bookmarkStart w:id="62" w:name="_Toc21154"/>
      <w:bookmarkStart w:id="63" w:name="_Toc1098"/>
      <w:r>
        <w:rPr>
          <w:rFonts w:hint="eastAsia" w:eastAsia="宋体" w:cs="Times New Roman"/>
          <w:b/>
          <w:bCs/>
          <w:spacing w:val="-4"/>
          <w:sz w:val="28"/>
          <w:szCs w:val="28"/>
          <w:highlight w:val="none"/>
          <w:lang w:eastAsia="zh-CN"/>
        </w:rPr>
        <w:t>5.1</w:t>
      </w:r>
      <w:r>
        <w:rPr>
          <w:rFonts w:hint="eastAsia" w:cs="Times New Roman"/>
          <w:b/>
          <w:bCs/>
          <w:spacing w:val="-4"/>
          <w:sz w:val="28"/>
          <w:szCs w:val="28"/>
          <w:highlight w:val="none"/>
          <w:lang w:val="en-US" w:eastAsia="zh-CN"/>
        </w:rPr>
        <w:t xml:space="preserve">  </w:t>
      </w:r>
      <w:r>
        <w:rPr>
          <w:rFonts w:ascii="宋体" w:hAnsi="宋体" w:eastAsia="宋体" w:cs="宋体"/>
          <w:spacing w:val="-4"/>
          <w:sz w:val="28"/>
          <w:szCs w:val="28"/>
          <w:highlight w:val="none"/>
        </w:rPr>
        <w:t>自然环境现状调查与评价</w:t>
      </w:r>
      <w:bookmarkEnd w:id="62"/>
      <w:bookmarkEnd w:id="63"/>
    </w:p>
    <w:p>
      <w:pPr>
        <w:pStyle w:val="5"/>
        <w:bidi w:val="0"/>
        <w:rPr>
          <w:highlight w:val="none"/>
        </w:rPr>
      </w:pPr>
      <w:r>
        <w:rPr>
          <w:rFonts w:hint="eastAsia"/>
          <w:highlight w:val="none"/>
          <w:lang w:eastAsia="zh-CN"/>
        </w:rPr>
        <w:t>5.1</w:t>
      </w:r>
      <w:r>
        <w:rPr>
          <w:highlight w:val="none"/>
        </w:rPr>
        <w:t>.1</w:t>
      </w:r>
      <w:r>
        <w:rPr>
          <w:rFonts w:hint="eastAsia"/>
          <w:highlight w:val="none"/>
          <w:lang w:val="en-US" w:eastAsia="zh-CN"/>
        </w:rPr>
        <w:t xml:space="preserve">  </w:t>
      </w:r>
      <w:r>
        <w:rPr>
          <w:highlight w:val="none"/>
        </w:rPr>
        <w:t>地理位置</w:t>
      </w:r>
    </w:p>
    <w:p>
      <w:pPr>
        <w:bidi w:val="0"/>
        <w:rPr>
          <w:highlight w:val="none"/>
        </w:rPr>
      </w:pPr>
      <w:r>
        <w:rPr>
          <w:highlight w:val="none"/>
        </w:rPr>
        <w:t>华容县位于湖南省北部边陲，岳阳市西境，地处东径120°18′31″—113°1′32″，北纬29°10′18″—29°48′27″。北倚长江，南滨洞庭湖。周邻6县（市）、场，东与岳阳市君山区交界，西与益阳市南县相邻，南连国营北洲子农场，北接湖北省石首市，东北与湖北省监利县隔江而望。县境广袤70公里，境内东西最大横距68公里，南北最大纵距80公里。集雨面积1612平方公里，占全省面积的0.76%。其中平原1028平方公里，占56%；低山丘岗区328平方公里，占17.8%；水面255平方公里，占26.2%。</w:t>
      </w:r>
    </w:p>
    <w:p>
      <w:pPr>
        <w:bidi w:val="0"/>
        <w:rPr>
          <w:kern w:val="0"/>
          <w:highlight w:val="none"/>
        </w:rPr>
      </w:pPr>
      <w:r>
        <w:rPr>
          <w:highlight w:val="none"/>
        </w:rPr>
        <w:t>本项目</w:t>
      </w:r>
      <w:r>
        <w:rPr>
          <w:rFonts w:hint="eastAsia"/>
          <w:highlight w:val="none"/>
        </w:rPr>
        <w:t>建设地位</w:t>
      </w:r>
      <w:r>
        <w:rPr>
          <w:highlight w:val="none"/>
        </w:rPr>
        <w:t>于</w:t>
      </w:r>
      <w:r>
        <w:rPr>
          <w:rFonts w:hint="eastAsia"/>
          <w:highlight w:val="none"/>
        </w:rPr>
        <w:t>岳阳市华容县东山镇长岗庙村9组002号</w:t>
      </w:r>
      <w:r>
        <w:rPr>
          <w:highlight w:val="none"/>
        </w:rPr>
        <w:t>（东经：112°</w:t>
      </w:r>
      <w:r>
        <w:rPr>
          <w:rFonts w:hint="eastAsia"/>
          <w:highlight w:val="none"/>
          <w:lang w:val="en-US" w:eastAsia="zh-CN"/>
        </w:rPr>
        <w:t>45</w:t>
      </w:r>
      <w:r>
        <w:rPr>
          <w:highlight w:val="none"/>
        </w:rPr>
        <w:t>′</w:t>
      </w:r>
      <w:r>
        <w:rPr>
          <w:rFonts w:hint="eastAsia"/>
          <w:highlight w:val="none"/>
          <w:lang w:val="en-US" w:eastAsia="zh-CN"/>
        </w:rPr>
        <w:t>0.98</w:t>
      </w:r>
      <w:r>
        <w:rPr>
          <w:highlight w:val="none"/>
        </w:rPr>
        <w:t>″，北纬：</w:t>
      </w:r>
      <w:r>
        <w:rPr>
          <w:rFonts w:hint="eastAsia"/>
          <w:highlight w:val="none"/>
          <w:lang w:val="en-US" w:eastAsia="zh-CN"/>
        </w:rPr>
        <w:t>29</w:t>
      </w:r>
      <w:r>
        <w:rPr>
          <w:highlight w:val="none"/>
        </w:rPr>
        <w:t>°</w:t>
      </w:r>
      <w:r>
        <w:rPr>
          <w:rFonts w:hint="eastAsia"/>
          <w:highlight w:val="none"/>
          <w:lang w:val="en-US" w:eastAsia="zh-CN"/>
        </w:rPr>
        <w:t>34</w:t>
      </w:r>
      <w:r>
        <w:rPr>
          <w:highlight w:val="none"/>
        </w:rPr>
        <w:t>′</w:t>
      </w:r>
      <w:r>
        <w:rPr>
          <w:rFonts w:hint="eastAsia"/>
          <w:highlight w:val="none"/>
          <w:lang w:val="en-US" w:eastAsia="zh-CN"/>
        </w:rPr>
        <w:t>29.64</w:t>
      </w:r>
      <w:r>
        <w:rPr>
          <w:highlight w:val="none"/>
        </w:rPr>
        <w:t>″），项目地理位置见附图1。</w:t>
      </w:r>
    </w:p>
    <w:p>
      <w:pPr>
        <w:pStyle w:val="5"/>
        <w:bidi w:val="0"/>
        <w:rPr>
          <w:highlight w:val="none"/>
        </w:rPr>
      </w:pPr>
      <w:r>
        <w:rPr>
          <w:rFonts w:hint="eastAsia"/>
          <w:highlight w:val="none"/>
          <w:lang w:eastAsia="zh-CN"/>
        </w:rPr>
        <w:t>5.1</w:t>
      </w:r>
      <w:r>
        <w:rPr>
          <w:highlight w:val="none"/>
        </w:rPr>
        <w:t>.2</w:t>
      </w:r>
      <w:r>
        <w:rPr>
          <w:rFonts w:hint="eastAsia"/>
          <w:highlight w:val="none"/>
          <w:lang w:val="en-US" w:eastAsia="zh-CN"/>
        </w:rPr>
        <w:t xml:space="preserve"> </w:t>
      </w:r>
      <w:r>
        <w:rPr>
          <w:highlight w:val="none"/>
        </w:rPr>
        <w:t xml:space="preserve"> </w:t>
      </w:r>
      <w:r>
        <w:rPr>
          <w:rFonts w:hint="eastAsia"/>
          <w:highlight w:val="none"/>
        </w:rPr>
        <w:t>地形、地质</w:t>
      </w:r>
    </w:p>
    <w:p>
      <w:pPr>
        <w:bidi w:val="0"/>
        <w:rPr>
          <w:highlight w:val="none"/>
        </w:rPr>
      </w:pPr>
      <w:r>
        <w:rPr>
          <w:highlight w:val="none"/>
        </w:rPr>
        <w:t>华容县位于扬子准地台的江南地轴上，处于洞庭湖凹陷与汉水凹陷的接触部，属于既具有强烈挤压稽皱上升运动，又有升降运动的江南古陆，地势北高南低，中部丘岗隆起，东西低平开阔，微向东洞庭湖倾斜。地貌分区特征较为明显：东北部为低山丘陵区，间有溪谷平原，中南部为丘岗区，其余为平原。从最高峰雷打岩</w:t>
      </w:r>
      <w:r>
        <w:rPr>
          <w:rFonts w:hint="eastAsia"/>
          <w:highlight w:val="none"/>
          <w:lang w:eastAsia="zh-CN"/>
        </w:rPr>
        <w:t>（</w:t>
      </w:r>
      <w:r>
        <w:rPr>
          <w:highlight w:val="none"/>
        </w:rPr>
        <w:t>海拔382.9米</w:t>
      </w:r>
      <w:r>
        <w:rPr>
          <w:rFonts w:hint="eastAsia"/>
          <w:highlight w:val="none"/>
          <w:lang w:eastAsia="zh-CN"/>
        </w:rPr>
        <w:t>）</w:t>
      </w:r>
      <w:r>
        <w:rPr>
          <w:highlight w:val="none"/>
        </w:rPr>
        <w:t>到最低点东湖湖底</w:t>
      </w:r>
      <w:r>
        <w:rPr>
          <w:rFonts w:hint="eastAsia"/>
          <w:highlight w:val="none"/>
          <w:lang w:eastAsia="zh-CN"/>
        </w:rPr>
        <w:t>（</w:t>
      </w:r>
      <w:r>
        <w:rPr>
          <w:highlight w:val="none"/>
        </w:rPr>
        <w:t>海拔21米</w:t>
      </w:r>
      <w:r>
        <w:rPr>
          <w:rFonts w:hint="eastAsia"/>
          <w:highlight w:val="none"/>
          <w:lang w:eastAsia="zh-CN"/>
        </w:rPr>
        <w:t>）</w:t>
      </w:r>
      <w:r>
        <w:rPr>
          <w:highlight w:val="none"/>
        </w:rPr>
        <w:t>，高差361.9米，县城标高35m~26m，大部分地面标高在30m左右。现代地貌主要是由于燕山运动形成</w:t>
      </w:r>
      <w:r>
        <w:rPr>
          <w:rFonts w:hint="eastAsia" w:ascii="宋体" w:hAnsi="宋体" w:eastAsia="宋体" w:cs="宋体"/>
          <w:highlight w:val="none"/>
        </w:rPr>
        <w:t>的“华容隆起”与</w:t>
      </w:r>
      <w:r>
        <w:rPr>
          <w:highlight w:val="none"/>
        </w:rPr>
        <w:t>长江洞庭湖泄洪所起的控制、塑造作用所形成。</w:t>
      </w:r>
    </w:p>
    <w:p>
      <w:pPr>
        <w:bidi w:val="0"/>
        <w:rPr>
          <w:highlight w:val="none"/>
        </w:rPr>
      </w:pPr>
      <w:r>
        <w:rPr>
          <w:highlight w:val="none"/>
        </w:rPr>
        <w:t>境内地层发育齐全，但由于先期构造的破坏，岩浆岩的侵入及第四世纪沉积物的大面积覆盖，因而古生界全部缺失，元古界、中生界各缺失一部分。以新生界第四纪最发育，次为白垩纪，元古界则在桃花山有大量出露，南山也有零星露出。</w:t>
      </w:r>
    </w:p>
    <w:p>
      <w:pPr>
        <w:bidi w:val="0"/>
        <w:rPr>
          <w:highlight w:val="none"/>
        </w:rPr>
      </w:pPr>
      <w:r>
        <w:rPr>
          <w:highlight w:val="none"/>
        </w:rPr>
        <w:t>境内岩浆岩出露面积为170平方公里，主要分布在东北部的桃花山一带，均为花岗岩类，形成时代为燕山早期和晚期。</w:t>
      </w:r>
    </w:p>
    <w:p>
      <w:pPr>
        <w:bidi w:val="0"/>
        <w:rPr>
          <w:highlight w:val="none"/>
        </w:rPr>
      </w:pPr>
      <w:r>
        <w:rPr>
          <w:highlight w:val="none"/>
        </w:rPr>
        <w:t>全县按地貌类型可以分为平原和山地两大类。平原面积1028平方公里（不含江、湖、河、库等水域），按成因可分为江河平原、溪谷平原和滨湖平原。山地总面积328平方公里，按高程可分为岗地、丘陵、低山3类。本项目选址地处平原区域，周围地势开阔、平坦。</w:t>
      </w:r>
    </w:p>
    <w:p>
      <w:pPr>
        <w:pStyle w:val="5"/>
        <w:bidi w:val="0"/>
        <w:rPr>
          <w:highlight w:val="none"/>
        </w:rPr>
      </w:pPr>
      <w:r>
        <w:rPr>
          <w:rFonts w:hint="eastAsia"/>
          <w:highlight w:val="none"/>
          <w:lang w:eastAsia="zh-CN"/>
        </w:rPr>
        <w:t>5.1</w:t>
      </w:r>
      <w:r>
        <w:rPr>
          <w:highlight w:val="none"/>
        </w:rPr>
        <w:t xml:space="preserve">.3 </w:t>
      </w:r>
      <w:r>
        <w:rPr>
          <w:rFonts w:hint="eastAsia"/>
          <w:highlight w:val="none"/>
          <w:lang w:val="en-US" w:eastAsia="zh-CN"/>
        </w:rPr>
        <w:t xml:space="preserve"> </w:t>
      </w:r>
      <w:r>
        <w:rPr>
          <w:highlight w:val="none"/>
        </w:rPr>
        <w:t>气候与气象</w:t>
      </w:r>
    </w:p>
    <w:p>
      <w:pPr>
        <w:bidi w:val="0"/>
        <w:rPr>
          <w:highlight w:val="none"/>
        </w:rPr>
      </w:pPr>
      <w:r>
        <w:rPr>
          <w:highlight w:val="none"/>
        </w:rPr>
        <w:t>华容县属中亚热带向北严热带过度地区的大陆性季风湿气候，在中国气候分区中，属长江中游气候大区。主要气候特征是：光照充足，雨量适度，温暖湿润，四季分明。据华容县气象局资料，历年年平均气温16.7℃，极端最高气温40℃，极端最低气温零下12.6℃。6-7月为南风，其他月份偏北风，年主导风向为北风，年平均风速3.0m/s。气温年变化差大，日变化小。年平均降水量1214毫米（华容城关站），年最大降水量2033.7毫米，年最小为750毫米，最大三日降雨399.6毫米，最大日降雨227.8毫米，年降雨日平均134.3天。年降水量的地域分布比较一致，地域之间的年降水量差异在100mm上下。初霜早，霜期长，无霜期261.7天，县境内水域大，空气湿润，干燥度小，年平均相对湿度81%。冷空气由此侵入湖南，冬春多寒潮，夏季降水集中，往往形成风、雹、涝灾害。</w:t>
      </w:r>
    </w:p>
    <w:p>
      <w:pPr>
        <w:bidi w:val="0"/>
        <w:rPr>
          <w:highlight w:val="none"/>
        </w:rPr>
      </w:pPr>
      <w:r>
        <w:rPr>
          <w:highlight w:val="none"/>
        </w:rPr>
        <w:t>华容处于低纬区内，全年太阳可照时数为4426.9小时，但实际日照时数仅1612.4小时，年日照率为36％。境内日照时数由北向南呈递减趋势，境内东北地区，日照时数在1800小时以上，境南的注滋口、插旗及东湖一带日照时数1700小时以下，为低值区。</w:t>
      </w:r>
    </w:p>
    <w:p>
      <w:pPr>
        <w:pStyle w:val="5"/>
        <w:bidi w:val="0"/>
        <w:rPr>
          <w:highlight w:val="none"/>
        </w:rPr>
      </w:pPr>
      <w:r>
        <w:rPr>
          <w:rFonts w:hint="eastAsia"/>
          <w:highlight w:val="none"/>
          <w:lang w:val="en-US" w:eastAsia="zh-CN"/>
        </w:rPr>
        <w:t xml:space="preserve">5.1.4  </w:t>
      </w:r>
      <w:r>
        <w:rPr>
          <w:highlight w:val="none"/>
        </w:rPr>
        <w:t>水文</w:t>
      </w:r>
    </w:p>
    <w:p>
      <w:pPr>
        <w:rPr>
          <w:rFonts w:hint="eastAsia"/>
          <w:highlight w:val="none"/>
        </w:rPr>
      </w:pPr>
      <w:r>
        <w:rPr>
          <w:rFonts w:hint="eastAsia"/>
          <w:highlight w:val="none"/>
        </w:rPr>
        <w:t>华容境内湖泊星布，河流网织，水系发达。有内湖 21 个，蓄水面积74.5平方公里，调蓄水量12154万立米，内河 8 条，长83.80公里，蓄水量 3018 万立米。水库73 座，其中中型水库3座，小（一）型水库 5 座，小（二）型水库 65 座，山塘港垱 6174处，总蓄水量9139.87万立方米。长江水系藕池河、华容河穿境而过。加上年降雨量1226.9毫米，总产水量20.35亿立米，减去蒸发量11.7亿立米，水资源总量为8.65亿立米，其中地表水为6.63亿立米，地下水为2.02亿立米。</w:t>
      </w:r>
    </w:p>
    <w:p>
      <w:pPr>
        <w:pStyle w:val="5"/>
        <w:bidi w:val="0"/>
        <w:rPr>
          <w:rFonts w:hint="eastAsia"/>
          <w:highlight w:val="none"/>
        </w:rPr>
      </w:pPr>
      <w:r>
        <w:rPr>
          <w:rFonts w:hint="eastAsia"/>
          <w:highlight w:val="none"/>
          <w:lang w:val="en-US" w:eastAsia="zh-CN"/>
        </w:rPr>
        <w:t xml:space="preserve">5.1.5  </w:t>
      </w:r>
      <w:r>
        <w:rPr>
          <w:rFonts w:hint="eastAsia"/>
          <w:highlight w:val="none"/>
        </w:rPr>
        <w:t>土壤</w:t>
      </w:r>
    </w:p>
    <w:p>
      <w:pPr>
        <w:bidi w:val="0"/>
        <w:rPr>
          <w:rFonts w:hint="eastAsia"/>
          <w:highlight w:val="none"/>
        </w:rPr>
      </w:pPr>
      <w:r>
        <w:rPr>
          <w:rFonts w:hint="eastAsia"/>
          <w:highlight w:val="none"/>
        </w:rPr>
        <w:t>全县土壤共划分为4个土类，其中水稻土壤占69.38%，潮土占12.86%，红壤土占16.3%，菜园土占1.46%。水稻土中，具有层次分明、发育完整、耕性好、保水保肥力强、有效养分含量丰富，最适宜于双季稻栽培的潴育性水稻土占82.6%，主要分布在垸区高地及山丘区的平原地带；其它淹育性和渗育性等较差的水稻土占17.4%，分布在垸区低处和山丘区的高亢地带。潮土土壤中，具有土层深厚，质地适中，土质肥沃，适宜于棉、麻、桑等种植的耕型紫潮土，占潮土土类的88.8%，其他紫潮土占11.2%。耕型第四纪红壤土，土层深厚，酸、粘、瘦，适宜于茶、果种植的占红壤的47.9%，分布于东部和中南部的丘岗地带。按水旱土壤等级分：水田分四级，一级占22.65%，二级占30.38%，三级占34.1%，四级占12.87%。旱地（含菜园土）也分四级，一级占27.71%，二级占31.44%，三级占32.77%，四级占8.08%。</w:t>
      </w:r>
    </w:p>
    <w:p>
      <w:pPr>
        <w:pStyle w:val="5"/>
        <w:bidi w:val="0"/>
        <w:rPr>
          <w:rFonts w:hint="eastAsia"/>
          <w:highlight w:val="none"/>
        </w:rPr>
      </w:pPr>
      <w:r>
        <w:rPr>
          <w:rFonts w:hint="eastAsia"/>
          <w:highlight w:val="none"/>
          <w:lang w:val="en-US" w:eastAsia="zh-CN"/>
        </w:rPr>
        <w:t xml:space="preserve">5.1.6  </w:t>
      </w:r>
      <w:r>
        <w:rPr>
          <w:rFonts w:hint="eastAsia"/>
          <w:highlight w:val="none"/>
        </w:rPr>
        <w:t>植被</w:t>
      </w:r>
    </w:p>
    <w:p>
      <w:pPr>
        <w:bidi w:val="0"/>
        <w:rPr>
          <w:rFonts w:hint="eastAsia"/>
          <w:highlight w:val="none"/>
        </w:rPr>
      </w:pPr>
      <w:r>
        <w:rPr>
          <w:rFonts w:hint="eastAsia"/>
          <w:highlight w:val="none"/>
        </w:rPr>
        <w:t>华容肥沃的土壤，温暖湿润的气候，适宜植物生长。野生植物和已经驯化用于林业生产的栽培植物共有904种（包括变种），按其利用价值可分为防护、用材、食用、药用、工业、农业、观赏等6类。粮食作物有水稻等6种；经济作物有棉花等5种；油料作物有油菜等4种；水果作物有板粟等8种；蔬菜作物有辣椒等20种；绿肥作物有红花草籽等2种；水生植物和野生植物有莲藕等5种。</w:t>
      </w:r>
    </w:p>
    <w:p>
      <w:pPr>
        <w:pStyle w:val="5"/>
        <w:bidi w:val="0"/>
        <w:rPr>
          <w:rFonts w:hint="eastAsia"/>
          <w:highlight w:val="none"/>
        </w:rPr>
      </w:pPr>
      <w:r>
        <w:rPr>
          <w:rFonts w:hint="eastAsia"/>
          <w:highlight w:val="none"/>
          <w:lang w:val="en-US" w:eastAsia="zh-CN"/>
        </w:rPr>
        <w:t xml:space="preserve">5.1.7  </w:t>
      </w:r>
      <w:r>
        <w:rPr>
          <w:rFonts w:hint="eastAsia"/>
          <w:highlight w:val="none"/>
        </w:rPr>
        <w:t>动物</w:t>
      </w:r>
    </w:p>
    <w:p>
      <w:pPr>
        <w:rPr>
          <w:rFonts w:hint="eastAsia"/>
          <w:highlight w:val="none"/>
        </w:rPr>
      </w:pPr>
      <w:r>
        <w:rPr>
          <w:rFonts w:hint="eastAsia"/>
          <w:highlight w:val="none"/>
        </w:rPr>
        <w:t>境内动物资源分三大类。猪、鸡等家畜家禽：家畜家禽有10种。水生动物有青鱼、鲫鱼等鱼类117种。野生动物有国家一级保护动物中华鲟等10种；二级保护动物有江豚、丽蚌等37种；三级保护动物有豺狗等63种。鸟类有八哥、麻雀等130种。兽类有黄鼠、蝙蝠等23种。</w:t>
      </w:r>
    </w:p>
    <w:p>
      <w:pPr>
        <w:pStyle w:val="4"/>
        <w:bidi w:val="0"/>
        <w:rPr>
          <w:highlight w:val="none"/>
        </w:rPr>
      </w:pPr>
      <w:bookmarkStart w:id="64" w:name="_Toc28824"/>
      <w:bookmarkStart w:id="65" w:name="_Toc1048"/>
      <w:r>
        <w:rPr>
          <w:rFonts w:hint="eastAsia"/>
          <w:highlight w:val="none"/>
          <w:lang w:val="en-US" w:eastAsia="zh-CN"/>
        </w:rPr>
        <w:t xml:space="preserve">5.2 </w:t>
      </w:r>
      <w:r>
        <w:rPr>
          <w:highlight w:val="none"/>
        </w:rPr>
        <w:t xml:space="preserve"> 环境质量现状调查与评价</w:t>
      </w:r>
      <w:bookmarkEnd w:id="64"/>
      <w:bookmarkEnd w:id="65"/>
    </w:p>
    <w:p>
      <w:pPr>
        <w:pStyle w:val="5"/>
        <w:bidi w:val="0"/>
        <w:rPr>
          <w:highlight w:val="none"/>
        </w:rPr>
      </w:pPr>
      <w:r>
        <w:rPr>
          <w:highlight w:val="none"/>
        </w:rPr>
        <w:t>5</w:t>
      </w:r>
      <w:r>
        <w:rPr>
          <w:rFonts w:hint="eastAsia"/>
          <w:highlight w:val="none"/>
          <w:lang w:val="en-US" w:eastAsia="zh-CN"/>
        </w:rPr>
        <w:t>.2</w:t>
      </w:r>
      <w:r>
        <w:rPr>
          <w:highlight w:val="none"/>
        </w:rPr>
        <w:t xml:space="preserve">.1 </w:t>
      </w:r>
      <w:r>
        <w:rPr>
          <w:rFonts w:hint="eastAsia"/>
          <w:highlight w:val="none"/>
          <w:lang w:val="en-US" w:eastAsia="zh-CN"/>
        </w:rPr>
        <w:t xml:space="preserve"> </w:t>
      </w:r>
      <w:r>
        <w:rPr>
          <w:highlight w:val="none"/>
        </w:rPr>
        <w:t>环境空气质量现状调查与评价</w:t>
      </w:r>
    </w:p>
    <w:p>
      <w:pPr>
        <w:pStyle w:val="6"/>
        <w:bidi w:val="0"/>
        <w:rPr>
          <w:highlight w:val="none"/>
        </w:rPr>
      </w:pPr>
      <w:r>
        <w:rPr>
          <w:rFonts w:hint="eastAsia"/>
          <w:highlight w:val="none"/>
          <w:lang w:val="en-US" w:eastAsia="zh-CN"/>
        </w:rPr>
        <w:t>5.2</w:t>
      </w:r>
      <w:r>
        <w:rPr>
          <w:highlight w:val="none"/>
        </w:rPr>
        <w:t xml:space="preserve">.1.1 </w:t>
      </w:r>
      <w:r>
        <w:rPr>
          <w:rFonts w:hint="eastAsia"/>
          <w:highlight w:val="none"/>
          <w:lang w:val="en-US" w:eastAsia="zh-CN"/>
        </w:rPr>
        <w:t xml:space="preserve"> </w:t>
      </w:r>
      <w:r>
        <w:rPr>
          <w:highlight w:val="none"/>
        </w:rPr>
        <w:t>区域环境质量达标情况</w:t>
      </w:r>
    </w:p>
    <w:p>
      <w:pPr>
        <w:spacing w:line="360" w:lineRule="auto"/>
        <w:ind w:firstLine="480" w:firstLineChars="200"/>
        <w:rPr>
          <w:kern w:val="28"/>
          <w:sz w:val="24"/>
          <w:highlight w:val="none"/>
          <w:u w:val="single" w:color="auto"/>
        </w:rPr>
      </w:pPr>
      <w:r>
        <w:rPr>
          <w:rFonts w:hint="eastAsia"/>
          <w:kern w:val="28"/>
          <w:sz w:val="24"/>
          <w:highlight w:val="none"/>
          <w:u w:val="single" w:color="auto"/>
        </w:rPr>
        <w:t>（1）区域达标情况</w:t>
      </w:r>
    </w:p>
    <w:p>
      <w:pPr>
        <w:bidi w:val="0"/>
        <w:rPr>
          <w:highlight w:val="none"/>
          <w:u w:val="single" w:color="auto"/>
        </w:rPr>
      </w:pPr>
      <w:r>
        <w:rPr>
          <w:highlight w:val="none"/>
          <w:u w:val="single" w:color="auto"/>
        </w:rPr>
        <w:t>本项目筛选的评价基准年为2020年。由于本项目评价范围内没有环境空气质量监测网数据，故区域达标判定所用数据引用2020年岳阳市华容县环境监测站点的基本污染物环境质量现状数据。具体达标判定监测数据及评价结果见下表。</w:t>
      </w:r>
    </w:p>
    <w:p>
      <w:pPr>
        <w:pStyle w:val="7"/>
        <w:bidi w:val="0"/>
        <w:rPr>
          <w:highlight w:val="none"/>
          <w:u w:val="single" w:color="auto"/>
        </w:rPr>
      </w:pPr>
      <w:r>
        <w:rPr>
          <w:rFonts w:hint="eastAsia"/>
          <w:highlight w:val="none"/>
          <w:u w:val="single" w:color="auto"/>
          <w:lang w:eastAsia="zh-CN"/>
        </w:rPr>
        <w:t>表</w:t>
      </w:r>
      <w:r>
        <w:rPr>
          <w:rFonts w:hint="eastAsia"/>
          <w:highlight w:val="none"/>
          <w:u w:val="single" w:color="auto"/>
          <w:lang w:val="en-US" w:eastAsia="zh-CN"/>
        </w:rPr>
        <w:t>5.2-1</w:t>
      </w:r>
      <w:r>
        <w:rPr>
          <w:highlight w:val="none"/>
          <w:u w:val="single" w:color="auto"/>
        </w:rPr>
        <w:t xml:space="preserve">  2020年华容县环境空气质量均值统计表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349"/>
        <w:gridCol w:w="1628"/>
        <w:gridCol w:w="1461"/>
        <w:gridCol w:w="12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污染物</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年评价指标</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现状浓度（μg/m³）</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标准值</w:t>
            </w:r>
            <w:r>
              <w:rPr>
                <w:rFonts w:hint="eastAsia" w:cs="Times New Roman"/>
                <w:sz w:val="21"/>
                <w:szCs w:val="21"/>
                <w:highlight w:val="none"/>
                <w:u w:val="single" w:color="auto"/>
                <w:lang w:eastAsia="zh-CN"/>
              </w:rPr>
              <w:t>（</w:t>
            </w:r>
            <w:r>
              <w:rPr>
                <w:rFonts w:hint="default" w:ascii="Times New Roman" w:hAnsi="Times New Roman" w:eastAsia="宋体" w:cs="Times New Roman"/>
                <w:sz w:val="21"/>
                <w:szCs w:val="21"/>
                <w:highlight w:val="none"/>
                <w:u w:val="single" w:color="auto"/>
              </w:rPr>
              <w:cr/>
            </w:r>
            <w:r>
              <w:rPr>
                <w:rFonts w:hint="default" w:ascii="Times New Roman" w:hAnsi="Times New Roman" w:eastAsia="宋体" w:cs="Times New Roman"/>
                <w:sz w:val="21"/>
                <w:szCs w:val="21"/>
                <w:highlight w:val="none"/>
                <w:u w:val="single" w:color="auto"/>
              </w:rPr>
              <w:t>μg/m³）</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SO</w:t>
            </w:r>
            <w:r>
              <w:rPr>
                <w:rFonts w:hint="default" w:ascii="Times New Roman" w:hAnsi="Times New Roman" w:eastAsia="宋体" w:cs="Times New Roman"/>
                <w:sz w:val="21"/>
                <w:szCs w:val="21"/>
                <w:highlight w:val="none"/>
                <w:u w:val="single" w:color="auto"/>
                <w:vertAlign w:val="subscript"/>
              </w:rPr>
              <w:t>2</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年平均质量浓度</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6</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60</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NO</w:t>
            </w:r>
            <w:r>
              <w:rPr>
                <w:rFonts w:hint="default" w:ascii="Times New Roman" w:hAnsi="Times New Roman" w:eastAsia="宋体" w:cs="Times New Roman"/>
                <w:sz w:val="21"/>
                <w:szCs w:val="21"/>
                <w:highlight w:val="none"/>
                <w:u w:val="single" w:color="auto"/>
                <w:vertAlign w:val="subscript"/>
              </w:rPr>
              <w:t>2</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年平均质量浓度</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11</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40</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PM</w:t>
            </w:r>
            <w:r>
              <w:rPr>
                <w:rFonts w:hint="default" w:ascii="Times New Roman" w:hAnsi="Times New Roman" w:eastAsia="宋体" w:cs="Times New Roman"/>
                <w:sz w:val="21"/>
                <w:szCs w:val="21"/>
                <w:highlight w:val="none"/>
                <w:u w:val="single" w:color="auto"/>
                <w:vertAlign w:val="subscript"/>
              </w:rPr>
              <w:t>10</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年平均质量浓度</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43</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70</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PM</w:t>
            </w:r>
            <w:r>
              <w:rPr>
                <w:rFonts w:hint="default" w:ascii="Times New Roman" w:hAnsi="Times New Roman" w:eastAsia="宋体" w:cs="Times New Roman"/>
                <w:sz w:val="21"/>
                <w:szCs w:val="21"/>
                <w:highlight w:val="none"/>
                <w:u w:val="single" w:color="auto"/>
                <w:vertAlign w:val="subscript"/>
              </w:rPr>
              <w:t>2.5</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年平均质量浓度</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30</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35</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CO</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第95百分位数日平均质量浓度</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1600</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4000</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O</w:t>
            </w:r>
            <w:r>
              <w:rPr>
                <w:rFonts w:hint="default" w:ascii="Times New Roman" w:hAnsi="Times New Roman" w:eastAsia="宋体" w:cs="Times New Roman"/>
                <w:sz w:val="21"/>
                <w:szCs w:val="21"/>
                <w:highlight w:val="none"/>
                <w:u w:val="single" w:color="auto"/>
                <w:vertAlign w:val="subscript"/>
              </w:rPr>
              <w:t>3</w:t>
            </w:r>
          </w:p>
        </w:tc>
        <w:tc>
          <w:tcPr>
            <w:tcW w:w="196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第90百分位数日平均质量浓度</w:t>
            </w:r>
          </w:p>
        </w:tc>
        <w:tc>
          <w:tcPr>
            <w:tcW w:w="955"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102</w:t>
            </w:r>
          </w:p>
        </w:tc>
        <w:tc>
          <w:tcPr>
            <w:tcW w:w="857"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160</w:t>
            </w:r>
          </w:p>
        </w:tc>
        <w:tc>
          <w:tcPr>
            <w:tcW w:w="719"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single" w:color="auto"/>
              </w:rPr>
            </w:pPr>
            <w:r>
              <w:rPr>
                <w:rFonts w:hint="default" w:ascii="Times New Roman" w:hAnsi="Times New Roman" w:eastAsia="宋体" w:cs="Times New Roman"/>
                <w:sz w:val="21"/>
                <w:szCs w:val="21"/>
                <w:highlight w:val="none"/>
                <w:u w:val="single" w:color="auto"/>
              </w:rPr>
              <w:t>达标</w:t>
            </w:r>
          </w:p>
        </w:tc>
      </w:tr>
    </w:tbl>
    <w:p>
      <w:pPr>
        <w:bidi w:val="0"/>
        <w:rPr>
          <w:highlight w:val="none"/>
          <w:u w:val="single" w:color="auto"/>
        </w:rPr>
      </w:pPr>
      <w:r>
        <w:rPr>
          <w:highlight w:val="none"/>
          <w:u w:val="single" w:color="auto"/>
        </w:rPr>
        <w:t>根据上表中监测数据可看出，华容县城区环境空气质量</w:t>
      </w:r>
      <w:r>
        <w:rPr>
          <w:rFonts w:hint="eastAsia"/>
          <w:highlight w:val="none"/>
          <w:u w:val="single" w:color="auto"/>
        </w:rPr>
        <w:t>中全部监测因子均满足标准要求，为环境质量达标区</w:t>
      </w:r>
      <w:r>
        <w:rPr>
          <w:highlight w:val="none"/>
          <w:u w:val="single" w:color="auto"/>
        </w:rPr>
        <w:t>。</w:t>
      </w:r>
    </w:p>
    <w:p>
      <w:pPr>
        <w:bidi w:val="0"/>
        <w:rPr>
          <w:highlight w:val="none"/>
          <w:u w:val="single" w:color="auto"/>
        </w:rPr>
      </w:pPr>
      <w:r>
        <w:rPr>
          <w:rFonts w:hint="eastAsia"/>
          <w:highlight w:val="none"/>
          <w:u w:val="single" w:color="auto"/>
        </w:rPr>
        <w:t>为进一步改善城区环境空气质量，</w:t>
      </w:r>
      <w:r>
        <w:rPr>
          <w:highlight w:val="none"/>
          <w:u w:val="single" w:color="auto"/>
        </w:rPr>
        <w:t>根据《华容县污染防治攻坚战2020年度工作方案》，华容县全面开展大气环境整治行动，通过“1、加快推进清洁能源替代利用，2、狠抓重点行业大气污染减排，3、打好柴油货车污染治理攻坚战，4、强化扬尘污染治理管控”等具体措施努力降低细颗粒物浓度，使得环境质量不断改善。</w:t>
      </w:r>
    </w:p>
    <w:p>
      <w:pPr>
        <w:pStyle w:val="6"/>
        <w:bidi w:val="0"/>
        <w:rPr>
          <w:rFonts w:hint="eastAsia" w:eastAsia="宋体"/>
          <w:highlight w:val="none"/>
          <w:lang w:eastAsia="zh-CN"/>
        </w:rPr>
      </w:pPr>
      <w:r>
        <w:rPr>
          <w:rFonts w:hint="eastAsia"/>
          <w:highlight w:val="none"/>
          <w:lang w:val="en-US" w:eastAsia="zh-CN"/>
        </w:rPr>
        <w:t>5.2</w:t>
      </w:r>
      <w:r>
        <w:rPr>
          <w:highlight w:val="none"/>
        </w:rPr>
        <w:t>.1.</w:t>
      </w:r>
      <w:r>
        <w:rPr>
          <w:rFonts w:hint="eastAsia"/>
          <w:highlight w:val="none"/>
          <w:lang w:val="en-US" w:eastAsia="zh-CN"/>
        </w:rPr>
        <w:t>2</w:t>
      </w:r>
      <w:r>
        <w:rPr>
          <w:highlight w:val="none"/>
        </w:rPr>
        <w:t xml:space="preserve"> </w:t>
      </w:r>
      <w:r>
        <w:rPr>
          <w:rFonts w:hint="eastAsia"/>
          <w:highlight w:val="none"/>
          <w:lang w:val="en-US" w:eastAsia="zh-CN"/>
        </w:rPr>
        <w:t xml:space="preserve"> </w:t>
      </w:r>
      <w:r>
        <w:rPr>
          <w:highlight w:val="none"/>
        </w:rPr>
        <w:t>区域</w:t>
      </w:r>
      <w:r>
        <w:rPr>
          <w:rFonts w:hint="eastAsia"/>
          <w:highlight w:val="none"/>
          <w:lang w:eastAsia="zh-CN"/>
        </w:rPr>
        <w:t>基本污染物</w:t>
      </w:r>
      <w:r>
        <w:rPr>
          <w:highlight w:val="none"/>
        </w:rPr>
        <w:t>环境质量</w:t>
      </w:r>
      <w:r>
        <w:rPr>
          <w:rFonts w:hint="eastAsia"/>
          <w:highlight w:val="none"/>
          <w:lang w:eastAsia="zh-CN"/>
        </w:rPr>
        <w:t>现状评价</w:t>
      </w:r>
    </w:p>
    <w:p>
      <w:pPr>
        <w:bidi w:val="0"/>
        <w:rPr>
          <w:highlight w:val="none"/>
        </w:rPr>
      </w:pPr>
      <w:r>
        <w:rPr>
          <w:highlight w:val="none"/>
        </w:rPr>
        <w:t>本项目筛选的评价基准年为2020年。由于本项目评价范围内没有环境空气质量监测网数据，故区域</w:t>
      </w:r>
      <w:r>
        <w:rPr>
          <w:rFonts w:hint="eastAsia"/>
          <w:highlight w:val="none"/>
          <w:lang w:eastAsia="zh-CN"/>
        </w:rPr>
        <w:t>基本污染物</w:t>
      </w:r>
      <w:r>
        <w:rPr>
          <w:highlight w:val="none"/>
        </w:rPr>
        <w:t>环境质量</w:t>
      </w:r>
      <w:r>
        <w:rPr>
          <w:rFonts w:hint="eastAsia"/>
          <w:highlight w:val="none"/>
          <w:lang w:eastAsia="zh-CN"/>
        </w:rPr>
        <w:t>现状评价</w:t>
      </w:r>
      <w:r>
        <w:rPr>
          <w:highlight w:val="none"/>
        </w:rPr>
        <w:t>所用数据引用2020年岳阳市华容县环境监测站点的基本污染物环境质量现状数据。具体</w:t>
      </w:r>
      <w:r>
        <w:rPr>
          <w:rFonts w:hint="eastAsia"/>
          <w:highlight w:val="none"/>
          <w:lang w:eastAsia="zh-CN"/>
        </w:rPr>
        <w:t>基本污染物</w:t>
      </w:r>
      <w:r>
        <w:rPr>
          <w:highlight w:val="none"/>
        </w:rPr>
        <w:t>环境质量</w:t>
      </w:r>
      <w:r>
        <w:rPr>
          <w:rFonts w:hint="eastAsia"/>
          <w:highlight w:val="none"/>
          <w:lang w:eastAsia="zh-CN"/>
        </w:rPr>
        <w:t>现状评价</w:t>
      </w:r>
      <w:r>
        <w:rPr>
          <w:highlight w:val="none"/>
        </w:rPr>
        <w:t>评价结果见下表。</w:t>
      </w:r>
    </w:p>
    <w:p>
      <w:pPr>
        <w:pStyle w:val="7"/>
        <w:bidi w:val="0"/>
        <w:rPr>
          <w:rFonts w:hint="eastAsia" w:eastAsia="宋体"/>
          <w:highlight w:val="none"/>
          <w:lang w:eastAsia="zh-CN"/>
        </w:rPr>
      </w:pPr>
      <w:r>
        <w:rPr>
          <w:rFonts w:hint="eastAsia"/>
          <w:highlight w:val="none"/>
          <w:lang w:eastAsia="zh-CN"/>
        </w:rPr>
        <w:t>表</w:t>
      </w:r>
      <w:r>
        <w:rPr>
          <w:rFonts w:hint="eastAsia"/>
          <w:highlight w:val="none"/>
          <w:lang w:val="en-US" w:eastAsia="zh-CN"/>
        </w:rPr>
        <w:t>5.2-2</w:t>
      </w:r>
      <w:r>
        <w:rPr>
          <w:highlight w:val="none"/>
        </w:rPr>
        <w:t xml:space="preserve">  </w:t>
      </w:r>
      <w:r>
        <w:rPr>
          <w:rFonts w:hint="eastAsia"/>
          <w:highlight w:val="none"/>
          <w:lang w:eastAsia="zh-CN"/>
        </w:rPr>
        <w:t>基本污染物环境质量现状</w:t>
      </w:r>
    </w:p>
    <w:tbl>
      <w:tblPr>
        <w:tblStyle w:val="1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6"/>
        <w:gridCol w:w="2040"/>
        <w:gridCol w:w="1139"/>
        <w:gridCol w:w="1056"/>
        <w:gridCol w:w="867"/>
        <w:gridCol w:w="646"/>
        <w:gridCol w:w="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sz w:val="21"/>
                <w:szCs w:val="21"/>
                <w:highlight w:val="none"/>
                <w:u w:val="none" w:color="auto"/>
                <w:lang w:eastAsia="zh-CN"/>
              </w:rPr>
            </w:pPr>
            <w:r>
              <w:rPr>
                <w:rFonts w:hint="eastAsia" w:cs="Times New Roman"/>
                <w:sz w:val="21"/>
                <w:szCs w:val="21"/>
                <w:highlight w:val="none"/>
                <w:u w:val="none" w:color="auto"/>
                <w:lang w:eastAsia="zh-CN"/>
              </w:rPr>
              <w:t>点位名称</w:t>
            </w: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污染物</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年评价指标</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现状浓度（μg/m³）</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标准值</w:t>
            </w:r>
            <w:r>
              <w:rPr>
                <w:rFonts w:hint="eastAsia"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cr/>
            </w:r>
            <w:r>
              <w:rPr>
                <w:rFonts w:hint="default" w:ascii="Times New Roman" w:hAnsi="Times New Roman" w:eastAsia="宋体" w:cs="Times New Roman"/>
                <w:sz w:val="21"/>
                <w:szCs w:val="21"/>
                <w:highlight w:val="none"/>
                <w:u w:val="none" w:color="auto"/>
              </w:rPr>
              <w:t>μg/m³）</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eastAsia="zh-CN"/>
              </w:rPr>
              <w:t>最大浓度占标率</w:t>
            </w: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eastAsia="zh-CN"/>
              </w:rPr>
              <w:t>超标频率</w:t>
            </w: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cs="Times New Roman"/>
                <w:sz w:val="21"/>
                <w:szCs w:val="21"/>
                <w:highlight w:val="none"/>
                <w:u w:val="none" w:color="auto"/>
                <w:lang w:eastAsia="zh-CN"/>
              </w:rPr>
            </w:pPr>
            <w:r>
              <w:rPr>
                <w:rFonts w:hint="eastAsia" w:cs="Times New Roman"/>
                <w:sz w:val="21"/>
                <w:szCs w:val="21"/>
                <w:highlight w:val="none"/>
                <w:u w:val="none" w:color="auto"/>
                <w:lang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Merge w:val="restar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岳阳市华容县环境监测站点</w:t>
            </w: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SO</w:t>
            </w:r>
            <w:r>
              <w:rPr>
                <w:rFonts w:hint="default" w:ascii="Times New Roman" w:hAnsi="Times New Roman" w:eastAsia="宋体" w:cs="Times New Roman"/>
                <w:sz w:val="21"/>
                <w:szCs w:val="21"/>
                <w:highlight w:val="none"/>
                <w:u w:val="none" w:color="auto"/>
                <w:vertAlign w:val="subscript"/>
              </w:rPr>
              <w:t>2</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年平均质量浓度</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60</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kern w:val="2"/>
                <w:sz w:val="21"/>
                <w:szCs w:val="21"/>
                <w:highlight w:val="none"/>
                <w:u w:val="none" w:color="auto"/>
                <w:lang w:val="en-US" w:eastAsia="zh-CN" w:bidi="ar-SA"/>
              </w:rPr>
            </w:pP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NO</w:t>
            </w:r>
            <w:r>
              <w:rPr>
                <w:rFonts w:hint="default" w:ascii="Times New Roman" w:hAnsi="Times New Roman" w:eastAsia="宋体" w:cs="Times New Roman"/>
                <w:sz w:val="21"/>
                <w:szCs w:val="21"/>
                <w:highlight w:val="none"/>
                <w:u w:val="none" w:color="auto"/>
                <w:vertAlign w:val="subscript"/>
              </w:rPr>
              <w:t>2</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年平均质量浓度</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11</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40</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kern w:val="2"/>
                <w:sz w:val="21"/>
                <w:szCs w:val="21"/>
                <w:highlight w:val="none"/>
                <w:u w:val="none" w:color="auto"/>
                <w:lang w:val="en-US" w:eastAsia="zh-CN" w:bidi="ar-SA"/>
              </w:rPr>
            </w:pP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w:hAnsi="Times New Roman" w:eastAsia="宋体" w:cs="Times New Roman"/>
                <w:kern w:val="2"/>
                <w:sz w:val="21"/>
                <w:szCs w:val="21"/>
                <w:highlight w:val="none"/>
                <w:u w:val="none" w:color="auto"/>
                <w:lang w:val="en-US" w:eastAsia="zh-CN" w:bidi="ar-SA"/>
              </w:rPr>
            </w:pP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PM</w:t>
            </w:r>
            <w:r>
              <w:rPr>
                <w:rFonts w:hint="default" w:ascii="Times New Roman" w:hAnsi="Times New Roman" w:eastAsia="宋体" w:cs="Times New Roman"/>
                <w:sz w:val="21"/>
                <w:szCs w:val="21"/>
                <w:highlight w:val="none"/>
                <w:u w:val="none" w:color="auto"/>
                <w:vertAlign w:val="subscript"/>
              </w:rPr>
              <w:t>10</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年平均质量浓度</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43</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70</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PM</w:t>
            </w:r>
            <w:r>
              <w:rPr>
                <w:rFonts w:hint="default" w:ascii="Times New Roman" w:hAnsi="Times New Roman" w:eastAsia="宋体" w:cs="Times New Roman"/>
                <w:sz w:val="21"/>
                <w:szCs w:val="21"/>
                <w:highlight w:val="none"/>
                <w:u w:val="none" w:color="auto"/>
                <w:vertAlign w:val="subscript"/>
              </w:rPr>
              <w:t>2.5</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年平均质量浓度</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30</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35</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CO</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第95百分位数日平均质量浓度</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1600</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4000</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p>
        </w:tc>
        <w:tc>
          <w:tcPr>
            <w:tcW w:w="71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O</w:t>
            </w:r>
            <w:r>
              <w:rPr>
                <w:rFonts w:hint="default" w:ascii="Times New Roman" w:hAnsi="Times New Roman" w:eastAsia="宋体" w:cs="Times New Roman"/>
                <w:sz w:val="21"/>
                <w:szCs w:val="21"/>
                <w:highlight w:val="none"/>
                <w:u w:val="none" w:color="auto"/>
                <w:vertAlign w:val="subscript"/>
              </w:rPr>
              <w:t>3</w:t>
            </w:r>
          </w:p>
        </w:tc>
        <w:tc>
          <w:tcPr>
            <w:tcW w:w="1201"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第90百分位数日平均质量浓度</w:t>
            </w:r>
          </w:p>
        </w:tc>
        <w:tc>
          <w:tcPr>
            <w:tcW w:w="64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102</w:t>
            </w:r>
          </w:p>
        </w:tc>
        <w:tc>
          <w:tcPr>
            <w:tcW w:w="624"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160</w:t>
            </w:r>
          </w:p>
        </w:tc>
        <w:tc>
          <w:tcPr>
            <w:tcW w:w="51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383"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eastAsia" w:cs="Times New Roman"/>
                <w:sz w:val="21"/>
                <w:szCs w:val="21"/>
                <w:highlight w:val="none"/>
                <w:u w:val="none" w:color="auto"/>
                <w:lang w:val="en-US" w:eastAsia="zh-CN"/>
              </w:rPr>
              <w:t>/</w:t>
            </w:r>
          </w:p>
        </w:tc>
        <w:tc>
          <w:tcPr>
            <w:tcW w:w="40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达标</w:t>
            </w:r>
          </w:p>
        </w:tc>
      </w:tr>
    </w:tbl>
    <w:p>
      <w:pPr>
        <w:pStyle w:val="6"/>
        <w:bidi w:val="0"/>
        <w:rPr>
          <w:highlight w:val="none"/>
        </w:rPr>
      </w:pPr>
      <w:r>
        <w:rPr>
          <w:rFonts w:hint="eastAsia"/>
          <w:highlight w:val="none"/>
          <w:lang w:val="en-US" w:eastAsia="zh-CN"/>
        </w:rPr>
        <w:t>5.2.1.3  其他污染物环境质量现状</w:t>
      </w:r>
    </w:p>
    <w:p>
      <w:pPr>
        <w:bidi w:val="0"/>
        <w:rPr>
          <w:highlight w:val="none"/>
        </w:rPr>
      </w:pPr>
      <w:r>
        <w:rPr>
          <w:highlight w:val="none"/>
        </w:rPr>
        <w:t>为进一步了解项目区域环境空气质量现状，本次评价委托</w:t>
      </w:r>
      <w:r>
        <w:rPr>
          <w:rFonts w:hint="eastAsia"/>
          <w:highlight w:val="none"/>
        </w:rPr>
        <w:t>湖南谱实检测技术有限公司</w:t>
      </w:r>
      <w:r>
        <w:rPr>
          <w:highlight w:val="none"/>
        </w:rPr>
        <w:t>于2021年</w:t>
      </w:r>
      <w:r>
        <w:rPr>
          <w:rFonts w:hint="eastAsia"/>
          <w:highlight w:val="none"/>
          <w:lang w:val="en-US" w:eastAsia="zh-CN"/>
        </w:rPr>
        <w:t>12</w:t>
      </w:r>
      <w:r>
        <w:rPr>
          <w:highlight w:val="none"/>
        </w:rPr>
        <w:t>月</w:t>
      </w:r>
      <w:r>
        <w:rPr>
          <w:rFonts w:hint="eastAsia"/>
          <w:highlight w:val="none"/>
          <w:lang w:val="en-US" w:eastAsia="zh-CN"/>
        </w:rPr>
        <w:t>7</w:t>
      </w:r>
      <w:r>
        <w:rPr>
          <w:highlight w:val="none"/>
        </w:rPr>
        <w:t>日至</w:t>
      </w:r>
      <w:r>
        <w:rPr>
          <w:rFonts w:hint="eastAsia"/>
          <w:highlight w:val="none"/>
          <w:lang w:val="en-US" w:eastAsia="zh-CN"/>
        </w:rPr>
        <w:t>12</w:t>
      </w:r>
      <w:r>
        <w:rPr>
          <w:highlight w:val="none"/>
        </w:rPr>
        <w:t>月</w:t>
      </w:r>
      <w:r>
        <w:rPr>
          <w:rFonts w:hint="eastAsia"/>
          <w:highlight w:val="none"/>
          <w:lang w:val="en-US" w:eastAsia="zh-CN"/>
        </w:rPr>
        <w:t>13</w:t>
      </w:r>
      <w:r>
        <w:rPr>
          <w:highlight w:val="none"/>
        </w:rPr>
        <w:t>日对项目区域环境空气进行了现状监测，连续监测7天。</w:t>
      </w:r>
    </w:p>
    <w:p>
      <w:pPr>
        <w:bidi w:val="0"/>
        <w:rPr>
          <w:rFonts w:hint="eastAsia" w:eastAsia="宋体"/>
          <w:highlight w:val="none"/>
          <w:lang w:eastAsia="zh-CN"/>
        </w:rPr>
      </w:pPr>
      <w:r>
        <w:rPr>
          <w:highlight w:val="none"/>
        </w:rPr>
        <w:t>1、监测</w:t>
      </w:r>
      <w:r>
        <w:rPr>
          <w:rFonts w:hint="eastAsia"/>
          <w:highlight w:val="none"/>
          <w:lang w:eastAsia="zh-CN"/>
        </w:rPr>
        <w:t>内容</w:t>
      </w:r>
    </w:p>
    <w:p>
      <w:pPr>
        <w:bidi w:val="0"/>
        <w:rPr>
          <w:highlight w:val="none"/>
        </w:rPr>
      </w:pPr>
      <w:r>
        <w:rPr>
          <w:highlight w:val="none"/>
        </w:rPr>
        <w:t>环境空气质量监测点的布设根据《环境影响评价技术导则— 大气环境》（HJ2.2-2018）的要求，兼顾主导风向和环境敏感目标进行。环境空气质量监测 点共布设</w:t>
      </w:r>
      <w:r>
        <w:rPr>
          <w:rFonts w:hint="eastAsia"/>
          <w:highlight w:val="none"/>
          <w:lang w:val="en-US" w:eastAsia="zh-CN"/>
        </w:rPr>
        <w:t>2</w:t>
      </w:r>
      <w:r>
        <w:rPr>
          <w:highlight w:val="none"/>
        </w:rPr>
        <w:t>个，监测布点见附图。环境空气监测点名称和监测内容见表</w:t>
      </w:r>
      <w:r>
        <w:rPr>
          <w:rFonts w:hint="eastAsia"/>
          <w:highlight w:val="none"/>
          <w:lang w:val="en-US" w:eastAsia="zh-CN"/>
        </w:rPr>
        <w:t>5.2-3</w:t>
      </w:r>
      <w:r>
        <w:rPr>
          <w:highlight w:val="none"/>
        </w:rPr>
        <w:t>。</w:t>
      </w:r>
    </w:p>
    <w:p>
      <w:pPr>
        <w:pStyle w:val="7"/>
        <w:bidi w:val="0"/>
        <w:rPr>
          <w:highlight w:val="none"/>
          <w:u w:val="single"/>
        </w:rPr>
      </w:pPr>
      <w:r>
        <w:rPr>
          <w:highlight w:val="none"/>
          <w:u w:val="single"/>
        </w:rPr>
        <w:t>表</w:t>
      </w:r>
      <w:r>
        <w:rPr>
          <w:rFonts w:hint="eastAsia"/>
          <w:highlight w:val="none"/>
          <w:u w:val="single"/>
          <w:lang w:val="en-US" w:eastAsia="zh-CN"/>
        </w:rPr>
        <w:t>5.2-3</w:t>
      </w:r>
      <w:r>
        <w:rPr>
          <w:highlight w:val="none"/>
          <w:u w:val="single"/>
        </w:rPr>
        <w:t xml:space="preserve">  环境空气质量现状大气采样点点位表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47"/>
        <w:gridCol w:w="2549"/>
        <w:gridCol w:w="1967"/>
        <w:gridCol w:w="26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pacing w:val="-1"/>
                <w:sz w:val="21"/>
                <w:szCs w:val="21"/>
                <w:highlight w:val="none"/>
                <w:u w:val="single"/>
                <w:lang w:eastAsia="zh-CN"/>
              </w:rPr>
              <w:t>类型</w:t>
            </w:r>
          </w:p>
        </w:tc>
        <w:tc>
          <w:tcPr>
            <w:tcW w:w="152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pacing w:val="-1"/>
                <w:sz w:val="21"/>
                <w:szCs w:val="21"/>
                <w:highlight w:val="none"/>
                <w:u w:val="single"/>
              </w:rPr>
              <w:t>采样点名称</w:t>
            </w:r>
          </w:p>
        </w:tc>
        <w:tc>
          <w:tcPr>
            <w:tcW w:w="118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检测项目</w:t>
            </w:r>
          </w:p>
        </w:tc>
        <w:tc>
          <w:tcPr>
            <w:tcW w:w="160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检测频次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color w:val="000000"/>
                <w:kern w:val="0"/>
                <w:sz w:val="21"/>
                <w:szCs w:val="21"/>
                <w:highlight w:val="none"/>
                <w:u w:val="single"/>
                <w:lang w:val="en-US" w:eastAsia="zh-CN" w:bidi="ar"/>
              </w:rPr>
              <w:t>环境空气</w:t>
            </w:r>
          </w:p>
        </w:tc>
        <w:tc>
          <w:tcPr>
            <w:tcW w:w="152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1# 项目所在地</w:t>
            </w:r>
          </w:p>
        </w:tc>
        <w:tc>
          <w:tcPr>
            <w:tcW w:w="1180"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硫化氢、氨（小时值）</w:t>
            </w:r>
          </w:p>
        </w:tc>
        <w:tc>
          <w:tcPr>
            <w:tcW w:w="160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4 次/天，7 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p>
        </w:tc>
        <w:tc>
          <w:tcPr>
            <w:tcW w:w="152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2# 项目所在地南侧</w:t>
            </w:r>
            <w:r>
              <w:rPr>
                <w:rFonts w:hint="eastAsia" w:cs="Times New Roman"/>
                <w:sz w:val="21"/>
                <w:szCs w:val="21"/>
                <w:highlight w:val="none"/>
                <w:u w:val="single"/>
                <w:lang w:val="en-US" w:eastAsia="zh-CN"/>
              </w:rPr>
              <w:t>100米</w:t>
            </w:r>
            <w:r>
              <w:rPr>
                <w:rFonts w:hint="default" w:ascii="Times New Roman" w:hAnsi="Times New Roman" w:eastAsia="宋体" w:cs="Times New Roman"/>
                <w:sz w:val="21"/>
                <w:szCs w:val="21"/>
                <w:highlight w:val="none"/>
                <w:u w:val="single"/>
              </w:rPr>
              <w:t>（下风向）</w:t>
            </w:r>
          </w:p>
        </w:tc>
        <w:tc>
          <w:tcPr>
            <w:tcW w:w="118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p>
        </w:tc>
        <w:tc>
          <w:tcPr>
            <w:tcW w:w="160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single"/>
              </w:rPr>
            </w:pPr>
          </w:p>
        </w:tc>
      </w:tr>
    </w:tbl>
    <w:p>
      <w:pPr>
        <w:bidi w:val="0"/>
        <w:rPr>
          <w:highlight w:val="none"/>
        </w:rPr>
      </w:pPr>
      <w:r>
        <w:rPr>
          <w:rFonts w:hint="eastAsia"/>
          <w:highlight w:val="none"/>
          <w:lang w:val="en-US" w:eastAsia="zh-CN"/>
        </w:rPr>
        <w:t>2</w:t>
      </w:r>
      <w:r>
        <w:rPr>
          <w:highlight w:val="none"/>
        </w:rPr>
        <w:t>、监测分析方法</w:t>
      </w:r>
    </w:p>
    <w:p>
      <w:pPr>
        <w:bidi w:val="0"/>
        <w:rPr>
          <w:highlight w:val="none"/>
        </w:rPr>
      </w:pPr>
      <w:r>
        <w:rPr>
          <w:highlight w:val="none"/>
        </w:rPr>
        <w:t>监测分析方法首先采用《环境空气质量标准》（GB3095-2012）中规定的方法；对标准中没有的规定的，再采用《环境空气质量监测规范（试行）》 （2007年第4号）中的方法。</w:t>
      </w:r>
    </w:p>
    <w:p>
      <w:pPr>
        <w:bidi w:val="0"/>
        <w:rPr>
          <w:highlight w:val="none"/>
        </w:rPr>
      </w:pPr>
      <w:r>
        <w:rPr>
          <w:rFonts w:hint="eastAsia"/>
          <w:highlight w:val="none"/>
          <w:lang w:val="en-US" w:eastAsia="zh-CN"/>
        </w:rPr>
        <w:t>3</w:t>
      </w:r>
      <w:r>
        <w:rPr>
          <w:highlight w:val="none"/>
        </w:rPr>
        <w:t>、监测结果与评价</w:t>
      </w:r>
    </w:p>
    <w:p>
      <w:pPr>
        <w:bidi w:val="0"/>
        <w:rPr>
          <w:highlight w:val="none"/>
        </w:rPr>
      </w:pPr>
      <w:r>
        <w:rPr>
          <w:highlight w:val="none"/>
        </w:rPr>
        <w:t>（1）评价方法</w:t>
      </w:r>
    </w:p>
    <w:p>
      <w:pPr>
        <w:bidi w:val="0"/>
        <w:rPr>
          <w:highlight w:val="none"/>
        </w:rPr>
      </w:pPr>
      <w:r>
        <w:rPr>
          <w:highlight w:val="none"/>
        </w:rPr>
        <w:t>采用单因子指数法和超标率、最大超标倍数法， 对环境空气质量进行评 价。单因子指数法按下列公式计算：</w:t>
      </w:r>
    </w:p>
    <w:p>
      <w:pPr>
        <w:bidi w:val="0"/>
        <w:rPr>
          <w:rFonts w:hint="eastAsia" w:eastAsia="宋体"/>
          <w:highlight w:val="none"/>
          <w:lang w:eastAsia="zh-CN"/>
        </w:rPr>
      </w:pPr>
      <w:r>
        <w:rPr>
          <w:rFonts w:hint="eastAsia" w:eastAsia="宋体"/>
          <w:position w:val="-24"/>
          <w:highlight w:val="none"/>
          <w:lang w:eastAsia="zh-CN"/>
        </w:rPr>
        <w:object>
          <v:shape id="_x0000_i1028" o:spt="75" type="#_x0000_t75" style="height:31pt;width:65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p>
    <w:p>
      <w:pPr>
        <w:bidi w:val="0"/>
        <w:rPr>
          <w:highlight w:val="none"/>
        </w:rPr>
      </w:pPr>
      <w:r>
        <w:rPr>
          <w:highlight w:val="none"/>
        </w:rPr>
        <w:t>式中：</w:t>
      </w:r>
    </w:p>
    <w:p>
      <w:pPr>
        <w:bidi w:val="0"/>
        <w:rPr>
          <w:highlight w:val="none"/>
        </w:rPr>
      </w:pPr>
      <w:r>
        <w:rPr>
          <w:highlight w:val="none"/>
        </w:rPr>
        <w:t>S</w:t>
      </w:r>
      <w:r>
        <w:rPr>
          <w:rFonts w:hint="eastAsia"/>
          <w:highlight w:val="none"/>
          <w:vertAlign w:val="subscript"/>
          <w:lang w:val="en-US" w:eastAsia="zh-CN"/>
        </w:rPr>
        <w:t>i,j</w:t>
      </w:r>
      <w:r>
        <w:rPr>
          <w:highlight w:val="none"/>
        </w:rPr>
        <w:t>——i污染因子在 j 处的标准指数值，为最大质量浓度值占相应标准质量浓度限值的百分比；</w:t>
      </w:r>
    </w:p>
    <w:p>
      <w:pPr>
        <w:bidi w:val="0"/>
        <w:rPr>
          <w:rFonts w:hint="eastAsia"/>
          <w:highlight w:val="none"/>
        </w:rPr>
      </w:pPr>
      <w:r>
        <w:rPr>
          <w:rFonts w:hint="eastAsia"/>
          <w:highlight w:val="none"/>
          <w:lang w:val="en-US" w:eastAsia="zh-CN"/>
        </w:rPr>
        <w:t>C</w:t>
      </w:r>
      <w:r>
        <w:rPr>
          <w:highlight w:val="none"/>
          <w:vertAlign w:val="subscript"/>
        </w:rPr>
        <w:t>i</w:t>
      </w:r>
      <w:r>
        <w:rPr>
          <w:rFonts w:hint="eastAsia"/>
          <w:highlight w:val="none"/>
          <w:vertAlign w:val="subscript"/>
          <w:lang w:val="en-US" w:eastAsia="zh-CN"/>
        </w:rPr>
        <w:t>,</w:t>
      </w:r>
      <w:r>
        <w:rPr>
          <w:highlight w:val="none"/>
          <w:vertAlign w:val="subscript"/>
        </w:rPr>
        <w:t>j</w:t>
      </w:r>
      <w:r>
        <w:rPr>
          <w:highlight w:val="none"/>
        </w:rPr>
        <w:t>——i污染因子在j 处的最大监测值；</w:t>
      </w:r>
    </w:p>
    <w:p>
      <w:pPr>
        <w:bidi w:val="0"/>
        <w:rPr>
          <w:highlight w:val="none"/>
        </w:rPr>
      </w:pPr>
      <w:r>
        <w:rPr>
          <w:rFonts w:hint="eastAsia"/>
          <w:highlight w:val="none"/>
          <w:lang w:val="en-US" w:eastAsia="zh-CN"/>
        </w:rPr>
        <w:t>C</w:t>
      </w:r>
      <w:r>
        <w:rPr>
          <w:highlight w:val="none"/>
          <w:vertAlign w:val="subscript"/>
        </w:rPr>
        <w:t>si</w:t>
      </w:r>
      <w:r>
        <w:rPr>
          <w:highlight w:val="none"/>
        </w:rPr>
        <w:t>——i污染因子标准值。根据本次现状监测值及统计结果，采用进行评价。</w:t>
      </w:r>
    </w:p>
    <w:p>
      <w:pPr>
        <w:bidi w:val="0"/>
        <w:rPr>
          <w:highlight w:val="none"/>
        </w:rPr>
      </w:pPr>
      <w:r>
        <w:rPr>
          <w:highlight w:val="none"/>
        </w:rPr>
        <w:t>（2）评价标准</w:t>
      </w:r>
    </w:p>
    <w:p>
      <w:pPr>
        <w:bidi w:val="0"/>
        <w:rPr>
          <w:highlight w:val="none"/>
        </w:rPr>
      </w:pPr>
      <w:r>
        <w:rPr>
          <w:highlight w:val="none"/>
        </w:rPr>
        <w:t>NH</w:t>
      </w:r>
      <w:r>
        <w:rPr>
          <w:highlight w:val="none"/>
          <w:vertAlign w:val="subscript"/>
        </w:rPr>
        <w:t>3</w:t>
      </w:r>
      <w:r>
        <w:rPr>
          <w:highlight w:val="none"/>
        </w:rPr>
        <w:t>、H</w:t>
      </w:r>
      <w:r>
        <w:rPr>
          <w:highlight w:val="none"/>
          <w:vertAlign w:val="subscript"/>
        </w:rPr>
        <w:t>2</w:t>
      </w:r>
      <w:r>
        <w:rPr>
          <w:highlight w:val="none"/>
        </w:rPr>
        <w:t>S参照《环境影响评价技术导则——大气环境》（HJ2.2-2018）附录D中标准值。</w:t>
      </w:r>
    </w:p>
    <w:p>
      <w:pPr>
        <w:bidi w:val="0"/>
        <w:rPr>
          <w:highlight w:val="none"/>
          <w:u w:val="none"/>
        </w:rPr>
      </w:pPr>
      <w:r>
        <w:rPr>
          <w:highlight w:val="none"/>
          <w:u w:val="none"/>
        </w:rPr>
        <w:t>（3）评价结果统计及分析</w:t>
      </w:r>
    </w:p>
    <w:p>
      <w:pPr>
        <w:bidi w:val="0"/>
        <w:rPr>
          <w:highlight w:val="none"/>
          <w:u w:val="none"/>
        </w:rPr>
      </w:pPr>
      <w:r>
        <w:rPr>
          <w:highlight w:val="none"/>
          <w:u w:val="none"/>
        </w:rPr>
        <w:t>环境空气质量现状监测见表</w:t>
      </w:r>
      <w:r>
        <w:rPr>
          <w:rFonts w:hint="eastAsia"/>
          <w:highlight w:val="none"/>
          <w:u w:val="none"/>
          <w:lang w:val="en-US" w:eastAsia="zh-CN"/>
        </w:rPr>
        <w:t>5</w:t>
      </w:r>
      <w:r>
        <w:rPr>
          <w:highlight w:val="none"/>
          <w:u w:val="none"/>
        </w:rPr>
        <w:t>.2-</w:t>
      </w:r>
      <w:r>
        <w:rPr>
          <w:rFonts w:hint="eastAsia"/>
          <w:highlight w:val="none"/>
          <w:u w:val="none"/>
          <w:lang w:val="en-US" w:eastAsia="zh-CN"/>
        </w:rPr>
        <w:t>4</w:t>
      </w:r>
      <w:r>
        <w:rPr>
          <w:rFonts w:hint="eastAsia"/>
          <w:highlight w:val="none"/>
          <w:u w:val="none"/>
          <w:lang w:eastAsia="zh-CN"/>
        </w:rPr>
        <w:t>，</w:t>
      </w:r>
      <w:r>
        <w:rPr>
          <w:highlight w:val="none"/>
          <w:u w:val="none"/>
        </w:rPr>
        <w:t>评价结果统计</w:t>
      </w:r>
      <w:r>
        <w:rPr>
          <w:rFonts w:hint="eastAsia"/>
          <w:highlight w:val="none"/>
          <w:u w:val="none"/>
          <w:lang w:eastAsia="zh-CN"/>
        </w:rPr>
        <w:t>见表</w:t>
      </w:r>
      <w:r>
        <w:rPr>
          <w:rFonts w:hint="eastAsia"/>
          <w:highlight w:val="none"/>
          <w:u w:val="none"/>
          <w:lang w:val="en-US" w:eastAsia="zh-CN"/>
        </w:rPr>
        <w:t>5.2-5</w:t>
      </w:r>
      <w:r>
        <w:rPr>
          <w:highlight w:val="none"/>
          <w:u w:val="none"/>
        </w:rPr>
        <w:t>。</w:t>
      </w:r>
    </w:p>
    <w:p>
      <w:pPr>
        <w:pStyle w:val="7"/>
        <w:bidi w:val="0"/>
        <w:rPr>
          <w:highlight w:val="none"/>
          <w:u w:val="none"/>
        </w:rPr>
      </w:pPr>
      <w:r>
        <w:rPr>
          <w:highlight w:val="none"/>
          <w:u w:val="none"/>
        </w:rPr>
        <w:t>表</w:t>
      </w:r>
      <w:r>
        <w:rPr>
          <w:rFonts w:hint="eastAsia"/>
          <w:highlight w:val="none"/>
          <w:u w:val="none"/>
          <w:lang w:val="en-US" w:eastAsia="zh-CN"/>
        </w:rPr>
        <w:t>5.2-4</w:t>
      </w:r>
      <w:r>
        <w:rPr>
          <w:highlight w:val="none"/>
          <w:u w:val="none"/>
        </w:rPr>
        <w:t xml:space="preserve">  环境空气质量监测结果</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1"/>
        <w:gridCol w:w="837"/>
        <w:gridCol w:w="775"/>
        <w:gridCol w:w="835"/>
        <w:gridCol w:w="837"/>
        <w:gridCol w:w="837"/>
        <w:gridCol w:w="839"/>
        <w:gridCol w:w="839"/>
        <w:gridCol w:w="839"/>
        <w:gridCol w:w="85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采样点位</w:t>
            </w: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检测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项目</w:t>
            </w:r>
          </w:p>
        </w:tc>
        <w:tc>
          <w:tcPr>
            <w:tcW w:w="46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检测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频次</w:t>
            </w:r>
          </w:p>
        </w:tc>
        <w:tc>
          <w:tcPr>
            <w:tcW w:w="3526"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检测结果（μg/m</w:t>
            </w:r>
            <w:r>
              <w:rPr>
                <w:rFonts w:hint="default" w:ascii="Times New Roman" w:hAnsi="Times New Roman" w:eastAsia="宋体" w:cs="Times New Roman"/>
                <w:color w:val="auto"/>
                <w:spacing w:val="0"/>
                <w:w w:val="100"/>
                <w:position w:val="0"/>
                <w:sz w:val="21"/>
                <w:szCs w:val="21"/>
                <w:highlight w:val="none"/>
                <w:u w:val="none"/>
                <w:vertAlign w:val="superscript"/>
              </w:rPr>
              <w:t>3</w:t>
            </w:r>
            <w:r>
              <w:rPr>
                <w:rFonts w:hint="default" w:ascii="Times New Roman" w:hAnsi="Times New Roman" w:eastAsia="宋体" w:cs="Times New Roman"/>
                <w:color w:val="auto"/>
                <w:spacing w:val="0"/>
                <w:w w:val="100"/>
                <w:position w:val="0"/>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7日</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8日</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9日</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10日</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11日</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12日</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12月</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13日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1#项目所在地</w:t>
            </w: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硫化氢</w:t>
            </w: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第一次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第二次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第三次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第四次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氨</w:t>
            </w: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第一次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15</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16</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13</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18</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16</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第二次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18</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20</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19</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22</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19</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19</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第三次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26</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28</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27</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第四次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23</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22</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21</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24</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22</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2#项目所在地南侧（下 风向）</w:t>
            </w: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硫化氢</w:t>
            </w: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第一次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第二次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第三次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第四次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氨</w:t>
            </w: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第一次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16</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15</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18</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16</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18</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17</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第二次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22</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28</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26</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27</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第三次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28</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26</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29</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28</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28</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p>
        </w:tc>
        <w:tc>
          <w:tcPr>
            <w:tcW w:w="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第四次</w:t>
            </w:r>
          </w:p>
        </w:tc>
        <w:tc>
          <w:tcPr>
            <w:tcW w:w="5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23</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26</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23</w:t>
            </w:r>
          </w:p>
        </w:tc>
        <w:tc>
          <w:tcPr>
            <w:tcW w:w="5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24</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0"/>
                <w:w w:val="100"/>
                <w:position w:val="0"/>
                <w:sz w:val="21"/>
                <w:szCs w:val="21"/>
                <w:highlight w:val="none"/>
                <w:u w:val="none"/>
              </w:rPr>
            </w:pPr>
            <w:r>
              <w:rPr>
                <w:rFonts w:hint="default" w:ascii="Times New Roman" w:hAnsi="Times New Roman" w:eastAsia="宋体" w:cs="Times New Roman"/>
                <w:color w:val="auto"/>
                <w:spacing w:val="0"/>
                <w:w w:val="100"/>
                <w:position w:val="0"/>
                <w:sz w:val="21"/>
                <w:szCs w:val="21"/>
                <w:highlight w:val="none"/>
                <w:u w:val="none"/>
              </w:rPr>
              <w:t>25</w:t>
            </w:r>
          </w:p>
        </w:tc>
      </w:tr>
    </w:tbl>
    <w:p>
      <w:pPr>
        <w:spacing w:before="32" w:line="184" w:lineRule="auto"/>
        <w:ind w:firstLine="122"/>
        <w:rPr>
          <w:rFonts w:ascii="宋体" w:hAnsi="宋体" w:eastAsia="宋体" w:cs="宋体"/>
          <w:sz w:val="21"/>
          <w:szCs w:val="21"/>
          <w:highlight w:val="none"/>
          <w:u w:val="none"/>
        </w:rPr>
      </w:pPr>
      <w:r>
        <w:rPr>
          <w:rFonts w:ascii="宋体" w:hAnsi="宋体" w:eastAsia="宋体" w:cs="宋体"/>
          <w:spacing w:val="-9"/>
          <w:sz w:val="21"/>
          <w:szCs w:val="21"/>
          <w:highlight w:val="none"/>
          <w:u w:val="none"/>
        </w:rPr>
        <w:t>备注：“</w:t>
      </w:r>
      <w:r>
        <w:rPr>
          <w:rFonts w:ascii="Times New Roman" w:hAnsi="Times New Roman" w:eastAsia="Times New Roman" w:cs="Times New Roman"/>
          <w:spacing w:val="-9"/>
          <w:sz w:val="21"/>
          <w:szCs w:val="21"/>
          <w:highlight w:val="none"/>
          <w:u w:val="none"/>
        </w:rPr>
        <w:t>ND</w:t>
      </w:r>
      <w:r>
        <w:rPr>
          <w:rFonts w:ascii="宋体" w:hAnsi="宋体" w:eastAsia="宋体" w:cs="宋体"/>
          <w:spacing w:val="-9"/>
          <w:sz w:val="21"/>
          <w:szCs w:val="21"/>
          <w:highlight w:val="none"/>
          <w:u w:val="none"/>
        </w:rPr>
        <w:t>”表示检测结果低于检出限。</w:t>
      </w:r>
    </w:p>
    <w:p>
      <w:pPr>
        <w:pStyle w:val="7"/>
        <w:bidi w:val="0"/>
        <w:rPr>
          <w:highlight w:val="none"/>
          <w:u w:val="none"/>
        </w:rPr>
      </w:pPr>
      <w:r>
        <w:rPr>
          <w:highlight w:val="none"/>
          <w:u w:val="none"/>
        </w:rPr>
        <w:t>表</w:t>
      </w:r>
      <w:r>
        <w:rPr>
          <w:rFonts w:hint="eastAsia"/>
          <w:highlight w:val="none"/>
          <w:u w:val="none"/>
          <w:lang w:val="en-US" w:eastAsia="zh-CN"/>
        </w:rPr>
        <w:t>5</w:t>
      </w:r>
      <w:r>
        <w:rPr>
          <w:highlight w:val="none"/>
          <w:u w:val="none"/>
        </w:rPr>
        <w:t>.2-</w:t>
      </w:r>
      <w:r>
        <w:rPr>
          <w:rFonts w:hint="eastAsia"/>
          <w:highlight w:val="none"/>
          <w:u w:val="none"/>
          <w:lang w:val="en-US" w:eastAsia="zh-CN"/>
        </w:rPr>
        <w:t>5</w:t>
      </w:r>
      <w:r>
        <w:rPr>
          <w:highlight w:val="none"/>
          <w:u w:val="none"/>
        </w:rPr>
        <w:t xml:space="preserve">  环境空气质量</w:t>
      </w:r>
      <w:r>
        <w:rPr>
          <w:rFonts w:hint="eastAsia"/>
          <w:highlight w:val="none"/>
          <w:u w:val="none"/>
          <w:lang w:eastAsia="zh-CN"/>
        </w:rPr>
        <w:t>现状</w:t>
      </w:r>
      <w:r>
        <w:rPr>
          <w:highlight w:val="none"/>
          <w:u w:val="none"/>
        </w:rPr>
        <w:t>评价结果统计</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78"/>
        <w:gridCol w:w="1809"/>
        <w:gridCol w:w="2904"/>
        <w:gridCol w:w="25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点位</w:t>
            </w: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评价指标</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NH</w:t>
            </w:r>
            <w:r>
              <w:rPr>
                <w:rFonts w:hint="default" w:ascii="Times New Roman" w:hAnsi="Times New Roman" w:eastAsia="宋体" w:cs="Times New Roman"/>
                <w:spacing w:val="0"/>
                <w:w w:val="100"/>
                <w:position w:val="0"/>
                <w:sz w:val="21"/>
                <w:szCs w:val="21"/>
                <w:highlight w:val="none"/>
                <w:u w:val="none"/>
                <w:vertAlign w:val="subscript"/>
              </w:rPr>
              <w:t>3</w:t>
            </w:r>
            <w:r>
              <w:rPr>
                <w:rFonts w:hint="default" w:ascii="Times New Roman" w:hAnsi="Times New Roman" w:eastAsia="宋体" w:cs="Times New Roman"/>
                <w:spacing w:val="0"/>
                <w:w w:val="100"/>
                <w:position w:val="0"/>
                <w:sz w:val="21"/>
                <w:szCs w:val="21"/>
                <w:highlight w:val="none"/>
                <w:u w:val="none"/>
              </w:rPr>
              <w:t>小时</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H</w:t>
            </w:r>
            <w:r>
              <w:rPr>
                <w:rFonts w:hint="default" w:ascii="Times New Roman" w:hAnsi="Times New Roman" w:eastAsia="宋体" w:cs="Times New Roman"/>
                <w:spacing w:val="0"/>
                <w:w w:val="100"/>
                <w:position w:val="0"/>
                <w:sz w:val="21"/>
                <w:szCs w:val="21"/>
                <w:highlight w:val="none"/>
                <w:u w:val="none"/>
                <w:vertAlign w:val="subscript"/>
              </w:rPr>
              <w:t>2</w:t>
            </w:r>
            <w:r>
              <w:rPr>
                <w:rFonts w:hint="default" w:ascii="Times New Roman" w:hAnsi="Times New Roman" w:eastAsia="宋体" w:cs="Times New Roman"/>
                <w:spacing w:val="0"/>
                <w:w w:val="100"/>
                <w:position w:val="0"/>
                <w:sz w:val="21"/>
                <w:szCs w:val="21"/>
                <w:highlight w:val="none"/>
                <w:u w:val="none"/>
              </w:rPr>
              <w:t>S小时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rPr>
              <w:t>1</w:t>
            </w:r>
            <w:r>
              <w:rPr>
                <w:rFonts w:hint="default" w:ascii="Times New Roman" w:hAnsi="Times New Roman" w:eastAsia="宋体" w:cs="Times New Roman"/>
                <w:spacing w:val="0"/>
                <w:w w:val="100"/>
                <w:position w:val="0"/>
                <w:sz w:val="21"/>
                <w:szCs w:val="21"/>
                <w:highlight w:val="none"/>
                <w:u w:val="none"/>
                <w:lang w:val="en-US" w:eastAsia="zh-CN"/>
              </w:rPr>
              <w:t>#</w:t>
            </w: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浓度范围</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rPr>
              <w:t>0.0</w:t>
            </w:r>
            <w:r>
              <w:rPr>
                <w:rFonts w:hint="default" w:ascii="Times New Roman" w:hAnsi="Times New Roman" w:eastAsia="宋体" w:cs="Times New Roman"/>
                <w:spacing w:val="0"/>
                <w:w w:val="100"/>
                <w:position w:val="0"/>
                <w:sz w:val="21"/>
                <w:szCs w:val="21"/>
                <w:highlight w:val="none"/>
                <w:u w:val="none"/>
                <w:lang w:val="en-US" w:eastAsia="zh-CN"/>
              </w:rPr>
              <w:t>15</w:t>
            </w: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029</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浓度均值</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rPr>
              <w:t>0.0</w:t>
            </w:r>
            <w:r>
              <w:rPr>
                <w:rFonts w:hint="default" w:ascii="Times New Roman" w:hAnsi="Times New Roman" w:eastAsia="宋体" w:cs="Times New Roman"/>
                <w:spacing w:val="0"/>
                <w:w w:val="100"/>
                <w:position w:val="0"/>
                <w:sz w:val="21"/>
                <w:szCs w:val="21"/>
                <w:highlight w:val="none"/>
                <w:u w:val="none"/>
                <w:lang w:val="en-US" w:eastAsia="zh-CN"/>
              </w:rPr>
              <w:t>21</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指数范围</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075</w:t>
            </w: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145</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平均指数</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105</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eastAsia="zh-CN"/>
              </w:rPr>
            </w:pPr>
            <w:r>
              <w:rPr>
                <w:rFonts w:hint="default" w:ascii="Times New Roman" w:hAnsi="Times New Roman" w:eastAsia="宋体" w:cs="Times New Roman"/>
                <w:spacing w:val="0"/>
                <w:w w:val="100"/>
                <w:position w:val="0"/>
                <w:sz w:val="21"/>
                <w:szCs w:val="21"/>
                <w:highlight w:val="none"/>
                <w:u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超标率</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最大超标倍数</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lang w:val="en-US" w:eastAsia="zh-CN"/>
              </w:rPr>
              <w:t>2#</w:t>
            </w: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浓度范围</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0.0</w:t>
            </w:r>
            <w:r>
              <w:rPr>
                <w:rFonts w:hint="default" w:ascii="Times New Roman" w:hAnsi="Times New Roman" w:eastAsia="宋体" w:cs="Times New Roman"/>
                <w:spacing w:val="0"/>
                <w:w w:val="100"/>
                <w:position w:val="0"/>
                <w:sz w:val="21"/>
                <w:szCs w:val="21"/>
                <w:highlight w:val="none"/>
                <w:u w:val="none"/>
                <w:lang w:val="en-US" w:eastAsia="zh-CN"/>
              </w:rPr>
              <w:t>15</w:t>
            </w: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0</w:t>
            </w:r>
            <w:r>
              <w:rPr>
                <w:rFonts w:hint="default" w:ascii="Times New Roman" w:hAnsi="Times New Roman" w:eastAsia="宋体" w:cs="Times New Roman"/>
                <w:spacing w:val="0"/>
                <w:w w:val="100"/>
                <w:position w:val="0"/>
                <w:sz w:val="21"/>
                <w:szCs w:val="21"/>
                <w:highlight w:val="none"/>
                <w:u w:val="none"/>
              </w:rPr>
              <w:t>29</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浓度均值</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lang w:val="en-US" w:eastAsia="zh-CN"/>
              </w:rPr>
              <w:t>0.023</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ND</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指数范围</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075</w:t>
            </w: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145</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平均指数</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hint="default" w:ascii="Times New Roman" w:hAnsi="Times New Roman" w:eastAsia="宋体" w:cs="Times New Roman"/>
                <w:spacing w:val="0"/>
                <w:w w:val="100"/>
                <w:position w:val="0"/>
                <w:sz w:val="21"/>
                <w:szCs w:val="21"/>
                <w:highlight w:val="none"/>
                <w:u w:val="none"/>
              </w:rPr>
              <w:t>0.</w:t>
            </w:r>
            <w:r>
              <w:rPr>
                <w:rFonts w:hint="default" w:ascii="Times New Roman" w:hAnsi="Times New Roman" w:eastAsia="宋体" w:cs="Times New Roman"/>
                <w:spacing w:val="0"/>
                <w:w w:val="100"/>
                <w:position w:val="0"/>
                <w:sz w:val="21"/>
                <w:szCs w:val="21"/>
                <w:highlight w:val="none"/>
                <w:u w:val="none"/>
                <w:lang w:val="en-US" w:eastAsia="zh-CN"/>
              </w:rPr>
              <w:t>115</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超标率</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6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10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最大超标倍数</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73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标准值</w:t>
            </w:r>
          </w:p>
        </w:tc>
        <w:tc>
          <w:tcPr>
            <w:tcW w:w="17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0.2（一次）</w:t>
            </w:r>
          </w:p>
        </w:tc>
        <w:tc>
          <w:tcPr>
            <w:tcW w:w="1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0.01（一次）</w:t>
            </w:r>
          </w:p>
        </w:tc>
      </w:tr>
    </w:tbl>
    <w:p>
      <w:pPr>
        <w:bidi w:val="0"/>
        <w:rPr>
          <w:highlight w:val="none"/>
          <w:u w:val="single"/>
        </w:rPr>
      </w:pPr>
      <w:r>
        <w:rPr>
          <w:highlight w:val="none"/>
          <w:u w:val="single"/>
        </w:rPr>
        <w:t>从表</w:t>
      </w:r>
      <w:r>
        <w:rPr>
          <w:rFonts w:hint="eastAsia"/>
          <w:highlight w:val="none"/>
          <w:u w:val="single"/>
          <w:lang w:val="en-US" w:eastAsia="zh-CN"/>
        </w:rPr>
        <w:t>5.2-5</w:t>
      </w:r>
      <w:r>
        <w:rPr>
          <w:highlight w:val="none"/>
          <w:u w:val="single"/>
        </w:rPr>
        <w:t>可以看出环境空气监测点：</w:t>
      </w:r>
    </w:p>
    <w:p>
      <w:pPr>
        <w:bidi w:val="0"/>
        <w:rPr>
          <w:highlight w:val="none"/>
          <w:u w:val="single"/>
        </w:rPr>
      </w:pPr>
      <w:r>
        <w:rPr>
          <w:highlight w:val="none"/>
          <w:u w:val="single"/>
        </w:rPr>
        <w:t>①特征污染物NH</w:t>
      </w:r>
      <w:r>
        <w:rPr>
          <w:highlight w:val="none"/>
          <w:u w:val="single"/>
          <w:vertAlign w:val="subscript"/>
        </w:rPr>
        <w:t>3</w:t>
      </w:r>
      <w:r>
        <w:rPr>
          <w:highlight w:val="none"/>
          <w:u w:val="single"/>
        </w:rPr>
        <w:t>、H</w:t>
      </w:r>
      <w:r>
        <w:rPr>
          <w:highlight w:val="none"/>
          <w:u w:val="single"/>
          <w:vertAlign w:val="subscript"/>
        </w:rPr>
        <w:t>2</w:t>
      </w:r>
      <w:r>
        <w:rPr>
          <w:highlight w:val="none"/>
          <w:u w:val="single"/>
        </w:rPr>
        <w:t>S小时值的浓度单因子指数范围分别为0.</w:t>
      </w:r>
      <w:r>
        <w:rPr>
          <w:rFonts w:hint="eastAsia"/>
          <w:highlight w:val="none"/>
          <w:u w:val="single"/>
          <w:lang w:val="en-US" w:eastAsia="zh-CN"/>
        </w:rPr>
        <w:t>075</w:t>
      </w:r>
      <w:r>
        <w:rPr>
          <w:highlight w:val="none"/>
          <w:u w:val="single"/>
        </w:rPr>
        <w:t>～</w:t>
      </w:r>
      <w:r>
        <w:rPr>
          <w:rFonts w:hint="eastAsia"/>
          <w:highlight w:val="none"/>
          <w:u w:val="single"/>
          <w:lang w:val="en-US" w:eastAsia="zh-CN"/>
        </w:rPr>
        <w:t>0.145</w:t>
      </w:r>
      <w:r>
        <w:rPr>
          <w:highlight w:val="none"/>
          <w:u w:val="single"/>
        </w:rPr>
        <w:t>和0，满足《环境影响评价技术导则——大气环境》（HJ2.2-2018）附录D中标准值。</w:t>
      </w:r>
    </w:p>
    <w:p>
      <w:pPr>
        <w:bidi w:val="0"/>
        <w:rPr>
          <w:highlight w:val="none"/>
          <w:u w:val="single"/>
        </w:rPr>
      </w:pPr>
      <w:r>
        <w:rPr>
          <w:highlight w:val="none"/>
          <w:u w:val="single"/>
        </w:rPr>
        <w:t>②评价区域内各污染物的单因子指数均小于1，均能达到相应标准要求，因此，项目区域整体环境空气质量较好。</w:t>
      </w:r>
    </w:p>
    <w:p>
      <w:pPr>
        <w:pStyle w:val="5"/>
        <w:bidi w:val="0"/>
        <w:rPr>
          <w:highlight w:val="none"/>
          <w:u w:val="none"/>
        </w:rPr>
      </w:pPr>
      <w:r>
        <w:rPr>
          <w:rFonts w:hint="eastAsia"/>
          <w:highlight w:val="none"/>
          <w:u w:val="none"/>
          <w:lang w:val="en-US" w:eastAsia="zh-CN"/>
        </w:rPr>
        <w:t>5.2.2</w:t>
      </w:r>
      <w:r>
        <w:rPr>
          <w:highlight w:val="none"/>
          <w:u w:val="none"/>
        </w:rPr>
        <w:t xml:space="preserve">  地表水环境现状调查与分析</w:t>
      </w:r>
    </w:p>
    <w:p>
      <w:pPr>
        <w:bidi w:val="0"/>
        <w:rPr>
          <w:rFonts w:hint="default"/>
          <w:b/>
          <w:bCs/>
          <w:highlight w:val="none"/>
          <w:lang w:val="en-US" w:eastAsia="zh-CN"/>
        </w:rPr>
      </w:pPr>
      <w:r>
        <w:rPr>
          <w:rFonts w:hint="eastAsia"/>
          <w:b/>
          <w:bCs/>
          <w:highlight w:val="none"/>
          <w:lang w:val="en-US" w:eastAsia="zh-CN"/>
        </w:rPr>
        <w:t>一、2021年12月7日监测结果</w:t>
      </w:r>
    </w:p>
    <w:p>
      <w:pPr>
        <w:bidi w:val="0"/>
        <w:rPr>
          <w:highlight w:val="none"/>
          <w:u w:val="none"/>
        </w:rPr>
      </w:pPr>
      <w:r>
        <w:rPr>
          <w:rFonts w:hint="eastAsia"/>
          <w:highlight w:val="none"/>
          <w:u w:val="none"/>
          <w:lang w:eastAsia="zh-CN"/>
        </w:rPr>
        <w:t>（一）</w:t>
      </w:r>
      <w:r>
        <w:rPr>
          <w:highlight w:val="none"/>
          <w:u w:val="none"/>
        </w:rPr>
        <w:t>水环境功能区水质达标状况</w:t>
      </w:r>
    </w:p>
    <w:p>
      <w:pPr>
        <w:bidi w:val="0"/>
        <w:rPr>
          <w:highlight w:val="none"/>
          <w:u w:val="none"/>
        </w:rPr>
      </w:pPr>
      <w:r>
        <w:rPr>
          <w:highlight w:val="none"/>
          <w:u w:val="none"/>
        </w:rPr>
        <w:t>根据《湖南省主要地表水系水环境功能区划》（DB43/023-2005）和《关于公布湖南省县级以上地表水集中式饮用水水源保护区划定方案的通知》（湘政函 [2016]176号）可知：项目</w:t>
      </w:r>
      <w:r>
        <w:rPr>
          <w:rFonts w:hint="eastAsia"/>
          <w:highlight w:val="none"/>
          <w:u w:val="none"/>
          <w:lang w:eastAsia="zh-CN"/>
        </w:rPr>
        <w:t>北</w:t>
      </w:r>
      <w:r>
        <w:rPr>
          <w:highlight w:val="none"/>
          <w:u w:val="none"/>
        </w:rPr>
        <w:t>面20m处的农灌渠无明确水体环境功能，无环保部门发布的常规监测数据或长期监测数据。</w:t>
      </w:r>
    </w:p>
    <w:p>
      <w:pPr>
        <w:bidi w:val="0"/>
        <w:rPr>
          <w:highlight w:val="none"/>
          <w:u w:val="none"/>
        </w:rPr>
      </w:pPr>
      <w:r>
        <w:rPr>
          <w:rFonts w:hint="eastAsia"/>
          <w:highlight w:val="none"/>
          <w:u w:val="none"/>
          <w:lang w:eastAsia="zh-CN"/>
        </w:rPr>
        <w:t>（二）</w:t>
      </w:r>
      <w:r>
        <w:rPr>
          <w:highlight w:val="none"/>
          <w:u w:val="none"/>
        </w:rPr>
        <w:t>地表水现状监测结果与分析</w:t>
      </w:r>
    </w:p>
    <w:p>
      <w:pPr>
        <w:bidi w:val="0"/>
        <w:rPr>
          <w:highlight w:val="none"/>
          <w:u w:val="none"/>
        </w:rPr>
      </w:pPr>
      <w:r>
        <w:rPr>
          <w:highlight w:val="none"/>
          <w:u w:val="none"/>
        </w:rPr>
        <w:t>1</w:t>
      </w:r>
      <w:r>
        <w:rPr>
          <w:rFonts w:hint="eastAsia"/>
          <w:highlight w:val="none"/>
          <w:u w:val="none"/>
          <w:lang w:eastAsia="zh-CN"/>
        </w:rPr>
        <w:t>、</w:t>
      </w:r>
      <w:r>
        <w:rPr>
          <w:highlight w:val="none"/>
          <w:u w:val="none"/>
        </w:rPr>
        <w:t>监测布点</w:t>
      </w:r>
    </w:p>
    <w:p>
      <w:pPr>
        <w:bidi w:val="0"/>
        <w:rPr>
          <w:highlight w:val="none"/>
          <w:u w:val="none"/>
        </w:rPr>
      </w:pPr>
      <w:r>
        <w:rPr>
          <w:highlight w:val="none"/>
          <w:u w:val="none"/>
        </w:rPr>
        <w:t xml:space="preserve">本项目共设有 </w:t>
      </w:r>
      <w:r>
        <w:rPr>
          <w:rFonts w:hint="eastAsia"/>
          <w:highlight w:val="none"/>
          <w:u w:val="none"/>
          <w:lang w:val="en-US" w:eastAsia="zh-CN"/>
        </w:rPr>
        <w:t>1</w:t>
      </w:r>
      <w:r>
        <w:rPr>
          <w:highlight w:val="none"/>
          <w:u w:val="none"/>
        </w:rPr>
        <w:t>个监测点。</w:t>
      </w:r>
    </w:p>
    <w:p>
      <w:pPr>
        <w:bidi w:val="0"/>
        <w:rPr>
          <w:rFonts w:hint="eastAsia" w:eastAsia="宋体"/>
          <w:highlight w:val="none"/>
          <w:u w:val="none"/>
          <w:lang w:eastAsia="zh-CN"/>
        </w:rPr>
      </w:pPr>
      <w:r>
        <w:rPr>
          <w:highlight w:val="none"/>
          <w:u w:val="none"/>
        </w:rPr>
        <w:t>S1——项目</w:t>
      </w:r>
      <w:r>
        <w:rPr>
          <w:rFonts w:hint="eastAsia"/>
          <w:highlight w:val="none"/>
          <w:u w:val="none"/>
          <w:lang w:eastAsia="zh-CN"/>
        </w:rPr>
        <w:t>北</w:t>
      </w:r>
      <w:r>
        <w:rPr>
          <w:highlight w:val="none"/>
          <w:u w:val="none"/>
        </w:rPr>
        <w:t>面农灌渠</w:t>
      </w:r>
      <w:r>
        <w:rPr>
          <w:rFonts w:hint="eastAsia"/>
          <w:highlight w:val="none"/>
          <w:u w:val="none"/>
          <w:lang w:eastAsia="zh-CN"/>
        </w:rPr>
        <w:t>。</w:t>
      </w:r>
    </w:p>
    <w:p>
      <w:pPr>
        <w:bidi w:val="0"/>
        <w:rPr>
          <w:highlight w:val="none"/>
          <w:u w:val="none"/>
        </w:rPr>
      </w:pPr>
      <w:r>
        <w:rPr>
          <w:highlight w:val="none"/>
          <w:u w:val="none"/>
        </w:rPr>
        <w:t>监测布点具体位置见附图。</w:t>
      </w:r>
    </w:p>
    <w:p>
      <w:pPr>
        <w:bidi w:val="0"/>
        <w:rPr>
          <w:highlight w:val="none"/>
          <w:u w:val="none"/>
        </w:rPr>
      </w:pPr>
      <w:r>
        <w:rPr>
          <w:highlight w:val="none"/>
          <w:u w:val="none"/>
        </w:rPr>
        <w:t>2</w:t>
      </w:r>
      <w:r>
        <w:rPr>
          <w:rFonts w:hint="eastAsia"/>
          <w:highlight w:val="none"/>
          <w:u w:val="none"/>
          <w:lang w:eastAsia="zh-CN"/>
        </w:rPr>
        <w:t>、</w:t>
      </w:r>
      <w:r>
        <w:rPr>
          <w:highlight w:val="none"/>
          <w:u w:val="none"/>
        </w:rPr>
        <w:t>监测项目</w:t>
      </w:r>
    </w:p>
    <w:p>
      <w:pPr>
        <w:bidi w:val="0"/>
        <w:rPr>
          <w:highlight w:val="none"/>
          <w:u w:val="none"/>
        </w:rPr>
      </w:pPr>
      <w:r>
        <w:rPr>
          <w:highlight w:val="none"/>
          <w:u w:val="none"/>
        </w:rPr>
        <w:t>根据项目污染物特性，确定本评价地表水环境现状的监测因子为：pH值、水温、悬浮物、化学需氧量、</w:t>
      </w:r>
      <w:r>
        <w:rPr>
          <w:rFonts w:hint="eastAsia"/>
          <w:highlight w:val="none"/>
          <w:u w:val="none"/>
          <w:lang w:eastAsia="zh-CN"/>
        </w:rPr>
        <w:t>五日</w:t>
      </w:r>
      <w:r>
        <w:rPr>
          <w:highlight w:val="none"/>
          <w:u w:val="none"/>
        </w:rPr>
        <w:t>生化需氧量、阴离子表面活性剂、氯化物、硫化物、全盐量、铅、镉、铬（六价）、汞、砷、粪大肠菌群、蛔虫卵数，共16个因子。</w:t>
      </w:r>
    </w:p>
    <w:p>
      <w:pPr>
        <w:bidi w:val="0"/>
        <w:rPr>
          <w:rFonts w:hint="eastAsia"/>
          <w:highlight w:val="none"/>
          <w:u w:val="none"/>
        </w:rPr>
      </w:pPr>
      <w:r>
        <w:rPr>
          <w:highlight w:val="none"/>
          <w:u w:val="none"/>
        </w:rPr>
        <w:t>3</w:t>
      </w:r>
      <w:r>
        <w:rPr>
          <w:rFonts w:hint="eastAsia"/>
          <w:highlight w:val="none"/>
          <w:u w:val="none"/>
          <w:lang w:eastAsia="zh-CN"/>
        </w:rPr>
        <w:t>、</w:t>
      </w:r>
      <w:r>
        <w:rPr>
          <w:highlight w:val="none"/>
          <w:u w:val="none"/>
        </w:rPr>
        <w:t>监测时间与采样频次</w:t>
      </w:r>
    </w:p>
    <w:p>
      <w:pPr>
        <w:bidi w:val="0"/>
        <w:rPr>
          <w:rFonts w:hint="eastAsia"/>
          <w:highlight w:val="none"/>
          <w:u w:val="none"/>
        </w:rPr>
      </w:pPr>
      <w:r>
        <w:rPr>
          <w:rFonts w:hint="eastAsia"/>
          <w:highlight w:val="none"/>
          <w:u w:val="none"/>
        </w:rPr>
        <w:t>湖南谱实检测技术有限公司</w:t>
      </w:r>
      <w:r>
        <w:rPr>
          <w:rFonts w:hint="eastAsia"/>
          <w:highlight w:val="none"/>
          <w:u w:val="none"/>
          <w:lang w:eastAsia="zh-CN"/>
        </w:rPr>
        <w:t>于</w:t>
      </w:r>
      <w:r>
        <w:rPr>
          <w:rFonts w:hint="eastAsia"/>
          <w:highlight w:val="none"/>
          <w:u w:val="none"/>
        </w:rPr>
        <w:t>2021年</w:t>
      </w:r>
      <w:r>
        <w:rPr>
          <w:rFonts w:hint="eastAsia"/>
          <w:highlight w:val="none"/>
          <w:u w:val="none"/>
          <w:lang w:val="en-US" w:eastAsia="zh-CN"/>
        </w:rPr>
        <w:t>12</w:t>
      </w:r>
      <w:r>
        <w:rPr>
          <w:rFonts w:hint="eastAsia"/>
          <w:highlight w:val="none"/>
          <w:u w:val="none"/>
        </w:rPr>
        <w:t>月</w:t>
      </w:r>
      <w:r>
        <w:rPr>
          <w:rFonts w:hint="eastAsia"/>
          <w:highlight w:val="none"/>
          <w:u w:val="none"/>
          <w:lang w:val="en-US" w:eastAsia="zh-CN"/>
        </w:rPr>
        <w:t>7</w:t>
      </w:r>
      <w:r>
        <w:rPr>
          <w:rFonts w:hint="eastAsia"/>
          <w:highlight w:val="none"/>
          <w:u w:val="none"/>
        </w:rPr>
        <w:t>日至</w:t>
      </w:r>
      <w:r>
        <w:rPr>
          <w:rFonts w:hint="eastAsia"/>
          <w:highlight w:val="none"/>
          <w:u w:val="none"/>
          <w:lang w:val="en-US" w:eastAsia="zh-CN"/>
        </w:rPr>
        <w:t>12</w:t>
      </w:r>
      <w:r>
        <w:rPr>
          <w:rFonts w:hint="eastAsia"/>
          <w:highlight w:val="none"/>
          <w:u w:val="none"/>
        </w:rPr>
        <w:t>月</w:t>
      </w:r>
      <w:r>
        <w:rPr>
          <w:rFonts w:hint="eastAsia"/>
          <w:highlight w:val="none"/>
          <w:u w:val="none"/>
          <w:lang w:val="en-US" w:eastAsia="zh-CN"/>
        </w:rPr>
        <w:t>9</w:t>
      </w:r>
      <w:r>
        <w:rPr>
          <w:rFonts w:hint="eastAsia"/>
          <w:highlight w:val="none"/>
          <w:u w:val="none"/>
        </w:rPr>
        <w:t>日，连续监测3天，每天采样1次。</w:t>
      </w:r>
    </w:p>
    <w:p>
      <w:pPr>
        <w:bidi w:val="0"/>
        <w:rPr>
          <w:highlight w:val="none"/>
          <w:u w:val="none"/>
        </w:rPr>
      </w:pPr>
      <w:r>
        <w:rPr>
          <w:highlight w:val="none"/>
          <w:u w:val="none"/>
        </w:rPr>
        <w:t>4</w:t>
      </w:r>
      <w:r>
        <w:rPr>
          <w:rFonts w:hint="eastAsia"/>
          <w:highlight w:val="none"/>
          <w:u w:val="none"/>
          <w:lang w:eastAsia="zh-CN"/>
        </w:rPr>
        <w:t>、</w:t>
      </w:r>
      <w:r>
        <w:rPr>
          <w:highlight w:val="none"/>
          <w:u w:val="none"/>
        </w:rPr>
        <w:t>评价方法</w:t>
      </w:r>
    </w:p>
    <w:p>
      <w:pPr>
        <w:bidi w:val="0"/>
        <w:rPr>
          <w:highlight w:val="none"/>
          <w:u w:val="none"/>
        </w:rPr>
      </w:pPr>
      <w:r>
        <w:rPr>
          <w:highlight w:val="none"/>
          <w:u w:val="none"/>
        </w:rPr>
        <w:t>采样分析方法依照国家环保局《环境水质监测质量保证手册》 与《水和废水监 测分析方法》 的规定进行。采用单因子标准指数法对地下水现状进行评价，公式如 下：</w:t>
      </w:r>
    </w:p>
    <w:p>
      <w:pPr>
        <w:bidi w:val="0"/>
        <w:rPr>
          <w:rFonts w:hint="eastAsia" w:eastAsia="宋体"/>
          <w:highlight w:val="none"/>
          <w:u w:val="none"/>
          <w:lang w:eastAsia="zh-CN"/>
        </w:rPr>
      </w:pPr>
      <w:r>
        <w:rPr>
          <w:rFonts w:hint="eastAsia" w:eastAsia="宋体"/>
          <w:position w:val="-24"/>
          <w:highlight w:val="none"/>
          <w:u w:val="none"/>
          <w:lang w:eastAsia="zh-CN"/>
        </w:rPr>
        <w:object>
          <v:shape id="_x0000_i1029" o:spt="75" type="#_x0000_t75" style="height:31pt;width:67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pPr>
        <w:bidi w:val="0"/>
        <w:rPr>
          <w:highlight w:val="none"/>
          <w:u w:val="none"/>
        </w:rPr>
      </w:pPr>
      <w:r>
        <w:rPr>
          <w:highlight w:val="none"/>
          <w:u w:val="none"/>
        </w:rPr>
        <w:t>式中：S</w:t>
      </w:r>
      <w:r>
        <w:rPr>
          <w:highlight w:val="none"/>
          <w:u w:val="none"/>
          <w:vertAlign w:val="subscript"/>
        </w:rPr>
        <w:t>i</w:t>
      </w:r>
      <w:r>
        <w:rPr>
          <w:rFonts w:hint="eastAsia"/>
          <w:highlight w:val="none"/>
          <w:u w:val="none"/>
          <w:vertAlign w:val="subscript"/>
          <w:lang w:val="en-US" w:eastAsia="zh-CN"/>
        </w:rPr>
        <w:t>,j</w:t>
      </w:r>
      <w:r>
        <w:rPr>
          <w:highlight w:val="none"/>
          <w:u w:val="none"/>
        </w:rPr>
        <w:t>——i污染物单因子标准指数；</w:t>
      </w:r>
    </w:p>
    <w:p>
      <w:pPr>
        <w:bidi w:val="0"/>
        <w:rPr>
          <w:highlight w:val="none"/>
          <w:u w:val="none"/>
        </w:rPr>
      </w:pPr>
      <w:r>
        <w:rPr>
          <w:highlight w:val="none"/>
          <w:u w:val="none"/>
        </w:rPr>
        <w:t>C</w:t>
      </w:r>
      <w:r>
        <w:rPr>
          <w:highlight w:val="none"/>
          <w:u w:val="none"/>
          <w:vertAlign w:val="subscript"/>
        </w:rPr>
        <w:t>i</w:t>
      </w:r>
      <w:r>
        <w:rPr>
          <w:rFonts w:hint="eastAsia"/>
          <w:highlight w:val="none"/>
          <w:u w:val="none"/>
          <w:vertAlign w:val="subscript"/>
          <w:lang w:val="en-US" w:eastAsia="zh-CN"/>
        </w:rPr>
        <w:t>,j</w:t>
      </w:r>
      <w:r>
        <w:rPr>
          <w:highlight w:val="none"/>
          <w:u w:val="none"/>
        </w:rPr>
        <w:t>——i污染物在j 处的实测浓度均值，mg/l；</w:t>
      </w:r>
    </w:p>
    <w:p>
      <w:pPr>
        <w:bidi w:val="0"/>
        <w:rPr>
          <w:highlight w:val="none"/>
          <w:u w:val="none"/>
        </w:rPr>
      </w:pPr>
      <w:r>
        <w:rPr>
          <w:highlight w:val="none"/>
          <w:u w:val="none"/>
        </w:rPr>
        <w:t>C</w:t>
      </w:r>
      <w:r>
        <w:rPr>
          <w:highlight w:val="none"/>
          <w:u w:val="none"/>
          <w:vertAlign w:val="subscript"/>
        </w:rPr>
        <w:t>si</w:t>
      </w:r>
      <w:r>
        <w:rPr>
          <w:highlight w:val="none"/>
          <w:u w:val="none"/>
        </w:rPr>
        <w:t>——i污染物评价标准值，mg/l；</w:t>
      </w:r>
    </w:p>
    <w:p>
      <w:pPr>
        <w:bidi w:val="0"/>
        <w:rPr>
          <w:highlight w:val="none"/>
          <w:u w:val="none"/>
        </w:rPr>
      </w:pPr>
      <w:r>
        <w:rPr>
          <w:highlight w:val="none"/>
          <w:u w:val="none"/>
        </w:rPr>
        <w:t>pH值单项指数计算公式为：</w:t>
      </w:r>
    </w:p>
    <w:p>
      <w:pPr>
        <w:bidi w:val="0"/>
        <w:rPr>
          <w:rFonts w:ascii="Times New Roman" w:hAnsi="Times New Roman" w:eastAsia="Times New Roman" w:cs="Times New Roman"/>
          <w:sz w:val="24"/>
          <w:szCs w:val="24"/>
          <w:highlight w:val="none"/>
          <w:u w:val="none"/>
        </w:rPr>
      </w:pPr>
      <w:r>
        <w:rPr>
          <w:rFonts w:hint="eastAsia" w:eastAsia="宋体"/>
          <w:position w:val="-30"/>
          <w:highlight w:val="none"/>
          <w:u w:val="none"/>
          <w:lang w:eastAsia="zh-CN"/>
        </w:rPr>
        <w:object>
          <v:shape id="_x0000_i1030" o:spt="75" type="#_x0000_t75" style="height:36pt;width:94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r>
        <w:rPr>
          <w:rFonts w:ascii="Times New Roman" w:hAnsi="Times New Roman" w:eastAsia="Times New Roman" w:cs="Times New Roman"/>
          <w:position w:val="-4"/>
          <w:sz w:val="14"/>
          <w:szCs w:val="14"/>
          <w:highlight w:val="none"/>
          <w:u w:val="none"/>
        </w:rPr>
        <w:t xml:space="preserve">               </w:t>
      </w:r>
      <w:r>
        <w:rPr>
          <w:rFonts w:ascii="Times New Roman" w:hAnsi="Times New Roman" w:eastAsia="Times New Roman" w:cs="Times New Roman"/>
          <w:i/>
          <w:iCs/>
          <w:spacing w:val="3"/>
          <w:w w:val="105"/>
          <w:position w:val="3"/>
          <w:sz w:val="24"/>
          <w:szCs w:val="24"/>
          <w:highlight w:val="none"/>
          <w:u w:val="none"/>
        </w:rPr>
        <w:t>pH</w:t>
      </w:r>
      <w:r>
        <w:rPr>
          <w:rFonts w:hint="eastAsia" w:ascii="Times New Roman" w:hAnsi="Times New Roman" w:eastAsia="宋体" w:cs="Times New Roman"/>
          <w:i/>
          <w:iCs/>
          <w:spacing w:val="3"/>
          <w:w w:val="105"/>
          <w:position w:val="3"/>
          <w:sz w:val="24"/>
          <w:szCs w:val="24"/>
          <w:highlight w:val="none"/>
          <w:u w:val="none"/>
          <w:vertAlign w:val="subscript"/>
          <w:lang w:val="en-US" w:eastAsia="zh-CN"/>
        </w:rPr>
        <w:t>j</w:t>
      </w:r>
      <w:r>
        <w:rPr>
          <w:rFonts w:hint="default" w:ascii="Arial" w:hAnsi="Arial" w:eastAsia="Times New Roman" w:cs="Arial"/>
          <w:i/>
          <w:iCs/>
          <w:spacing w:val="3"/>
          <w:w w:val="105"/>
          <w:position w:val="3"/>
          <w:sz w:val="24"/>
          <w:szCs w:val="24"/>
          <w:highlight w:val="none"/>
          <w:u w:val="none"/>
        </w:rPr>
        <w:t>≤</w:t>
      </w:r>
      <w:r>
        <w:rPr>
          <w:rFonts w:ascii="Times New Roman" w:hAnsi="Times New Roman" w:eastAsia="Times New Roman" w:cs="Times New Roman"/>
          <w:spacing w:val="3"/>
          <w:w w:val="105"/>
          <w:position w:val="3"/>
          <w:sz w:val="24"/>
          <w:szCs w:val="24"/>
          <w:highlight w:val="none"/>
          <w:u w:val="none"/>
        </w:rPr>
        <w:t>7.0</w:t>
      </w:r>
    </w:p>
    <w:p>
      <w:pPr>
        <w:bidi w:val="0"/>
        <w:rPr>
          <w:rFonts w:ascii="Times New Roman" w:hAnsi="Times New Roman" w:eastAsia="Times New Roman" w:cs="Times New Roman"/>
          <w:sz w:val="24"/>
          <w:szCs w:val="24"/>
          <w:highlight w:val="none"/>
          <w:u w:val="none"/>
        </w:rPr>
      </w:pPr>
      <w:r>
        <w:rPr>
          <w:rFonts w:hint="eastAsia" w:eastAsia="宋体"/>
          <w:position w:val="-30"/>
          <w:highlight w:val="none"/>
          <w:u w:val="none"/>
          <w:lang w:eastAsia="zh-CN"/>
        </w:rPr>
        <w:object>
          <v:shape id="_x0000_i1031" o:spt="75" type="#_x0000_t75" style="height:36pt;width:94pt;" o:ole="t" filled="f" o:preferrelative="t" stroked="f" coordsize="21600,21600">
            <v:path/>
            <v:fill on="f" focussize="0,0"/>
            <v:stroke on="f"/>
            <v:imagedata r:id="rId27" o:title=""/>
            <o:lock v:ext="edit" aspectratio="t"/>
            <w10:wrap type="none"/>
            <w10:anchorlock/>
          </v:shape>
          <o:OLEObject Type="Embed" ProgID="Equation.KSEE3" ShapeID="_x0000_i1031" DrawAspect="Content" ObjectID="_1468075731" r:id="rId26">
            <o:LockedField>false</o:LockedField>
          </o:OLEObject>
        </w:object>
      </w:r>
      <w:r>
        <w:rPr>
          <w:highlight w:val="none"/>
          <w:u w:val="none"/>
        </w:rPr>
        <w:t xml:space="preserve">       </w:t>
      </w:r>
      <w:r>
        <w:rPr>
          <w:rFonts w:ascii="Times New Roman" w:hAnsi="Times New Roman" w:eastAsia="Times New Roman" w:cs="Times New Roman"/>
          <w:i/>
          <w:iCs/>
          <w:spacing w:val="3"/>
          <w:w w:val="105"/>
          <w:position w:val="3"/>
          <w:sz w:val="24"/>
          <w:szCs w:val="24"/>
          <w:highlight w:val="none"/>
          <w:u w:val="none"/>
        </w:rPr>
        <w:t>pH</w:t>
      </w:r>
      <w:r>
        <w:rPr>
          <w:rFonts w:hint="eastAsia" w:ascii="Times New Roman" w:hAnsi="Times New Roman" w:eastAsia="宋体" w:cs="Times New Roman"/>
          <w:i/>
          <w:iCs/>
          <w:spacing w:val="3"/>
          <w:w w:val="105"/>
          <w:position w:val="3"/>
          <w:sz w:val="24"/>
          <w:szCs w:val="24"/>
          <w:highlight w:val="none"/>
          <w:u w:val="none"/>
          <w:vertAlign w:val="subscript"/>
          <w:lang w:val="en-US" w:eastAsia="zh-CN"/>
        </w:rPr>
        <w:t>j</w:t>
      </w:r>
      <w:r>
        <w:rPr>
          <w:rFonts w:hint="default" w:ascii="Arial" w:hAnsi="Arial" w:eastAsia="Times New Roman" w:cs="Arial"/>
          <w:i/>
          <w:iCs/>
          <w:spacing w:val="3"/>
          <w:w w:val="105"/>
          <w:position w:val="3"/>
          <w:sz w:val="24"/>
          <w:szCs w:val="24"/>
          <w:highlight w:val="none"/>
          <w:u w:val="none"/>
        </w:rPr>
        <w:t>≤</w:t>
      </w:r>
      <w:r>
        <w:rPr>
          <w:rFonts w:hint="eastAsia" w:ascii="微软雅黑" w:hAnsi="微软雅黑" w:eastAsia="微软雅黑" w:cs="微软雅黑"/>
          <w:i/>
          <w:iCs/>
          <w:spacing w:val="3"/>
          <w:w w:val="105"/>
          <w:position w:val="3"/>
          <w:sz w:val="24"/>
          <w:szCs w:val="24"/>
          <w:highlight w:val="none"/>
          <w:u w:val="none"/>
        </w:rPr>
        <w:t>&gt;</w:t>
      </w:r>
      <w:r>
        <w:rPr>
          <w:rFonts w:ascii="Times New Roman" w:hAnsi="Times New Roman" w:eastAsia="Times New Roman" w:cs="Times New Roman"/>
          <w:spacing w:val="3"/>
          <w:w w:val="105"/>
          <w:position w:val="3"/>
          <w:sz w:val="24"/>
          <w:szCs w:val="24"/>
          <w:highlight w:val="none"/>
          <w:u w:val="none"/>
        </w:rPr>
        <w:t>7.0</w:t>
      </w:r>
    </w:p>
    <w:p>
      <w:pPr>
        <w:bidi w:val="0"/>
        <w:rPr>
          <w:highlight w:val="none"/>
          <w:u w:val="none"/>
        </w:rPr>
      </w:pPr>
      <w:r>
        <w:rPr>
          <w:highlight w:val="none"/>
          <w:u w:val="none"/>
        </w:rPr>
        <w:t>S</w:t>
      </w:r>
      <w:r>
        <w:rPr>
          <w:highlight w:val="none"/>
          <w:u w:val="none"/>
          <w:vertAlign w:val="subscript"/>
        </w:rPr>
        <w:t>pH,j</w:t>
      </w:r>
      <w:r>
        <w:rPr>
          <w:highlight w:val="none"/>
          <w:u w:val="none"/>
        </w:rPr>
        <w:t>——pH标准指数；</w:t>
      </w:r>
    </w:p>
    <w:p>
      <w:pPr>
        <w:bidi w:val="0"/>
        <w:rPr>
          <w:highlight w:val="none"/>
          <w:u w:val="none"/>
        </w:rPr>
      </w:pPr>
      <w:r>
        <w:rPr>
          <w:highlight w:val="none"/>
          <w:u w:val="none"/>
        </w:rPr>
        <w:t>pH</w:t>
      </w:r>
      <w:r>
        <w:rPr>
          <w:highlight w:val="none"/>
          <w:u w:val="none"/>
          <w:vertAlign w:val="subscript"/>
        </w:rPr>
        <w:t>j</w:t>
      </w:r>
      <w:r>
        <w:rPr>
          <w:highlight w:val="none"/>
          <w:u w:val="none"/>
        </w:rPr>
        <w:t>——j点实测pH值；</w:t>
      </w:r>
    </w:p>
    <w:p>
      <w:pPr>
        <w:bidi w:val="0"/>
        <w:rPr>
          <w:highlight w:val="none"/>
          <w:u w:val="none"/>
        </w:rPr>
      </w:pPr>
      <w:r>
        <w:rPr>
          <w:highlight w:val="none"/>
          <w:u w:val="none"/>
        </w:rPr>
        <w:t>pH</w:t>
      </w:r>
      <w:r>
        <w:rPr>
          <w:highlight w:val="none"/>
          <w:u w:val="none"/>
          <w:vertAlign w:val="subscript"/>
        </w:rPr>
        <w:t>sd</w:t>
      </w:r>
      <w:r>
        <w:rPr>
          <w:highlight w:val="none"/>
          <w:u w:val="none"/>
        </w:rPr>
        <w:t>——标准中pH值的下限值；</w:t>
      </w:r>
    </w:p>
    <w:p>
      <w:pPr>
        <w:bidi w:val="0"/>
        <w:rPr>
          <w:highlight w:val="none"/>
          <w:u w:val="none"/>
        </w:rPr>
      </w:pPr>
      <w:r>
        <w:rPr>
          <w:highlight w:val="none"/>
          <w:u w:val="none"/>
        </w:rPr>
        <w:t>pH</w:t>
      </w:r>
      <w:r>
        <w:rPr>
          <w:highlight w:val="none"/>
          <w:u w:val="none"/>
          <w:vertAlign w:val="subscript"/>
        </w:rPr>
        <w:t>su</w:t>
      </w:r>
      <w:r>
        <w:rPr>
          <w:highlight w:val="none"/>
          <w:u w:val="none"/>
        </w:rPr>
        <w:t>——标准中pH值的上限值。</w:t>
      </w:r>
    </w:p>
    <w:p>
      <w:pPr>
        <w:bidi w:val="0"/>
        <w:rPr>
          <w:highlight w:val="none"/>
          <w:u w:val="single"/>
        </w:rPr>
      </w:pPr>
      <w:r>
        <w:rPr>
          <w:rFonts w:hint="eastAsia"/>
          <w:highlight w:val="none"/>
          <w:u w:val="single"/>
          <w:lang w:val="en-US" w:eastAsia="zh-CN"/>
        </w:rPr>
        <w:t>5、</w:t>
      </w:r>
      <w:r>
        <w:rPr>
          <w:highlight w:val="none"/>
          <w:u w:val="single"/>
        </w:rPr>
        <w:t>监测结果与评价</w:t>
      </w:r>
    </w:p>
    <w:p>
      <w:pPr>
        <w:bidi w:val="0"/>
        <w:rPr>
          <w:highlight w:val="none"/>
          <w:u w:val="single"/>
        </w:rPr>
      </w:pPr>
      <w:r>
        <w:rPr>
          <w:rFonts w:hint="eastAsia"/>
          <w:highlight w:val="none"/>
          <w:u w:val="single"/>
          <w:lang w:eastAsia="zh-CN"/>
        </w:rPr>
        <w:t>（</w:t>
      </w:r>
      <w:r>
        <w:rPr>
          <w:rFonts w:hint="eastAsia"/>
          <w:highlight w:val="none"/>
          <w:u w:val="single"/>
          <w:lang w:val="en-US" w:eastAsia="zh-CN"/>
        </w:rPr>
        <w:t>1</w:t>
      </w:r>
      <w:r>
        <w:rPr>
          <w:highlight w:val="none"/>
          <w:u w:val="single"/>
        </w:rPr>
        <w:t>）评价标准采用</w:t>
      </w:r>
      <w:r>
        <w:rPr>
          <w:rFonts w:ascii="Times New Roman"/>
          <w:szCs w:val="22"/>
          <w:u w:val="single"/>
        </w:rPr>
        <w:t>《地表水环境质量标准》（GB3838-2002）中Ⅲ类标准</w:t>
      </w:r>
      <w:r>
        <w:rPr>
          <w:highlight w:val="none"/>
          <w:u w:val="single"/>
        </w:rPr>
        <w:t>进行评价。</w:t>
      </w:r>
    </w:p>
    <w:p>
      <w:pPr>
        <w:bidi w:val="0"/>
        <w:rPr>
          <w:highlight w:val="none"/>
          <w:u w:val="single"/>
        </w:rPr>
      </w:pPr>
      <w:r>
        <w:rPr>
          <w:rFonts w:hint="eastAsia"/>
          <w:highlight w:val="none"/>
          <w:u w:val="single"/>
          <w:lang w:eastAsia="zh-CN"/>
        </w:rPr>
        <w:t>（</w:t>
      </w:r>
      <w:r>
        <w:rPr>
          <w:rFonts w:hint="eastAsia"/>
          <w:highlight w:val="none"/>
          <w:u w:val="single"/>
          <w:lang w:val="en-US" w:eastAsia="zh-CN"/>
        </w:rPr>
        <w:t>2</w:t>
      </w:r>
      <w:r>
        <w:rPr>
          <w:highlight w:val="none"/>
          <w:u w:val="single"/>
        </w:rPr>
        <w:t>）评价结果统计及分析</w:t>
      </w:r>
    </w:p>
    <w:p>
      <w:pPr>
        <w:pStyle w:val="7"/>
        <w:bidi w:val="0"/>
        <w:rPr>
          <w:rFonts w:hint="eastAsia" w:eastAsia="宋体"/>
          <w:highlight w:val="none"/>
          <w:u w:val="single"/>
          <w:lang w:eastAsia="zh-CN"/>
        </w:rPr>
      </w:pPr>
      <w:r>
        <w:rPr>
          <w:highlight w:val="none"/>
          <w:u w:val="single"/>
        </w:rPr>
        <w:t>表</w:t>
      </w:r>
      <w:r>
        <w:rPr>
          <w:rFonts w:hint="eastAsia"/>
          <w:highlight w:val="none"/>
          <w:u w:val="single"/>
          <w:lang w:val="en-US" w:eastAsia="zh-CN"/>
        </w:rPr>
        <w:t>5.2-6</w:t>
      </w:r>
      <w:r>
        <w:rPr>
          <w:highlight w:val="none"/>
          <w:u w:val="single"/>
        </w:rPr>
        <w:t xml:space="preserve">  地表水评价结果</w:t>
      </w:r>
      <w:r>
        <w:rPr>
          <w:rFonts w:hint="eastAsia"/>
          <w:highlight w:val="none"/>
          <w:u w:val="single"/>
          <w:lang w:eastAsia="zh-CN"/>
        </w:rPr>
        <w:t>（一）</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86"/>
        <w:gridCol w:w="1185"/>
        <w:gridCol w:w="1123"/>
        <w:gridCol w:w="1123"/>
        <w:gridCol w:w="1135"/>
        <w:gridCol w:w="751"/>
        <w:gridCol w:w="751"/>
        <w:gridCol w:w="10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采样点位</w:t>
            </w:r>
          </w:p>
        </w:tc>
        <w:tc>
          <w:tcPr>
            <w:tcW w:w="7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检测项目</w:t>
            </w:r>
          </w:p>
        </w:tc>
        <w:tc>
          <w:tcPr>
            <w:tcW w:w="202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检测结果</w:t>
            </w:r>
          </w:p>
        </w:tc>
        <w:tc>
          <w:tcPr>
            <w:tcW w:w="45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计量单位</w:t>
            </w:r>
          </w:p>
        </w:tc>
        <w:tc>
          <w:tcPr>
            <w:tcW w:w="45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position w:val="0"/>
                <w:sz w:val="21"/>
                <w:szCs w:val="21"/>
                <w:highlight w:val="none"/>
                <w:u w:val="single"/>
              </w:rPr>
              <w:t>标准限值</w:t>
            </w:r>
          </w:p>
        </w:tc>
        <w:tc>
          <w:tcPr>
            <w:tcW w:w="64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ascii="宋体" w:hAnsi="宋体" w:eastAsia="宋体" w:cs="宋体"/>
                <w:spacing w:val="-2"/>
                <w:sz w:val="21"/>
                <w:szCs w:val="21"/>
                <w:highlight w:val="none"/>
                <w:u w:val="single"/>
              </w:rPr>
              <w:t>污染指数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12月7日</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12月8日</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12月9日</w:t>
            </w:r>
          </w:p>
        </w:tc>
        <w:tc>
          <w:tcPr>
            <w:tcW w:w="45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45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6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S1 项目北面农灌渠</w:t>
            </w: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pH值</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6.8</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6.8</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6.8</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无量纲</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ascii="Times New Roman"/>
                <w:sz w:val="21"/>
                <w:u w:val="single"/>
              </w:rPr>
              <w:t>6~9</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水温</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11.3</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12.2</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12.4</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sz w:val="21"/>
                <w:szCs w:val="21"/>
                <w:u w:val="single"/>
                <w:lang w:val="en-US" w:eastAsia="zh-CN"/>
              </w:rPr>
            </w:pPr>
            <w:r>
              <w:rPr>
                <w:rFonts w:hint="eastAsia"/>
                <w:sz w:val="21"/>
                <w:szCs w:val="21"/>
                <w:u w:val="single"/>
                <w:lang w:val="en-US" w:eastAsia="zh-CN"/>
              </w:rPr>
              <w:t>周平均最大温升≤1；</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u w:val="single"/>
                <w:lang w:val="en-US" w:eastAsia="zh-CN"/>
              </w:rPr>
            </w:pPr>
            <w:r>
              <w:rPr>
                <w:rFonts w:hint="eastAsia"/>
                <w:sz w:val="21"/>
                <w:szCs w:val="21"/>
                <w:u w:val="single"/>
                <w:lang w:val="en-US" w:eastAsia="zh-CN"/>
              </w:rPr>
              <w:t>周平均最大温降≤2</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化学需氧量</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5</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5</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5</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20</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0.25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悬浮物</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5</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6</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6</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eastAsia="zh-CN"/>
              </w:rPr>
            </w:pPr>
            <w:r>
              <w:rPr>
                <w:rFonts w:hint="eastAsia" w:cs="Times New Roman"/>
                <w:spacing w:val="0"/>
                <w:w w:val="100"/>
                <w:position w:val="0"/>
                <w:sz w:val="21"/>
                <w:szCs w:val="21"/>
                <w:highlight w:val="none"/>
                <w:u w:val="single"/>
                <w:lang w:val="en-US" w:eastAsia="zh-CN"/>
              </w:rPr>
              <w:t>/</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五日生化需氧量</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1.0</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1.1</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1.0</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4</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default" w:ascii="Times New Roman" w:hAnsi="Times New Roman" w:eastAsia="宋体" w:cs="Times New Roman"/>
                <w:spacing w:val="0"/>
                <w:w w:val="100"/>
                <w:position w:val="0"/>
                <w:sz w:val="21"/>
                <w:szCs w:val="21"/>
                <w:highlight w:val="none"/>
                <w:u w:val="single"/>
              </w:rPr>
              <w:t>0.</w:t>
            </w:r>
            <w:r>
              <w:rPr>
                <w:rFonts w:hint="eastAsia" w:cs="Times New Roman"/>
                <w:spacing w:val="0"/>
                <w:w w:val="100"/>
                <w:position w:val="0"/>
                <w:sz w:val="21"/>
                <w:szCs w:val="21"/>
                <w:highlight w:val="none"/>
                <w:u w:val="single"/>
                <w:lang w:val="en-US" w:eastAsia="zh-CN"/>
              </w:rPr>
              <w:t>25</w:t>
            </w:r>
            <w:r>
              <w:rPr>
                <w:rFonts w:hint="default" w:ascii="Times New Roman" w:hAnsi="Times New Roman" w:eastAsia="宋体" w:cs="Times New Roman"/>
                <w:spacing w:val="0"/>
                <w:w w:val="100"/>
                <w:position w:val="0"/>
                <w:sz w:val="21"/>
                <w:szCs w:val="21"/>
                <w:highlight w:val="none"/>
                <w:u w:val="single"/>
              </w:rPr>
              <w:t>~0.</w:t>
            </w:r>
            <w:r>
              <w:rPr>
                <w:rFonts w:hint="eastAsia" w:cs="Times New Roman"/>
                <w:spacing w:val="0"/>
                <w:w w:val="100"/>
                <w:position w:val="0"/>
                <w:sz w:val="21"/>
                <w:szCs w:val="21"/>
                <w:highlight w:val="none"/>
                <w:u w:val="single"/>
                <w:lang w:val="en-US" w:eastAsia="zh-CN"/>
              </w:rPr>
              <w:t>275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阴离子表面活性剂</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0.2</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氯化物</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1.3</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1.5</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1.3</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硫化物</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0.2</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全盐量</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153</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156</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158</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铅</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r>
              <w:rPr>
                <w:rFonts w:hint="eastAsia" w:cs="Times New Roman"/>
                <w:spacing w:val="0"/>
                <w:w w:val="100"/>
                <w:position w:val="0"/>
                <w:sz w:val="21"/>
                <w:szCs w:val="21"/>
                <w:highlight w:val="none"/>
                <w:u w:val="single"/>
                <w:lang w:val="en-US" w:eastAsia="zh-CN"/>
              </w:rPr>
              <w:t>.05</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镉</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0.0</w:t>
            </w:r>
            <w:r>
              <w:rPr>
                <w:rFonts w:hint="eastAsia" w:cs="Times New Roman"/>
                <w:spacing w:val="0"/>
                <w:w w:val="100"/>
                <w:position w:val="0"/>
                <w:sz w:val="21"/>
                <w:szCs w:val="21"/>
                <w:highlight w:val="none"/>
                <w:u w:val="single"/>
                <w:lang w:val="en-US" w:eastAsia="zh-CN"/>
              </w:rPr>
              <w:t>05</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铬（六价）</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r>
              <w:rPr>
                <w:rFonts w:hint="eastAsia" w:cs="Times New Roman"/>
                <w:spacing w:val="0"/>
                <w:w w:val="100"/>
                <w:position w:val="0"/>
                <w:sz w:val="21"/>
                <w:szCs w:val="21"/>
                <w:highlight w:val="none"/>
                <w:u w:val="single"/>
                <w:lang w:val="en-US" w:eastAsia="zh-CN"/>
              </w:rPr>
              <w:t>05</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粪大肠菌群</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270</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270</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240</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MPN/L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1</w:t>
            </w:r>
            <w:r>
              <w:rPr>
                <w:rFonts w:hint="eastAsia" w:ascii="Times New Roman" w:hAnsi="Times New Roman" w:eastAsia="宋体" w:cs="Times New Roman"/>
                <w:spacing w:val="0"/>
                <w:w w:val="100"/>
                <w:position w:val="0"/>
                <w:sz w:val="21"/>
                <w:szCs w:val="21"/>
                <w:highlight w:val="none"/>
                <w:u w:val="single"/>
                <w:lang w:val="en-US" w:eastAsia="zh-CN"/>
              </w:rPr>
              <w:t>0000</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0.024</w:t>
            </w:r>
            <w:r>
              <w:rPr>
                <w:rFonts w:hint="default" w:ascii="Times New Roman" w:hAnsi="Times New Roman" w:eastAsia="宋体" w:cs="Times New Roman"/>
                <w:spacing w:val="0"/>
                <w:w w:val="100"/>
                <w:position w:val="0"/>
                <w:sz w:val="21"/>
                <w:szCs w:val="21"/>
                <w:highlight w:val="none"/>
                <w:u w:val="single"/>
              </w:rPr>
              <w:t>~</w:t>
            </w:r>
            <w:r>
              <w:rPr>
                <w:rFonts w:hint="eastAsia" w:cs="Times New Roman"/>
                <w:spacing w:val="0"/>
                <w:w w:val="100"/>
                <w:position w:val="0"/>
                <w:sz w:val="21"/>
                <w:szCs w:val="21"/>
                <w:highlight w:val="none"/>
                <w:u w:val="single"/>
                <w:lang w:val="en-US" w:eastAsia="zh-CN"/>
              </w:rPr>
              <w:t>0.027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eastAsia="zh-CN"/>
              </w:rPr>
            </w:pPr>
            <w:r>
              <w:rPr>
                <w:rFonts w:hint="default" w:ascii="Times New Roman" w:hAnsi="Times New Roman" w:eastAsia="宋体" w:cs="Times New Roman"/>
                <w:spacing w:val="0"/>
                <w:w w:val="100"/>
                <w:position w:val="0"/>
                <w:sz w:val="21"/>
                <w:szCs w:val="21"/>
                <w:highlight w:val="none"/>
                <w:u w:val="single"/>
              </w:rPr>
              <w:t>蛔虫卵</w:t>
            </w:r>
            <w:r>
              <w:rPr>
                <w:rFonts w:hint="eastAsia" w:ascii="Times New Roman" w:hAnsi="Times New Roman" w:eastAsia="宋体" w:cs="Times New Roman"/>
                <w:spacing w:val="0"/>
                <w:w w:val="100"/>
                <w:position w:val="0"/>
                <w:sz w:val="21"/>
                <w:szCs w:val="21"/>
                <w:highlight w:val="none"/>
                <w:u w:val="single"/>
                <w:lang w:eastAsia="zh-CN"/>
              </w:rPr>
              <w:t>数</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10L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砷</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0.05</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汞</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ND</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mg/L</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0.001</w:t>
            </w:r>
          </w:p>
        </w:tc>
        <w:tc>
          <w:tcPr>
            <w:tcW w:w="6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0</w:t>
            </w:r>
          </w:p>
        </w:tc>
      </w:tr>
    </w:tbl>
    <w:p>
      <w:pPr>
        <w:bidi w:val="0"/>
        <w:rPr>
          <w:highlight w:val="none"/>
          <w:u w:val="single"/>
        </w:rPr>
      </w:pPr>
      <w:r>
        <w:rPr>
          <w:highlight w:val="none"/>
          <w:u w:val="single"/>
        </w:rPr>
        <w:t>由表</w:t>
      </w:r>
      <w:r>
        <w:rPr>
          <w:rFonts w:hint="eastAsia"/>
          <w:highlight w:val="none"/>
          <w:u w:val="single"/>
          <w:lang w:val="en-US" w:eastAsia="zh-CN"/>
        </w:rPr>
        <w:t>5.2-6</w:t>
      </w:r>
      <w:r>
        <w:rPr>
          <w:highlight w:val="none"/>
          <w:u w:val="single"/>
        </w:rPr>
        <w:t>可知：项目</w:t>
      </w:r>
      <w:r>
        <w:rPr>
          <w:rFonts w:hint="eastAsia"/>
          <w:highlight w:val="none"/>
          <w:u w:val="single"/>
          <w:lang w:eastAsia="zh-CN"/>
        </w:rPr>
        <w:t>北</w:t>
      </w:r>
      <w:r>
        <w:rPr>
          <w:highlight w:val="none"/>
          <w:u w:val="single"/>
        </w:rPr>
        <w:t>面农灌渠（S1）所有监测指标均满足</w:t>
      </w:r>
      <w:r>
        <w:rPr>
          <w:rFonts w:ascii="Times New Roman"/>
          <w:szCs w:val="22"/>
          <w:u w:val="single"/>
        </w:rPr>
        <w:t>《地表水环境质量标准》（GB3838-2002）中Ⅲ类标准</w:t>
      </w:r>
      <w:r>
        <w:rPr>
          <w:highlight w:val="none"/>
          <w:u w:val="single"/>
        </w:rPr>
        <w:t>，具有一定的环境容量，水质状况良好。</w:t>
      </w:r>
    </w:p>
    <w:p>
      <w:pPr>
        <w:bidi w:val="0"/>
        <w:rPr>
          <w:rFonts w:hint="default"/>
          <w:b/>
          <w:bCs/>
          <w:highlight w:val="none"/>
          <w:lang w:val="en-US" w:eastAsia="zh-CN"/>
        </w:rPr>
      </w:pPr>
      <w:r>
        <w:rPr>
          <w:rFonts w:hint="eastAsia"/>
          <w:b/>
          <w:bCs/>
          <w:highlight w:val="none"/>
          <w:lang w:val="en-US" w:eastAsia="zh-CN"/>
        </w:rPr>
        <w:t>二、2022年11月1日监测结果</w:t>
      </w:r>
    </w:p>
    <w:p>
      <w:pPr>
        <w:bidi w:val="0"/>
      </w:pPr>
      <w:r>
        <w:rPr>
          <w:rFonts w:hint="eastAsia"/>
          <w:lang w:val="en-US" w:eastAsia="zh-CN"/>
        </w:rPr>
        <w:t>1</w:t>
      </w:r>
      <w:r>
        <w:rPr>
          <w:rFonts w:hint="eastAsia"/>
          <w:lang w:eastAsia="zh-CN"/>
        </w:rPr>
        <w:t>、</w:t>
      </w:r>
      <w:r>
        <w:t>监测布点</w:t>
      </w:r>
    </w:p>
    <w:p>
      <w:pPr>
        <w:bidi w:val="0"/>
      </w:pPr>
      <w:r>
        <w:t>本次评价地</w:t>
      </w:r>
      <w:r>
        <w:rPr>
          <w:rFonts w:hint="eastAsia"/>
          <w:lang w:eastAsia="zh-CN"/>
        </w:rPr>
        <w:t>表</w:t>
      </w:r>
      <w:r>
        <w:t>水监测</w:t>
      </w:r>
      <w:r>
        <w:rPr>
          <w:rFonts w:hint="eastAsia"/>
          <w:lang w:eastAsia="zh-CN"/>
        </w:rPr>
        <w:t>补</w:t>
      </w:r>
      <w:r>
        <w:t>设</w:t>
      </w:r>
      <w:r>
        <w:rPr>
          <w:rFonts w:hint="eastAsia"/>
          <w:lang w:val="en-US" w:eastAsia="zh-CN"/>
        </w:rPr>
        <w:t>两个监测因子</w:t>
      </w:r>
      <w:r>
        <w:t>。</w:t>
      </w:r>
    </w:p>
    <w:p>
      <w:pPr>
        <w:bidi w:val="0"/>
      </w:pPr>
      <w:r>
        <w:t>2</w:t>
      </w:r>
      <w:r>
        <w:rPr>
          <w:rFonts w:hint="eastAsia"/>
          <w:lang w:eastAsia="zh-CN"/>
        </w:rPr>
        <w:t>、</w:t>
      </w:r>
      <w:r>
        <w:t>监测项目</w:t>
      </w:r>
    </w:p>
    <w:p>
      <w:pPr>
        <w:bidi w:val="0"/>
        <w:rPr>
          <w:rFonts w:hint="eastAsia"/>
          <w:lang w:eastAsia="zh-CN"/>
        </w:rPr>
      </w:pPr>
      <w:r>
        <w:rPr>
          <w:rFonts w:hint="eastAsia"/>
          <w:lang w:eastAsia="zh-CN"/>
        </w:rPr>
        <w:t>氨氮、总磷</w:t>
      </w:r>
    </w:p>
    <w:p>
      <w:pPr>
        <w:bidi w:val="0"/>
        <w:rPr>
          <w:rFonts w:hint="eastAsia"/>
        </w:rPr>
      </w:pPr>
      <w:r>
        <w:t>3</w:t>
      </w:r>
      <w:r>
        <w:rPr>
          <w:rFonts w:hint="eastAsia"/>
          <w:lang w:eastAsia="zh-CN"/>
        </w:rPr>
        <w:t>、</w:t>
      </w:r>
      <w:r>
        <w:t>监测时间与采样频次</w:t>
      </w:r>
    </w:p>
    <w:p>
      <w:pPr>
        <w:bidi w:val="0"/>
        <w:rPr>
          <w:rFonts w:hint="eastAsia"/>
        </w:rPr>
      </w:pPr>
      <w:r>
        <w:rPr>
          <w:rFonts w:hint="eastAsia"/>
        </w:rPr>
        <w:t>湖南谱实检测技术有限公司</w:t>
      </w:r>
      <w:r>
        <w:rPr>
          <w:rFonts w:hint="eastAsia"/>
          <w:lang w:eastAsia="zh-CN"/>
        </w:rPr>
        <w:t>于</w:t>
      </w:r>
      <w:r>
        <w:rPr>
          <w:rFonts w:hint="eastAsia"/>
        </w:rPr>
        <w:t>202</w:t>
      </w:r>
      <w:r>
        <w:rPr>
          <w:rFonts w:hint="eastAsia"/>
          <w:lang w:val="en-US" w:eastAsia="zh-CN"/>
        </w:rPr>
        <w:t>2</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pPr>
        <w:bidi w:val="0"/>
      </w:pPr>
      <w:r>
        <w:rPr>
          <w:rFonts w:hint="eastAsia"/>
          <w:lang w:val="en-US" w:eastAsia="zh-CN"/>
        </w:rPr>
        <w:t>4、</w:t>
      </w:r>
      <w:r>
        <w:t>监测结果与评价</w:t>
      </w:r>
    </w:p>
    <w:p>
      <w:pPr>
        <w:bidi w:val="0"/>
      </w:pPr>
      <w:r>
        <w:rPr>
          <w:rFonts w:hint="eastAsia"/>
          <w:lang w:eastAsia="zh-CN"/>
        </w:rPr>
        <w:t>（</w:t>
      </w:r>
      <w:r>
        <w:rPr>
          <w:rFonts w:hint="eastAsia"/>
          <w:lang w:val="en-US" w:eastAsia="zh-CN"/>
        </w:rPr>
        <w:t>1</w:t>
      </w:r>
      <w:r>
        <w:t>）评价标准采用《地表水环境质量标准》（GB3838-2002）中Ⅲ类标准进行评价。</w:t>
      </w:r>
    </w:p>
    <w:p>
      <w:pPr>
        <w:bidi w:val="0"/>
      </w:pPr>
      <w:r>
        <w:rPr>
          <w:rFonts w:hint="eastAsia"/>
          <w:lang w:eastAsia="zh-CN"/>
        </w:rPr>
        <w:t>（</w:t>
      </w:r>
      <w:r>
        <w:rPr>
          <w:rFonts w:hint="eastAsia"/>
          <w:lang w:val="en-US" w:eastAsia="zh-CN"/>
        </w:rPr>
        <w:t>2</w:t>
      </w:r>
      <w:r>
        <w:t>）评价结果统计及分析</w:t>
      </w:r>
    </w:p>
    <w:p>
      <w:pPr>
        <w:pStyle w:val="7"/>
        <w:bidi w:val="0"/>
        <w:rPr>
          <w:rFonts w:hint="eastAsia" w:eastAsia="宋体"/>
          <w:highlight w:val="none"/>
          <w:u w:val="none"/>
          <w:lang w:eastAsia="zh-CN"/>
        </w:rPr>
      </w:pPr>
      <w:r>
        <w:rPr>
          <w:highlight w:val="none"/>
          <w:u w:val="none"/>
        </w:rPr>
        <w:t>表</w:t>
      </w:r>
      <w:r>
        <w:rPr>
          <w:rFonts w:hint="eastAsia"/>
          <w:highlight w:val="none"/>
          <w:u w:val="none"/>
          <w:lang w:val="en-US" w:eastAsia="zh-CN"/>
        </w:rPr>
        <w:t>5.2-7</w:t>
      </w:r>
      <w:r>
        <w:rPr>
          <w:highlight w:val="none"/>
          <w:u w:val="none"/>
        </w:rPr>
        <w:t xml:space="preserve">  地表水评价结果</w:t>
      </w:r>
      <w:r>
        <w:rPr>
          <w:rFonts w:hint="eastAsia"/>
          <w:highlight w:val="none"/>
          <w:u w:val="none"/>
          <w:lang w:eastAsia="zh-CN"/>
        </w:rPr>
        <w:t>（二）</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29"/>
        <w:gridCol w:w="1624"/>
        <w:gridCol w:w="1544"/>
        <w:gridCol w:w="1032"/>
        <w:gridCol w:w="1032"/>
        <w:gridCol w:w="147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采样点位</w:t>
            </w:r>
          </w:p>
        </w:tc>
        <w:tc>
          <w:tcPr>
            <w:tcW w:w="9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检测项目</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检测结果</w:t>
            </w:r>
          </w:p>
        </w:tc>
        <w:tc>
          <w:tcPr>
            <w:tcW w:w="61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计量单位</w:t>
            </w:r>
          </w:p>
        </w:tc>
        <w:tc>
          <w:tcPr>
            <w:tcW w:w="61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position w:val="0"/>
                <w:sz w:val="21"/>
                <w:szCs w:val="21"/>
                <w:highlight w:val="none"/>
                <w:u w:val="none"/>
              </w:rPr>
              <w:t>标准限值</w:t>
            </w:r>
          </w:p>
        </w:tc>
        <w:tc>
          <w:tcPr>
            <w:tcW w:w="8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lang w:val="en-US" w:eastAsia="zh-CN"/>
              </w:rPr>
            </w:pPr>
            <w:r>
              <w:rPr>
                <w:rFonts w:ascii="宋体" w:hAnsi="宋体" w:eastAsia="宋体" w:cs="宋体"/>
                <w:spacing w:val="-2"/>
                <w:sz w:val="21"/>
                <w:szCs w:val="21"/>
                <w:highlight w:val="none"/>
                <w:u w:val="none"/>
              </w:rPr>
              <w:t>污染指数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9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1</w:t>
            </w:r>
            <w:r>
              <w:rPr>
                <w:rFonts w:hint="eastAsia" w:cs="Times New Roman"/>
                <w:spacing w:val="0"/>
                <w:w w:val="100"/>
                <w:position w:val="0"/>
                <w:sz w:val="21"/>
                <w:szCs w:val="21"/>
                <w:highlight w:val="none"/>
                <w:u w:val="none"/>
                <w:lang w:val="en-US" w:eastAsia="zh-CN"/>
              </w:rPr>
              <w:t>1</w:t>
            </w:r>
            <w:r>
              <w:rPr>
                <w:rFonts w:hint="default" w:ascii="Times New Roman" w:hAnsi="Times New Roman" w:eastAsia="宋体" w:cs="Times New Roman"/>
                <w:spacing w:val="0"/>
                <w:w w:val="100"/>
                <w:position w:val="0"/>
                <w:sz w:val="21"/>
                <w:szCs w:val="21"/>
                <w:highlight w:val="none"/>
                <w:u w:val="none"/>
              </w:rPr>
              <w:t>月</w:t>
            </w:r>
            <w:r>
              <w:rPr>
                <w:rFonts w:hint="eastAsia" w:cs="Times New Roman"/>
                <w:spacing w:val="0"/>
                <w:w w:val="100"/>
                <w:position w:val="0"/>
                <w:sz w:val="21"/>
                <w:szCs w:val="21"/>
                <w:highlight w:val="none"/>
                <w:u w:val="none"/>
                <w:lang w:val="en-US" w:eastAsia="zh-CN"/>
              </w:rPr>
              <w:t>1</w:t>
            </w:r>
            <w:r>
              <w:rPr>
                <w:rFonts w:hint="default" w:ascii="Times New Roman" w:hAnsi="Times New Roman" w:eastAsia="宋体" w:cs="Times New Roman"/>
                <w:spacing w:val="0"/>
                <w:w w:val="100"/>
                <w:position w:val="0"/>
                <w:sz w:val="21"/>
                <w:szCs w:val="21"/>
                <w:highlight w:val="none"/>
                <w:u w:val="none"/>
              </w:rPr>
              <w:t>日</w:t>
            </w:r>
          </w:p>
        </w:tc>
        <w:tc>
          <w:tcPr>
            <w:tcW w:w="61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61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8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r>
              <w:rPr>
                <w:rFonts w:hint="default" w:ascii="Times New Roman" w:hAnsi="Times New Roman" w:eastAsia="宋体" w:cs="Times New Roman"/>
                <w:spacing w:val="0"/>
                <w:w w:val="100"/>
                <w:position w:val="0"/>
                <w:sz w:val="21"/>
                <w:szCs w:val="21"/>
                <w:highlight w:val="none"/>
                <w:u w:val="none"/>
              </w:rPr>
              <w:t>S1 项目北面农灌渠</w:t>
            </w:r>
          </w:p>
        </w:tc>
        <w:tc>
          <w:tcPr>
            <w:tcW w:w="9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eastAsia="zh-CN"/>
              </w:rPr>
              <w:t>氨氮</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val="en-US" w:eastAsia="zh-CN"/>
              </w:rPr>
              <w:t>0.626</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default" w:ascii="Times New Roman" w:hAnsi="Times New Roman" w:eastAsia="宋体" w:cs="Times New Roman"/>
                <w:spacing w:val="0"/>
                <w:w w:val="100"/>
                <w:position w:val="0"/>
                <w:sz w:val="21"/>
                <w:szCs w:val="21"/>
                <w:highlight w:val="none"/>
                <w:u w:val="none"/>
              </w:rPr>
              <w:t>mg/L</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val="en-US" w:eastAsia="zh-CN"/>
              </w:rPr>
              <w:t>1.0</w:t>
            </w:r>
          </w:p>
        </w:tc>
        <w:tc>
          <w:tcPr>
            <w:tcW w:w="8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val="en-US" w:eastAsia="zh-CN"/>
              </w:rPr>
              <w:t>0.626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9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u w:val="none"/>
              </w:rPr>
            </w:pPr>
          </w:p>
        </w:tc>
        <w:tc>
          <w:tcPr>
            <w:tcW w:w="9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eastAsia="zh-CN"/>
              </w:rPr>
              <w:t>总磷</w:t>
            </w:r>
          </w:p>
        </w:tc>
        <w:tc>
          <w:tcPr>
            <w:tcW w:w="9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val="en-US" w:eastAsia="zh-CN"/>
              </w:rPr>
              <w:t>0.15</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default" w:ascii="Times New Roman" w:hAnsi="Times New Roman" w:eastAsia="宋体" w:cs="Times New Roman"/>
                <w:spacing w:val="0"/>
                <w:w w:val="100"/>
                <w:position w:val="0"/>
                <w:sz w:val="21"/>
                <w:szCs w:val="21"/>
                <w:highlight w:val="none"/>
                <w:u w:val="none"/>
              </w:rPr>
              <w:t>mg/L</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val="en-US" w:eastAsia="zh-CN"/>
              </w:rPr>
              <w:t>0.2</w:t>
            </w:r>
          </w:p>
        </w:tc>
        <w:tc>
          <w:tcPr>
            <w:tcW w:w="8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kern w:val="2"/>
                <w:position w:val="0"/>
                <w:sz w:val="21"/>
                <w:szCs w:val="21"/>
                <w:highlight w:val="none"/>
                <w:u w:val="none"/>
                <w:lang w:val="en-US" w:eastAsia="zh-CN" w:bidi="ar-SA"/>
              </w:rPr>
            </w:pPr>
            <w:r>
              <w:rPr>
                <w:rFonts w:hint="eastAsia" w:cs="Times New Roman"/>
                <w:spacing w:val="0"/>
                <w:w w:val="100"/>
                <w:position w:val="0"/>
                <w:sz w:val="21"/>
                <w:szCs w:val="21"/>
                <w:highlight w:val="none"/>
                <w:u w:val="none"/>
                <w:lang w:val="en-US" w:eastAsia="zh-CN"/>
              </w:rPr>
              <w:t>0.75</w:t>
            </w:r>
          </w:p>
        </w:tc>
      </w:tr>
    </w:tbl>
    <w:p>
      <w:pPr>
        <w:pStyle w:val="5"/>
        <w:bidi w:val="0"/>
        <w:rPr>
          <w:highlight w:val="none"/>
        </w:rPr>
      </w:pPr>
      <w:r>
        <w:rPr>
          <w:rFonts w:hint="eastAsia"/>
          <w:highlight w:val="none"/>
          <w:lang w:val="en-US" w:eastAsia="zh-CN"/>
        </w:rPr>
        <w:t xml:space="preserve">5.2.3  </w:t>
      </w:r>
      <w:r>
        <w:rPr>
          <w:highlight w:val="none"/>
        </w:rPr>
        <w:t>地下水质量现状调查分析</w:t>
      </w:r>
    </w:p>
    <w:p>
      <w:pPr>
        <w:bidi w:val="0"/>
        <w:rPr>
          <w:rFonts w:hint="default"/>
          <w:b/>
          <w:bCs/>
          <w:highlight w:val="none"/>
          <w:lang w:val="en-US" w:eastAsia="zh-CN"/>
        </w:rPr>
      </w:pPr>
      <w:r>
        <w:rPr>
          <w:rFonts w:hint="eastAsia"/>
          <w:b/>
          <w:bCs/>
          <w:highlight w:val="none"/>
          <w:lang w:val="en-US" w:eastAsia="zh-CN"/>
        </w:rPr>
        <w:t>一、2021年12月7日监测结果</w:t>
      </w:r>
    </w:p>
    <w:p>
      <w:pPr>
        <w:bidi w:val="0"/>
        <w:rPr>
          <w:highlight w:val="none"/>
        </w:rPr>
      </w:pPr>
      <w:r>
        <w:rPr>
          <w:rFonts w:hint="eastAsia"/>
          <w:highlight w:val="none"/>
          <w:lang w:val="en-US" w:eastAsia="zh-CN"/>
        </w:rPr>
        <w:t>1</w:t>
      </w:r>
      <w:r>
        <w:rPr>
          <w:rFonts w:hint="eastAsia"/>
          <w:highlight w:val="none"/>
          <w:lang w:eastAsia="zh-CN"/>
        </w:rPr>
        <w:t>、</w:t>
      </w:r>
      <w:r>
        <w:rPr>
          <w:highlight w:val="none"/>
        </w:rPr>
        <w:t>监测布点</w:t>
      </w:r>
    </w:p>
    <w:p>
      <w:pPr>
        <w:bidi w:val="0"/>
        <w:rPr>
          <w:highlight w:val="none"/>
        </w:rPr>
      </w:pPr>
      <w:r>
        <w:rPr>
          <w:highlight w:val="none"/>
        </w:rPr>
        <w:t>本次评价地下水监测设3个监测采样点。</w:t>
      </w:r>
    </w:p>
    <w:p>
      <w:pPr>
        <w:bidi w:val="0"/>
        <w:rPr>
          <w:highlight w:val="none"/>
        </w:rPr>
      </w:pPr>
      <w:r>
        <w:rPr>
          <w:highlight w:val="none"/>
        </w:rPr>
        <w:t>U1——</w:t>
      </w:r>
      <w:r>
        <w:rPr>
          <w:rFonts w:hint="eastAsia"/>
          <w:highlight w:val="none"/>
        </w:rPr>
        <w:t>项目场地内地下水井</w:t>
      </w:r>
      <w:r>
        <w:rPr>
          <w:highlight w:val="none"/>
        </w:rPr>
        <w:t>；</w:t>
      </w:r>
    </w:p>
    <w:p>
      <w:pPr>
        <w:bidi w:val="0"/>
        <w:rPr>
          <w:highlight w:val="none"/>
        </w:rPr>
      </w:pPr>
      <w:r>
        <w:rPr>
          <w:highlight w:val="none"/>
        </w:rPr>
        <w:t>U2——</w:t>
      </w:r>
      <w:r>
        <w:rPr>
          <w:rFonts w:hint="eastAsia"/>
          <w:highlight w:val="none"/>
        </w:rPr>
        <w:t>项目北面居民水井</w:t>
      </w:r>
      <w:r>
        <w:rPr>
          <w:highlight w:val="none"/>
        </w:rPr>
        <w:t>；</w:t>
      </w:r>
    </w:p>
    <w:p>
      <w:pPr>
        <w:bidi w:val="0"/>
        <w:rPr>
          <w:highlight w:val="none"/>
        </w:rPr>
      </w:pPr>
      <w:r>
        <w:rPr>
          <w:highlight w:val="none"/>
        </w:rPr>
        <w:t>U3——</w:t>
      </w:r>
      <w:r>
        <w:rPr>
          <w:rFonts w:hint="eastAsia"/>
          <w:highlight w:val="none"/>
        </w:rPr>
        <w:t>长岗庙村居民水井</w:t>
      </w:r>
      <w:r>
        <w:rPr>
          <w:highlight w:val="none"/>
        </w:rPr>
        <w:t>。</w:t>
      </w:r>
    </w:p>
    <w:p>
      <w:pPr>
        <w:bidi w:val="0"/>
        <w:rPr>
          <w:rFonts w:hint="eastAsia"/>
          <w:highlight w:val="none"/>
        </w:rPr>
      </w:pPr>
      <w:r>
        <w:rPr>
          <w:rFonts w:hint="eastAsia"/>
          <w:highlight w:val="none"/>
        </w:rPr>
        <w:t>U</w:t>
      </w:r>
      <w:r>
        <w:rPr>
          <w:rFonts w:hint="eastAsia"/>
          <w:highlight w:val="none"/>
          <w:lang w:val="en-US" w:eastAsia="zh-CN"/>
        </w:rPr>
        <w:t>4</w:t>
      </w:r>
      <w:r>
        <w:rPr>
          <w:highlight w:val="none"/>
        </w:rPr>
        <w:t>——</w:t>
      </w:r>
      <w:r>
        <w:rPr>
          <w:rFonts w:hint="eastAsia"/>
          <w:highlight w:val="none"/>
        </w:rPr>
        <w:t>项目</w:t>
      </w:r>
      <w:r>
        <w:rPr>
          <w:rFonts w:hint="eastAsia"/>
          <w:highlight w:val="none"/>
          <w:lang w:eastAsia="zh-CN"/>
        </w:rPr>
        <w:t>西北面</w:t>
      </w:r>
      <w:r>
        <w:rPr>
          <w:rFonts w:hint="eastAsia"/>
          <w:highlight w:val="none"/>
        </w:rPr>
        <w:t>村居民水井；</w:t>
      </w:r>
    </w:p>
    <w:p>
      <w:pPr>
        <w:bidi w:val="0"/>
        <w:rPr>
          <w:rFonts w:hint="eastAsia"/>
          <w:highlight w:val="none"/>
        </w:rPr>
      </w:pPr>
      <w:r>
        <w:rPr>
          <w:rFonts w:hint="eastAsia"/>
          <w:highlight w:val="none"/>
        </w:rPr>
        <w:t>U</w:t>
      </w:r>
      <w:r>
        <w:rPr>
          <w:rFonts w:hint="eastAsia"/>
          <w:highlight w:val="none"/>
          <w:lang w:val="en-US" w:eastAsia="zh-CN"/>
        </w:rPr>
        <w:t>5</w:t>
      </w:r>
      <w:r>
        <w:rPr>
          <w:highlight w:val="none"/>
        </w:rPr>
        <w:t>——</w:t>
      </w:r>
      <w:r>
        <w:rPr>
          <w:rFonts w:hint="eastAsia"/>
          <w:highlight w:val="none"/>
        </w:rPr>
        <w:t>项目</w:t>
      </w:r>
      <w:r>
        <w:rPr>
          <w:rFonts w:hint="eastAsia"/>
          <w:highlight w:val="none"/>
          <w:lang w:eastAsia="zh-CN"/>
        </w:rPr>
        <w:t>西面</w:t>
      </w:r>
      <w:r>
        <w:rPr>
          <w:rFonts w:hint="eastAsia"/>
          <w:highlight w:val="none"/>
        </w:rPr>
        <w:t>居民水井；</w:t>
      </w:r>
    </w:p>
    <w:p>
      <w:pPr>
        <w:bidi w:val="0"/>
        <w:rPr>
          <w:rFonts w:hint="eastAsia"/>
          <w:highlight w:val="none"/>
        </w:rPr>
      </w:pPr>
      <w:r>
        <w:rPr>
          <w:rFonts w:hint="eastAsia"/>
          <w:highlight w:val="none"/>
        </w:rPr>
        <w:t>U</w:t>
      </w:r>
      <w:r>
        <w:rPr>
          <w:rFonts w:hint="eastAsia"/>
          <w:highlight w:val="none"/>
          <w:lang w:val="en-US" w:eastAsia="zh-CN"/>
        </w:rPr>
        <w:t>6</w:t>
      </w:r>
      <w:r>
        <w:rPr>
          <w:highlight w:val="none"/>
        </w:rPr>
        <w:t>——</w:t>
      </w:r>
      <w:r>
        <w:rPr>
          <w:rFonts w:hint="eastAsia"/>
          <w:highlight w:val="none"/>
        </w:rPr>
        <w:t>项目场地内</w:t>
      </w:r>
      <w:r>
        <w:rPr>
          <w:rFonts w:hint="eastAsia"/>
          <w:highlight w:val="none"/>
          <w:lang w:eastAsia="zh-CN"/>
        </w:rPr>
        <w:t>西南面</w:t>
      </w:r>
      <w:r>
        <w:rPr>
          <w:rFonts w:hint="eastAsia"/>
          <w:highlight w:val="none"/>
        </w:rPr>
        <w:t>。</w:t>
      </w:r>
    </w:p>
    <w:p>
      <w:pPr>
        <w:bidi w:val="0"/>
        <w:rPr>
          <w:highlight w:val="none"/>
        </w:rPr>
      </w:pPr>
      <w:r>
        <w:rPr>
          <w:highlight w:val="none"/>
        </w:rPr>
        <w:t>具体位置详见附图。</w:t>
      </w:r>
    </w:p>
    <w:p>
      <w:pPr>
        <w:bidi w:val="0"/>
        <w:rPr>
          <w:highlight w:val="none"/>
        </w:rPr>
      </w:pPr>
      <w:r>
        <w:rPr>
          <w:rFonts w:hint="eastAsia"/>
          <w:highlight w:val="none"/>
          <w:lang w:val="en-US" w:eastAsia="zh-CN"/>
        </w:rPr>
        <w:t>2</w:t>
      </w:r>
      <w:r>
        <w:rPr>
          <w:rFonts w:hint="eastAsia"/>
          <w:highlight w:val="none"/>
          <w:lang w:eastAsia="zh-CN"/>
        </w:rPr>
        <w:t>、</w:t>
      </w:r>
      <w:r>
        <w:rPr>
          <w:highlight w:val="none"/>
        </w:rPr>
        <w:t>监测项目</w:t>
      </w:r>
    </w:p>
    <w:p>
      <w:pPr>
        <w:bidi w:val="0"/>
        <w:rPr>
          <w:rFonts w:hint="eastAsia" w:eastAsia="宋体"/>
          <w:highlight w:val="none"/>
          <w:lang w:eastAsia="zh-CN"/>
        </w:rPr>
      </w:pPr>
      <w:r>
        <w:rPr>
          <w:highlight w:val="none"/>
        </w:rPr>
        <w:t>K</w:t>
      </w:r>
      <w:r>
        <w:rPr>
          <w:highlight w:val="none"/>
          <w:vertAlign w:val="superscript"/>
        </w:rPr>
        <w:t>+</w:t>
      </w:r>
      <w:r>
        <w:rPr>
          <w:highlight w:val="none"/>
        </w:rPr>
        <w:t>、Na</w:t>
      </w:r>
      <w:r>
        <w:rPr>
          <w:highlight w:val="none"/>
          <w:vertAlign w:val="superscript"/>
        </w:rPr>
        <w:t>+</w:t>
      </w:r>
      <w:r>
        <w:rPr>
          <w:highlight w:val="none"/>
        </w:rPr>
        <w:t>、Ca</w:t>
      </w:r>
      <w:r>
        <w:rPr>
          <w:highlight w:val="none"/>
          <w:vertAlign w:val="superscript"/>
        </w:rPr>
        <w:t>2+</w:t>
      </w:r>
      <w:r>
        <w:rPr>
          <w:highlight w:val="none"/>
        </w:rPr>
        <w:t>、Mg</w:t>
      </w:r>
      <w:r>
        <w:rPr>
          <w:highlight w:val="none"/>
          <w:vertAlign w:val="superscript"/>
        </w:rPr>
        <w:t>2+</w:t>
      </w:r>
      <w:r>
        <w:rPr>
          <w:rFonts w:hint="eastAsia"/>
          <w:highlight w:val="none"/>
          <w:vertAlign w:val="baseline"/>
          <w:lang w:eastAsia="zh-CN"/>
        </w:rPr>
        <w:t>、</w:t>
      </w:r>
      <w:r>
        <w:rPr>
          <w:highlight w:val="none"/>
        </w:rPr>
        <w:t>Cl</w:t>
      </w:r>
      <w:r>
        <w:rPr>
          <w:highlight w:val="none"/>
          <w:vertAlign w:val="superscript"/>
        </w:rPr>
        <w:t>-</w:t>
      </w:r>
      <w:r>
        <w:rPr>
          <w:highlight w:val="none"/>
        </w:rPr>
        <w:t>、SO</w:t>
      </w:r>
      <w:r>
        <w:rPr>
          <w:highlight w:val="none"/>
          <w:vertAlign w:val="subscript"/>
        </w:rPr>
        <w:t>4</w:t>
      </w:r>
      <w:r>
        <w:rPr>
          <w:highlight w:val="none"/>
          <w:vertAlign w:val="superscript"/>
        </w:rPr>
        <w:t>2-</w:t>
      </w:r>
      <w:r>
        <w:rPr>
          <w:highlight w:val="none"/>
        </w:rPr>
        <w:t>、pH值、总硬度（以CaCO</w:t>
      </w:r>
      <w:r>
        <w:rPr>
          <w:highlight w:val="none"/>
          <w:vertAlign w:val="subscript"/>
        </w:rPr>
        <w:t>3</w:t>
      </w:r>
      <w:r>
        <w:rPr>
          <w:highlight w:val="none"/>
        </w:rPr>
        <w:t>计）、溶解性总固体、氨氮（以N计）、耗氧量（以O</w:t>
      </w:r>
      <w:r>
        <w:rPr>
          <w:highlight w:val="none"/>
          <w:vertAlign w:val="subscript"/>
        </w:rPr>
        <w:t>2</w:t>
      </w:r>
      <w:r>
        <w:rPr>
          <w:highlight w:val="none"/>
        </w:rPr>
        <w:t>计）、硝酸盐（以N计）、亚硝酸盐（以N计）、砷、汞、铅、镉、铬（六价）、铁、锰、总大肠菌群</w:t>
      </w:r>
      <w:r>
        <w:rPr>
          <w:rFonts w:hint="eastAsia"/>
          <w:highlight w:val="none"/>
          <w:lang w:eastAsia="zh-CN"/>
        </w:rPr>
        <w:t>、水位。</w:t>
      </w:r>
    </w:p>
    <w:p>
      <w:pPr>
        <w:bidi w:val="0"/>
        <w:rPr>
          <w:highlight w:val="none"/>
        </w:rPr>
      </w:pPr>
      <w:r>
        <w:rPr>
          <w:rFonts w:hint="eastAsia"/>
          <w:highlight w:val="none"/>
          <w:lang w:val="en-US" w:eastAsia="zh-CN"/>
        </w:rPr>
        <w:t>3</w:t>
      </w:r>
      <w:r>
        <w:rPr>
          <w:rFonts w:hint="eastAsia"/>
          <w:highlight w:val="none"/>
          <w:lang w:eastAsia="zh-CN"/>
        </w:rPr>
        <w:t>、</w:t>
      </w:r>
      <w:r>
        <w:rPr>
          <w:highlight w:val="none"/>
        </w:rPr>
        <w:t>监测时间与采样频次</w:t>
      </w:r>
    </w:p>
    <w:p>
      <w:pPr>
        <w:bidi w:val="0"/>
        <w:rPr>
          <w:highlight w:val="none"/>
        </w:rPr>
      </w:pPr>
      <w:r>
        <w:rPr>
          <w:rFonts w:hint="eastAsia"/>
          <w:highlight w:val="none"/>
        </w:rPr>
        <w:t>湖南谱实检测技术有限公司</w:t>
      </w:r>
      <w:r>
        <w:rPr>
          <w:rFonts w:hint="eastAsia"/>
          <w:highlight w:val="none"/>
          <w:lang w:eastAsia="zh-CN"/>
        </w:rPr>
        <w:t>于</w:t>
      </w:r>
      <w:r>
        <w:rPr>
          <w:highlight w:val="none"/>
        </w:rPr>
        <w:t>2021年</w:t>
      </w:r>
      <w:r>
        <w:rPr>
          <w:rFonts w:hint="eastAsia"/>
          <w:highlight w:val="none"/>
          <w:lang w:val="en-US" w:eastAsia="zh-CN"/>
        </w:rPr>
        <w:t>12</w:t>
      </w:r>
      <w:r>
        <w:rPr>
          <w:highlight w:val="none"/>
        </w:rPr>
        <w:t>月</w:t>
      </w:r>
      <w:r>
        <w:rPr>
          <w:rFonts w:hint="eastAsia"/>
          <w:highlight w:val="none"/>
          <w:lang w:val="en-US" w:eastAsia="zh-CN"/>
        </w:rPr>
        <w:t>7</w:t>
      </w:r>
      <w:r>
        <w:rPr>
          <w:highlight w:val="none"/>
        </w:rPr>
        <w:t>日，监测</w:t>
      </w:r>
      <w:r>
        <w:rPr>
          <w:rFonts w:hint="eastAsia"/>
          <w:highlight w:val="none"/>
          <w:lang w:val="en-US" w:eastAsia="zh-CN"/>
        </w:rPr>
        <w:t>1</w:t>
      </w:r>
      <w:r>
        <w:rPr>
          <w:highlight w:val="none"/>
        </w:rPr>
        <w:t>天，每天采样1次。</w:t>
      </w:r>
    </w:p>
    <w:p>
      <w:pPr>
        <w:bidi w:val="0"/>
        <w:rPr>
          <w:highlight w:val="none"/>
        </w:rPr>
      </w:pPr>
      <w:r>
        <w:rPr>
          <w:highlight w:val="none"/>
        </w:rPr>
        <w:t>4</w:t>
      </w:r>
      <w:r>
        <w:rPr>
          <w:rFonts w:hint="eastAsia"/>
          <w:highlight w:val="none"/>
          <w:lang w:eastAsia="zh-CN"/>
        </w:rPr>
        <w:t>、</w:t>
      </w:r>
      <w:r>
        <w:rPr>
          <w:highlight w:val="none"/>
        </w:rPr>
        <w:t>评价方法</w:t>
      </w:r>
    </w:p>
    <w:p>
      <w:pPr>
        <w:bidi w:val="0"/>
        <w:rPr>
          <w:highlight w:val="none"/>
        </w:rPr>
      </w:pPr>
      <w:r>
        <w:rPr>
          <w:highlight w:val="none"/>
        </w:rPr>
        <w:t>采样分析方法依照国家环保局《环境水质监测质量保证手册》 与《水和废水监 测分析方法》 的规定进行。采用单因子标准指数法对地下水现状进行评价，公式如 下：</w:t>
      </w:r>
    </w:p>
    <w:p>
      <w:pPr>
        <w:bidi w:val="0"/>
        <w:rPr>
          <w:rFonts w:hint="eastAsia" w:eastAsia="宋体"/>
          <w:highlight w:val="none"/>
          <w:lang w:eastAsia="zh-CN"/>
        </w:rPr>
      </w:pPr>
      <w:r>
        <w:rPr>
          <w:rFonts w:hint="eastAsia" w:eastAsia="宋体"/>
          <w:position w:val="-24"/>
          <w:highlight w:val="none"/>
          <w:lang w:eastAsia="zh-CN"/>
        </w:rPr>
        <w:object>
          <v:shape id="_x0000_i1032" o:spt="75" type="#_x0000_t75" style="height:31pt;width:67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8">
            <o:LockedField>false</o:LockedField>
          </o:OLEObject>
        </w:object>
      </w:r>
    </w:p>
    <w:p>
      <w:pPr>
        <w:bidi w:val="0"/>
        <w:rPr>
          <w:highlight w:val="none"/>
        </w:rPr>
      </w:pPr>
      <w:r>
        <w:rPr>
          <w:highlight w:val="none"/>
        </w:rPr>
        <w:t>式中：S</w:t>
      </w:r>
      <w:r>
        <w:rPr>
          <w:highlight w:val="none"/>
          <w:vertAlign w:val="subscript"/>
        </w:rPr>
        <w:t>i</w:t>
      </w:r>
      <w:r>
        <w:rPr>
          <w:rFonts w:hint="eastAsia"/>
          <w:highlight w:val="none"/>
          <w:vertAlign w:val="subscript"/>
          <w:lang w:val="en-US" w:eastAsia="zh-CN"/>
        </w:rPr>
        <w:t>,j</w:t>
      </w:r>
      <w:r>
        <w:rPr>
          <w:highlight w:val="none"/>
        </w:rPr>
        <w:t>——i污染物单因子标准指数；</w:t>
      </w:r>
    </w:p>
    <w:p>
      <w:pPr>
        <w:bidi w:val="0"/>
        <w:rPr>
          <w:highlight w:val="none"/>
        </w:rPr>
      </w:pPr>
      <w:r>
        <w:rPr>
          <w:highlight w:val="none"/>
        </w:rPr>
        <w:t>C</w:t>
      </w:r>
      <w:r>
        <w:rPr>
          <w:highlight w:val="none"/>
          <w:vertAlign w:val="subscript"/>
        </w:rPr>
        <w:t>i</w:t>
      </w:r>
      <w:r>
        <w:rPr>
          <w:rFonts w:hint="eastAsia"/>
          <w:highlight w:val="none"/>
          <w:vertAlign w:val="subscript"/>
          <w:lang w:val="en-US" w:eastAsia="zh-CN"/>
        </w:rPr>
        <w:t>,j</w:t>
      </w:r>
      <w:r>
        <w:rPr>
          <w:highlight w:val="none"/>
        </w:rPr>
        <w:t>——i污染物在j 处的实测浓度均值，mg/l；</w:t>
      </w:r>
    </w:p>
    <w:p>
      <w:pPr>
        <w:bidi w:val="0"/>
        <w:rPr>
          <w:highlight w:val="none"/>
        </w:rPr>
      </w:pPr>
      <w:r>
        <w:rPr>
          <w:highlight w:val="none"/>
        </w:rPr>
        <w:t>C</w:t>
      </w:r>
      <w:r>
        <w:rPr>
          <w:highlight w:val="none"/>
          <w:vertAlign w:val="subscript"/>
        </w:rPr>
        <w:t>si</w:t>
      </w:r>
      <w:r>
        <w:rPr>
          <w:highlight w:val="none"/>
        </w:rPr>
        <w:t>——i污染物评价标准值，mg/l；</w:t>
      </w:r>
    </w:p>
    <w:p>
      <w:pPr>
        <w:bidi w:val="0"/>
        <w:rPr>
          <w:highlight w:val="none"/>
        </w:rPr>
      </w:pPr>
      <w:r>
        <w:rPr>
          <w:highlight w:val="none"/>
        </w:rPr>
        <w:t>pH值单项指数计算公式为：</w:t>
      </w:r>
    </w:p>
    <w:p>
      <w:pPr>
        <w:bidi w:val="0"/>
        <w:rPr>
          <w:rFonts w:ascii="Times New Roman" w:hAnsi="Times New Roman" w:eastAsia="Times New Roman" w:cs="Times New Roman"/>
          <w:sz w:val="24"/>
          <w:szCs w:val="24"/>
          <w:highlight w:val="none"/>
        </w:rPr>
      </w:pPr>
      <w:r>
        <w:rPr>
          <w:rFonts w:hint="eastAsia" w:eastAsia="宋体"/>
          <w:position w:val="-30"/>
          <w:highlight w:val="none"/>
          <w:lang w:eastAsia="zh-CN"/>
        </w:rPr>
        <w:object>
          <v:shape id="_x0000_i1033" o:spt="75" type="#_x0000_t75" style="height:36pt;width:94pt;" o:ole="t" filled="f" o:preferrelative="t" stroked="f" coordsize="21600,21600">
            <v:path/>
            <v:fill on="f" focussize="0,0"/>
            <v:stroke on="f"/>
            <v:imagedata r:id="rId25" o:title=""/>
            <o:lock v:ext="edit" aspectratio="t"/>
            <w10:wrap type="none"/>
            <w10:anchorlock/>
          </v:shape>
          <o:OLEObject Type="Embed" ProgID="Equation.KSEE3" ShapeID="_x0000_i1033" DrawAspect="Content" ObjectID="_1468075733" r:id="rId29">
            <o:LockedField>false</o:LockedField>
          </o:OLEObject>
        </w:object>
      </w:r>
      <w:r>
        <w:rPr>
          <w:rFonts w:ascii="Times New Roman" w:hAnsi="Times New Roman" w:eastAsia="Times New Roman" w:cs="Times New Roman"/>
          <w:position w:val="-4"/>
          <w:sz w:val="14"/>
          <w:szCs w:val="14"/>
          <w:highlight w:val="none"/>
        </w:rPr>
        <w:t xml:space="preserve">               </w:t>
      </w:r>
      <w:r>
        <w:rPr>
          <w:rFonts w:ascii="Times New Roman" w:hAnsi="Times New Roman" w:eastAsia="Times New Roman" w:cs="Times New Roman"/>
          <w:i/>
          <w:iCs/>
          <w:spacing w:val="3"/>
          <w:w w:val="105"/>
          <w:position w:val="3"/>
          <w:sz w:val="24"/>
          <w:szCs w:val="24"/>
          <w:highlight w:val="none"/>
        </w:rPr>
        <w:t>pH</w:t>
      </w:r>
      <w:r>
        <w:rPr>
          <w:rFonts w:hint="eastAsia" w:ascii="Times New Roman" w:hAnsi="Times New Roman" w:eastAsia="宋体" w:cs="Times New Roman"/>
          <w:i/>
          <w:iCs/>
          <w:spacing w:val="3"/>
          <w:w w:val="105"/>
          <w:position w:val="3"/>
          <w:sz w:val="24"/>
          <w:szCs w:val="24"/>
          <w:highlight w:val="none"/>
          <w:vertAlign w:val="subscript"/>
          <w:lang w:val="en-US" w:eastAsia="zh-CN"/>
        </w:rPr>
        <w:t>j</w:t>
      </w:r>
      <w:r>
        <w:rPr>
          <w:rFonts w:hint="default" w:ascii="Arial" w:hAnsi="Arial" w:eastAsia="Times New Roman" w:cs="Arial"/>
          <w:i/>
          <w:iCs/>
          <w:spacing w:val="3"/>
          <w:w w:val="105"/>
          <w:position w:val="3"/>
          <w:sz w:val="24"/>
          <w:szCs w:val="24"/>
          <w:highlight w:val="none"/>
        </w:rPr>
        <w:t>≤</w:t>
      </w:r>
      <w:r>
        <w:rPr>
          <w:rFonts w:ascii="Times New Roman" w:hAnsi="Times New Roman" w:eastAsia="Times New Roman" w:cs="Times New Roman"/>
          <w:spacing w:val="3"/>
          <w:w w:val="105"/>
          <w:position w:val="3"/>
          <w:sz w:val="24"/>
          <w:szCs w:val="24"/>
          <w:highlight w:val="none"/>
        </w:rPr>
        <w:t>7.0</w:t>
      </w:r>
    </w:p>
    <w:p>
      <w:pPr>
        <w:bidi w:val="0"/>
        <w:rPr>
          <w:rFonts w:ascii="Times New Roman" w:hAnsi="Times New Roman" w:eastAsia="Times New Roman" w:cs="Times New Roman"/>
          <w:sz w:val="24"/>
          <w:szCs w:val="24"/>
          <w:highlight w:val="none"/>
        </w:rPr>
      </w:pPr>
      <w:r>
        <w:rPr>
          <w:rFonts w:hint="eastAsia" w:eastAsia="宋体"/>
          <w:position w:val="-30"/>
          <w:highlight w:val="none"/>
          <w:lang w:eastAsia="zh-CN"/>
        </w:rPr>
        <w:object>
          <v:shape id="_x0000_i1034" o:spt="75" type="#_x0000_t75" style="height:36pt;width:94pt;" o:ole="t" filled="f" o:preferrelative="t" stroked="f" coordsize="21600,21600">
            <v:path/>
            <v:fill on="f" focussize="0,0"/>
            <v:stroke on="f"/>
            <v:imagedata r:id="rId27" o:title=""/>
            <o:lock v:ext="edit" aspectratio="t"/>
            <w10:wrap type="none"/>
            <w10:anchorlock/>
          </v:shape>
          <o:OLEObject Type="Embed" ProgID="Equation.KSEE3" ShapeID="_x0000_i1034" DrawAspect="Content" ObjectID="_1468075734" r:id="rId30">
            <o:LockedField>false</o:LockedField>
          </o:OLEObject>
        </w:object>
      </w:r>
      <w:r>
        <w:rPr>
          <w:highlight w:val="none"/>
        </w:rPr>
        <w:t xml:space="preserve">       </w:t>
      </w:r>
      <w:r>
        <w:rPr>
          <w:rFonts w:ascii="Times New Roman" w:hAnsi="Times New Roman" w:eastAsia="Times New Roman" w:cs="Times New Roman"/>
          <w:i/>
          <w:iCs/>
          <w:spacing w:val="3"/>
          <w:w w:val="105"/>
          <w:position w:val="3"/>
          <w:sz w:val="24"/>
          <w:szCs w:val="24"/>
          <w:highlight w:val="none"/>
        </w:rPr>
        <w:t>pH</w:t>
      </w:r>
      <w:r>
        <w:rPr>
          <w:rFonts w:hint="eastAsia" w:ascii="Times New Roman" w:hAnsi="Times New Roman" w:eastAsia="宋体" w:cs="Times New Roman"/>
          <w:i/>
          <w:iCs/>
          <w:spacing w:val="3"/>
          <w:w w:val="105"/>
          <w:position w:val="3"/>
          <w:sz w:val="24"/>
          <w:szCs w:val="24"/>
          <w:highlight w:val="none"/>
          <w:vertAlign w:val="subscript"/>
          <w:lang w:val="en-US" w:eastAsia="zh-CN"/>
        </w:rPr>
        <w:t>j</w:t>
      </w:r>
      <w:r>
        <w:rPr>
          <w:rFonts w:hint="default" w:ascii="Arial" w:hAnsi="Arial" w:eastAsia="Times New Roman" w:cs="Arial"/>
          <w:i/>
          <w:iCs/>
          <w:spacing w:val="3"/>
          <w:w w:val="105"/>
          <w:position w:val="3"/>
          <w:sz w:val="24"/>
          <w:szCs w:val="24"/>
          <w:highlight w:val="none"/>
        </w:rPr>
        <w:t>≤</w:t>
      </w:r>
      <w:r>
        <w:rPr>
          <w:rFonts w:hint="eastAsia" w:ascii="微软雅黑" w:hAnsi="微软雅黑" w:eastAsia="微软雅黑" w:cs="微软雅黑"/>
          <w:i/>
          <w:iCs/>
          <w:spacing w:val="3"/>
          <w:w w:val="105"/>
          <w:position w:val="3"/>
          <w:sz w:val="24"/>
          <w:szCs w:val="24"/>
          <w:highlight w:val="none"/>
        </w:rPr>
        <w:t>&gt;</w:t>
      </w:r>
      <w:r>
        <w:rPr>
          <w:rFonts w:ascii="Times New Roman" w:hAnsi="Times New Roman" w:eastAsia="Times New Roman" w:cs="Times New Roman"/>
          <w:spacing w:val="3"/>
          <w:w w:val="105"/>
          <w:position w:val="3"/>
          <w:sz w:val="24"/>
          <w:szCs w:val="24"/>
          <w:highlight w:val="none"/>
        </w:rPr>
        <w:t>7.0</w:t>
      </w:r>
    </w:p>
    <w:p>
      <w:pPr>
        <w:bidi w:val="0"/>
        <w:rPr>
          <w:highlight w:val="none"/>
        </w:rPr>
      </w:pPr>
      <w:r>
        <w:rPr>
          <w:highlight w:val="none"/>
        </w:rPr>
        <w:t>S</w:t>
      </w:r>
      <w:r>
        <w:rPr>
          <w:highlight w:val="none"/>
          <w:vertAlign w:val="subscript"/>
        </w:rPr>
        <w:t>pH,j</w:t>
      </w:r>
      <w:r>
        <w:rPr>
          <w:highlight w:val="none"/>
        </w:rPr>
        <w:t>——pH标准指数；</w:t>
      </w:r>
    </w:p>
    <w:p>
      <w:pPr>
        <w:bidi w:val="0"/>
        <w:rPr>
          <w:highlight w:val="none"/>
        </w:rPr>
      </w:pPr>
      <w:r>
        <w:rPr>
          <w:highlight w:val="none"/>
        </w:rPr>
        <w:t>pH</w:t>
      </w:r>
      <w:r>
        <w:rPr>
          <w:highlight w:val="none"/>
          <w:vertAlign w:val="subscript"/>
        </w:rPr>
        <w:t>j</w:t>
      </w:r>
      <w:r>
        <w:rPr>
          <w:highlight w:val="none"/>
        </w:rPr>
        <w:t>——j点实测pH值；</w:t>
      </w:r>
    </w:p>
    <w:p>
      <w:pPr>
        <w:bidi w:val="0"/>
        <w:rPr>
          <w:highlight w:val="none"/>
        </w:rPr>
      </w:pPr>
      <w:r>
        <w:rPr>
          <w:highlight w:val="none"/>
        </w:rPr>
        <w:t>pH</w:t>
      </w:r>
      <w:r>
        <w:rPr>
          <w:highlight w:val="none"/>
          <w:vertAlign w:val="subscript"/>
        </w:rPr>
        <w:t>sd</w:t>
      </w:r>
      <w:r>
        <w:rPr>
          <w:highlight w:val="none"/>
        </w:rPr>
        <w:t>——标准中pH值的下限值；</w:t>
      </w:r>
    </w:p>
    <w:p>
      <w:pPr>
        <w:bidi w:val="0"/>
        <w:rPr>
          <w:highlight w:val="none"/>
        </w:rPr>
      </w:pPr>
      <w:r>
        <w:rPr>
          <w:highlight w:val="none"/>
        </w:rPr>
        <w:t>pH</w:t>
      </w:r>
      <w:r>
        <w:rPr>
          <w:highlight w:val="none"/>
          <w:vertAlign w:val="subscript"/>
        </w:rPr>
        <w:t>su</w:t>
      </w:r>
      <w:r>
        <w:rPr>
          <w:highlight w:val="none"/>
        </w:rPr>
        <w:t>——标准中pH值的上限值。</w:t>
      </w:r>
    </w:p>
    <w:p>
      <w:pPr>
        <w:bidi w:val="0"/>
        <w:rPr>
          <w:highlight w:val="none"/>
        </w:rPr>
      </w:pPr>
      <w:r>
        <w:rPr>
          <w:rFonts w:hint="eastAsia"/>
          <w:highlight w:val="none"/>
          <w:lang w:val="en-US" w:eastAsia="zh-CN"/>
        </w:rPr>
        <w:t>5、</w:t>
      </w:r>
      <w:r>
        <w:rPr>
          <w:highlight w:val="none"/>
        </w:rPr>
        <w:t>监测结果与评价</w:t>
      </w:r>
    </w:p>
    <w:p>
      <w:pPr>
        <w:bidi w:val="0"/>
        <w:rPr>
          <w:highlight w:val="none"/>
        </w:rPr>
      </w:pPr>
      <w:r>
        <w:rPr>
          <w:rFonts w:hint="eastAsia"/>
          <w:highlight w:val="none"/>
          <w:lang w:eastAsia="zh-CN"/>
        </w:rPr>
        <w:t>（</w:t>
      </w:r>
      <w:r>
        <w:rPr>
          <w:rFonts w:hint="eastAsia"/>
          <w:highlight w:val="none"/>
          <w:lang w:val="en-US" w:eastAsia="zh-CN"/>
        </w:rPr>
        <w:t>1</w:t>
      </w:r>
      <w:r>
        <w:rPr>
          <w:highlight w:val="none"/>
        </w:rPr>
        <w:t>）评价标准</w:t>
      </w:r>
    </w:p>
    <w:p>
      <w:pPr>
        <w:bidi w:val="0"/>
        <w:rPr>
          <w:highlight w:val="none"/>
        </w:rPr>
      </w:pPr>
      <w:r>
        <w:rPr>
          <w:highlight w:val="none"/>
        </w:rPr>
        <w:t>采用《地下水质量标准》（GB/T14848-2017）中Ⅲ类水质标准进行评价。</w:t>
      </w:r>
    </w:p>
    <w:p>
      <w:pPr>
        <w:bidi w:val="0"/>
        <w:rPr>
          <w:highlight w:val="none"/>
        </w:rPr>
      </w:pPr>
      <w:r>
        <w:rPr>
          <w:highlight w:val="none"/>
        </w:rPr>
        <w:t>（</w:t>
      </w:r>
      <w:r>
        <w:rPr>
          <w:rFonts w:hint="eastAsia"/>
          <w:highlight w:val="none"/>
          <w:lang w:val="en-US" w:eastAsia="zh-CN"/>
        </w:rPr>
        <w:t>2</w:t>
      </w:r>
      <w:r>
        <w:rPr>
          <w:highlight w:val="none"/>
        </w:rPr>
        <w:t>）评价结果统计及分析</w:t>
      </w:r>
    </w:p>
    <w:p>
      <w:pPr>
        <w:pStyle w:val="7"/>
        <w:bidi w:val="0"/>
        <w:rPr>
          <w:rFonts w:hint="eastAsia" w:eastAsia="宋体"/>
          <w:highlight w:val="none"/>
          <w:lang w:eastAsia="zh-CN"/>
        </w:rPr>
      </w:pPr>
      <w:r>
        <w:rPr>
          <w:highlight w:val="none"/>
        </w:rPr>
        <w:t>表</w:t>
      </w:r>
      <w:r>
        <w:rPr>
          <w:rFonts w:hint="eastAsia"/>
          <w:highlight w:val="none"/>
          <w:lang w:val="en-US" w:eastAsia="zh-CN"/>
        </w:rPr>
        <w:t>5.2-8</w:t>
      </w:r>
      <w:r>
        <w:rPr>
          <w:highlight w:val="none"/>
        </w:rPr>
        <w:t xml:space="preserve">  地</w:t>
      </w:r>
      <w:r>
        <w:rPr>
          <w:rFonts w:hint="eastAsia"/>
          <w:highlight w:val="none"/>
          <w:lang w:eastAsia="zh-CN"/>
        </w:rPr>
        <w:t>下</w:t>
      </w:r>
      <w:r>
        <w:rPr>
          <w:highlight w:val="none"/>
        </w:rPr>
        <w:t>水评价结果</w:t>
      </w:r>
      <w:r>
        <w:rPr>
          <w:rFonts w:hint="eastAsia"/>
          <w:highlight w:val="none"/>
          <w:lang w:eastAsia="zh-CN"/>
        </w:rPr>
        <w:t>（一）</w:t>
      </w:r>
    </w:p>
    <w:tbl>
      <w:tblPr>
        <w:tblStyle w:val="34"/>
        <w:tblW w:w="528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20"/>
        <w:gridCol w:w="664"/>
        <w:gridCol w:w="1736"/>
        <w:gridCol w:w="1656"/>
        <w:gridCol w:w="1834"/>
        <w:gridCol w:w="762"/>
        <w:gridCol w:w="681"/>
        <w:gridCol w:w="11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采样日期</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检测项目</w:t>
            </w:r>
          </w:p>
        </w:tc>
        <w:tc>
          <w:tcPr>
            <w:tcW w:w="2964"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检测结果</w:t>
            </w:r>
          </w:p>
        </w:tc>
        <w:tc>
          <w:tcPr>
            <w:tcW w:w="4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计量单位</w:t>
            </w:r>
          </w:p>
        </w:tc>
        <w:tc>
          <w:tcPr>
            <w:tcW w:w="3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position w:val="0"/>
                <w:sz w:val="21"/>
                <w:szCs w:val="21"/>
                <w:highlight w:val="none"/>
              </w:rPr>
              <w:t>标准限值</w:t>
            </w:r>
          </w:p>
        </w:tc>
        <w:tc>
          <w:tcPr>
            <w:tcW w:w="65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ascii="宋体" w:hAnsi="宋体" w:eastAsia="宋体" w:cs="宋体"/>
                <w:spacing w:val="-2"/>
                <w:sz w:val="21"/>
                <w:szCs w:val="21"/>
                <w:highlight w:val="none"/>
              </w:rPr>
              <w:t>污染指数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U1项目场地内地下140米深水井（E112.75035729°</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N29.57464580°）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U2项目北面150米深居民水井（E112.75035325°</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N29.57513562°）</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cs="Times New Roman"/>
                <w:spacing w:val="0"/>
                <w:w w:val="100"/>
                <w:position w:val="0"/>
                <w:sz w:val="21"/>
                <w:szCs w:val="21"/>
                <w:highlight w:val="none"/>
                <w:lang w:eastAsia="zh-CN"/>
              </w:rPr>
            </w:pPr>
            <w:r>
              <w:rPr>
                <w:rFonts w:hint="default" w:ascii="Times New Roman" w:hAnsi="Times New Roman" w:eastAsia="宋体" w:cs="Times New Roman"/>
                <w:spacing w:val="0"/>
                <w:w w:val="100"/>
                <w:position w:val="0"/>
                <w:sz w:val="21"/>
                <w:szCs w:val="21"/>
                <w:highlight w:val="none"/>
              </w:rPr>
              <w:t>U3长岗庙村</w:t>
            </w:r>
            <w:r>
              <w:rPr>
                <w:rFonts w:hint="eastAsia" w:cs="Times New Roman"/>
                <w:spacing w:val="0"/>
                <w:w w:val="100"/>
                <w:position w:val="0"/>
                <w:sz w:val="21"/>
                <w:szCs w:val="21"/>
                <w:highlight w:val="none"/>
                <w:lang w:val="en-US" w:eastAsia="zh-CN"/>
              </w:rPr>
              <w:t>160米深</w:t>
            </w:r>
            <w:r>
              <w:rPr>
                <w:rFonts w:hint="default" w:ascii="Times New Roman" w:hAnsi="Times New Roman" w:eastAsia="宋体" w:cs="Times New Roman"/>
                <w:spacing w:val="0"/>
                <w:w w:val="100"/>
                <w:position w:val="0"/>
                <w:sz w:val="21"/>
                <w:szCs w:val="21"/>
                <w:highlight w:val="none"/>
              </w:rPr>
              <w:t>居民水井</w:t>
            </w:r>
            <w:r>
              <w:rPr>
                <w:rFonts w:hint="eastAsia" w:cs="Times New Roman"/>
                <w:spacing w:val="0"/>
                <w:w w:val="100"/>
                <w:position w:val="0"/>
                <w:sz w:val="21"/>
                <w:szCs w:val="21"/>
                <w:highlight w:val="none"/>
                <w:lang w:eastAsia="zh-CN"/>
              </w:rPr>
              <w:t>（E112.74877331°</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eastAsia="zh-CN"/>
              </w:rPr>
            </w:pPr>
            <w:r>
              <w:rPr>
                <w:rFonts w:hint="eastAsia" w:cs="Times New Roman"/>
                <w:spacing w:val="0"/>
                <w:w w:val="100"/>
                <w:position w:val="0"/>
                <w:sz w:val="21"/>
                <w:szCs w:val="21"/>
                <w:highlight w:val="none"/>
                <w:lang w:eastAsia="zh-CN"/>
              </w:rPr>
              <w:t>N</w:t>
            </w:r>
            <w:r>
              <w:rPr>
                <w:rFonts w:hint="eastAsia" w:cs="Times New Roman"/>
                <w:spacing w:val="0"/>
                <w:w w:val="100"/>
                <w:position w:val="0"/>
                <w:sz w:val="21"/>
                <w:szCs w:val="21"/>
                <w:highlight w:val="none"/>
                <w:lang w:val="en-US" w:eastAsia="zh-CN"/>
              </w:rPr>
              <w:t>29.5782</w:t>
            </w:r>
            <w:r>
              <w:rPr>
                <w:rFonts w:hint="eastAsia" w:cs="Times New Roman"/>
                <w:spacing w:val="0"/>
                <w:w w:val="100"/>
                <w:position w:val="0"/>
                <w:sz w:val="21"/>
                <w:szCs w:val="21"/>
                <w:highlight w:val="none"/>
                <w:lang w:eastAsia="zh-CN"/>
              </w:rPr>
              <w:t>8427°）</w:t>
            </w:r>
          </w:p>
        </w:tc>
        <w:tc>
          <w:tcPr>
            <w:tcW w:w="4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65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12月 7日</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Na</w:t>
            </w:r>
            <w:r>
              <w:rPr>
                <w:rFonts w:hint="default" w:ascii="Times New Roman" w:hAnsi="Times New Roman" w:eastAsia="宋体" w:cs="Times New Roman"/>
                <w:spacing w:val="0"/>
                <w:w w:val="100"/>
                <w:position w:val="0"/>
                <w:sz w:val="21"/>
                <w:szCs w:val="21"/>
                <w:highlight w:val="none"/>
                <w:vertAlign w:val="superscript"/>
              </w:rPr>
              <w:t>+</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30.7</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94.8</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49.1</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K</w:t>
            </w:r>
            <w:r>
              <w:rPr>
                <w:rFonts w:hint="default" w:ascii="Times New Roman" w:hAnsi="Times New Roman" w:eastAsia="宋体" w:cs="Times New Roman"/>
                <w:spacing w:val="0"/>
                <w:w w:val="100"/>
                <w:position w:val="0"/>
                <w:sz w:val="21"/>
                <w:szCs w:val="21"/>
                <w:highlight w:val="none"/>
                <w:vertAlign w:val="superscript"/>
              </w:rPr>
              <w:t>+</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7.28</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8.60</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4.94</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Ca</w:t>
            </w:r>
            <w:r>
              <w:rPr>
                <w:rFonts w:hint="default" w:ascii="Times New Roman" w:hAnsi="Times New Roman" w:eastAsia="宋体" w:cs="Times New Roman"/>
                <w:spacing w:val="0"/>
                <w:w w:val="100"/>
                <w:position w:val="0"/>
                <w:sz w:val="21"/>
                <w:szCs w:val="21"/>
                <w:highlight w:val="none"/>
                <w:vertAlign w:val="superscript"/>
              </w:rPr>
              <w:t>2+</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30.2</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84.6</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23.8</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w:t>
            </w:r>
            <w:r>
              <w:rPr>
                <w:rFonts w:hint="default" w:ascii="Times New Roman" w:hAnsi="Times New Roman" w:eastAsia="宋体" w:cs="Times New Roman"/>
                <w:spacing w:val="0"/>
                <w:w w:val="100"/>
                <w:position w:val="0"/>
                <w:sz w:val="21"/>
                <w:szCs w:val="21"/>
                <w:highlight w:val="none"/>
                <w:vertAlign w:val="superscript"/>
              </w:rPr>
              <w:t>2+</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5.70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27.9</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3.63</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Cl</w:t>
            </w:r>
            <w:r>
              <w:rPr>
                <w:rFonts w:hint="default" w:ascii="Times New Roman" w:hAnsi="Times New Roman" w:eastAsia="宋体" w:cs="Times New Roman"/>
                <w:spacing w:val="0"/>
                <w:w w:val="100"/>
                <w:position w:val="0"/>
                <w:sz w:val="21"/>
                <w:szCs w:val="21"/>
                <w:highlight w:val="none"/>
                <w:vertAlign w:val="superscript"/>
              </w:rPr>
              <w:t>-</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1.5</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1.7</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1.3</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250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.005</w:t>
            </w: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SO</w:t>
            </w:r>
            <w:r>
              <w:rPr>
                <w:rFonts w:hint="default" w:ascii="Times New Roman" w:hAnsi="Times New Roman" w:eastAsia="宋体" w:cs="Times New Roman"/>
                <w:spacing w:val="0"/>
                <w:w w:val="100"/>
                <w:position w:val="0"/>
                <w:sz w:val="21"/>
                <w:szCs w:val="21"/>
                <w:highlight w:val="none"/>
                <w:vertAlign w:val="subscript"/>
              </w:rPr>
              <w:t>4</w:t>
            </w:r>
            <w:r>
              <w:rPr>
                <w:rFonts w:hint="default" w:ascii="Times New Roman" w:hAnsi="Times New Roman" w:eastAsia="宋体" w:cs="Times New Roman"/>
                <w:spacing w:val="0"/>
                <w:w w:val="100"/>
                <w:position w:val="0"/>
                <w:sz w:val="21"/>
                <w:szCs w:val="21"/>
                <w:highlight w:val="none"/>
                <w:vertAlign w:val="superscript"/>
              </w:rPr>
              <w:t>2-</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17</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16</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17</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250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.064</w:t>
            </w: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068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pH值</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6.9</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6.9</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6.8</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无量纲</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ascii="Times New Roman" w:hAnsi="Times New Roman" w:eastAsia="Times New Roman" w:cs="Times New Roman"/>
                <w:spacing w:val="-1"/>
                <w:sz w:val="21"/>
                <w:szCs w:val="21"/>
                <w:highlight w:val="none"/>
              </w:rPr>
              <w:t>6.5~8.5</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.2</w:t>
            </w: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总大肠菌群</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MPN/</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100mL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3.0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耗氧量（以O</w:t>
            </w:r>
            <w:r>
              <w:rPr>
                <w:rFonts w:hint="default" w:ascii="Times New Roman" w:hAnsi="Times New Roman" w:eastAsia="宋体" w:cs="Times New Roman"/>
                <w:spacing w:val="0"/>
                <w:w w:val="100"/>
                <w:position w:val="0"/>
                <w:sz w:val="21"/>
                <w:szCs w:val="21"/>
                <w:highlight w:val="none"/>
                <w:vertAlign w:val="subscript"/>
              </w:rPr>
              <w:t>2</w:t>
            </w:r>
            <w:r>
              <w:rPr>
                <w:rFonts w:hint="default" w:ascii="Times New Roman" w:hAnsi="Times New Roman" w:eastAsia="宋体" w:cs="Times New Roman"/>
                <w:spacing w:val="0"/>
                <w:w w:val="100"/>
                <w:position w:val="0"/>
                <w:sz w:val="21"/>
                <w:szCs w:val="21"/>
                <w:highlight w:val="none"/>
              </w:rPr>
              <w:t>计）</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0.83</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0.83</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0.84</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3</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1"/>
                <w:sz w:val="21"/>
                <w:szCs w:val="21"/>
                <w:highlight w:val="none"/>
                <w:lang w:val="en-US" w:eastAsia="zh-CN"/>
              </w:rPr>
              <w:t>0.277</w:t>
            </w: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总硬度（以CaCO</w:t>
            </w:r>
            <w:r>
              <w:rPr>
                <w:rFonts w:hint="default" w:ascii="Times New Roman" w:hAnsi="Times New Roman" w:eastAsia="宋体" w:cs="Times New Roman"/>
                <w:spacing w:val="0"/>
                <w:w w:val="100"/>
                <w:position w:val="0"/>
                <w:sz w:val="21"/>
                <w:szCs w:val="21"/>
                <w:highlight w:val="none"/>
                <w:vertAlign w:val="subscript"/>
              </w:rPr>
              <w:t>3</w:t>
            </w:r>
            <w:r>
              <w:rPr>
                <w:rFonts w:hint="default" w:ascii="Times New Roman" w:hAnsi="Times New Roman" w:eastAsia="宋体" w:cs="Times New Roman"/>
                <w:spacing w:val="0"/>
                <w:w w:val="100"/>
                <w:position w:val="0"/>
                <w:sz w:val="21"/>
                <w:szCs w:val="21"/>
                <w:highlight w:val="none"/>
              </w:rPr>
              <w:t>计）</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58</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51</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102</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450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.113</w:t>
            </w: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227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溶解性总固体</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120</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113</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214</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1000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.113</w:t>
            </w: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214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氨氮（以N计）</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0.5</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亚硝酸盐（以N计）</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1.0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硝酸盐（以N计）</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0.02</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0.02</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0.02</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20</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铬（六价）</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0.05</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砷</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0.01</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汞</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0.001</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铅</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0.01</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镉</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0.005</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铁</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0.3</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锰</w:t>
            </w:r>
          </w:p>
        </w:tc>
        <w:tc>
          <w:tcPr>
            <w:tcW w:w="9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1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ND</w:t>
            </w:r>
          </w:p>
        </w:tc>
        <w:tc>
          <w:tcPr>
            <w:tcW w:w="4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mg/L</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0.1</w:t>
            </w:r>
          </w:p>
        </w:tc>
        <w:tc>
          <w:tcPr>
            <w:tcW w:w="6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val="en-US" w:eastAsia="zh-CN"/>
              </w:rPr>
            </w:pPr>
            <w:r>
              <w:rPr>
                <w:rFonts w:hint="eastAsia" w:ascii="Times New Roman" w:hAnsi="Times New Roman" w:eastAsia="宋体" w:cs="Times New Roman"/>
                <w:spacing w:val="0"/>
                <w:w w:val="100"/>
                <w:position w:val="0"/>
                <w:sz w:val="21"/>
                <w:szCs w:val="21"/>
                <w:highlight w:val="none"/>
                <w:lang w:val="en-US" w:eastAsia="zh-CN"/>
              </w:rPr>
              <w:t>0</w:t>
            </w:r>
          </w:p>
        </w:tc>
      </w:tr>
    </w:tbl>
    <w:p>
      <w:pPr>
        <w:spacing w:before="51" w:line="186" w:lineRule="auto"/>
        <w:ind w:firstLine="190"/>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6"/>
          <w:sz w:val="21"/>
          <w:szCs w:val="21"/>
          <w:highlight w:val="none"/>
        </w:rPr>
        <w:t>注：1.样品检测结果小于最低检出浓度时，样品结果表示为“ND”。</w:t>
      </w:r>
    </w:p>
    <w:p>
      <w:pPr>
        <w:bidi w:val="0"/>
        <w:rPr>
          <w:highlight w:val="none"/>
        </w:rPr>
      </w:pPr>
      <w:r>
        <w:rPr>
          <w:highlight w:val="none"/>
        </w:rPr>
        <w:t>由上表可知，项目所在地地下水各监测因子标准指数均小于1，达到《地下水质量标准》（GB/T14848-2017）中的Ⅲ类标准。</w:t>
      </w:r>
    </w:p>
    <w:p>
      <w:pPr>
        <w:bidi w:val="0"/>
        <w:rPr>
          <w:rFonts w:hint="default"/>
          <w:b/>
          <w:bCs/>
          <w:highlight w:val="none"/>
          <w:lang w:val="en-US" w:eastAsia="zh-CN"/>
        </w:rPr>
      </w:pPr>
      <w:r>
        <w:rPr>
          <w:rFonts w:hint="eastAsia"/>
          <w:b/>
          <w:bCs/>
          <w:highlight w:val="none"/>
          <w:lang w:val="en-US" w:eastAsia="zh-CN"/>
        </w:rPr>
        <w:t>二、2022年10月20监测结果</w:t>
      </w:r>
    </w:p>
    <w:p>
      <w:pPr>
        <w:bidi w:val="0"/>
        <w:rPr>
          <w:highlight w:val="none"/>
        </w:rPr>
      </w:pPr>
      <w:r>
        <w:rPr>
          <w:rFonts w:hint="eastAsia"/>
          <w:highlight w:val="none"/>
          <w:lang w:val="en-US" w:eastAsia="zh-CN"/>
        </w:rPr>
        <w:t>1</w:t>
      </w:r>
      <w:r>
        <w:rPr>
          <w:rFonts w:hint="eastAsia"/>
          <w:highlight w:val="none"/>
          <w:lang w:eastAsia="zh-CN"/>
        </w:rPr>
        <w:t>、</w:t>
      </w:r>
      <w:r>
        <w:rPr>
          <w:highlight w:val="none"/>
        </w:rPr>
        <w:t>监测布点</w:t>
      </w:r>
    </w:p>
    <w:p>
      <w:pPr>
        <w:bidi w:val="0"/>
        <w:rPr>
          <w:highlight w:val="none"/>
        </w:rPr>
      </w:pPr>
      <w:r>
        <w:rPr>
          <w:highlight w:val="none"/>
        </w:rPr>
        <w:t>本次评价地下水监测</w:t>
      </w:r>
      <w:r>
        <w:rPr>
          <w:rFonts w:hint="eastAsia"/>
          <w:highlight w:val="none"/>
          <w:lang w:eastAsia="zh-CN"/>
        </w:rPr>
        <w:t>补</w:t>
      </w:r>
      <w:r>
        <w:rPr>
          <w:highlight w:val="none"/>
        </w:rPr>
        <w:t>设3个监测采样点。</w:t>
      </w:r>
    </w:p>
    <w:p>
      <w:pPr>
        <w:bidi w:val="0"/>
        <w:rPr>
          <w:rFonts w:hint="eastAsia"/>
          <w:highlight w:val="none"/>
        </w:rPr>
      </w:pPr>
      <w:r>
        <w:rPr>
          <w:rFonts w:hint="eastAsia"/>
          <w:highlight w:val="none"/>
        </w:rPr>
        <w:t>U</w:t>
      </w:r>
      <w:r>
        <w:rPr>
          <w:rFonts w:hint="eastAsia"/>
          <w:highlight w:val="none"/>
          <w:lang w:val="en-US" w:eastAsia="zh-CN"/>
        </w:rPr>
        <w:t>4</w:t>
      </w:r>
      <w:r>
        <w:rPr>
          <w:highlight w:val="none"/>
        </w:rPr>
        <w:t>——</w:t>
      </w:r>
      <w:r>
        <w:rPr>
          <w:rFonts w:hint="eastAsia"/>
          <w:highlight w:val="none"/>
        </w:rPr>
        <w:t>项目</w:t>
      </w:r>
      <w:r>
        <w:rPr>
          <w:rFonts w:hint="eastAsia"/>
          <w:highlight w:val="none"/>
          <w:lang w:eastAsia="zh-CN"/>
        </w:rPr>
        <w:t>西北面</w:t>
      </w:r>
      <w:r>
        <w:rPr>
          <w:rFonts w:hint="eastAsia"/>
          <w:highlight w:val="none"/>
        </w:rPr>
        <w:t>村居民水井；</w:t>
      </w:r>
    </w:p>
    <w:p>
      <w:pPr>
        <w:bidi w:val="0"/>
        <w:rPr>
          <w:rFonts w:hint="eastAsia"/>
          <w:highlight w:val="none"/>
        </w:rPr>
      </w:pPr>
      <w:r>
        <w:rPr>
          <w:rFonts w:hint="eastAsia"/>
          <w:highlight w:val="none"/>
        </w:rPr>
        <w:t>U</w:t>
      </w:r>
      <w:r>
        <w:rPr>
          <w:rFonts w:hint="eastAsia"/>
          <w:highlight w:val="none"/>
          <w:lang w:val="en-US" w:eastAsia="zh-CN"/>
        </w:rPr>
        <w:t>5</w:t>
      </w:r>
      <w:r>
        <w:rPr>
          <w:highlight w:val="none"/>
        </w:rPr>
        <w:t>——</w:t>
      </w:r>
      <w:r>
        <w:rPr>
          <w:rFonts w:hint="eastAsia"/>
          <w:highlight w:val="none"/>
        </w:rPr>
        <w:t>项目</w:t>
      </w:r>
      <w:r>
        <w:rPr>
          <w:rFonts w:hint="eastAsia"/>
          <w:highlight w:val="none"/>
          <w:lang w:eastAsia="zh-CN"/>
        </w:rPr>
        <w:t>西面</w:t>
      </w:r>
      <w:r>
        <w:rPr>
          <w:rFonts w:hint="eastAsia"/>
          <w:highlight w:val="none"/>
        </w:rPr>
        <w:t>居民水井；</w:t>
      </w:r>
    </w:p>
    <w:p>
      <w:pPr>
        <w:bidi w:val="0"/>
        <w:rPr>
          <w:rFonts w:hint="eastAsia"/>
          <w:highlight w:val="none"/>
        </w:rPr>
      </w:pPr>
      <w:r>
        <w:rPr>
          <w:rFonts w:hint="eastAsia"/>
          <w:highlight w:val="none"/>
        </w:rPr>
        <w:t>U</w:t>
      </w:r>
      <w:r>
        <w:rPr>
          <w:rFonts w:hint="eastAsia"/>
          <w:highlight w:val="none"/>
          <w:lang w:val="en-US" w:eastAsia="zh-CN"/>
        </w:rPr>
        <w:t>6</w:t>
      </w:r>
      <w:r>
        <w:rPr>
          <w:highlight w:val="none"/>
        </w:rPr>
        <w:t>——</w:t>
      </w:r>
      <w:r>
        <w:rPr>
          <w:rFonts w:hint="eastAsia"/>
          <w:highlight w:val="none"/>
        </w:rPr>
        <w:t>项目场地内</w:t>
      </w:r>
      <w:r>
        <w:rPr>
          <w:rFonts w:hint="eastAsia"/>
          <w:highlight w:val="none"/>
          <w:lang w:eastAsia="zh-CN"/>
        </w:rPr>
        <w:t>西南面</w:t>
      </w:r>
      <w:r>
        <w:rPr>
          <w:rFonts w:hint="eastAsia"/>
          <w:highlight w:val="none"/>
        </w:rPr>
        <w:t>。</w:t>
      </w:r>
    </w:p>
    <w:p>
      <w:pPr>
        <w:bidi w:val="0"/>
        <w:rPr>
          <w:highlight w:val="none"/>
        </w:rPr>
      </w:pPr>
      <w:r>
        <w:rPr>
          <w:highlight w:val="none"/>
        </w:rPr>
        <w:t>具体位置详见附图。</w:t>
      </w:r>
    </w:p>
    <w:p>
      <w:pPr>
        <w:bidi w:val="0"/>
        <w:rPr>
          <w:highlight w:val="none"/>
        </w:rPr>
      </w:pPr>
      <w:r>
        <w:rPr>
          <w:rFonts w:hint="eastAsia"/>
          <w:highlight w:val="none"/>
          <w:lang w:val="en-US" w:eastAsia="zh-CN"/>
        </w:rPr>
        <w:t>2</w:t>
      </w:r>
      <w:r>
        <w:rPr>
          <w:rFonts w:hint="eastAsia"/>
          <w:highlight w:val="none"/>
          <w:lang w:eastAsia="zh-CN"/>
        </w:rPr>
        <w:t>、</w:t>
      </w:r>
      <w:r>
        <w:rPr>
          <w:highlight w:val="none"/>
        </w:rPr>
        <w:t>监测项目</w:t>
      </w:r>
    </w:p>
    <w:p>
      <w:pPr>
        <w:bidi w:val="0"/>
        <w:rPr>
          <w:rFonts w:hint="eastAsia" w:eastAsia="宋体"/>
          <w:highlight w:val="none"/>
          <w:lang w:eastAsia="zh-CN"/>
        </w:rPr>
      </w:pPr>
      <w:r>
        <w:rPr>
          <w:highlight w:val="none"/>
        </w:rPr>
        <w:t>K</w:t>
      </w:r>
      <w:r>
        <w:rPr>
          <w:highlight w:val="none"/>
          <w:vertAlign w:val="superscript"/>
        </w:rPr>
        <w:t>+</w:t>
      </w:r>
      <w:r>
        <w:rPr>
          <w:highlight w:val="none"/>
        </w:rPr>
        <w:t>、Na</w:t>
      </w:r>
      <w:r>
        <w:rPr>
          <w:highlight w:val="none"/>
          <w:vertAlign w:val="superscript"/>
        </w:rPr>
        <w:t>+</w:t>
      </w:r>
      <w:r>
        <w:rPr>
          <w:highlight w:val="none"/>
        </w:rPr>
        <w:t>、Ca</w:t>
      </w:r>
      <w:r>
        <w:rPr>
          <w:highlight w:val="none"/>
          <w:vertAlign w:val="superscript"/>
        </w:rPr>
        <w:t>2+</w:t>
      </w:r>
      <w:r>
        <w:rPr>
          <w:highlight w:val="none"/>
        </w:rPr>
        <w:t>、Mg</w:t>
      </w:r>
      <w:r>
        <w:rPr>
          <w:highlight w:val="none"/>
          <w:vertAlign w:val="superscript"/>
        </w:rPr>
        <w:t>2+</w:t>
      </w:r>
      <w:r>
        <w:rPr>
          <w:rFonts w:hint="eastAsia"/>
          <w:highlight w:val="none"/>
          <w:vertAlign w:val="baseline"/>
          <w:lang w:eastAsia="zh-CN"/>
        </w:rPr>
        <w:t>、</w:t>
      </w:r>
      <w:r>
        <w:rPr>
          <w:highlight w:val="none"/>
        </w:rPr>
        <w:t>Cl</w:t>
      </w:r>
      <w:r>
        <w:rPr>
          <w:highlight w:val="none"/>
          <w:vertAlign w:val="superscript"/>
        </w:rPr>
        <w:t>-</w:t>
      </w:r>
      <w:r>
        <w:rPr>
          <w:highlight w:val="none"/>
        </w:rPr>
        <w:t>、SO</w:t>
      </w:r>
      <w:r>
        <w:rPr>
          <w:highlight w:val="none"/>
          <w:vertAlign w:val="subscript"/>
        </w:rPr>
        <w:t>4</w:t>
      </w:r>
      <w:r>
        <w:rPr>
          <w:highlight w:val="none"/>
          <w:vertAlign w:val="superscript"/>
        </w:rPr>
        <w:t>2-</w:t>
      </w:r>
      <w:r>
        <w:rPr>
          <w:highlight w:val="none"/>
        </w:rPr>
        <w:t>、pH值、总硬度（以CaCO</w:t>
      </w:r>
      <w:r>
        <w:rPr>
          <w:highlight w:val="none"/>
          <w:vertAlign w:val="subscript"/>
        </w:rPr>
        <w:t>3</w:t>
      </w:r>
      <w:r>
        <w:rPr>
          <w:highlight w:val="none"/>
        </w:rPr>
        <w:t>计）、溶解性总固体、氨氮（以N计）、耗氧量（以O</w:t>
      </w:r>
      <w:r>
        <w:rPr>
          <w:highlight w:val="none"/>
          <w:vertAlign w:val="subscript"/>
        </w:rPr>
        <w:t>2</w:t>
      </w:r>
      <w:r>
        <w:rPr>
          <w:highlight w:val="none"/>
        </w:rPr>
        <w:t>计）、硝酸盐（以N计）、亚硝酸盐（以N计）、砷、汞、铅、镉、铬（六价）、铁、锰、总大肠菌群</w:t>
      </w:r>
      <w:r>
        <w:rPr>
          <w:rFonts w:hint="eastAsia"/>
          <w:highlight w:val="none"/>
          <w:lang w:eastAsia="zh-CN"/>
        </w:rPr>
        <w:t>、水位。</w:t>
      </w:r>
    </w:p>
    <w:p>
      <w:pPr>
        <w:bidi w:val="0"/>
        <w:rPr>
          <w:highlight w:val="none"/>
        </w:rPr>
      </w:pPr>
      <w:r>
        <w:rPr>
          <w:rFonts w:hint="eastAsia"/>
          <w:highlight w:val="none"/>
          <w:lang w:val="en-US" w:eastAsia="zh-CN"/>
        </w:rPr>
        <w:t>3</w:t>
      </w:r>
      <w:r>
        <w:rPr>
          <w:rFonts w:hint="eastAsia"/>
          <w:highlight w:val="none"/>
          <w:lang w:eastAsia="zh-CN"/>
        </w:rPr>
        <w:t>、</w:t>
      </w:r>
      <w:r>
        <w:rPr>
          <w:highlight w:val="none"/>
        </w:rPr>
        <w:t>监测时间与采样频次</w:t>
      </w:r>
    </w:p>
    <w:p>
      <w:pPr>
        <w:bidi w:val="0"/>
        <w:rPr>
          <w:highlight w:val="none"/>
        </w:rPr>
      </w:pPr>
      <w:r>
        <w:rPr>
          <w:rFonts w:hint="eastAsia"/>
          <w:highlight w:val="none"/>
        </w:rPr>
        <w:t>湖南谱实检测技术有限公司</w:t>
      </w:r>
      <w:r>
        <w:rPr>
          <w:rFonts w:hint="eastAsia"/>
          <w:highlight w:val="none"/>
          <w:lang w:eastAsia="zh-CN"/>
        </w:rPr>
        <w:t>于</w:t>
      </w:r>
      <w:r>
        <w:rPr>
          <w:highlight w:val="none"/>
        </w:rPr>
        <w:t>202</w:t>
      </w:r>
      <w:r>
        <w:rPr>
          <w:rFonts w:hint="eastAsia"/>
          <w:highlight w:val="none"/>
          <w:lang w:val="en-US" w:eastAsia="zh-CN"/>
        </w:rPr>
        <w:t>2</w:t>
      </w:r>
      <w:r>
        <w:rPr>
          <w:highlight w:val="none"/>
        </w:rPr>
        <w:t>年</w:t>
      </w:r>
      <w:r>
        <w:rPr>
          <w:rFonts w:hint="eastAsia"/>
          <w:highlight w:val="none"/>
          <w:lang w:val="en-US" w:eastAsia="zh-CN"/>
        </w:rPr>
        <w:t>10</w:t>
      </w:r>
      <w:r>
        <w:rPr>
          <w:highlight w:val="none"/>
        </w:rPr>
        <w:t>月</w:t>
      </w:r>
      <w:r>
        <w:rPr>
          <w:rFonts w:hint="eastAsia"/>
          <w:highlight w:val="none"/>
          <w:lang w:val="en-US" w:eastAsia="zh-CN"/>
        </w:rPr>
        <w:t>20</w:t>
      </w:r>
      <w:r>
        <w:rPr>
          <w:highlight w:val="none"/>
        </w:rPr>
        <w:t>日，监测</w:t>
      </w:r>
      <w:r>
        <w:rPr>
          <w:rFonts w:hint="eastAsia"/>
          <w:highlight w:val="none"/>
          <w:lang w:val="en-US" w:eastAsia="zh-CN"/>
        </w:rPr>
        <w:t>1</w:t>
      </w:r>
      <w:r>
        <w:rPr>
          <w:highlight w:val="none"/>
        </w:rPr>
        <w:t>天，每天采样1次。</w:t>
      </w:r>
    </w:p>
    <w:p>
      <w:pPr>
        <w:bidi w:val="0"/>
        <w:rPr>
          <w:highlight w:val="none"/>
        </w:rPr>
      </w:pPr>
      <w:r>
        <w:rPr>
          <w:highlight w:val="none"/>
        </w:rPr>
        <w:t>4</w:t>
      </w:r>
      <w:r>
        <w:rPr>
          <w:rFonts w:hint="eastAsia"/>
          <w:highlight w:val="none"/>
          <w:lang w:eastAsia="zh-CN"/>
        </w:rPr>
        <w:t>、</w:t>
      </w:r>
      <w:r>
        <w:rPr>
          <w:highlight w:val="none"/>
        </w:rPr>
        <w:t>评价方法</w:t>
      </w:r>
    </w:p>
    <w:p>
      <w:pPr>
        <w:bidi w:val="0"/>
        <w:rPr>
          <w:highlight w:val="none"/>
        </w:rPr>
      </w:pPr>
      <w:r>
        <w:rPr>
          <w:highlight w:val="none"/>
        </w:rPr>
        <w:t>采样分析方法依照国家环保局《环境水质监测质量保证手册》 与《水和废水监 测分析方法》 的规定进行。采用单因子标准指数法对地下水现状进行评价，公式如 下：</w:t>
      </w:r>
    </w:p>
    <w:p>
      <w:pPr>
        <w:bidi w:val="0"/>
        <w:rPr>
          <w:rFonts w:hint="eastAsia" w:eastAsia="宋体"/>
          <w:highlight w:val="none"/>
          <w:lang w:eastAsia="zh-CN"/>
        </w:rPr>
      </w:pPr>
      <w:r>
        <w:rPr>
          <w:rFonts w:hint="eastAsia" w:eastAsia="宋体"/>
          <w:position w:val="-24"/>
          <w:highlight w:val="none"/>
          <w:lang w:eastAsia="zh-CN"/>
        </w:rPr>
        <w:object>
          <v:shape id="_x0000_i1035" o:spt="75" type="#_x0000_t75" style="height:31pt;width:67pt;" o:ole="t" filled="f" o:preferrelative="t" stroked="f" coordsize="21600,21600">
            <v:path/>
            <v:fill on="f" focussize="0,0"/>
            <v:stroke on="f"/>
            <v:imagedata r:id="rId23" o:title=""/>
            <o:lock v:ext="edit" aspectratio="t"/>
            <w10:wrap type="none"/>
            <w10:anchorlock/>
          </v:shape>
          <o:OLEObject Type="Embed" ProgID="Equation.KSEE3" ShapeID="_x0000_i1035" DrawAspect="Content" ObjectID="_1468075735" r:id="rId31">
            <o:LockedField>false</o:LockedField>
          </o:OLEObject>
        </w:object>
      </w:r>
    </w:p>
    <w:p>
      <w:pPr>
        <w:bidi w:val="0"/>
        <w:rPr>
          <w:highlight w:val="none"/>
        </w:rPr>
      </w:pPr>
      <w:r>
        <w:rPr>
          <w:highlight w:val="none"/>
        </w:rPr>
        <w:t>式中：S</w:t>
      </w:r>
      <w:r>
        <w:rPr>
          <w:highlight w:val="none"/>
          <w:vertAlign w:val="subscript"/>
        </w:rPr>
        <w:t>i</w:t>
      </w:r>
      <w:r>
        <w:rPr>
          <w:rFonts w:hint="eastAsia"/>
          <w:highlight w:val="none"/>
          <w:vertAlign w:val="subscript"/>
          <w:lang w:val="en-US" w:eastAsia="zh-CN"/>
        </w:rPr>
        <w:t>,j</w:t>
      </w:r>
      <w:r>
        <w:rPr>
          <w:highlight w:val="none"/>
        </w:rPr>
        <w:t>——i污染物单因子标准指数；</w:t>
      </w:r>
    </w:p>
    <w:p>
      <w:pPr>
        <w:bidi w:val="0"/>
        <w:rPr>
          <w:highlight w:val="none"/>
        </w:rPr>
      </w:pPr>
      <w:r>
        <w:rPr>
          <w:highlight w:val="none"/>
        </w:rPr>
        <w:t>C</w:t>
      </w:r>
      <w:r>
        <w:rPr>
          <w:highlight w:val="none"/>
          <w:vertAlign w:val="subscript"/>
        </w:rPr>
        <w:t>i</w:t>
      </w:r>
      <w:r>
        <w:rPr>
          <w:rFonts w:hint="eastAsia"/>
          <w:highlight w:val="none"/>
          <w:vertAlign w:val="subscript"/>
          <w:lang w:val="en-US" w:eastAsia="zh-CN"/>
        </w:rPr>
        <w:t>,j</w:t>
      </w:r>
      <w:r>
        <w:rPr>
          <w:highlight w:val="none"/>
        </w:rPr>
        <w:t>——i污染物在j 处的实测浓度均值，mg/l；</w:t>
      </w:r>
    </w:p>
    <w:p>
      <w:pPr>
        <w:bidi w:val="0"/>
        <w:rPr>
          <w:highlight w:val="none"/>
        </w:rPr>
      </w:pPr>
      <w:r>
        <w:rPr>
          <w:highlight w:val="none"/>
        </w:rPr>
        <w:t>C</w:t>
      </w:r>
      <w:r>
        <w:rPr>
          <w:highlight w:val="none"/>
          <w:vertAlign w:val="subscript"/>
        </w:rPr>
        <w:t>si</w:t>
      </w:r>
      <w:r>
        <w:rPr>
          <w:highlight w:val="none"/>
        </w:rPr>
        <w:t>——i污染物评价标准值，mg/l；</w:t>
      </w:r>
    </w:p>
    <w:p>
      <w:pPr>
        <w:bidi w:val="0"/>
        <w:rPr>
          <w:highlight w:val="none"/>
        </w:rPr>
      </w:pPr>
      <w:r>
        <w:rPr>
          <w:highlight w:val="none"/>
        </w:rPr>
        <w:t>pH值单项指数计算公式为：</w:t>
      </w:r>
    </w:p>
    <w:p>
      <w:pPr>
        <w:bidi w:val="0"/>
        <w:rPr>
          <w:rFonts w:ascii="Times New Roman" w:hAnsi="Times New Roman" w:eastAsia="Times New Roman" w:cs="Times New Roman"/>
          <w:sz w:val="24"/>
          <w:szCs w:val="24"/>
          <w:highlight w:val="none"/>
        </w:rPr>
      </w:pPr>
      <w:r>
        <w:rPr>
          <w:rFonts w:hint="eastAsia" w:eastAsia="宋体"/>
          <w:position w:val="-30"/>
          <w:highlight w:val="none"/>
          <w:lang w:eastAsia="zh-CN"/>
        </w:rPr>
        <w:object>
          <v:shape id="_x0000_i1036" o:spt="75" type="#_x0000_t75" style="height:36pt;width:94pt;" o:ole="t" filled="f" o:preferrelative="t" stroked="f" coordsize="21600,21600">
            <v:path/>
            <v:fill on="f" focussize="0,0"/>
            <v:stroke on="f"/>
            <v:imagedata r:id="rId25" o:title=""/>
            <o:lock v:ext="edit" aspectratio="t"/>
            <w10:wrap type="none"/>
            <w10:anchorlock/>
          </v:shape>
          <o:OLEObject Type="Embed" ProgID="Equation.KSEE3" ShapeID="_x0000_i1036" DrawAspect="Content" ObjectID="_1468075736" r:id="rId32">
            <o:LockedField>false</o:LockedField>
          </o:OLEObject>
        </w:object>
      </w:r>
      <w:r>
        <w:rPr>
          <w:rFonts w:ascii="Times New Roman" w:hAnsi="Times New Roman" w:eastAsia="Times New Roman" w:cs="Times New Roman"/>
          <w:position w:val="-4"/>
          <w:sz w:val="14"/>
          <w:szCs w:val="14"/>
          <w:highlight w:val="none"/>
        </w:rPr>
        <w:t xml:space="preserve">               </w:t>
      </w:r>
      <w:r>
        <w:rPr>
          <w:rFonts w:ascii="Times New Roman" w:hAnsi="Times New Roman" w:eastAsia="Times New Roman" w:cs="Times New Roman"/>
          <w:i/>
          <w:iCs/>
          <w:spacing w:val="3"/>
          <w:w w:val="105"/>
          <w:position w:val="3"/>
          <w:sz w:val="24"/>
          <w:szCs w:val="24"/>
          <w:highlight w:val="none"/>
        </w:rPr>
        <w:t>pH</w:t>
      </w:r>
      <w:r>
        <w:rPr>
          <w:rFonts w:hint="eastAsia" w:ascii="Times New Roman" w:hAnsi="Times New Roman" w:eastAsia="宋体" w:cs="Times New Roman"/>
          <w:i/>
          <w:iCs/>
          <w:spacing w:val="3"/>
          <w:w w:val="105"/>
          <w:position w:val="3"/>
          <w:sz w:val="24"/>
          <w:szCs w:val="24"/>
          <w:highlight w:val="none"/>
          <w:vertAlign w:val="subscript"/>
          <w:lang w:val="en-US" w:eastAsia="zh-CN"/>
        </w:rPr>
        <w:t>j</w:t>
      </w:r>
      <w:r>
        <w:rPr>
          <w:rFonts w:hint="default" w:ascii="Arial" w:hAnsi="Arial" w:eastAsia="Times New Roman" w:cs="Arial"/>
          <w:i/>
          <w:iCs/>
          <w:spacing w:val="3"/>
          <w:w w:val="105"/>
          <w:position w:val="3"/>
          <w:sz w:val="24"/>
          <w:szCs w:val="24"/>
          <w:highlight w:val="none"/>
        </w:rPr>
        <w:t>≤</w:t>
      </w:r>
      <w:r>
        <w:rPr>
          <w:rFonts w:ascii="Times New Roman" w:hAnsi="Times New Roman" w:eastAsia="Times New Roman" w:cs="Times New Roman"/>
          <w:spacing w:val="3"/>
          <w:w w:val="105"/>
          <w:position w:val="3"/>
          <w:sz w:val="24"/>
          <w:szCs w:val="24"/>
          <w:highlight w:val="none"/>
        </w:rPr>
        <w:t>7.0</w:t>
      </w:r>
    </w:p>
    <w:p>
      <w:pPr>
        <w:bidi w:val="0"/>
        <w:rPr>
          <w:rFonts w:ascii="Times New Roman" w:hAnsi="Times New Roman" w:eastAsia="Times New Roman" w:cs="Times New Roman"/>
          <w:sz w:val="24"/>
          <w:szCs w:val="24"/>
          <w:highlight w:val="none"/>
        </w:rPr>
      </w:pPr>
      <w:r>
        <w:rPr>
          <w:rFonts w:hint="eastAsia" w:eastAsia="宋体"/>
          <w:position w:val="-30"/>
          <w:highlight w:val="none"/>
          <w:lang w:eastAsia="zh-CN"/>
        </w:rPr>
        <w:object>
          <v:shape id="_x0000_i1037" o:spt="75" type="#_x0000_t75" style="height:36pt;width:94pt;" o:ole="t" filled="f" o:preferrelative="t" stroked="f" coordsize="21600,21600">
            <v:path/>
            <v:fill on="f" focussize="0,0"/>
            <v:stroke on="f"/>
            <v:imagedata r:id="rId27" o:title=""/>
            <o:lock v:ext="edit" aspectratio="t"/>
            <w10:wrap type="none"/>
            <w10:anchorlock/>
          </v:shape>
          <o:OLEObject Type="Embed" ProgID="Equation.KSEE3" ShapeID="_x0000_i1037" DrawAspect="Content" ObjectID="_1468075737" r:id="rId33">
            <o:LockedField>false</o:LockedField>
          </o:OLEObject>
        </w:object>
      </w:r>
      <w:r>
        <w:rPr>
          <w:highlight w:val="none"/>
        </w:rPr>
        <w:t xml:space="preserve">       </w:t>
      </w:r>
      <w:r>
        <w:rPr>
          <w:rFonts w:ascii="Times New Roman" w:hAnsi="Times New Roman" w:eastAsia="Times New Roman" w:cs="Times New Roman"/>
          <w:i/>
          <w:iCs/>
          <w:spacing w:val="3"/>
          <w:w w:val="105"/>
          <w:position w:val="3"/>
          <w:sz w:val="24"/>
          <w:szCs w:val="24"/>
          <w:highlight w:val="none"/>
        </w:rPr>
        <w:t>pH</w:t>
      </w:r>
      <w:r>
        <w:rPr>
          <w:rFonts w:hint="eastAsia" w:ascii="Times New Roman" w:hAnsi="Times New Roman" w:eastAsia="宋体" w:cs="Times New Roman"/>
          <w:i/>
          <w:iCs/>
          <w:spacing w:val="3"/>
          <w:w w:val="105"/>
          <w:position w:val="3"/>
          <w:sz w:val="24"/>
          <w:szCs w:val="24"/>
          <w:highlight w:val="none"/>
          <w:vertAlign w:val="subscript"/>
          <w:lang w:val="en-US" w:eastAsia="zh-CN"/>
        </w:rPr>
        <w:t>j</w:t>
      </w:r>
      <w:r>
        <w:rPr>
          <w:rFonts w:hint="default" w:ascii="Arial" w:hAnsi="Arial" w:eastAsia="Times New Roman" w:cs="Arial"/>
          <w:i/>
          <w:iCs/>
          <w:spacing w:val="3"/>
          <w:w w:val="105"/>
          <w:position w:val="3"/>
          <w:sz w:val="24"/>
          <w:szCs w:val="24"/>
          <w:highlight w:val="none"/>
        </w:rPr>
        <w:t>≤</w:t>
      </w:r>
      <w:r>
        <w:rPr>
          <w:rFonts w:hint="eastAsia" w:ascii="微软雅黑" w:hAnsi="微软雅黑" w:eastAsia="微软雅黑" w:cs="微软雅黑"/>
          <w:i/>
          <w:iCs/>
          <w:spacing w:val="3"/>
          <w:w w:val="105"/>
          <w:position w:val="3"/>
          <w:sz w:val="24"/>
          <w:szCs w:val="24"/>
          <w:highlight w:val="none"/>
        </w:rPr>
        <w:t>&gt;</w:t>
      </w:r>
      <w:r>
        <w:rPr>
          <w:rFonts w:ascii="Times New Roman" w:hAnsi="Times New Roman" w:eastAsia="Times New Roman" w:cs="Times New Roman"/>
          <w:spacing w:val="3"/>
          <w:w w:val="105"/>
          <w:position w:val="3"/>
          <w:sz w:val="24"/>
          <w:szCs w:val="24"/>
          <w:highlight w:val="none"/>
        </w:rPr>
        <w:t>7.0</w:t>
      </w:r>
    </w:p>
    <w:p>
      <w:pPr>
        <w:bidi w:val="0"/>
        <w:rPr>
          <w:highlight w:val="none"/>
        </w:rPr>
      </w:pPr>
      <w:r>
        <w:rPr>
          <w:highlight w:val="none"/>
        </w:rPr>
        <w:t>S</w:t>
      </w:r>
      <w:r>
        <w:rPr>
          <w:highlight w:val="none"/>
          <w:vertAlign w:val="subscript"/>
        </w:rPr>
        <w:t>pH,j</w:t>
      </w:r>
      <w:r>
        <w:rPr>
          <w:highlight w:val="none"/>
        </w:rPr>
        <w:t>——pH标准指数；</w:t>
      </w:r>
    </w:p>
    <w:p>
      <w:pPr>
        <w:bidi w:val="0"/>
        <w:rPr>
          <w:highlight w:val="none"/>
        </w:rPr>
      </w:pPr>
      <w:r>
        <w:rPr>
          <w:highlight w:val="none"/>
        </w:rPr>
        <w:t>pH</w:t>
      </w:r>
      <w:r>
        <w:rPr>
          <w:highlight w:val="none"/>
          <w:vertAlign w:val="subscript"/>
        </w:rPr>
        <w:t>j</w:t>
      </w:r>
      <w:r>
        <w:rPr>
          <w:highlight w:val="none"/>
        </w:rPr>
        <w:t>——j点实测pH值；</w:t>
      </w:r>
    </w:p>
    <w:p>
      <w:pPr>
        <w:bidi w:val="0"/>
        <w:rPr>
          <w:highlight w:val="none"/>
        </w:rPr>
      </w:pPr>
      <w:r>
        <w:rPr>
          <w:highlight w:val="none"/>
        </w:rPr>
        <w:t>pH</w:t>
      </w:r>
      <w:r>
        <w:rPr>
          <w:highlight w:val="none"/>
          <w:vertAlign w:val="subscript"/>
        </w:rPr>
        <w:t>sd</w:t>
      </w:r>
      <w:r>
        <w:rPr>
          <w:highlight w:val="none"/>
        </w:rPr>
        <w:t>——标准中pH值的下限值；</w:t>
      </w:r>
    </w:p>
    <w:p>
      <w:pPr>
        <w:bidi w:val="0"/>
        <w:rPr>
          <w:highlight w:val="none"/>
        </w:rPr>
      </w:pPr>
      <w:r>
        <w:rPr>
          <w:highlight w:val="none"/>
        </w:rPr>
        <w:t>pH</w:t>
      </w:r>
      <w:r>
        <w:rPr>
          <w:highlight w:val="none"/>
          <w:vertAlign w:val="subscript"/>
        </w:rPr>
        <w:t>su</w:t>
      </w:r>
      <w:r>
        <w:rPr>
          <w:highlight w:val="none"/>
        </w:rPr>
        <w:t>——标准中pH值的上限值。</w:t>
      </w:r>
    </w:p>
    <w:p>
      <w:pPr>
        <w:bidi w:val="0"/>
        <w:rPr>
          <w:highlight w:val="none"/>
        </w:rPr>
      </w:pPr>
      <w:r>
        <w:rPr>
          <w:rFonts w:hint="eastAsia"/>
          <w:highlight w:val="none"/>
          <w:lang w:val="en-US" w:eastAsia="zh-CN"/>
        </w:rPr>
        <w:t>5、</w:t>
      </w:r>
      <w:r>
        <w:rPr>
          <w:highlight w:val="none"/>
        </w:rPr>
        <w:t>监测结果与评价</w:t>
      </w:r>
    </w:p>
    <w:p>
      <w:pPr>
        <w:bidi w:val="0"/>
        <w:rPr>
          <w:highlight w:val="none"/>
        </w:rPr>
      </w:pPr>
      <w:r>
        <w:rPr>
          <w:rFonts w:hint="eastAsia"/>
          <w:highlight w:val="none"/>
          <w:lang w:eastAsia="zh-CN"/>
        </w:rPr>
        <w:t>（</w:t>
      </w:r>
      <w:r>
        <w:rPr>
          <w:rFonts w:hint="eastAsia"/>
          <w:highlight w:val="none"/>
          <w:lang w:val="en-US" w:eastAsia="zh-CN"/>
        </w:rPr>
        <w:t>1</w:t>
      </w:r>
      <w:r>
        <w:rPr>
          <w:highlight w:val="none"/>
        </w:rPr>
        <w:t>）评价标准</w:t>
      </w:r>
    </w:p>
    <w:p>
      <w:pPr>
        <w:bidi w:val="0"/>
        <w:rPr>
          <w:highlight w:val="none"/>
        </w:rPr>
      </w:pPr>
      <w:r>
        <w:rPr>
          <w:highlight w:val="none"/>
        </w:rPr>
        <w:t>采用《地下水质量标准》（GB/T14848-2017）中Ⅲ类水质标准进行评价。</w:t>
      </w:r>
    </w:p>
    <w:p>
      <w:pPr>
        <w:bidi w:val="0"/>
        <w:rPr>
          <w:highlight w:val="none"/>
        </w:rPr>
      </w:pPr>
      <w:r>
        <w:rPr>
          <w:highlight w:val="none"/>
        </w:rPr>
        <w:t>（</w:t>
      </w:r>
      <w:r>
        <w:rPr>
          <w:rFonts w:hint="eastAsia"/>
          <w:highlight w:val="none"/>
          <w:lang w:val="en-US" w:eastAsia="zh-CN"/>
        </w:rPr>
        <w:t>2</w:t>
      </w:r>
      <w:r>
        <w:rPr>
          <w:highlight w:val="none"/>
        </w:rPr>
        <w:t>）评价结果统计及分析</w:t>
      </w:r>
    </w:p>
    <w:p>
      <w:pPr>
        <w:pStyle w:val="7"/>
        <w:bidi w:val="0"/>
        <w:rPr>
          <w:rFonts w:hint="eastAsia" w:eastAsia="宋体"/>
          <w:highlight w:val="none"/>
          <w:lang w:eastAsia="zh-CN"/>
        </w:rPr>
      </w:pPr>
      <w:r>
        <w:rPr>
          <w:highlight w:val="none"/>
        </w:rPr>
        <w:t>表</w:t>
      </w:r>
      <w:r>
        <w:rPr>
          <w:rFonts w:hint="eastAsia"/>
          <w:highlight w:val="none"/>
          <w:lang w:val="en-US" w:eastAsia="zh-CN"/>
        </w:rPr>
        <w:t>5.2-9</w:t>
      </w:r>
      <w:r>
        <w:rPr>
          <w:highlight w:val="none"/>
        </w:rPr>
        <w:t xml:space="preserve">  地</w:t>
      </w:r>
      <w:r>
        <w:rPr>
          <w:rFonts w:hint="eastAsia"/>
          <w:highlight w:val="none"/>
          <w:lang w:eastAsia="zh-CN"/>
        </w:rPr>
        <w:t>下</w:t>
      </w:r>
      <w:r>
        <w:rPr>
          <w:highlight w:val="none"/>
        </w:rPr>
        <w:t>水评价结果</w:t>
      </w:r>
      <w:r>
        <w:rPr>
          <w:rFonts w:hint="eastAsia"/>
          <w:highlight w:val="none"/>
          <w:lang w:eastAsia="zh-CN"/>
        </w:rPr>
        <w:t>（二）</w:t>
      </w:r>
    </w:p>
    <w:tbl>
      <w:tblPr>
        <w:tblStyle w:val="34"/>
        <w:tblW w:w="500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1330"/>
        <w:gridCol w:w="1045"/>
        <w:gridCol w:w="1045"/>
        <w:gridCol w:w="1064"/>
        <w:gridCol w:w="965"/>
        <w:gridCol w:w="965"/>
        <w:gridCol w:w="10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0"/>
                <w:szCs w:val="20"/>
              </w:rPr>
            </w:pPr>
            <w:r>
              <w:rPr>
                <w:rFonts w:ascii="宋体" w:hAnsi="宋体" w:eastAsia="宋体" w:cs="宋体"/>
                <w:spacing w:val="9"/>
                <w:sz w:val="20"/>
                <w:szCs w:val="20"/>
              </w:rPr>
              <w:t>接</w:t>
            </w:r>
            <w:r>
              <w:rPr>
                <w:rFonts w:ascii="宋体" w:hAnsi="宋体" w:eastAsia="宋体" w:cs="宋体"/>
                <w:spacing w:val="7"/>
                <w:sz w:val="20"/>
                <w:szCs w:val="20"/>
              </w:rPr>
              <w:t>样日期</w:t>
            </w:r>
          </w:p>
        </w:tc>
        <w:tc>
          <w:tcPr>
            <w:tcW w:w="80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测项目</w:t>
            </w:r>
          </w:p>
        </w:tc>
        <w:tc>
          <w:tcPr>
            <w:tcW w:w="191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2"/>
                <w:sz w:val="20"/>
                <w:szCs w:val="20"/>
              </w:rPr>
              <w:t>来样标识</w:t>
            </w:r>
            <w:r>
              <w:rPr>
                <w:rFonts w:ascii="宋体" w:hAnsi="宋体" w:eastAsia="宋体" w:cs="宋体"/>
                <w:spacing w:val="-1"/>
                <w:sz w:val="20"/>
                <w:szCs w:val="20"/>
              </w:rPr>
              <w:t>及检测结果</w:t>
            </w:r>
          </w:p>
        </w:tc>
        <w:tc>
          <w:tcPr>
            <w:tcW w:w="58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
                <w:sz w:val="20"/>
                <w:szCs w:val="20"/>
              </w:rPr>
              <w:t>计量单位</w:t>
            </w:r>
          </w:p>
        </w:tc>
        <w:tc>
          <w:tcPr>
            <w:tcW w:w="58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Arial"/>
                <w:sz w:val="21"/>
              </w:rPr>
            </w:pPr>
            <w:r>
              <w:rPr>
                <w:rFonts w:hint="default" w:ascii="Times New Roman" w:hAnsi="Times New Roman" w:eastAsia="宋体" w:cs="Times New Roman"/>
                <w:spacing w:val="0"/>
                <w:position w:val="0"/>
                <w:sz w:val="21"/>
                <w:szCs w:val="21"/>
                <w:highlight w:val="none"/>
              </w:rPr>
              <w:t>标准限值</w:t>
            </w:r>
          </w:p>
        </w:tc>
        <w:tc>
          <w:tcPr>
            <w:tcW w:w="58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Arial"/>
                <w:sz w:val="21"/>
              </w:rPr>
            </w:pPr>
            <w:r>
              <w:rPr>
                <w:rFonts w:ascii="宋体" w:hAnsi="宋体" w:eastAsia="宋体" w:cs="宋体"/>
                <w:spacing w:val="-2"/>
                <w:sz w:val="21"/>
                <w:szCs w:val="21"/>
                <w:highlight w:val="none"/>
              </w:rPr>
              <w:t>污染指数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0"/>
                <w:szCs w:val="20"/>
              </w:rPr>
            </w:pPr>
            <w:r>
              <w:rPr>
                <w:rFonts w:ascii="Times New Roman" w:hAnsi="Times New Roman" w:eastAsia="Times New Roman" w:cs="Times New Roman"/>
                <w:sz w:val="20"/>
                <w:szCs w:val="20"/>
              </w:rPr>
              <w:t>U</w:t>
            </w:r>
            <w:r>
              <w:rPr>
                <w:rFonts w:ascii="Times New Roman" w:hAnsi="Times New Roman" w:eastAsia="Times New Roman" w:cs="Times New Roman"/>
                <w:spacing w:val="1"/>
                <w:sz w:val="20"/>
                <w:szCs w:val="20"/>
              </w:rPr>
              <w:t>4</w:t>
            </w:r>
            <w:r>
              <w:rPr>
                <w:rFonts w:ascii="Times New Roman" w:hAnsi="Times New Roman" w:eastAsia="Times New Roman" w:cs="Times New Roman"/>
                <w:sz w:val="20"/>
                <w:szCs w:val="20"/>
              </w:rPr>
              <w:t xml:space="preserve"> </w:t>
            </w:r>
            <w:r>
              <w:rPr>
                <w:rFonts w:ascii="宋体" w:hAnsi="宋体" w:eastAsia="宋体" w:cs="宋体"/>
                <w:sz w:val="20"/>
                <w:szCs w:val="20"/>
              </w:rPr>
              <w:t>项目西北面</w:t>
            </w:r>
            <w:r>
              <w:rPr>
                <w:rFonts w:ascii="宋体" w:hAnsi="宋体" w:eastAsia="宋体" w:cs="宋体"/>
                <w:spacing w:val="-13"/>
                <w:sz w:val="20"/>
                <w:szCs w:val="20"/>
              </w:rPr>
              <w:t>村</w:t>
            </w:r>
            <w:r>
              <w:rPr>
                <w:rFonts w:ascii="宋体" w:hAnsi="宋体" w:eastAsia="宋体" w:cs="宋体"/>
                <w:spacing w:val="-7"/>
                <w:sz w:val="20"/>
                <w:szCs w:val="20"/>
              </w:rPr>
              <w:t>居民</w:t>
            </w:r>
            <w:r>
              <w:rPr>
                <w:rFonts w:ascii="Times New Roman" w:hAnsi="Times New Roman" w:eastAsia="Times New Roman" w:cs="Times New Roman"/>
                <w:spacing w:val="-7"/>
                <w:sz w:val="20"/>
                <w:szCs w:val="20"/>
              </w:rPr>
              <w:t>150</w:t>
            </w:r>
            <w:r>
              <w:rPr>
                <w:rFonts w:ascii="宋体" w:hAnsi="宋体" w:eastAsia="宋体" w:cs="宋体"/>
                <w:spacing w:val="-7"/>
                <w:sz w:val="20"/>
                <w:szCs w:val="20"/>
              </w:rPr>
              <w:t>米深</w:t>
            </w:r>
            <w:r>
              <w:rPr>
                <w:rFonts w:ascii="宋体" w:hAnsi="宋体" w:eastAsia="宋体" w:cs="宋体"/>
                <w:spacing w:val="-1"/>
                <w:sz w:val="20"/>
                <w:szCs w:val="20"/>
              </w:rPr>
              <w:t>水井</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0"/>
                <w:szCs w:val="20"/>
              </w:rPr>
            </w:pPr>
            <w:r>
              <w:rPr>
                <w:rFonts w:ascii="Times New Roman" w:hAnsi="Times New Roman" w:eastAsia="Times New Roman" w:cs="Times New Roman"/>
                <w:sz w:val="20"/>
                <w:szCs w:val="20"/>
              </w:rPr>
              <w:t>U5</w:t>
            </w:r>
            <w:r>
              <w:rPr>
                <w:rFonts w:ascii="宋体" w:hAnsi="宋体" w:eastAsia="宋体" w:cs="宋体"/>
                <w:sz w:val="20"/>
                <w:szCs w:val="20"/>
              </w:rPr>
              <w:t xml:space="preserve">项目西面居 </w:t>
            </w:r>
            <w:r>
              <w:rPr>
                <w:rFonts w:ascii="宋体" w:hAnsi="宋体" w:eastAsia="宋体" w:cs="宋体"/>
                <w:spacing w:val="-10"/>
                <w:sz w:val="20"/>
                <w:szCs w:val="20"/>
              </w:rPr>
              <w:t>民</w:t>
            </w:r>
            <w:r>
              <w:rPr>
                <w:rFonts w:ascii="Times New Roman" w:hAnsi="Times New Roman" w:eastAsia="Times New Roman" w:cs="Times New Roman"/>
                <w:spacing w:val="-10"/>
                <w:sz w:val="20"/>
                <w:szCs w:val="20"/>
              </w:rPr>
              <w:t xml:space="preserve">160 </w:t>
            </w:r>
            <w:r>
              <w:rPr>
                <w:rFonts w:ascii="宋体" w:hAnsi="宋体" w:eastAsia="宋体" w:cs="宋体"/>
                <w:spacing w:val="-10"/>
                <w:sz w:val="20"/>
                <w:szCs w:val="20"/>
              </w:rPr>
              <w:t>米深水</w:t>
            </w:r>
            <w:r>
              <w:rPr>
                <w:rFonts w:ascii="宋体" w:hAnsi="宋体" w:eastAsia="宋体" w:cs="宋体"/>
                <w:spacing w:val="-9"/>
                <w:sz w:val="20"/>
                <w:szCs w:val="20"/>
              </w:rPr>
              <w:t>井</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0"/>
                <w:szCs w:val="20"/>
              </w:rPr>
            </w:pPr>
            <w:r>
              <w:rPr>
                <w:rFonts w:ascii="Times New Roman" w:hAnsi="Times New Roman" w:eastAsia="Times New Roman" w:cs="Times New Roman"/>
                <w:sz w:val="20"/>
                <w:szCs w:val="20"/>
              </w:rPr>
              <w:t>U6</w:t>
            </w:r>
            <w:r>
              <w:rPr>
                <w:rFonts w:ascii="宋体" w:hAnsi="宋体" w:eastAsia="宋体" w:cs="宋体"/>
                <w:sz w:val="20"/>
                <w:szCs w:val="20"/>
              </w:rPr>
              <w:t>项目场地内</w:t>
            </w:r>
            <w:r>
              <w:rPr>
                <w:rFonts w:ascii="宋体" w:hAnsi="宋体" w:eastAsia="宋体" w:cs="宋体"/>
                <w:spacing w:val="-3"/>
                <w:sz w:val="20"/>
                <w:szCs w:val="20"/>
              </w:rPr>
              <w:t>西</w:t>
            </w:r>
            <w:r>
              <w:rPr>
                <w:rFonts w:ascii="宋体" w:hAnsi="宋体" w:eastAsia="宋体" w:cs="宋体"/>
                <w:spacing w:val="-2"/>
                <w:sz w:val="20"/>
                <w:szCs w:val="20"/>
              </w:rPr>
              <w:t>南面的居民</w:t>
            </w:r>
            <w:r>
              <w:rPr>
                <w:rFonts w:ascii="Times New Roman" w:hAnsi="Times New Roman" w:eastAsia="Times New Roman" w:cs="Times New Roman"/>
                <w:spacing w:val="2"/>
                <w:sz w:val="20"/>
                <w:szCs w:val="20"/>
              </w:rPr>
              <w:t>150</w:t>
            </w:r>
            <w:r>
              <w:rPr>
                <w:rFonts w:ascii="宋体" w:hAnsi="宋体" w:eastAsia="宋体" w:cs="宋体"/>
                <w:spacing w:val="2"/>
                <w:sz w:val="20"/>
                <w:szCs w:val="20"/>
              </w:rPr>
              <w:t>米</w:t>
            </w:r>
            <w:r>
              <w:rPr>
                <w:rFonts w:ascii="宋体" w:hAnsi="宋体" w:eastAsia="宋体" w:cs="宋体"/>
                <w:spacing w:val="1"/>
                <w:sz w:val="20"/>
                <w:szCs w:val="20"/>
              </w:rPr>
              <w:t>深水井</w:t>
            </w:r>
          </w:p>
        </w:tc>
        <w:tc>
          <w:tcPr>
            <w:tcW w:w="58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58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Arial"/>
                <w:sz w:val="21"/>
              </w:rPr>
            </w:pPr>
          </w:p>
        </w:tc>
        <w:tc>
          <w:tcPr>
            <w:tcW w:w="58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Arial"/>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宋体" w:hAnsi="宋体" w:eastAsia="宋体" w:cs="宋体"/>
                <w:sz w:val="20"/>
                <w:szCs w:val="20"/>
              </w:rPr>
            </w:pPr>
            <w:r>
              <w:rPr>
                <w:rFonts w:hint="eastAsia" w:ascii="Times New Roman" w:hAnsi="Times New Roman" w:eastAsia="宋体" w:cs="Times New Roman"/>
                <w:spacing w:val="1"/>
                <w:sz w:val="20"/>
                <w:szCs w:val="20"/>
                <w:lang w:val="en-US" w:eastAsia="zh-CN"/>
              </w:rPr>
              <w:t>2022年</w:t>
            </w:r>
            <w:r>
              <w:rPr>
                <w:rFonts w:ascii="Times New Roman" w:hAnsi="Times New Roman" w:eastAsia="Times New Roman" w:cs="Times New Roman"/>
                <w:spacing w:val="1"/>
                <w:sz w:val="20"/>
                <w:szCs w:val="20"/>
              </w:rPr>
              <w:t>1</w:t>
            </w:r>
            <w:r>
              <w:rPr>
                <w:rFonts w:hint="eastAsia" w:ascii="Times New Roman" w:hAnsi="Times New Roman" w:eastAsia="宋体" w:cs="Times New Roman"/>
                <w:spacing w:val="1"/>
                <w:sz w:val="20"/>
                <w:szCs w:val="20"/>
                <w:lang w:val="en-US" w:eastAsia="zh-CN"/>
              </w:rPr>
              <w:t>0</w:t>
            </w:r>
            <w:r>
              <w:rPr>
                <w:rFonts w:ascii="宋体" w:hAnsi="宋体" w:eastAsia="宋体" w:cs="宋体"/>
                <w:spacing w:val="1"/>
                <w:sz w:val="20"/>
                <w:szCs w:val="20"/>
              </w:rPr>
              <w:t>月</w:t>
            </w:r>
            <w:r>
              <w:rPr>
                <w:rFonts w:ascii="Times New Roman" w:hAnsi="Times New Roman" w:eastAsia="Times New Roman" w:cs="Times New Roman"/>
                <w:spacing w:val="1"/>
                <w:sz w:val="20"/>
                <w:szCs w:val="20"/>
              </w:rPr>
              <w:t>2</w:t>
            </w:r>
            <w:r>
              <w:rPr>
                <w:rFonts w:ascii="Times New Roman" w:hAnsi="Times New Roman" w:eastAsia="Times New Roman" w:cs="Times New Roman"/>
                <w:sz w:val="20"/>
                <w:szCs w:val="20"/>
              </w:rPr>
              <w:t>0</w:t>
            </w:r>
            <w:r>
              <w:rPr>
                <w:rFonts w:ascii="宋体" w:hAnsi="宋体" w:eastAsia="宋体" w:cs="宋体"/>
                <w:sz w:val="20"/>
                <w:szCs w:val="20"/>
              </w:rPr>
              <w:t>日</w:t>
            </w: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K</w:t>
            </w:r>
            <w:r>
              <w:rPr>
                <w:rFonts w:ascii="Times New Roman" w:hAnsi="Times New Roman" w:eastAsia="Times New Roman" w:cs="Times New Roman"/>
                <w:spacing w:val="7"/>
                <w:position w:val="7"/>
                <w:sz w:val="13"/>
                <w:szCs w:val="13"/>
              </w:rPr>
              <w:t>+</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w:t>
            </w:r>
            <w:r>
              <w:rPr>
                <w:rFonts w:ascii="Times New Roman" w:hAnsi="Times New Roman" w:eastAsia="Times New Roman" w:cs="Times New Roman"/>
                <w:spacing w:val="-1"/>
                <w:sz w:val="20"/>
                <w:szCs w:val="20"/>
              </w:rPr>
              <w:t>3</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1"/>
                <w:sz w:val="20"/>
                <w:szCs w:val="20"/>
              </w:rPr>
              <w:t>80</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1"/>
                <w:sz w:val="20"/>
                <w:szCs w:val="20"/>
              </w:rPr>
              <w:t>88</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3"/>
                <w:szCs w:val="13"/>
              </w:rPr>
            </w:pPr>
            <w:r>
              <w:rPr>
                <w:rFonts w:ascii="Times New Roman" w:hAnsi="Times New Roman" w:eastAsia="Times New Roman" w:cs="Times New Roman"/>
                <w:sz w:val="20"/>
                <w:szCs w:val="20"/>
              </w:rPr>
              <w:t>Ca</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5"/>
                <w:position w:val="6"/>
                <w:sz w:val="13"/>
                <w:szCs w:val="13"/>
              </w:rPr>
              <w:t>+</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4"/>
                <w:sz w:val="20"/>
                <w:szCs w:val="20"/>
              </w:rPr>
              <w:t>7. 1</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57.2</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3.4</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Na</w:t>
            </w:r>
            <w:r>
              <w:rPr>
                <w:rFonts w:ascii="Times New Roman" w:hAnsi="Times New Roman" w:eastAsia="Times New Roman" w:cs="Times New Roman"/>
                <w:spacing w:val="17"/>
                <w:position w:val="7"/>
                <w:sz w:val="13"/>
                <w:szCs w:val="13"/>
              </w:rPr>
              <w:t>+</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.6</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w:t>
            </w:r>
            <w:r>
              <w:rPr>
                <w:rFonts w:ascii="Times New Roman" w:hAnsi="Times New Roman" w:eastAsia="Times New Roman" w:cs="Times New Roman"/>
                <w:sz w:val="20"/>
                <w:szCs w:val="20"/>
              </w:rPr>
              <w:t>.8</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3.5</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position w:val="3"/>
                <w:sz w:val="20"/>
                <w:szCs w:val="20"/>
                <w:lang w:val="en-US" w:eastAsia="zh-CN"/>
              </w:rPr>
              <w:t>/</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position w:val="3"/>
                <w:sz w:val="20"/>
                <w:szCs w:val="20"/>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13"/>
                <w:szCs w:val="13"/>
              </w:rPr>
            </w:pPr>
            <w:r>
              <w:rPr>
                <w:rFonts w:ascii="Times New Roman" w:hAnsi="Times New Roman" w:eastAsia="Times New Roman" w:cs="Times New Roman"/>
                <w:position w:val="2"/>
                <w:sz w:val="20"/>
                <w:szCs w:val="20"/>
              </w:rPr>
              <w:t>Mg</w:t>
            </w:r>
            <w:r>
              <w:rPr>
                <w:rFonts w:ascii="Times New Roman" w:hAnsi="Times New Roman" w:eastAsia="Times New Roman" w:cs="Times New Roman"/>
                <w:spacing w:val="9"/>
                <w:position w:val="8"/>
                <w:sz w:val="13"/>
                <w:szCs w:val="13"/>
              </w:rPr>
              <w:t>2</w:t>
            </w:r>
            <w:r>
              <w:rPr>
                <w:rFonts w:ascii="Times New Roman" w:hAnsi="Times New Roman" w:eastAsia="Times New Roman" w:cs="Times New Roman"/>
                <w:spacing w:val="8"/>
                <w:position w:val="8"/>
                <w:sz w:val="13"/>
                <w:szCs w:val="13"/>
              </w:rPr>
              <w:t>+</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5.86</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5.58</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5.82</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position w:val="3"/>
                <w:sz w:val="20"/>
                <w:szCs w:val="20"/>
                <w:lang w:val="en-US" w:eastAsia="zh-CN"/>
              </w:rPr>
              <w:t>/</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position w:val="3"/>
                <w:sz w:val="20"/>
                <w:szCs w:val="20"/>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Times New Roman" w:hAnsi="Times New Roman" w:eastAsia="Times New Roman" w:cs="Times New Roman"/>
                <w:sz w:val="20"/>
                <w:szCs w:val="20"/>
              </w:rPr>
              <w:t>pH</w:t>
            </w:r>
            <w:r>
              <w:rPr>
                <w:rFonts w:ascii="宋体" w:hAnsi="宋体" w:eastAsia="宋体" w:cs="宋体"/>
                <w:spacing w:val="11"/>
                <w:sz w:val="20"/>
                <w:szCs w:val="20"/>
              </w:rPr>
              <w:t>值</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.7</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6.8</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.9</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7"/>
                <w:sz w:val="20"/>
                <w:szCs w:val="20"/>
              </w:rPr>
              <w:t>无</w:t>
            </w:r>
            <w:r>
              <w:rPr>
                <w:rFonts w:ascii="宋体" w:hAnsi="宋体" w:eastAsia="宋体" w:cs="宋体"/>
                <w:spacing w:val="6"/>
                <w:sz w:val="20"/>
                <w:szCs w:val="20"/>
              </w:rPr>
              <w:t>量纲</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pacing w:val="7"/>
                <w:sz w:val="20"/>
                <w:szCs w:val="20"/>
                <w:lang w:eastAsia="zh-CN"/>
              </w:rPr>
            </w:pPr>
            <w:r>
              <w:rPr>
                <w:rFonts w:ascii="Times New Roman" w:hAnsi="Times New Roman" w:eastAsia="Times New Roman" w:cs="Times New Roman"/>
                <w:spacing w:val="-1"/>
                <w:sz w:val="21"/>
                <w:szCs w:val="21"/>
                <w:highlight w:val="none"/>
              </w:rPr>
              <w:t>6.5~8.5</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宋体" w:hAnsi="宋体" w:eastAsia="宋体" w:cs="宋体"/>
                <w:spacing w:val="7"/>
                <w:sz w:val="20"/>
                <w:szCs w:val="20"/>
                <w:lang w:val="en-US" w:eastAsia="zh-CN"/>
              </w:rPr>
            </w:pPr>
            <w:r>
              <w:rPr>
                <w:rFonts w:ascii="Times New Roman" w:hAnsi="Times New Roman" w:eastAsia="Times New Roman" w:cs="Times New Roman"/>
                <w:spacing w:val="-1"/>
                <w:sz w:val="21"/>
                <w:szCs w:val="21"/>
                <w:highlight w:val="none"/>
              </w:rPr>
              <w:t>0</w:t>
            </w:r>
            <w:r>
              <w:rPr>
                <w:rFonts w:hint="eastAsia" w:ascii="Times New Roman" w:hAnsi="Times New Roman" w:eastAsia="宋体" w:cs="Times New Roman"/>
                <w:spacing w:val="-1"/>
                <w:sz w:val="21"/>
                <w:szCs w:val="21"/>
                <w:highlight w:val="none"/>
                <w:lang w:val="en-US" w:eastAsia="zh-CN"/>
              </w:rPr>
              <w:t>.2</w:t>
            </w:r>
            <w:r>
              <w:rPr>
                <w:rFonts w:ascii="Times New Roman" w:hAnsi="Times New Roman" w:eastAsia="Times New Roman" w:cs="Times New Roman"/>
                <w:spacing w:val="-1"/>
                <w:sz w:val="21"/>
                <w:szCs w:val="21"/>
                <w:highlight w:val="none"/>
              </w:rPr>
              <w:t>~0.</w:t>
            </w:r>
            <w:r>
              <w:rPr>
                <w:rFonts w:hint="eastAsia" w:eastAsia="宋体" w:cs="Times New Roman"/>
                <w:spacing w:val="-1"/>
                <w:sz w:val="21"/>
                <w:szCs w:val="21"/>
                <w:highlight w:val="none"/>
                <w:lang w:val="en-US" w:eastAsia="zh-CN"/>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7"/>
                <w:sz w:val="20"/>
                <w:szCs w:val="20"/>
              </w:rPr>
              <w:t>硬度(</w:t>
            </w:r>
            <w:r>
              <w:rPr>
                <w:rFonts w:ascii="Times New Roman" w:hAnsi="Times New Roman" w:eastAsia="Times New Roman" w:cs="Times New Roman"/>
                <w:sz w:val="20"/>
                <w:szCs w:val="20"/>
              </w:rPr>
              <w:t>CaCO</w:t>
            </w:r>
            <w:r>
              <w:rPr>
                <w:rFonts w:hint="eastAsia" w:ascii="Times New Roman" w:hAnsi="Times New Roman" w:eastAsia="宋体" w:cs="Times New Roman"/>
                <w:sz w:val="20"/>
                <w:szCs w:val="20"/>
                <w:vertAlign w:val="subscript"/>
                <w:lang w:val="en-US" w:eastAsia="zh-CN"/>
              </w:rPr>
              <w:t>3</w:t>
            </w:r>
            <w:r>
              <w:rPr>
                <w:rFonts w:ascii="Times New Roman" w:hAnsi="Times New Roman" w:eastAsia="Times New Roman" w:cs="Times New Roman"/>
                <w:spacing w:val="7"/>
                <w:position w:val="-1"/>
                <w:sz w:val="13"/>
                <w:szCs w:val="13"/>
              </w:rPr>
              <w:t xml:space="preserve"> </w:t>
            </w:r>
            <w:r>
              <w:rPr>
                <w:rFonts w:ascii="宋体" w:hAnsi="宋体" w:eastAsia="宋体" w:cs="宋体"/>
                <w:spacing w:val="7"/>
                <w:sz w:val="20"/>
                <w:szCs w:val="20"/>
              </w:rPr>
              <w:t>计)</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9</w:t>
            </w:r>
            <w:r>
              <w:rPr>
                <w:rFonts w:ascii="Times New Roman" w:hAnsi="Times New Roman" w:eastAsia="Times New Roman" w:cs="Times New Roman"/>
                <w:spacing w:val="3"/>
                <w:sz w:val="20"/>
                <w:szCs w:val="20"/>
              </w:rPr>
              <w:t>0.0</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w:t>
            </w:r>
            <w:r>
              <w:rPr>
                <w:rFonts w:ascii="Times New Roman" w:hAnsi="Times New Roman" w:eastAsia="Times New Roman" w:cs="Times New Roman"/>
                <w:spacing w:val="3"/>
                <w:sz w:val="20"/>
                <w:szCs w:val="20"/>
              </w:rPr>
              <w:t>8.0</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8</w:t>
            </w:r>
            <w:r>
              <w:rPr>
                <w:rFonts w:ascii="Times New Roman" w:hAnsi="Times New Roman" w:eastAsia="Times New Roman" w:cs="Times New Roman"/>
                <w:spacing w:val="3"/>
                <w:sz w:val="20"/>
                <w:szCs w:val="20"/>
              </w:rPr>
              <w:t>3.8</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450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0.173~0.2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8"/>
                <w:sz w:val="20"/>
                <w:szCs w:val="20"/>
              </w:rPr>
              <w:t>溶解性总固</w:t>
            </w:r>
            <w:r>
              <w:rPr>
                <w:rFonts w:ascii="宋体" w:hAnsi="宋体" w:eastAsia="宋体" w:cs="宋体"/>
                <w:spacing w:val="7"/>
                <w:sz w:val="20"/>
                <w:szCs w:val="20"/>
              </w:rPr>
              <w:t>体</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173</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138</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151</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1000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0.138</w:t>
            </w:r>
            <w:r>
              <w:rPr>
                <w:rFonts w:hint="eastAsia" w:ascii="Times New Roman" w:hAnsi="Times New Roman" w:eastAsia="Times New Roman" w:cs="Times New Roman"/>
                <w:position w:val="3"/>
                <w:sz w:val="20"/>
                <w:szCs w:val="20"/>
              </w:rPr>
              <w:t>~0.</w:t>
            </w:r>
            <w:r>
              <w:rPr>
                <w:rFonts w:hint="eastAsia" w:ascii="Times New Roman" w:hAnsi="Times New Roman" w:eastAsia="宋体" w:cs="Times New Roman"/>
                <w:position w:val="3"/>
                <w:sz w:val="20"/>
                <w:szCs w:val="20"/>
                <w:lang w:val="en-US" w:eastAsia="zh-CN"/>
              </w:rPr>
              <w:t>173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z w:val="20"/>
                <w:szCs w:val="20"/>
              </w:rPr>
              <w:t>氨氮(以</w:t>
            </w:r>
            <w:r>
              <w:rPr>
                <w:rFonts w:ascii="Times New Roman" w:hAnsi="Times New Roman" w:eastAsia="Times New Roman" w:cs="Times New Roman"/>
                <w:sz w:val="20"/>
                <w:szCs w:val="20"/>
              </w:rPr>
              <w:t>N</w:t>
            </w:r>
            <w:r>
              <w:rPr>
                <w:rFonts w:ascii="宋体" w:hAnsi="宋体" w:eastAsia="宋体" w:cs="宋体"/>
                <w:sz w:val="20"/>
                <w:szCs w:val="20"/>
              </w:rPr>
              <w:t>计)</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.040</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.043</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.040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0.5</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position w:val="3"/>
                <w:sz w:val="20"/>
                <w:szCs w:val="20"/>
                <w:lang w:val="en-US" w:eastAsia="zh-CN"/>
              </w:rPr>
              <w:t>0.08</w:t>
            </w:r>
            <w:r>
              <w:rPr>
                <w:rFonts w:hint="eastAsia" w:ascii="Times New Roman" w:hAnsi="Times New Roman" w:eastAsia="Times New Roman" w:cs="Times New Roman"/>
                <w:position w:val="3"/>
                <w:sz w:val="20"/>
                <w:szCs w:val="20"/>
              </w:rPr>
              <w:t>~0.</w:t>
            </w:r>
            <w:r>
              <w:rPr>
                <w:rFonts w:hint="eastAsia" w:ascii="Times New Roman" w:hAnsi="Times New Roman" w:eastAsia="宋体" w:cs="Times New Roman"/>
                <w:position w:val="3"/>
                <w:sz w:val="20"/>
                <w:szCs w:val="20"/>
                <w:lang w:val="en-US" w:eastAsia="zh-CN"/>
              </w:rPr>
              <w:t>08</w:t>
            </w:r>
            <w:r>
              <w:rPr>
                <w:rFonts w:hint="eastAsia" w:ascii="Times New Roman" w:hAnsi="Times New Roman" w:eastAsia="Times New Roman" w:cs="Times New Roman"/>
                <w:position w:val="3"/>
                <w:sz w:val="20"/>
                <w:szCs w:val="20"/>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2"/>
                <w:sz w:val="20"/>
                <w:szCs w:val="20"/>
              </w:rPr>
              <w:t>耗氧量</w:t>
            </w:r>
            <w:r>
              <w:rPr>
                <w:rFonts w:ascii="宋体" w:hAnsi="宋体" w:eastAsia="宋体" w:cs="宋体"/>
                <w:spacing w:val="1"/>
                <w:sz w:val="20"/>
                <w:szCs w:val="20"/>
              </w:rPr>
              <w:t>(以</w:t>
            </w:r>
            <w:r>
              <w:rPr>
                <w:rFonts w:ascii="Times New Roman" w:hAnsi="Times New Roman" w:eastAsia="Times New Roman" w:cs="Times New Roman"/>
                <w:sz w:val="20"/>
                <w:szCs w:val="20"/>
              </w:rPr>
              <w:t>O</w:t>
            </w:r>
            <w:r>
              <w:rPr>
                <w:rFonts w:ascii="Times New Roman" w:hAnsi="Times New Roman" w:eastAsia="Times New Roman" w:cs="Times New Roman"/>
                <w:spacing w:val="1"/>
                <w:position w:val="-1"/>
                <w:sz w:val="13"/>
                <w:szCs w:val="13"/>
              </w:rPr>
              <w:t xml:space="preserve">2 </w:t>
            </w:r>
            <w:r>
              <w:rPr>
                <w:rFonts w:ascii="宋体" w:hAnsi="宋体" w:eastAsia="宋体" w:cs="宋体"/>
                <w:spacing w:val="1"/>
                <w:sz w:val="20"/>
                <w:szCs w:val="20"/>
              </w:rPr>
              <w:t>计)</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.84</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.81</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.84</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3</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eastAsia="宋体" w:cs="Times New Roman"/>
                <w:spacing w:val="-1"/>
                <w:sz w:val="21"/>
                <w:szCs w:val="21"/>
                <w:highlight w:val="none"/>
                <w:lang w:val="en-US" w:eastAsia="zh-CN"/>
              </w:rPr>
              <w:t>0.27</w:t>
            </w:r>
            <w:r>
              <w:rPr>
                <w:rFonts w:ascii="Times New Roman" w:hAnsi="Times New Roman" w:eastAsia="Times New Roman" w:cs="Times New Roman"/>
                <w:spacing w:val="-1"/>
                <w:sz w:val="21"/>
                <w:szCs w:val="21"/>
                <w:highlight w:val="none"/>
              </w:rPr>
              <w:t>~0.</w:t>
            </w:r>
            <w:r>
              <w:rPr>
                <w:rFonts w:hint="eastAsia" w:eastAsia="宋体" w:cs="Times New Roman"/>
                <w:spacing w:val="-1"/>
                <w:sz w:val="21"/>
                <w:szCs w:val="21"/>
                <w:highlight w:val="none"/>
                <w:lang w:val="en-US" w:eastAsia="zh-CN"/>
              </w:rPr>
              <w:t>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2"/>
                <w:sz w:val="20"/>
                <w:szCs w:val="20"/>
              </w:rPr>
              <w:t>亚硝酸盐(以</w:t>
            </w:r>
            <w:r>
              <w:rPr>
                <w:rFonts w:ascii="Times New Roman" w:hAnsi="Times New Roman" w:eastAsia="Times New Roman" w:cs="Times New Roman"/>
                <w:sz w:val="20"/>
                <w:szCs w:val="20"/>
              </w:rPr>
              <w:t>N</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计)</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1.0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
                <w:sz w:val="20"/>
                <w:szCs w:val="20"/>
              </w:rPr>
              <w:t>硝酸盐(以</w:t>
            </w:r>
            <w:r>
              <w:rPr>
                <w:rFonts w:ascii="Times New Roman" w:hAnsi="Times New Roman" w:eastAsia="Times New Roman" w:cs="Times New Roman"/>
                <w:sz w:val="20"/>
                <w:szCs w:val="20"/>
              </w:rPr>
              <w:t>N</w:t>
            </w:r>
            <w:r>
              <w:rPr>
                <w:rFonts w:ascii="宋体" w:hAnsi="宋体" w:eastAsia="宋体" w:cs="宋体"/>
                <w:spacing w:val="1"/>
                <w:sz w:val="20"/>
                <w:szCs w:val="20"/>
              </w:rPr>
              <w:t>计)</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5"/>
                <w:sz w:val="20"/>
                <w:szCs w:val="20"/>
              </w:rPr>
              <w:t>.101</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5"/>
                <w:sz w:val="20"/>
                <w:szCs w:val="20"/>
              </w:rPr>
              <w:t>.101</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5"/>
                <w:sz w:val="20"/>
                <w:szCs w:val="20"/>
              </w:rPr>
              <w:t>.103</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20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highlight w:val="none"/>
              </w:rPr>
            </w:pPr>
            <w:r>
              <w:rPr>
                <w:rFonts w:ascii="宋体" w:hAnsi="宋体" w:eastAsia="宋体" w:cs="宋体"/>
                <w:spacing w:val="6"/>
                <w:sz w:val="20"/>
                <w:szCs w:val="20"/>
                <w:highlight w:val="none"/>
              </w:rPr>
              <w:t>氯化</w:t>
            </w:r>
            <w:r>
              <w:rPr>
                <w:rFonts w:ascii="宋体" w:hAnsi="宋体" w:eastAsia="宋体" w:cs="宋体"/>
                <w:spacing w:val="5"/>
                <w:sz w:val="20"/>
                <w:szCs w:val="20"/>
                <w:highlight w:val="none"/>
              </w:rPr>
              <w:t>物</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.922</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.928</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03</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250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highlight w:val="none"/>
              </w:rPr>
            </w:pPr>
            <w:r>
              <w:rPr>
                <w:rFonts w:ascii="宋体" w:hAnsi="宋体" w:eastAsia="宋体" w:cs="宋体"/>
                <w:spacing w:val="-1"/>
                <w:sz w:val="20"/>
                <w:szCs w:val="20"/>
                <w:highlight w:val="none"/>
              </w:rPr>
              <w:t>硫酸</w:t>
            </w:r>
            <w:r>
              <w:rPr>
                <w:rFonts w:ascii="宋体" w:hAnsi="宋体" w:eastAsia="宋体" w:cs="宋体"/>
                <w:sz w:val="20"/>
                <w:szCs w:val="20"/>
                <w:highlight w:val="none"/>
              </w:rPr>
              <w:t>盐</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w:t>
            </w:r>
            <w:r>
              <w:rPr>
                <w:rFonts w:ascii="Times New Roman" w:hAnsi="Times New Roman" w:eastAsia="Times New Roman" w:cs="Times New Roman"/>
                <w:sz w:val="20"/>
                <w:szCs w:val="20"/>
              </w:rPr>
              <w:t>.8</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w:t>
            </w:r>
            <w:r>
              <w:rPr>
                <w:rFonts w:ascii="Times New Roman" w:hAnsi="Times New Roman" w:eastAsia="Times New Roman" w:cs="Times New Roman"/>
                <w:sz w:val="20"/>
                <w:szCs w:val="20"/>
              </w:rPr>
              <w:t>0</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w:t>
            </w:r>
            <w:r>
              <w:rPr>
                <w:rFonts w:ascii="Times New Roman" w:hAnsi="Times New Roman" w:eastAsia="Times New Roman" w:cs="Times New Roman"/>
                <w:spacing w:val="-1"/>
                <w:sz w:val="20"/>
                <w:szCs w:val="20"/>
              </w:rPr>
              <w:t>.2</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250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Times New Roman" w:cs="Times New Roman"/>
                <w:position w:val="3"/>
                <w:sz w:val="20"/>
                <w:szCs w:val="20"/>
                <w:lang w:val="en-US"/>
              </w:rPr>
            </w:pPr>
            <w:r>
              <w:rPr>
                <w:rFonts w:hint="eastAsia" w:ascii="Times New Roman" w:hAnsi="Times New Roman" w:eastAsia="宋体" w:cs="Times New Roman"/>
                <w:spacing w:val="0"/>
                <w:w w:val="100"/>
                <w:position w:val="0"/>
                <w:sz w:val="21"/>
                <w:szCs w:val="21"/>
                <w:highlight w:val="none"/>
                <w:lang w:val="en-US" w:eastAsia="zh-CN"/>
              </w:rPr>
              <w:t>0</w:t>
            </w:r>
            <w:r>
              <w:rPr>
                <w:rFonts w:hint="eastAsia" w:cs="Times New Roman"/>
                <w:spacing w:val="0"/>
                <w:w w:val="100"/>
                <w:position w:val="0"/>
                <w:sz w:val="21"/>
                <w:szCs w:val="21"/>
                <w:highlight w:val="none"/>
                <w:lang w:val="en-US" w:eastAsia="zh-CN"/>
              </w:rPr>
              <w:t>.053~0.064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z w:val="20"/>
                <w:szCs w:val="20"/>
              </w:rPr>
              <w:t>汞</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0.001</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
                <w:sz w:val="20"/>
                <w:szCs w:val="20"/>
              </w:rPr>
              <w:t>砷</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0.01</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2"/>
                <w:sz w:val="20"/>
                <w:szCs w:val="20"/>
              </w:rPr>
              <w:t>镉</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0.005</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z w:val="20"/>
                <w:szCs w:val="20"/>
              </w:rPr>
              <w:t>铅</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0.01</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
                <w:sz w:val="20"/>
                <w:szCs w:val="20"/>
              </w:rPr>
              <w:t>铬(六价)</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0.05</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
                <w:sz w:val="20"/>
                <w:szCs w:val="20"/>
              </w:rPr>
              <w:t>铁</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0.3</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z w:val="20"/>
                <w:szCs w:val="20"/>
              </w:rPr>
              <w:t>锰</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w:t>
            </w:r>
            <w:r>
              <w:rPr>
                <w:rFonts w:ascii="Times New Roman" w:hAnsi="Times New Roman" w:eastAsia="Times New Roman" w:cs="Times New Roman"/>
                <w:position w:val="3"/>
                <w:sz w:val="20"/>
                <w:szCs w:val="20"/>
              </w:rPr>
              <w:t>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3"/>
                <w:sz w:val="20"/>
                <w:szCs w:val="20"/>
                <w:lang w:val="en-US" w:eastAsia="zh-CN"/>
              </w:rPr>
            </w:pPr>
            <w:r>
              <w:rPr>
                <w:rFonts w:hint="eastAsia" w:ascii="Times New Roman" w:hAnsi="Times New Roman" w:eastAsia="宋体" w:cs="Times New Roman"/>
                <w:position w:val="3"/>
                <w:sz w:val="20"/>
                <w:szCs w:val="20"/>
                <w:lang w:val="en-US" w:eastAsia="zh-CN"/>
              </w:rPr>
              <w:t>0.1</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3"/>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2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Arial"/>
                <w:sz w:val="21"/>
              </w:rPr>
            </w:pP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宋体" w:hAnsi="宋体" w:eastAsia="宋体" w:cs="宋体"/>
                <w:sz w:val="20"/>
                <w:szCs w:val="20"/>
              </w:rPr>
            </w:pPr>
            <w:r>
              <w:rPr>
                <w:rFonts w:ascii="宋体" w:hAnsi="宋体" w:eastAsia="宋体" w:cs="宋体"/>
                <w:spacing w:val="10"/>
                <w:sz w:val="20"/>
                <w:szCs w:val="20"/>
              </w:rPr>
              <w:t>总</w:t>
            </w:r>
            <w:r>
              <w:rPr>
                <w:rFonts w:ascii="宋体" w:hAnsi="宋体" w:eastAsia="宋体" w:cs="宋体"/>
                <w:spacing w:val="7"/>
                <w:sz w:val="20"/>
                <w:szCs w:val="20"/>
              </w:rPr>
              <w:t>大肠菌群</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r>
              <w:rPr>
                <w:rFonts w:ascii="Times New Roman" w:hAnsi="Times New Roman" w:eastAsia="Times New Roman" w:cs="Times New Roman"/>
                <w:spacing w:val="7"/>
                <w:sz w:val="20"/>
                <w:szCs w:val="20"/>
              </w:rPr>
              <w:t>D</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MPN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100mL</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position w:val="1"/>
                <w:sz w:val="20"/>
                <w:szCs w:val="20"/>
                <w:lang w:val="en-US" w:eastAsia="zh-CN"/>
              </w:rPr>
            </w:pPr>
            <w:r>
              <w:rPr>
                <w:rFonts w:hint="eastAsia" w:ascii="Times New Roman" w:hAnsi="Times New Roman" w:eastAsia="宋体" w:cs="Times New Roman"/>
                <w:position w:val="1"/>
                <w:sz w:val="20"/>
                <w:szCs w:val="20"/>
                <w:lang w:val="en-US" w:eastAsia="zh-CN"/>
              </w:rPr>
              <w:t>3.0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ascii="Times New Roman" w:hAnsi="Times New Roman" w:eastAsia="Times New Roman" w:cs="Times New Roman"/>
                <w:position w:val="1"/>
                <w:sz w:val="20"/>
                <w:szCs w:val="20"/>
              </w:rPr>
            </w:pPr>
            <w:r>
              <w:rPr>
                <w:rFonts w:hint="eastAsia" w:ascii="Times New Roman" w:hAnsi="Times New Roman" w:eastAsia="宋体" w:cs="Times New Roman"/>
                <w:spacing w:val="0"/>
                <w:w w:val="100"/>
                <w:position w:val="0"/>
                <w:sz w:val="21"/>
                <w:szCs w:val="21"/>
                <w:highlight w:val="none"/>
                <w:lang w:val="en-US" w:eastAsia="zh-CN"/>
              </w:rPr>
              <w:t>0</w:t>
            </w:r>
          </w:p>
        </w:tc>
      </w:tr>
    </w:tbl>
    <w:p>
      <w:pPr>
        <w:spacing w:before="51" w:line="186" w:lineRule="auto"/>
        <w:ind w:firstLine="190"/>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6"/>
          <w:sz w:val="21"/>
          <w:szCs w:val="21"/>
          <w:highlight w:val="none"/>
        </w:rPr>
        <w:t>注：1.样品检测结果小于最低检出浓度时，样品结果表示为“ND”。</w:t>
      </w:r>
    </w:p>
    <w:p>
      <w:pPr>
        <w:bidi w:val="0"/>
        <w:rPr>
          <w:highlight w:val="none"/>
        </w:rPr>
      </w:pPr>
      <w:r>
        <w:rPr>
          <w:highlight w:val="none"/>
        </w:rPr>
        <w:t>由上表可知，项目所在地地下水各监测因子标准指数均小于1，达到《地下水质量标准》（GB/T14848-2017）中的Ⅲ类标准。</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val="en-US" w:eastAsia="zh-CN"/>
        </w:rPr>
        <w:t xml:space="preserve">5.2.4  </w:t>
      </w:r>
      <w:r>
        <w:rPr>
          <w:rFonts w:ascii="宋体" w:hAnsi="宋体" w:eastAsia="宋体" w:cs="宋体"/>
          <w:spacing w:val="-1"/>
          <w:sz w:val="28"/>
          <w:szCs w:val="28"/>
          <w:highlight w:val="none"/>
        </w:rPr>
        <w:t>声环境质量现状调查分析</w:t>
      </w:r>
    </w:p>
    <w:p>
      <w:pPr>
        <w:bidi w:val="0"/>
        <w:rPr>
          <w:highlight w:val="none"/>
        </w:rPr>
      </w:pPr>
      <w:r>
        <w:rPr>
          <w:rFonts w:hint="eastAsia"/>
          <w:highlight w:val="none"/>
          <w:lang w:val="en-US" w:eastAsia="zh-CN"/>
        </w:rPr>
        <w:t>1</w:t>
      </w:r>
      <w:r>
        <w:rPr>
          <w:rFonts w:hint="eastAsia"/>
          <w:highlight w:val="none"/>
          <w:lang w:eastAsia="zh-CN"/>
        </w:rPr>
        <w:t>、</w:t>
      </w:r>
      <w:r>
        <w:rPr>
          <w:highlight w:val="none"/>
        </w:rPr>
        <w:t>监测点布置</w:t>
      </w:r>
    </w:p>
    <w:p>
      <w:pPr>
        <w:bidi w:val="0"/>
        <w:rPr>
          <w:highlight w:val="none"/>
        </w:rPr>
      </w:pPr>
      <w:r>
        <w:rPr>
          <w:highlight w:val="none"/>
        </w:rPr>
        <w:t>2021年</w:t>
      </w:r>
      <w:r>
        <w:rPr>
          <w:rFonts w:hint="eastAsia"/>
          <w:highlight w:val="none"/>
          <w:lang w:val="en-US" w:eastAsia="zh-CN"/>
        </w:rPr>
        <w:t>12</w:t>
      </w:r>
      <w:r>
        <w:rPr>
          <w:highlight w:val="none"/>
        </w:rPr>
        <w:t>月</w:t>
      </w:r>
      <w:r>
        <w:rPr>
          <w:rFonts w:hint="eastAsia"/>
          <w:highlight w:val="none"/>
          <w:lang w:val="en-US" w:eastAsia="zh-CN"/>
        </w:rPr>
        <w:t>7</w:t>
      </w:r>
      <w:r>
        <w:rPr>
          <w:highlight w:val="none"/>
        </w:rPr>
        <w:t>日和</w:t>
      </w:r>
      <w:r>
        <w:rPr>
          <w:rFonts w:hint="eastAsia"/>
          <w:highlight w:val="none"/>
          <w:lang w:val="en-US" w:eastAsia="zh-CN"/>
        </w:rPr>
        <w:t>12</w:t>
      </w:r>
      <w:r>
        <w:rPr>
          <w:highlight w:val="none"/>
        </w:rPr>
        <w:t>月</w:t>
      </w:r>
      <w:r>
        <w:rPr>
          <w:rFonts w:hint="eastAsia"/>
          <w:highlight w:val="none"/>
          <w:lang w:val="en-US" w:eastAsia="zh-CN"/>
        </w:rPr>
        <w:t>8</w:t>
      </w:r>
      <w:r>
        <w:rPr>
          <w:highlight w:val="none"/>
        </w:rPr>
        <w:t>日，</w:t>
      </w:r>
      <w:r>
        <w:rPr>
          <w:rFonts w:hint="eastAsia"/>
          <w:highlight w:val="none"/>
        </w:rPr>
        <w:t>湖南谱实检测技术有限公司</w:t>
      </w:r>
      <w:r>
        <w:rPr>
          <w:highlight w:val="none"/>
        </w:rPr>
        <w:t>在项目场区四至（N1~N4）共布设4个声环境监测点，进行现场监测。具体位置详见附图。</w:t>
      </w:r>
    </w:p>
    <w:p>
      <w:pPr>
        <w:bidi w:val="0"/>
        <w:rPr>
          <w:highlight w:val="none"/>
        </w:rPr>
      </w:pPr>
      <w:r>
        <w:rPr>
          <w:highlight w:val="none"/>
        </w:rPr>
        <w:t>监测时间和频率：时间为两天，每天白天和夜晚各监测一次。</w:t>
      </w:r>
    </w:p>
    <w:p>
      <w:pPr>
        <w:bidi w:val="0"/>
        <w:rPr>
          <w:highlight w:val="none"/>
        </w:rPr>
      </w:pPr>
      <w:r>
        <w:rPr>
          <w:rFonts w:hint="eastAsia"/>
          <w:highlight w:val="none"/>
          <w:lang w:val="en-US" w:eastAsia="zh-CN"/>
        </w:rPr>
        <w:t>2</w:t>
      </w:r>
      <w:r>
        <w:rPr>
          <w:rFonts w:hint="eastAsia"/>
          <w:highlight w:val="none"/>
          <w:lang w:eastAsia="zh-CN"/>
        </w:rPr>
        <w:t>、</w:t>
      </w:r>
      <w:r>
        <w:rPr>
          <w:highlight w:val="none"/>
        </w:rPr>
        <w:t>评价标准及评价方法</w:t>
      </w:r>
    </w:p>
    <w:p>
      <w:pPr>
        <w:bidi w:val="0"/>
        <w:rPr>
          <w:highlight w:val="none"/>
        </w:rPr>
      </w:pPr>
      <w:r>
        <w:rPr>
          <w:highlight w:val="none"/>
        </w:rPr>
        <w:t>（1）评价标准</w:t>
      </w:r>
    </w:p>
    <w:p>
      <w:pPr>
        <w:bidi w:val="0"/>
        <w:rPr>
          <w:highlight w:val="none"/>
        </w:rPr>
      </w:pPr>
      <w:r>
        <w:rPr>
          <w:highlight w:val="none"/>
        </w:rPr>
        <w:t>各个监测点均执行《声环境质量标准》（GB3096-2008）2类功能区标准限值，即昼间60dB （A）夜间50dB （A）。</w:t>
      </w:r>
    </w:p>
    <w:p>
      <w:pPr>
        <w:bidi w:val="0"/>
        <w:rPr>
          <w:highlight w:val="none"/>
        </w:rPr>
      </w:pPr>
      <w:r>
        <w:rPr>
          <w:highlight w:val="none"/>
        </w:rPr>
        <w:t>（2）评价方法</w:t>
      </w:r>
    </w:p>
    <w:p>
      <w:pPr>
        <w:bidi w:val="0"/>
        <w:rPr>
          <w:highlight w:val="none"/>
        </w:rPr>
      </w:pPr>
      <w:r>
        <w:rPr>
          <w:highlight w:val="none"/>
        </w:rPr>
        <w:t>各监测点的监测值与评价标准限值进行比较。</w:t>
      </w:r>
    </w:p>
    <w:p>
      <w:pPr>
        <w:bidi w:val="0"/>
        <w:rPr>
          <w:highlight w:val="none"/>
        </w:rPr>
      </w:pPr>
      <w:r>
        <w:rPr>
          <w:rFonts w:hint="eastAsia"/>
          <w:highlight w:val="none"/>
          <w:lang w:val="en-US" w:eastAsia="zh-CN"/>
        </w:rPr>
        <w:t>3、</w:t>
      </w:r>
      <w:r>
        <w:rPr>
          <w:highlight w:val="none"/>
        </w:rPr>
        <w:t>监测结果及分析</w:t>
      </w:r>
    </w:p>
    <w:p>
      <w:pPr>
        <w:bidi w:val="0"/>
        <w:rPr>
          <w:highlight w:val="none"/>
        </w:rPr>
      </w:pPr>
      <w:r>
        <w:rPr>
          <w:highlight w:val="none"/>
        </w:rPr>
        <w:t>本项目声环境监测和评价结果列于表</w:t>
      </w:r>
      <w:r>
        <w:rPr>
          <w:rFonts w:hint="eastAsia"/>
          <w:highlight w:val="none"/>
          <w:lang w:val="en-US" w:eastAsia="zh-CN"/>
        </w:rPr>
        <w:t>5.2-10</w:t>
      </w:r>
      <w:r>
        <w:rPr>
          <w:highlight w:val="none"/>
        </w:rPr>
        <w:t>。</w:t>
      </w:r>
    </w:p>
    <w:p>
      <w:pPr>
        <w:pStyle w:val="7"/>
        <w:bidi w:val="0"/>
        <w:rPr>
          <w:highlight w:val="none"/>
        </w:rPr>
      </w:pPr>
      <w:r>
        <w:rPr>
          <w:rFonts w:hint="eastAsia"/>
          <w:highlight w:val="none"/>
          <w:lang w:eastAsia="zh-CN"/>
        </w:rPr>
        <w:t>表</w:t>
      </w:r>
      <w:r>
        <w:rPr>
          <w:rFonts w:hint="eastAsia"/>
          <w:highlight w:val="none"/>
          <w:lang w:val="en-US" w:eastAsia="zh-CN"/>
        </w:rPr>
        <w:t xml:space="preserve">5.2-10  </w:t>
      </w:r>
      <w:r>
        <w:rPr>
          <w:highlight w:val="none"/>
        </w:rPr>
        <w:t>环境噪声检测结果</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754"/>
        <w:gridCol w:w="1392"/>
        <w:gridCol w:w="1394"/>
        <w:gridCol w:w="1392"/>
        <w:gridCol w:w="14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检测点位</w:t>
            </w:r>
          </w:p>
        </w:tc>
        <w:tc>
          <w:tcPr>
            <w:tcW w:w="3347"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检测结果（Leq：dB（A））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167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12月7日</w:t>
            </w:r>
          </w:p>
        </w:tc>
        <w:tc>
          <w:tcPr>
            <w:tcW w:w="167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12月8日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昼间</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夜间</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昼间</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N1 项目地东侧外1m处</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53</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43</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53</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N2 项目地南侧外1m处</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53</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41</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53</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N3 项目地西侧外1m处</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54</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43</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53</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N4 项目地北侧外1m处</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52</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42</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52</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超标率（%）</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2类标准值</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60</w:t>
            </w:r>
          </w:p>
        </w:tc>
        <w:tc>
          <w:tcPr>
            <w:tcW w:w="8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50</w:t>
            </w:r>
          </w:p>
        </w:tc>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60</w:t>
            </w:r>
          </w:p>
        </w:tc>
        <w:tc>
          <w:tcPr>
            <w:tcW w:w="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50</w:t>
            </w:r>
          </w:p>
        </w:tc>
      </w:tr>
    </w:tbl>
    <w:p>
      <w:pPr>
        <w:bidi w:val="0"/>
        <w:rPr>
          <w:highlight w:val="none"/>
        </w:rPr>
      </w:pPr>
      <w:r>
        <w:rPr>
          <w:highlight w:val="none"/>
        </w:rPr>
        <w:t>由表</w:t>
      </w:r>
      <w:r>
        <w:rPr>
          <w:rFonts w:hint="eastAsia"/>
          <w:highlight w:val="none"/>
          <w:lang w:val="en-US" w:eastAsia="zh-CN"/>
        </w:rPr>
        <w:t>5.2-10</w:t>
      </w:r>
      <w:r>
        <w:rPr>
          <w:highlight w:val="none"/>
        </w:rPr>
        <w:t>可知，本次评价各监测点昼夜声级均达到《声环境质量标准》</w:t>
      </w:r>
      <w:r>
        <w:rPr>
          <w:rFonts w:hint="eastAsia"/>
          <w:highlight w:val="none"/>
          <w:lang w:eastAsia="zh-CN"/>
        </w:rPr>
        <w:t>（</w:t>
      </w:r>
      <w:r>
        <w:rPr>
          <w:highlight w:val="none"/>
        </w:rPr>
        <w:t>GB3096-2008</w:t>
      </w:r>
      <w:r>
        <w:rPr>
          <w:rFonts w:hint="eastAsia"/>
          <w:highlight w:val="none"/>
          <w:lang w:eastAsia="zh-CN"/>
        </w:rPr>
        <w:t>）</w:t>
      </w:r>
      <w:r>
        <w:rPr>
          <w:highlight w:val="none"/>
        </w:rPr>
        <w:t>中的2类标准，评价区域声环境质量现状良好。</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val="en-US" w:eastAsia="zh-CN"/>
        </w:rPr>
        <w:t xml:space="preserve">5.2.5  </w:t>
      </w:r>
      <w:r>
        <w:rPr>
          <w:rFonts w:ascii="宋体" w:hAnsi="宋体" w:eastAsia="宋体" w:cs="宋体"/>
          <w:spacing w:val="-1"/>
          <w:sz w:val="28"/>
          <w:szCs w:val="28"/>
          <w:highlight w:val="none"/>
        </w:rPr>
        <w:t>土壤环境质量现状</w:t>
      </w:r>
    </w:p>
    <w:p>
      <w:pPr>
        <w:bidi w:val="0"/>
        <w:rPr>
          <w:highlight w:val="none"/>
        </w:rPr>
      </w:pPr>
      <w:r>
        <w:rPr>
          <w:rFonts w:hint="eastAsia"/>
          <w:highlight w:val="none"/>
          <w:lang w:val="en-US" w:eastAsia="zh-CN"/>
        </w:rPr>
        <w:t>1、</w:t>
      </w:r>
      <w:r>
        <w:rPr>
          <w:highlight w:val="none"/>
        </w:rPr>
        <w:t>监测点位</w:t>
      </w:r>
    </w:p>
    <w:p>
      <w:pPr>
        <w:bidi w:val="0"/>
        <w:rPr>
          <w:highlight w:val="none"/>
        </w:rPr>
      </w:pPr>
      <w:r>
        <w:rPr>
          <w:highlight w:val="none"/>
        </w:rPr>
        <w:t>项目场区中部（T1）、项目场区南面（T2）、项目场区北面（T3）；</w:t>
      </w:r>
    </w:p>
    <w:p>
      <w:pPr>
        <w:bidi w:val="0"/>
        <w:rPr>
          <w:highlight w:val="none"/>
        </w:rPr>
      </w:pPr>
      <w:r>
        <w:rPr>
          <w:rFonts w:hint="eastAsia"/>
          <w:highlight w:val="none"/>
          <w:lang w:val="en-US" w:eastAsia="zh-CN"/>
        </w:rPr>
        <w:t>2、</w:t>
      </w:r>
      <w:r>
        <w:rPr>
          <w:highlight w:val="none"/>
        </w:rPr>
        <w:t>监测因子：</w:t>
      </w:r>
    </w:p>
    <w:p>
      <w:pPr>
        <w:bidi w:val="0"/>
        <w:rPr>
          <w:highlight w:val="none"/>
        </w:rPr>
      </w:pPr>
      <w:r>
        <w:rPr>
          <w:highlight w:val="none"/>
        </w:rPr>
        <w:t>pH值</w:t>
      </w:r>
      <w:r>
        <w:rPr>
          <w:rFonts w:hint="eastAsia"/>
          <w:highlight w:val="none"/>
          <w:lang w:eastAsia="zh-CN"/>
        </w:rPr>
        <w:t>、</w:t>
      </w:r>
      <w:r>
        <w:rPr>
          <w:highlight w:val="none"/>
        </w:rPr>
        <w:t>砷、镉、铬（六价）、铜、铅、汞、镍</w:t>
      </w:r>
    </w:p>
    <w:p>
      <w:pPr>
        <w:bidi w:val="0"/>
        <w:rPr>
          <w:highlight w:val="none"/>
        </w:rPr>
      </w:pPr>
      <w:r>
        <w:rPr>
          <w:rFonts w:hint="eastAsia"/>
          <w:highlight w:val="none"/>
          <w:lang w:val="en-US" w:eastAsia="zh-CN"/>
        </w:rPr>
        <w:t>3、</w:t>
      </w:r>
      <w:r>
        <w:rPr>
          <w:highlight w:val="none"/>
        </w:rPr>
        <w:t>监测频率</w:t>
      </w:r>
    </w:p>
    <w:p>
      <w:pPr>
        <w:bidi w:val="0"/>
        <w:rPr>
          <w:highlight w:val="none"/>
        </w:rPr>
      </w:pPr>
      <w:r>
        <w:rPr>
          <w:highlight w:val="none"/>
        </w:rPr>
        <w:t>监测1天，一次</w:t>
      </w:r>
    </w:p>
    <w:p>
      <w:pPr>
        <w:bidi w:val="0"/>
        <w:rPr>
          <w:highlight w:val="none"/>
        </w:rPr>
      </w:pPr>
      <w:r>
        <w:rPr>
          <w:rFonts w:hint="eastAsia"/>
          <w:highlight w:val="none"/>
          <w:lang w:val="en-US" w:eastAsia="zh-CN"/>
        </w:rPr>
        <w:t>4、</w:t>
      </w:r>
      <w:r>
        <w:rPr>
          <w:highlight w:val="none"/>
        </w:rPr>
        <w:t>监测方法</w:t>
      </w:r>
    </w:p>
    <w:p>
      <w:pPr>
        <w:bidi w:val="0"/>
        <w:rPr>
          <w:highlight w:val="none"/>
        </w:rPr>
      </w:pPr>
      <w:r>
        <w:rPr>
          <w:highlight w:val="none"/>
        </w:rPr>
        <w:t>监测分析方法按国家现行有关标准、技术规范执行。</w:t>
      </w:r>
    </w:p>
    <w:p>
      <w:pPr>
        <w:bidi w:val="0"/>
        <w:rPr>
          <w:highlight w:val="none"/>
        </w:rPr>
      </w:pPr>
      <w:r>
        <w:rPr>
          <w:rFonts w:hint="eastAsia"/>
          <w:highlight w:val="none"/>
          <w:lang w:val="en-US" w:eastAsia="zh-CN"/>
        </w:rPr>
        <w:t>5、</w:t>
      </w:r>
      <w:r>
        <w:rPr>
          <w:highlight w:val="none"/>
        </w:rPr>
        <w:t>监测结果</w:t>
      </w:r>
    </w:p>
    <w:p>
      <w:pPr>
        <w:pStyle w:val="7"/>
        <w:bidi w:val="0"/>
        <w:rPr>
          <w:highlight w:val="none"/>
        </w:rPr>
      </w:pPr>
      <w:r>
        <w:rPr>
          <w:rFonts w:hint="eastAsia"/>
          <w:highlight w:val="none"/>
          <w:lang w:eastAsia="zh-CN"/>
        </w:rPr>
        <w:t>表</w:t>
      </w:r>
      <w:r>
        <w:rPr>
          <w:rFonts w:hint="eastAsia"/>
          <w:highlight w:val="none"/>
          <w:lang w:val="en-US" w:eastAsia="zh-CN"/>
        </w:rPr>
        <w:t xml:space="preserve">5.2-11  </w:t>
      </w:r>
      <w:r>
        <w:rPr>
          <w:rFonts w:ascii="宋体" w:hAnsi="宋体" w:eastAsia="宋体" w:cs="宋体"/>
          <w:spacing w:val="-2"/>
          <w:sz w:val="24"/>
          <w:szCs w:val="24"/>
          <w:highlight w:val="none"/>
        </w:rPr>
        <w:t>土壤环境质量检测结果</w:t>
      </w:r>
    </w:p>
    <w:tbl>
      <w:tblPr>
        <w:tblStyle w:val="3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887"/>
        <w:gridCol w:w="1447"/>
        <w:gridCol w:w="1447"/>
        <w:gridCol w:w="1459"/>
        <w:gridCol w:w="757"/>
        <w:gridCol w:w="757"/>
        <w:gridCol w:w="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采样日期</w:t>
            </w:r>
          </w:p>
        </w:tc>
        <w:tc>
          <w:tcPr>
            <w:tcW w:w="5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检测项目</w:t>
            </w:r>
          </w:p>
        </w:tc>
        <w:tc>
          <w:tcPr>
            <w:tcW w:w="261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检测结果</w:t>
            </w:r>
          </w:p>
        </w:tc>
        <w:tc>
          <w:tcPr>
            <w:tcW w:w="4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计量单位</w:t>
            </w:r>
          </w:p>
        </w:tc>
        <w:tc>
          <w:tcPr>
            <w:tcW w:w="4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ascii="宋体" w:hAnsi="宋体" w:eastAsia="宋体" w:cs="宋体"/>
                <w:spacing w:val="-4"/>
                <w:sz w:val="21"/>
                <w:szCs w:val="21"/>
                <w:highlight w:val="none"/>
              </w:rPr>
              <w:t>标准值</w:t>
            </w:r>
          </w:p>
        </w:tc>
        <w:tc>
          <w:tcPr>
            <w:tcW w:w="4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ascii="宋体" w:hAnsi="宋体" w:eastAsia="宋体" w:cs="宋体"/>
                <w:spacing w:val="-3"/>
                <w:sz w:val="21"/>
                <w:szCs w:val="21"/>
                <w:highlight w:val="none"/>
              </w:rPr>
              <w:t>评价结果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T1项目场区中部（0-0.2m）</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T2项目场区北面（0-0.2m）</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T3 项目场区北面（0-0.2m）</w:t>
            </w:r>
          </w:p>
        </w:tc>
        <w:tc>
          <w:tcPr>
            <w:tcW w:w="4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4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4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12月7日</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pH值</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6.51</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6.64</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6.59</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无量纲</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ascii="Times New Roman" w:hAnsi="Times New Roman" w:eastAsia="Times New Roman" w:cs="Times New Roman"/>
                <w:spacing w:val="-1"/>
                <w:sz w:val="21"/>
                <w:szCs w:val="21"/>
                <w:highlight w:val="none"/>
              </w:rPr>
              <w:t>6.5~</w:t>
            </w:r>
            <w:r>
              <w:rPr>
                <w:rFonts w:hint="eastAsia" w:eastAsia="宋体" w:cs="Times New Roman"/>
                <w:spacing w:val="-1"/>
                <w:sz w:val="21"/>
                <w:szCs w:val="21"/>
                <w:highlight w:val="none"/>
                <w:lang w:val="en-US" w:eastAsia="zh-CN"/>
              </w:rPr>
              <w:t>7</w:t>
            </w:r>
            <w:r>
              <w:rPr>
                <w:rFonts w:ascii="Times New Roman" w:hAnsi="Times New Roman" w:eastAsia="Times New Roman" w:cs="Times New Roman"/>
                <w:spacing w:val="-1"/>
                <w:sz w:val="21"/>
                <w:szCs w:val="21"/>
                <w:highlight w:val="none"/>
              </w:rPr>
              <w:t>.5</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eastAsia="zh-CN"/>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镉</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0.17</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0.28</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0.25</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0.3</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汞</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0.052</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0.053</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0.054</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2.4</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砷</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11.2</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10.6</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12.4</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30</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铅</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43.1</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49.5</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59.6</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120</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铬</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33</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33</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40</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200</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铜</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13</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18</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10</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100</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锌</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65</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77</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57</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250</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镍</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28</w:t>
            </w:r>
          </w:p>
        </w:tc>
        <w:tc>
          <w:tcPr>
            <w:tcW w:w="8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38</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26</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mg/kg</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lang w:val="en-US" w:eastAsia="zh-CN"/>
              </w:rPr>
            </w:pPr>
            <w:r>
              <w:rPr>
                <w:rFonts w:hint="eastAsia" w:cs="Times New Roman"/>
                <w:spacing w:val="0"/>
                <w:w w:val="100"/>
                <w:position w:val="0"/>
                <w:sz w:val="21"/>
                <w:szCs w:val="21"/>
                <w:highlight w:val="none"/>
                <w:lang w:val="en-US" w:eastAsia="zh-CN"/>
              </w:rPr>
              <w:t>100</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宋体" w:hAnsi="宋体" w:eastAsia="宋体" w:cs="宋体"/>
                <w:spacing w:val="-3"/>
                <w:sz w:val="21"/>
                <w:szCs w:val="21"/>
                <w:highlight w:val="none"/>
                <w:lang w:eastAsia="zh-CN"/>
              </w:rPr>
              <w:t>达标</w:t>
            </w:r>
          </w:p>
        </w:tc>
      </w:tr>
    </w:tbl>
    <w:p>
      <w:pPr>
        <w:bidi w:val="0"/>
        <w:rPr>
          <w:sz w:val="24"/>
          <w:highlight w:val="none"/>
        </w:rPr>
      </w:pPr>
      <w:r>
        <w:rPr>
          <w:sz w:val="24"/>
          <w:highlight w:val="none"/>
        </w:rPr>
        <w:t>土壤监测因子均满足《土壤环境质量 农用地土壤污染风险管控标准（试行）》 （GB15618-2018）表1其他标准，该地块土壤污染风险可以忽略。</w:t>
      </w:r>
    </w:p>
    <w:p>
      <w:pPr>
        <w:pStyle w:val="4"/>
        <w:bidi w:val="0"/>
        <w:rPr>
          <w:highlight w:val="none"/>
        </w:rPr>
      </w:pPr>
      <w:bookmarkStart w:id="66" w:name="_Toc16892"/>
      <w:r>
        <w:rPr>
          <w:rFonts w:hint="eastAsia"/>
          <w:highlight w:val="none"/>
          <w:lang w:val="en-US" w:eastAsia="zh-CN"/>
        </w:rPr>
        <w:t xml:space="preserve">5.3  </w:t>
      </w:r>
      <w:r>
        <w:rPr>
          <w:highlight w:val="none"/>
        </w:rPr>
        <w:t>小结</w:t>
      </w:r>
      <w:bookmarkEnd w:id="66"/>
    </w:p>
    <w:p>
      <w:pPr>
        <w:bidi w:val="0"/>
        <w:rPr>
          <w:highlight w:val="none"/>
        </w:rPr>
      </w:pPr>
      <w:r>
        <w:rPr>
          <w:highlight w:val="none"/>
        </w:rPr>
        <w:t>根据现状监测结果可知：区域空气环境、地表水、地下水、声环境</w:t>
      </w:r>
      <w:r>
        <w:rPr>
          <w:rFonts w:hint="eastAsia"/>
          <w:highlight w:val="none"/>
          <w:lang w:eastAsia="zh-CN"/>
        </w:rPr>
        <w:t>、</w:t>
      </w:r>
      <w:r>
        <w:rPr>
          <w:highlight w:val="none"/>
        </w:rPr>
        <w:t>土壤均达到相关标准，环境质量良好。</w:t>
      </w:r>
    </w:p>
    <w:p>
      <w:pPr>
        <w:bidi w:val="0"/>
        <w:rPr>
          <w:rFonts w:hint="eastAsia"/>
          <w:highlight w:val="none"/>
        </w:rPr>
      </w:pPr>
    </w:p>
    <w:p>
      <w:pPr>
        <w:pStyle w:val="18"/>
        <w:rPr>
          <w:rFonts w:hint="eastAsia"/>
          <w:highlight w:val="none"/>
        </w:rPr>
      </w:pPr>
    </w:p>
    <w:p>
      <w:pPr>
        <w:pStyle w:val="17"/>
        <w:rPr>
          <w:rFonts w:hint="eastAsia"/>
          <w:highlight w:val="none"/>
        </w:rPr>
      </w:pPr>
    </w:p>
    <w:p>
      <w:pPr>
        <w:pStyle w:val="18"/>
        <w:rPr>
          <w:rFonts w:hint="eastAsia"/>
          <w:highlight w:val="none"/>
        </w:rPr>
      </w:pPr>
    </w:p>
    <w:p>
      <w:pPr>
        <w:pStyle w:val="17"/>
        <w:rPr>
          <w:rFonts w:hint="eastAsia"/>
          <w:highlight w:val="none"/>
        </w:rPr>
      </w:pPr>
    </w:p>
    <w:p>
      <w:pPr>
        <w:pStyle w:val="18"/>
        <w:rPr>
          <w:rFonts w:hint="eastAsia"/>
          <w:highlight w:val="none"/>
        </w:rPr>
      </w:pPr>
    </w:p>
    <w:p>
      <w:pPr>
        <w:pStyle w:val="17"/>
        <w:rPr>
          <w:rFonts w:hint="eastAsia"/>
          <w:highlight w:val="none"/>
        </w:rPr>
      </w:pPr>
    </w:p>
    <w:p>
      <w:pPr>
        <w:pStyle w:val="17"/>
        <w:rPr>
          <w:rFonts w:hint="eastAsia"/>
        </w:rPr>
      </w:pPr>
    </w:p>
    <w:p>
      <w:pPr>
        <w:pStyle w:val="18"/>
        <w:rPr>
          <w:rFonts w:hint="eastAsia"/>
        </w:rPr>
      </w:pPr>
    </w:p>
    <w:p>
      <w:pPr>
        <w:pStyle w:val="17"/>
        <w:rPr>
          <w:rFonts w:hint="eastAsia"/>
        </w:rPr>
      </w:pPr>
    </w:p>
    <w:p>
      <w:pPr>
        <w:pStyle w:val="18"/>
        <w:rPr>
          <w:rFonts w:hint="eastAsia"/>
        </w:rPr>
      </w:pPr>
    </w:p>
    <w:p>
      <w:pPr>
        <w:pStyle w:val="17"/>
        <w:rPr>
          <w:rFonts w:hint="eastAsia"/>
        </w:rPr>
      </w:pPr>
    </w:p>
    <w:p>
      <w:pPr>
        <w:pStyle w:val="18"/>
        <w:rPr>
          <w:rFonts w:hint="eastAsia"/>
        </w:rPr>
      </w:pPr>
    </w:p>
    <w:p>
      <w:pPr>
        <w:pStyle w:val="17"/>
        <w:rPr>
          <w:rFonts w:hint="eastAsia"/>
        </w:rPr>
      </w:pPr>
    </w:p>
    <w:p>
      <w:pPr>
        <w:pStyle w:val="18"/>
        <w:rPr>
          <w:rFonts w:hint="eastAsia"/>
        </w:rPr>
      </w:pPr>
    </w:p>
    <w:p>
      <w:pPr>
        <w:pStyle w:val="17"/>
        <w:rPr>
          <w:rFonts w:hint="eastAsia"/>
        </w:rPr>
      </w:pPr>
    </w:p>
    <w:p>
      <w:pPr>
        <w:pStyle w:val="18"/>
        <w:rPr>
          <w:rFonts w:hint="eastAsia"/>
        </w:rPr>
      </w:pPr>
    </w:p>
    <w:p>
      <w:pPr>
        <w:pStyle w:val="18"/>
        <w:rPr>
          <w:rFonts w:hint="eastAsia"/>
          <w:highlight w:val="none"/>
        </w:rPr>
      </w:pPr>
    </w:p>
    <w:p>
      <w:pPr>
        <w:pStyle w:val="17"/>
        <w:rPr>
          <w:highlight w:val="none"/>
        </w:rPr>
      </w:pPr>
    </w:p>
    <w:p>
      <w:pPr>
        <w:pStyle w:val="3"/>
        <w:bidi w:val="0"/>
        <w:rPr>
          <w:highlight w:val="none"/>
        </w:rPr>
      </w:pPr>
      <w:bookmarkStart w:id="67" w:name="_Toc23654"/>
      <w:bookmarkStart w:id="68" w:name="_Toc12827"/>
      <w:r>
        <w:rPr>
          <w:rFonts w:hint="eastAsia"/>
          <w:highlight w:val="none"/>
          <w:lang w:val="en-US" w:eastAsia="zh-CN"/>
        </w:rPr>
        <w:t xml:space="preserve">6 </w:t>
      </w:r>
      <w:r>
        <w:rPr>
          <w:highlight w:val="none"/>
        </w:rPr>
        <w:t xml:space="preserve"> 环境影响预测与评价</w:t>
      </w:r>
      <w:bookmarkEnd w:id="67"/>
      <w:bookmarkEnd w:id="68"/>
    </w:p>
    <w:p>
      <w:pPr>
        <w:pStyle w:val="4"/>
        <w:bidi w:val="0"/>
        <w:rPr>
          <w:rFonts w:ascii="宋体" w:hAnsi="宋体" w:eastAsia="宋体" w:cs="宋体"/>
          <w:sz w:val="28"/>
          <w:szCs w:val="28"/>
          <w:highlight w:val="none"/>
        </w:rPr>
      </w:pPr>
      <w:bookmarkStart w:id="69" w:name="_bookmark26"/>
      <w:bookmarkEnd w:id="69"/>
      <w:bookmarkStart w:id="70" w:name="_Toc4001"/>
      <w:bookmarkStart w:id="71" w:name="_Toc32591"/>
      <w:r>
        <w:rPr>
          <w:rFonts w:hint="eastAsia" w:ascii="Times New Roman" w:hAnsi="Times New Roman" w:eastAsia="宋体" w:cs="Times New Roman"/>
          <w:b/>
          <w:bCs/>
          <w:spacing w:val="-1"/>
          <w:sz w:val="28"/>
          <w:szCs w:val="28"/>
          <w:highlight w:val="none"/>
          <w:lang w:val="en-US" w:eastAsia="zh-CN"/>
        </w:rPr>
        <w:t>6</w:t>
      </w:r>
      <w:r>
        <w:rPr>
          <w:rFonts w:ascii="Times New Roman" w:hAnsi="Times New Roman" w:eastAsia="Times New Roman" w:cs="Times New Roman"/>
          <w:b/>
          <w:bCs/>
          <w:spacing w:val="-1"/>
          <w:sz w:val="28"/>
          <w:szCs w:val="28"/>
          <w:highlight w:val="none"/>
        </w:rPr>
        <w:t>.1</w:t>
      </w:r>
      <w:r>
        <w:rPr>
          <w:rFonts w:hint="eastAsia" w:ascii="Times New Roman" w:hAnsi="Times New Roman" w:eastAsia="宋体" w:cs="Times New Roman"/>
          <w:b/>
          <w:bCs/>
          <w:spacing w:val="-1"/>
          <w:sz w:val="28"/>
          <w:szCs w:val="28"/>
          <w:highlight w:val="none"/>
          <w:lang w:val="en-US" w:eastAsia="zh-CN"/>
        </w:rPr>
        <w:t xml:space="preserve"> </w:t>
      </w:r>
      <w:r>
        <w:rPr>
          <w:rFonts w:ascii="Times New Roman" w:hAnsi="Times New Roman" w:eastAsia="Times New Roman" w:cs="Times New Roman"/>
          <w:sz w:val="28"/>
          <w:szCs w:val="28"/>
          <w:highlight w:val="none"/>
        </w:rPr>
        <w:t xml:space="preserve"> </w:t>
      </w:r>
      <w:r>
        <w:rPr>
          <w:rFonts w:ascii="宋体" w:hAnsi="宋体" w:eastAsia="宋体" w:cs="宋体"/>
          <w:spacing w:val="-1"/>
          <w:sz w:val="28"/>
          <w:szCs w:val="28"/>
          <w:highlight w:val="none"/>
        </w:rPr>
        <w:t>施工期环境影响分析</w:t>
      </w:r>
      <w:bookmarkEnd w:id="70"/>
      <w:bookmarkEnd w:id="71"/>
    </w:p>
    <w:p>
      <w:pPr>
        <w:bidi w:val="0"/>
        <w:rPr>
          <w:highlight w:val="none"/>
        </w:rPr>
      </w:pPr>
      <w:r>
        <w:rPr>
          <w:highlight w:val="none"/>
        </w:rPr>
        <w:t>本项目建设地点位于</w:t>
      </w:r>
      <w:r>
        <w:rPr>
          <w:rFonts w:hint="eastAsia"/>
          <w:highlight w:val="none"/>
        </w:rPr>
        <w:t>岳阳市华容县东山镇长岗庙村9组002号</w:t>
      </w:r>
      <w:r>
        <w:rPr>
          <w:highlight w:val="none"/>
        </w:rPr>
        <w:t>，总占地面积</w:t>
      </w:r>
      <w:r>
        <w:rPr>
          <w:rFonts w:hint="eastAsia"/>
          <w:highlight w:val="none"/>
          <w:lang w:val="en-US" w:eastAsia="zh-CN"/>
        </w:rPr>
        <w:t>7213</w:t>
      </w:r>
      <w:r>
        <w:rPr>
          <w:highlight w:val="none"/>
        </w:rPr>
        <w:t>m</w:t>
      </w:r>
      <w:r>
        <w:rPr>
          <w:highlight w:val="none"/>
          <w:vertAlign w:val="superscript"/>
        </w:rPr>
        <w:t>2</w:t>
      </w:r>
      <w:r>
        <w:rPr>
          <w:highlight w:val="none"/>
        </w:rPr>
        <w:t>。施工内容主要包括场地平整，土建、附属设施的新建、设备安装等。施工期间对环境的影响主要是扬尘、废水、施工噪声、建筑垃圾及生态影响等。</w:t>
      </w:r>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1"/>
          <w:sz w:val="28"/>
          <w:szCs w:val="28"/>
          <w:highlight w:val="none"/>
          <w:lang w:val="en-US" w:eastAsia="zh-CN"/>
        </w:rPr>
        <w:t>6</w:t>
      </w:r>
      <w:r>
        <w:rPr>
          <w:rFonts w:ascii="Times New Roman" w:hAnsi="Times New Roman" w:eastAsia="Times New Roman" w:cs="Times New Roman"/>
          <w:b/>
          <w:bCs/>
          <w:spacing w:val="-1"/>
          <w:sz w:val="28"/>
          <w:szCs w:val="28"/>
          <w:highlight w:val="none"/>
        </w:rPr>
        <w:t>.1.1</w:t>
      </w:r>
      <w:r>
        <w:rPr>
          <w:rFonts w:ascii="Times New Roman" w:hAnsi="Times New Roman" w:eastAsia="Times New Roman" w:cs="Times New Roman"/>
          <w:spacing w:val="6"/>
          <w:w w:val="101"/>
          <w:sz w:val="28"/>
          <w:szCs w:val="28"/>
          <w:highlight w:val="none"/>
        </w:rPr>
        <w:t xml:space="preserve"> </w:t>
      </w:r>
      <w:r>
        <w:rPr>
          <w:rFonts w:hint="eastAsia" w:eastAsia="宋体" w:cs="Times New Roman"/>
          <w:spacing w:val="6"/>
          <w:w w:val="101"/>
          <w:sz w:val="28"/>
          <w:szCs w:val="28"/>
          <w:highlight w:val="none"/>
          <w:lang w:val="en-US" w:eastAsia="zh-CN"/>
        </w:rPr>
        <w:t xml:space="preserve"> </w:t>
      </w:r>
      <w:r>
        <w:rPr>
          <w:rFonts w:ascii="黑体" w:hAnsi="黑体" w:eastAsia="黑体" w:cs="黑体"/>
          <w:spacing w:val="-1"/>
          <w:sz w:val="28"/>
          <w:szCs w:val="28"/>
          <w:highlight w:val="none"/>
        </w:rPr>
        <w:t>施工期大气环境影响分析</w:t>
      </w:r>
    </w:p>
    <w:p>
      <w:pPr>
        <w:bidi w:val="0"/>
        <w:rPr>
          <w:highlight w:val="none"/>
        </w:rPr>
      </w:pPr>
      <w:r>
        <w:rPr>
          <w:highlight w:val="none"/>
        </w:rPr>
        <w:t>施工期废气主要包括机械设备燃油废气、扬尘。</w:t>
      </w:r>
    </w:p>
    <w:p>
      <w:pPr>
        <w:bidi w:val="0"/>
        <w:rPr>
          <w:highlight w:val="none"/>
        </w:rPr>
      </w:pPr>
      <w:r>
        <w:rPr>
          <w:highlight w:val="none"/>
        </w:rPr>
        <w:t>（1）扬尘</w:t>
      </w:r>
    </w:p>
    <w:p>
      <w:pPr>
        <w:bidi w:val="0"/>
        <w:rPr>
          <w:highlight w:val="none"/>
        </w:rPr>
      </w:pPr>
      <w:r>
        <w:rPr>
          <w:highlight w:val="none"/>
        </w:rPr>
        <w:t>a 扬尘的产生</w:t>
      </w:r>
    </w:p>
    <w:p>
      <w:pPr>
        <w:bidi w:val="0"/>
        <w:rPr>
          <w:highlight w:val="none"/>
        </w:rPr>
      </w:pPr>
      <w:r>
        <w:rPr>
          <w:highlight w:val="none"/>
        </w:rPr>
        <w:t>由于土石方工程破坏了地表结构，会造成地面扬尘污染，其扬尘量的大小与施工现场条件、管理水平、机械化程度及施工季节、土质及天气等诸多因素有关。本工程施工期大气污染源主要来源于以下几个方面： 土方填挖及现场堆放；施工 材料的堆放及清理；管沟回填；施工期运输车辆运行。</w:t>
      </w:r>
    </w:p>
    <w:p>
      <w:pPr>
        <w:bidi w:val="0"/>
        <w:rPr>
          <w:highlight w:val="none"/>
        </w:rPr>
      </w:pPr>
      <w:r>
        <w:rPr>
          <w:highlight w:val="none"/>
        </w:rPr>
        <w:t>①露天堆场和裸露场地的风力扬尘</w:t>
      </w:r>
    </w:p>
    <w:p>
      <w:pPr>
        <w:bidi w:val="0"/>
        <w:rPr>
          <w:highlight w:val="none"/>
        </w:rPr>
      </w:pPr>
      <w:r>
        <w:rPr>
          <w:highlight w:val="none"/>
        </w:rPr>
        <w:t>由于施工的需要，一些建材需露天堆放； 一些施工点开挖土方会临时堆放， 在气候干燥又有风的情况下，会产生扬尘，其扬尘量可按堆放场起尘的经验公式 计算：</w:t>
      </w:r>
    </w:p>
    <w:p>
      <w:pPr>
        <w:spacing w:before="100" w:line="360" w:lineRule="auto"/>
        <w:ind w:firstLine="2873"/>
        <w:jc w:val="center"/>
        <w:rPr>
          <w:rFonts w:ascii="Times New Roman" w:hAnsi="Times New Roman" w:eastAsia="Times New Roman" w:cs="Times New Roman"/>
          <w:sz w:val="24"/>
          <w:szCs w:val="24"/>
          <w:highlight w:val="none"/>
        </w:rPr>
      </w:pPr>
      <w:r>
        <w:rPr>
          <w:rFonts w:ascii="Times New Roman" w:hAnsi="Times New Roman" w:eastAsia="Times New Roman" w:cs="Times New Roman"/>
          <w:i/>
          <w:iCs/>
          <w:spacing w:val="-8"/>
          <w:position w:val="17"/>
          <w:sz w:val="24"/>
          <w:szCs w:val="24"/>
          <w:highlight w:val="none"/>
        </w:rPr>
        <w:t>Q</w:t>
      </w:r>
      <w:r>
        <w:rPr>
          <w:rFonts w:ascii="Symbol" w:hAnsi="Symbol" w:eastAsia="Symbol" w:cs="Symbol"/>
          <w:spacing w:val="-8"/>
          <w:position w:val="17"/>
          <w:sz w:val="24"/>
          <w:szCs w:val="24"/>
          <w:highlight w:val="none"/>
        </w:rPr>
        <w:t>=</w:t>
      </w:r>
      <w:r>
        <w:rPr>
          <w:rFonts w:ascii="Symbol" w:hAnsi="Symbol" w:eastAsia="Symbol" w:cs="Symbol"/>
          <w:spacing w:val="10"/>
          <w:position w:val="17"/>
          <w:sz w:val="24"/>
          <w:szCs w:val="24"/>
          <w:highlight w:val="none"/>
        </w:rPr>
        <w:t xml:space="preserve"> </w:t>
      </w:r>
      <w:r>
        <w:rPr>
          <w:rFonts w:ascii="Times New Roman" w:hAnsi="Times New Roman" w:eastAsia="Times New Roman" w:cs="Times New Roman"/>
          <w:spacing w:val="-8"/>
          <w:position w:val="17"/>
          <w:sz w:val="24"/>
          <w:szCs w:val="24"/>
          <w:highlight w:val="none"/>
        </w:rPr>
        <w:t>2.1(</w:t>
      </w:r>
      <w:r>
        <w:rPr>
          <w:rFonts w:ascii="Times New Roman" w:hAnsi="Times New Roman" w:eastAsia="Times New Roman" w:cs="Times New Roman"/>
          <w:i/>
          <w:iCs/>
          <w:spacing w:val="-8"/>
          <w:position w:val="17"/>
          <w:sz w:val="24"/>
          <w:szCs w:val="24"/>
          <w:highlight w:val="none"/>
        </w:rPr>
        <w:t>V</w:t>
      </w:r>
      <w:r>
        <w:rPr>
          <w:rFonts w:ascii="Times New Roman" w:hAnsi="Times New Roman" w:eastAsia="Times New Roman" w:cs="Times New Roman"/>
          <w:spacing w:val="-8"/>
          <w:position w:val="10"/>
          <w:sz w:val="24"/>
          <w:szCs w:val="24"/>
          <w:highlight w:val="none"/>
        </w:rPr>
        <w:t>50</w:t>
      </w:r>
      <w:r>
        <w:rPr>
          <w:rFonts w:ascii="Times New Roman" w:hAnsi="Times New Roman" w:eastAsia="Times New Roman" w:cs="Times New Roman"/>
          <w:spacing w:val="-8"/>
          <w:position w:val="17"/>
          <w:sz w:val="24"/>
          <w:szCs w:val="24"/>
          <w:highlight w:val="none"/>
        </w:rPr>
        <w:t>−</w:t>
      </w:r>
      <w:r>
        <w:rPr>
          <w:rFonts w:ascii="Times New Roman" w:hAnsi="Times New Roman" w:eastAsia="Times New Roman" w:cs="Times New Roman"/>
          <w:i/>
          <w:iCs/>
          <w:spacing w:val="-8"/>
          <w:position w:val="17"/>
          <w:sz w:val="24"/>
          <w:szCs w:val="24"/>
          <w:highlight w:val="none"/>
        </w:rPr>
        <w:t>V</w:t>
      </w:r>
      <w:r>
        <w:rPr>
          <w:rFonts w:ascii="Times New Roman" w:hAnsi="Times New Roman" w:eastAsia="Times New Roman" w:cs="Times New Roman"/>
          <w:spacing w:val="-8"/>
          <w:position w:val="10"/>
          <w:sz w:val="24"/>
          <w:szCs w:val="24"/>
          <w:highlight w:val="none"/>
        </w:rPr>
        <w:t>0</w:t>
      </w:r>
      <w:r>
        <w:rPr>
          <w:rFonts w:ascii="Times New Roman" w:hAnsi="Times New Roman" w:eastAsia="Times New Roman" w:cs="Times New Roman"/>
          <w:spacing w:val="-8"/>
          <w:position w:val="17"/>
          <w:sz w:val="24"/>
          <w:szCs w:val="24"/>
          <w:highlight w:val="none"/>
        </w:rPr>
        <w:t>)</w:t>
      </w:r>
      <w:r>
        <w:rPr>
          <w:rFonts w:ascii="Times New Roman" w:hAnsi="Times New Roman" w:eastAsia="Times New Roman" w:cs="Times New Roman"/>
          <w:spacing w:val="-8"/>
          <w:position w:val="29"/>
          <w:sz w:val="24"/>
          <w:szCs w:val="24"/>
          <w:highlight w:val="none"/>
        </w:rPr>
        <w:t>3</w:t>
      </w:r>
      <w:r>
        <w:rPr>
          <w:rFonts w:ascii="Times New Roman" w:hAnsi="Times New Roman" w:eastAsia="Times New Roman" w:cs="Times New Roman"/>
          <w:i/>
          <w:iCs/>
          <w:spacing w:val="-8"/>
          <w:position w:val="17"/>
          <w:sz w:val="24"/>
          <w:szCs w:val="24"/>
          <w:highlight w:val="none"/>
        </w:rPr>
        <w:t>e</w:t>
      </w:r>
      <w:r>
        <w:rPr>
          <w:rFonts w:ascii="Times New Roman" w:hAnsi="Times New Roman" w:eastAsia="Times New Roman" w:cs="Times New Roman"/>
          <w:spacing w:val="-8"/>
          <w:position w:val="29"/>
          <w:sz w:val="24"/>
          <w:szCs w:val="24"/>
          <w:highlight w:val="none"/>
        </w:rPr>
        <w:t>−1.023</w:t>
      </w:r>
      <w:r>
        <w:rPr>
          <w:rFonts w:ascii="Times New Roman" w:hAnsi="Times New Roman" w:eastAsia="Times New Roman" w:cs="Times New Roman"/>
          <w:i/>
          <w:iCs/>
          <w:spacing w:val="-8"/>
          <w:position w:val="29"/>
          <w:sz w:val="24"/>
          <w:szCs w:val="24"/>
          <w:highlight w:val="none"/>
        </w:rPr>
        <w:t>W</w:t>
      </w:r>
    </w:p>
    <w:p>
      <w:pPr>
        <w:bidi w:val="0"/>
        <w:rPr>
          <w:rFonts w:hint="eastAsia"/>
          <w:highlight w:val="none"/>
          <w:lang w:val="en-US" w:eastAsia="zh-CN"/>
        </w:rPr>
      </w:pPr>
      <w:r>
        <w:rPr>
          <w:highlight w:val="none"/>
        </w:rPr>
        <w:t>式中：Q—起尘量，kg/吨•年；</w:t>
      </w:r>
      <w:r>
        <w:rPr>
          <w:rFonts w:hint="eastAsia"/>
          <w:highlight w:val="none"/>
          <w:lang w:val="en-US" w:eastAsia="zh-CN"/>
        </w:rPr>
        <w:t>)</w:t>
      </w:r>
    </w:p>
    <w:p>
      <w:pPr>
        <w:bidi w:val="0"/>
        <w:rPr>
          <w:highlight w:val="none"/>
        </w:rPr>
      </w:pPr>
      <w:r>
        <w:rPr>
          <w:highlight w:val="none"/>
        </w:rPr>
        <w:t>V</w:t>
      </w:r>
      <w:r>
        <w:rPr>
          <w:highlight w:val="none"/>
          <w:vertAlign w:val="subscript"/>
        </w:rPr>
        <w:t>50</w:t>
      </w:r>
      <w:r>
        <w:rPr>
          <w:highlight w:val="none"/>
        </w:rPr>
        <w:t>――距地面 50 米处风速，m/s；</w:t>
      </w:r>
    </w:p>
    <w:p>
      <w:pPr>
        <w:bidi w:val="0"/>
        <w:rPr>
          <w:highlight w:val="none"/>
        </w:rPr>
      </w:pPr>
      <w:r>
        <w:rPr>
          <w:highlight w:val="none"/>
        </w:rPr>
        <w:t>V</w:t>
      </w:r>
      <w:r>
        <w:rPr>
          <w:highlight w:val="none"/>
          <w:vertAlign w:val="subscript"/>
        </w:rPr>
        <w:t>0</w:t>
      </w:r>
      <w:r>
        <w:rPr>
          <w:highlight w:val="none"/>
        </w:rPr>
        <w:t>――起尘风速，m/s；</w:t>
      </w:r>
    </w:p>
    <w:p>
      <w:pPr>
        <w:bidi w:val="0"/>
        <w:rPr>
          <w:highlight w:val="none"/>
        </w:rPr>
      </w:pPr>
      <w:r>
        <w:rPr>
          <w:highlight w:val="none"/>
        </w:rPr>
        <w:t>W――尘粒的含水率，%。</w:t>
      </w:r>
    </w:p>
    <w:p>
      <w:pPr>
        <w:bidi w:val="0"/>
        <w:rPr>
          <w:highlight w:val="none"/>
        </w:rPr>
      </w:pPr>
      <w:r>
        <w:rPr>
          <w:highlight w:val="none"/>
        </w:rPr>
        <w:t>V</w:t>
      </w:r>
      <w:r>
        <w:rPr>
          <w:highlight w:val="none"/>
          <w:vertAlign w:val="subscript"/>
        </w:rPr>
        <w:t>0</w:t>
      </w:r>
      <w:r>
        <w:rPr>
          <w:highlight w:val="none"/>
        </w:rPr>
        <w:t xml:space="preserve"> 与粒径和含水率有关，因此，减少露天堆放和保证一定的含水率及减少裸露地面是减少风力起尘的有效手段。</w:t>
      </w:r>
    </w:p>
    <w:p>
      <w:pPr>
        <w:bidi w:val="0"/>
        <w:rPr>
          <w:highlight w:val="none"/>
        </w:rPr>
      </w:pPr>
      <w:r>
        <w:rPr>
          <w:highlight w:val="none"/>
        </w:rPr>
        <w:t>尘粒在空气中的传播扩散情况与风速等气象条件有关，也与尘粒本身的沉降</w:t>
      </w:r>
      <w:r>
        <w:rPr>
          <w:rFonts w:hint="eastAsia"/>
          <w:highlight w:val="none"/>
        </w:rPr>
        <w:t>速度有关。不同尘粒的沉降速度见下表。</w:t>
      </w:r>
    </w:p>
    <w:p>
      <w:pPr>
        <w:bidi w:val="0"/>
        <w:rPr>
          <w:highlight w:val="none"/>
        </w:rPr>
      </w:pPr>
    </w:p>
    <w:p>
      <w:pPr>
        <w:bidi w:val="0"/>
        <w:rPr>
          <w:highlight w:val="none"/>
        </w:rPr>
      </w:pPr>
    </w:p>
    <w:p>
      <w:pPr>
        <w:pStyle w:val="7"/>
        <w:bidi w:val="0"/>
        <w:rPr>
          <w:highlight w:val="none"/>
        </w:rPr>
      </w:pPr>
      <w:r>
        <w:rPr>
          <w:highlight w:val="none"/>
        </w:rPr>
        <w:t>表</w:t>
      </w:r>
      <w:r>
        <w:rPr>
          <w:rFonts w:hint="eastAsia"/>
          <w:highlight w:val="none"/>
          <w:lang w:val="en-US" w:eastAsia="zh-CN"/>
        </w:rPr>
        <w:t>6</w:t>
      </w:r>
      <w:r>
        <w:rPr>
          <w:highlight w:val="none"/>
        </w:rPr>
        <w:t>.1-</w:t>
      </w:r>
      <w:r>
        <w:rPr>
          <w:rFonts w:hint="eastAsia"/>
          <w:highlight w:val="none"/>
          <w:lang w:val="en-US" w:eastAsia="zh-CN"/>
        </w:rPr>
        <w:t>1</w:t>
      </w:r>
      <w:r>
        <w:rPr>
          <w:highlight w:val="none"/>
        </w:rPr>
        <w:t xml:space="preserve">  不同粒径尘粒的沉降速度</w:t>
      </w:r>
    </w:p>
    <w:tbl>
      <w:tblPr>
        <w:tblStyle w:val="3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334"/>
        <w:gridCol w:w="865"/>
        <w:gridCol w:w="844"/>
        <w:gridCol w:w="844"/>
        <w:gridCol w:w="844"/>
        <w:gridCol w:w="844"/>
        <w:gridCol w:w="844"/>
        <w:gridCol w:w="9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粒径（微米）</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10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20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30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40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60</w:t>
            </w:r>
          </w:p>
        </w:tc>
        <w:tc>
          <w:tcPr>
            <w:tcW w:w="5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沉降速度（m/s）</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0.03</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0.012</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0.027</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0.048</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0.075</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0. 108</w:t>
            </w:r>
          </w:p>
        </w:tc>
        <w:tc>
          <w:tcPr>
            <w:tcW w:w="5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0. 147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粒径（微米）</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80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90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100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150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200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250</w:t>
            </w:r>
          </w:p>
        </w:tc>
        <w:tc>
          <w:tcPr>
            <w:tcW w:w="5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300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沉降速度（m/s）</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0. 158</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0. 170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0. 182</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0.239</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0.804</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1.005</w:t>
            </w:r>
          </w:p>
        </w:tc>
        <w:tc>
          <w:tcPr>
            <w:tcW w:w="5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1.829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粒径（微米）</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450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550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650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750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850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950</w:t>
            </w:r>
          </w:p>
        </w:tc>
        <w:tc>
          <w:tcPr>
            <w:tcW w:w="5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1050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沉降速度（m/s）</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2.211</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2.614</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3.016</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3.418</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3.820</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4.222</w:t>
            </w:r>
          </w:p>
        </w:tc>
        <w:tc>
          <w:tcPr>
            <w:tcW w:w="5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sz w:val="21"/>
                <w:szCs w:val="21"/>
                <w:highlight w:val="none"/>
              </w:rPr>
            </w:pPr>
            <w:r>
              <w:rPr>
                <w:rFonts w:hint="default" w:ascii="Times New Roman" w:hAnsi="Times New Roman" w:eastAsia="宋体" w:cs="Times New Roman"/>
                <w:b w:val="0"/>
                <w:bCs w:val="0"/>
                <w:spacing w:val="0"/>
                <w:w w:val="100"/>
                <w:sz w:val="21"/>
                <w:szCs w:val="21"/>
                <w:highlight w:val="none"/>
              </w:rPr>
              <w:t>4.624</w:t>
            </w:r>
          </w:p>
        </w:tc>
      </w:tr>
    </w:tbl>
    <w:p>
      <w:pPr>
        <w:bidi w:val="0"/>
        <w:rPr>
          <w:highlight w:val="none"/>
        </w:rPr>
      </w:pPr>
      <w:r>
        <w:rPr>
          <w:highlight w:val="none"/>
        </w:rPr>
        <w:t>②车辆行驶的动力起尘</w:t>
      </w:r>
    </w:p>
    <w:p>
      <w:pPr>
        <w:bidi w:val="0"/>
        <w:rPr>
          <w:highlight w:val="none"/>
        </w:rPr>
      </w:pPr>
      <w:r>
        <w:rPr>
          <w:highlight w:val="none"/>
        </w:rPr>
        <w:t>据有关文献，车辆行驶产生的扬尘占总扬尘的 60%以上，车辆行驶产生的扬尘，在完全干燥情况下，可按下列经验公式计算：</w:t>
      </w:r>
    </w:p>
    <w:p>
      <w:pPr>
        <w:spacing w:before="102" w:line="360" w:lineRule="auto"/>
        <w:ind w:firstLine="2148"/>
        <w:rPr>
          <w:rFonts w:ascii="Times New Roman" w:hAnsi="Times New Roman" w:eastAsia="Times New Roman" w:cs="Times New Roman"/>
          <w:sz w:val="24"/>
          <w:szCs w:val="24"/>
          <w:highlight w:val="none"/>
        </w:rPr>
      </w:pPr>
      <w:r>
        <w:rPr>
          <w:rFonts w:ascii="Times New Roman" w:hAnsi="Times New Roman" w:eastAsia="Times New Roman" w:cs="Times New Roman"/>
          <w:i/>
          <w:iCs/>
          <w:spacing w:val="2"/>
          <w:position w:val="2"/>
          <w:sz w:val="24"/>
          <w:szCs w:val="24"/>
          <w:highlight w:val="none"/>
        </w:rPr>
        <w:t>Q</w:t>
      </w:r>
      <w:r>
        <w:rPr>
          <w:rFonts w:ascii="Times New Roman" w:hAnsi="Times New Roman" w:eastAsia="Times New Roman" w:cs="Times New Roman"/>
          <w:spacing w:val="19"/>
          <w:position w:val="2"/>
          <w:sz w:val="24"/>
          <w:szCs w:val="24"/>
          <w:highlight w:val="none"/>
        </w:rPr>
        <w:t xml:space="preserve"> </w:t>
      </w:r>
      <w:r>
        <w:rPr>
          <w:rFonts w:ascii="Symbol" w:hAnsi="Symbol" w:eastAsia="Symbol" w:cs="Symbol"/>
          <w:spacing w:val="2"/>
          <w:position w:val="2"/>
          <w:sz w:val="24"/>
          <w:szCs w:val="24"/>
          <w:highlight w:val="none"/>
        </w:rPr>
        <w:t>=</w:t>
      </w:r>
      <w:r>
        <w:rPr>
          <w:rFonts w:ascii="Symbol" w:hAnsi="Symbol" w:eastAsia="Symbol" w:cs="Symbol"/>
          <w:spacing w:val="11"/>
          <w:position w:val="2"/>
          <w:sz w:val="24"/>
          <w:szCs w:val="24"/>
          <w:highlight w:val="none"/>
        </w:rPr>
        <w:t xml:space="preserve"> </w:t>
      </w:r>
      <w:r>
        <w:rPr>
          <w:rFonts w:ascii="Times New Roman" w:hAnsi="Times New Roman" w:eastAsia="Times New Roman" w:cs="Times New Roman"/>
          <w:spacing w:val="2"/>
          <w:position w:val="2"/>
          <w:sz w:val="24"/>
          <w:szCs w:val="24"/>
          <w:highlight w:val="none"/>
        </w:rPr>
        <w:t>0.123(</w:t>
      </w:r>
      <w:r>
        <w:rPr>
          <w:rFonts w:ascii="Times New Roman" w:hAnsi="Times New Roman" w:eastAsia="Times New Roman" w:cs="Times New Roman"/>
          <w:i/>
          <w:iCs/>
          <w:spacing w:val="2"/>
          <w:position w:val="2"/>
          <w:sz w:val="24"/>
          <w:szCs w:val="24"/>
          <w:highlight w:val="none"/>
        </w:rPr>
        <w:t>V</w:t>
      </w:r>
      <w:r>
        <w:rPr>
          <w:rFonts w:ascii="Times New Roman" w:hAnsi="Times New Roman" w:eastAsia="Times New Roman" w:cs="Times New Roman"/>
          <w:spacing w:val="2"/>
          <w:position w:val="2"/>
          <w:sz w:val="24"/>
          <w:szCs w:val="24"/>
          <w:highlight w:val="none"/>
        </w:rPr>
        <w:t>/5)(</w:t>
      </w:r>
      <w:r>
        <w:rPr>
          <w:rFonts w:ascii="Times New Roman" w:hAnsi="Times New Roman" w:eastAsia="Times New Roman" w:cs="Times New Roman"/>
          <w:i/>
          <w:iCs/>
          <w:spacing w:val="2"/>
          <w:position w:val="2"/>
          <w:sz w:val="24"/>
          <w:szCs w:val="24"/>
          <w:highlight w:val="none"/>
        </w:rPr>
        <w:t>W</w:t>
      </w:r>
      <w:r>
        <w:rPr>
          <w:rFonts w:ascii="Times New Roman" w:hAnsi="Times New Roman" w:eastAsia="Times New Roman" w:cs="Times New Roman"/>
          <w:spacing w:val="2"/>
          <w:position w:val="2"/>
          <w:sz w:val="24"/>
          <w:szCs w:val="24"/>
          <w:highlight w:val="none"/>
        </w:rPr>
        <w:t>/6.8)</w:t>
      </w:r>
      <w:r>
        <w:rPr>
          <w:rFonts w:ascii="Times New Roman" w:hAnsi="Times New Roman" w:eastAsia="Times New Roman" w:cs="Times New Roman"/>
          <w:spacing w:val="2"/>
          <w:position w:val="13"/>
          <w:sz w:val="24"/>
          <w:szCs w:val="24"/>
          <w:highlight w:val="none"/>
        </w:rPr>
        <w:t>0.85</w:t>
      </w:r>
      <w:r>
        <w:rPr>
          <w:rFonts w:ascii="Times New Roman" w:hAnsi="Times New Roman" w:eastAsia="Times New Roman" w:cs="Times New Roman"/>
          <w:spacing w:val="2"/>
          <w:position w:val="2"/>
          <w:sz w:val="24"/>
          <w:szCs w:val="24"/>
          <w:highlight w:val="none"/>
        </w:rPr>
        <w:t>(</w:t>
      </w:r>
      <w:r>
        <w:rPr>
          <w:rFonts w:ascii="Times New Roman" w:hAnsi="Times New Roman" w:eastAsia="Times New Roman" w:cs="Times New Roman"/>
          <w:i/>
          <w:iCs/>
          <w:spacing w:val="2"/>
          <w:position w:val="2"/>
          <w:sz w:val="24"/>
          <w:szCs w:val="24"/>
          <w:highlight w:val="none"/>
        </w:rPr>
        <w:t>P</w:t>
      </w:r>
      <w:r>
        <w:rPr>
          <w:rFonts w:ascii="Times New Roman" w:hAnsi="Times New Roman" w:eastAsia="Times New Roman" w:cs="Times New Roman"/>
          <w:spacing w:val="2"/>
          <w:position w:val="2"/>
          <w:sz w:val="24"/>
          <w:szCs w:val="24"/>
          <w:highlight w:val="none"/>
        </w:rPr>
        <w:t>/0.5)</w:t>
      </w:r>
      <w:r>
        <w:rPr>
          <w:rFonts w:ascii="Times New Roman" w:hAnsi="Times New Roman" w:eastAsia="Times New Roman" w:cs="Times New Roman"/>
          <w:spacing w:val="2"/>
          <w:position w:val="13"/>
          <w:sz w:val="24"/>
          <w:szCs w:val="24"/>
          <w:highlight w:val="none"/>
        </w:rPr>
        <w:t>0.75</w:t>
      </w:r>
    </w:p>
    <w:p>
      <w:pPr>
        <w:bidi w:val="0"/>
        <w:rPr>
          <w:highlight w:val="none"/>
        </w:rPr>
      </w:pPr>
      <w:r>
        <w:rPr>
          <w:highlight w:val="none"/>
        </w:rPr>
        <w:t>式中：Q──汽车行驶的扬尘，kg/车·km；</w:t>
      </w:r>
    </w:p>
    <w:p>
      <w:pPr>
        <w:bidi w:val="0"/>
        <w:rPr>
          <w:highlight w:val="none"/>
        </w:rPr>
      </w:pPr>
      <w:r>
        <w:rPr>
          <w:highlight w:val="none"/>
        </w:rPr>
        <w:t>V──汽车速度，km/h；</w:t>
      </w:r>
    </w:p>
    <w:p>
      <w:pPr>
        <w:bidi w:val="0"/>
        <w:rPr>
          <w:highlight w:val="none"/>
        </w:rPr>
      </w:pPr>
      <w:r>
        <w:rPr>
          <w:highlight w:val="none"/>
        </w:rPr>
        <w:t>W──汽车载重量，t；</w:t>
      </w:r>
    </w:p>
    <w:p>
      <w:pPr>
        <w:bidi w:val="0"/>
        <w:rPr>
          <w:highlight w:val="none"/>
        </w:rPr>
      </w:pPr>
      <w:r>
        <w:rPr>
          <w:highlight w:val="none"/>
        </w:rPr>
        <w:t>P──道路表面粉尘量，kg/m</w:t>
      </w:r>
      <w:r>
        <w:rPr>
          <w:highlight w:val="none"/>
          <w:vertAlign w:val="superscript"/>
        </w:rPr>
        <w:t>2</w:t>
      </w:r>
      <w:r>
        <w:rPr>
          <w:highlight w:val="none"/>
        </w:rPr>
        <w:t>。</w:t>
      </w:r>
    </w:p>
    <w:p>
      <w:pPr>
        <w:bidi w:val="0"/>
        <w:rPr>
          <w:highlight w:val="none"/>
        </w:rPr>
      </w:pPr>
      <w:r>
        <w:rPr>
          <w:highlight w:val="none"/>
        </w:rPr>
        <w:t>表</w:t>
      </w:r>
      <w:r>
        <w:rPr>
          <w:rFonts w:hint="eastAsia"/>
          <w:highlight w:val="none"/>
          <w:lang w:val="en-US" w:eastAsia="zh-CN"/>
        </w:rPr>
        <w:t>6</w:t>
      </w:r>
      <w:r>
        <w:rPr>
          <w:highlight w:val="none"/>
        </w:rPr>
        <w:t>.1-2 为一辆10吨卡车，通过一段长度为1km的路面时，不同路面清洁程度，不同行驶速度情况下的扬尘量监测值。</w:t>
      </w:r>
    </w:p>
    <w:p>
      <w:pPr>
        <w:pStyle w:val="7"/>
        <w:bidi w:val="0"/>
        <w:rPr>
          <w:highlight w:val="none"/>
        </w:rPr>
      </w:pPr>
      <w:r>
        <w:rPr>
          <w:highlight w:val="none"/>
        </w:rPr>
        <w:t>表</w:t>
      </w:r>
      <w:r>
        <w:rPr>
          <w:rFonts w:hint="eastAsia"/>
          <w:highlight w:val="none"/>
          <w:lang w:val="en-US" w:eastAsia="zh-CN"/>
        </w:rPr>
        <w:t>6</w:t>
      </w:r>
      <w:r>
        <w:rPr>
          <w:highlight w:val="none"/>
        </w:rPr>
        <w:t>.1-2  不同车速和地面清洁程度的汽车扬尘监测值  单位： kg/（车·km）</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79"/>
        <w:gridCol w:w="1177"/>
        <w:gridCol w:w="1177"/>
        <w:gridCol w:w="1177"/>
        <w:gridCol w:w="1174"/>
        <w:gridCol w:w="1177"/>
        <w:gridCol w:w="117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67" w:type="pct"/>
            <w:tcBorders>
              <w:tl2br w:val="nil"/>
              <w:tr2bl w:val="nil"/>
            </w:tcBorders>
            <w:noWrap w:val="0"/>
            <w:vAlign w:val="center"/>
            <mc:AlternateContent>
              <mc:Choice Requires="wpsCustomData">
                <wpsCustomData:diagonals>
                  <wpsCustomData:diagonal from="30000" to="10000">
                    <wpsCustomData:border w:val="single" w:color="000000"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车速</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P</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vertAlign w:val="baseline"/>
                <w:lang w:eastAsia="zh-CN"/>
              </w:rPr>
            </w:pP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kg/m</w:t>
            </w:r>
            <w:r>
              <w:rPr>
                <w:rFonts w:hint="default" w:ascii="Times New Roman" w:hAnsi="Times New Roman" w:eastAsia="宋体" w:cs="Times New Roman"/>
                <w:spacing w:val="0"/>
                <w:w w:val="100"/>
                <w:position w:val="0"/>
                <w:sz w:val="21"/>
                <w:szCs w:val="21"/>
                <w:highlight w:val="none"/>
                <w:vertAlign w:val="superscript"/>
              </w:rPr>
              <w:t>2</w:t>
            </w:r>
            <w:r>
              <w:rPr>
                <w:rFonts w:hint="eastAsia" w:cs="Times New Roman"/>
                <w:spacing w:val="0"/>
                <w:w w:val="100"/>
                <w:position w:val="0"/>
                <w:sz w:val="21"/>
                <w:szCs w:val="21"/>
                <w:highlight w:val="none"/>
                <w:vertAlign w:val="baseli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kg/m</w:t>
            </w:r>
            <w:r>
              <w:rPr>
                <w:rFonts w:hint="default" w:ascii="Times New Roman" w:hAnsi="Times New Roman" w:eastAsia="宋体" w:cs="Times New Roman"/>
                <w:spacing w:val="0"/>
                <w:w w:val="100"/>
                <w:position w:val="0"/>
                <w:sz w:val="21"/>
                <w:szCs w:val="21"/>
                <w:highlight w:val="none"/>
                <w:vertAlign w:val="superscript"/>
              </w:rPr>
              <w:t>2</w:t>
            </w:r>
            <w:r>
              <w:rPr>
                <w:rFonts w:hint="eastAsia" w:cs="Times New Roman"/>
                <w:spacing w:val="0"/>
                <w:w w:val="100"/>
                <w:position w:val="0"/>
                <w:sz w:val="21"/>
                <w:szCs w:val="21"/>
                <w:highlight w:val="none"/>
                <w:vertAlign w:val="baseli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0.3</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kg/m</w:t>
            </w:r>
            <w:r>
              <w:rPr>
                <w:rFonts w:hint="default" w:ascii="Times New Roman" w:hAnsi="Times New Roman" w:eastAsia="宋体" w:cs="Times New Roman"/>
                <w:spacing w:val="0"/>
                <w:w w:val="100"/>
                <w:position w:val="0"/>
                <w:sz w:val="21"/>
                <w:szCs w:val="21"/>
                <w:highlight w:val="none"/>
                <w:vertAlign w:val="superscript"/>
              </w:rPr>
              <w:t>2</w:t>
            </w:r>
            <w:r>
              <w:rPr>
                <w:rFonts w:hint="eastAsia" w:cs="Times New Roman"/>
                <w:spacing w:val="0"/>
                <w:w w:val="100"/>
                <w:position w:val="0"/>
                <w:sz w:val="21"/>
                <w:szCs w:val="21"/>
                <w:highlight w:val="none"/>
                <w:vertAlign w:val="baseline"/>
                <w:lang w:eastAsia="zh-CN"/>
              </w:rPr>
              <w:t>）</w:t>
            </w:r>
          </w:p>
        </w:tc>
        <w:tc>
          <w:tcPr>
            <w:tcW w:w="7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0.4</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kg/m</w:t>
            </w:r>
            <w:r>
              <w:rPr>
                <w:rFonts w:hint="default" w:ascii="Times New Roman" w:hAnsi="Times New Roman" w:eastAsia="宋体" w:cs="Times New Roman"/>
                <w:spacing w:val="0"/>
                <w:w w:val="100"/>
                <w:position w:val="0"/>
                <w:sz w:val="21"/>
                <w:szCs w:val="21"/>
                <w:highlight w:val="none"/>
                <w:vertAlign w:val="superscript"/>
              </w:rPr>
              <w:t>2</w:t>
            </w:r>
            <w:r>
              <w:rPr>
                <w:rFonts w:hint="eastAsia" w:cs="Times New Roman"/>
                <w:spacing w:val="0"/>
                <w:w w:val="100"/>
                <w:position w:val="0"/>
                <w:sz w:val="21"/>
                <w:szCs w:val="21"/>
                <w:highlight w:val="none"/>
                <w:vertAlign w:val="baseli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0.5</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kg/m</w:t>
            </w:r>
            <w:r>
              <w:rPr>
                <w:rFonts w:hint="default" w:ascii="Times New Roman" w:hAnsi="Times New Roman" w:eastAsia="宋体" w:cs="Times New Roman"/>
                <w:spacing w:val="0"/>
                <w:w w:val="100"/>
                <w:position w:val="0"/>
                <w:sz w:val="21"/>
                <w:szCs w:val="21"/>
                <w:highlight w:val="none"/>
                <w:vertAlign w:val="superscript"/>
              </w:rPr>
              <w:t>2</w:t>
            </w:r>
            <w:r>
              <w:rPr>
                <w:rFonts w:hint="eastAsia" w:cs="Times New Roman"/>
                <w:spacing w:val="0"/>
                <w:w w:val="100"/>
                <w:position w:val="0"/>
                <w:sz w:val="21"/>
                <w:szCs w:val="21"/>
                <w:highlight w:val="none"/>
                <w:vertAlign w:val="baseline"/>
                <w:lang w:eastAsia="zh-CN"/>
              </w:rPr>
              <w:t>）</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kg/m</w:t>
            </w:r>
            <w:r>
              <w:rPr>
                <w:rFonts w:hint="default" w:ascii="Times New Roman" w:hAnsi="Times New Roman" w:eastAsia="宋体" w:cs="Times New Roman"/>
                <w:spacing w:val="0"/>
                <w:w w:val="100"/>
                <w:position w:val="0"/>
                <w:sz w:val="21"/>
                <w:szCs w:val="21"/>
                <w:highlight w:val="none"/>
                <w:vertAlign w:val="superscript"/>
              </w:rPr>
              <w:t>2</w:t>
            </w:r>
            <w:r>
              <w:rPr>
                <w:rFonts w:hint="eastAsia" w:cs="Times New Roman"/>
                <w:spacing w:val="0"/>
                <w:w w:val="100"/>
                <w:position w:val="0"/>
                <w:sz w:val="21"/>
                <w:szCs w:val="21"/>
                <w:highlight w:val="none"/>
                <w:vertAlign w:val="baseli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w w:val="100"/>
                <w:position w:val="0"/>
                <w:sz w:val="21"/>
                <w:szCs w:val="21"/>
                <w:highlight w:val="none"/>
                <w:lang w:eastAsia="zh-CN"/>
              </w:rPr>
            </w:pPr>
            <w:r>
              <w:rPr>
                <w:rFonts w:hint="default" w:ascii="Times New Roman" w:hAnsi="Times New Roman" w:eastAsia="宋体" w:cs="Times New Roman"/>
                <w:spacing w:val="0"/>
                <w:w w:val="100"/>
                <w:position w:val="0"/>
                <w:sz w:val="21"/>
                <w:szCs w:val="21"/>
                <w:highlight w:val="none"/>
              </w:rPr>
              <w:t>5</w:t>
            </w: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km/h</w:t>
            </w:r>
            <w:r>
              <w:rPr>
                <w:rFonts w:hint="eastAsia" w:cs="Times New Roman"/>
                <w:spacing w:val="0"/>
                <w:w w:val="100"/>
                <w:position w:val="0"/>
                <w:sz w:val="21"/>
                <w:szCs w:val="21"/>
                <w:highlight w:val="no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0.051056</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0.085865</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0.116382</w:t>
            </w:r>
          </w:p>
        </w:tc>
        <w:tc>
          <w:tcPr>
            <w:tcW w:w="7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0.144408</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0.170715</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0.287108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10</w:t>
            </w: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km/h</w:t>
            </w:r>
            <w:r>
              <w:rPr>
                <w:rFonts w:hint="eastAsia" w:cs="Times New Roman"/>
                <w:spacing w:val="0"/>
                <w:w w:val="100"/>
                <w:position w:val="0"/>
                <w:sz w:val="21"/>
                <w:szCs w:val="21"/>
                <w:highlight w:val="no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0.102112</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0.171731</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0.232764</w:t>
            </w:r>
          </w:p>
        </w:tc>
        <w:tc>
          <w:tcPr>
            <w:tcW w:w="7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0.288815</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0.341431</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0.574216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15</w:t>
            </w: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km/h</w:t>
            </w:r>
            <w:r>
              <w:rPr>
                <w:rFonts w:hint="eastAsia" w:cs="Times New Roman"/>
                <w:spacing w:val="0"/>
                <w:w w:val="100"/>
                <w:position w:val="0"/>
                <w:sz w:val="21"/>
                <w:szCs w:val="21"/>
                <w:highlight w:val="no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0.153167</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0.257596</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0.349146</w:t>
            </w:r>
          </w:p>
        </w:tc>
        <w:tc>
          <w:tcPr>
            <w:tcW w:w="7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0.433223</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0.512146</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0.861323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7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25</w:t>
            </w: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km/h</w:t>
            </w:r>
            <w:r>
              <w:rPr>
                <w:rFonts w:hint="eastAsia" w:cs="Times New Roman"/>
                <w:spacing w:val="0"/>
                <w:w w:val="100"/>
                <w:position w:val="0"/>
                <w:sz w:val="21"/>
                <w:szCs w:val="21"/>
                <w:highlight w:val="none"/>
                <w:lang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0.255279</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0.429326</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0.58191</w:t>
            </w:r>
          </w:p>
        </w:tc>
        <w:tc>
          <w:tcPr>
            <w:tcW w:w="7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0.722038</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0.853577</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1.435539</w:t>
            </w:r>
          </w:p>
        </w:tc>
      </w:tr>
    </w:tbl>
    <w:p>
      <w:pPr>
        <w:bidi w:val="0"/>
        <w:rPr>
          <w:highlight w:val="none"/>
        </w:rPr>
      </w:pPr>
      <w:r>
        <w:rPr>
          <w:highlight w:val="none"/>
        </w:rPr>
        <w:t>由上表可见，在同样路面清洁程度条件下，车速越快，扬尘量越大；而在同样车速情况下，路面越脏，则扬尘量越大。因此，限速行驶及保持路面的清洁是减少汽车扬尘的有效手段。</w:t>
      </w:r>
    </w:p>
    <w:p>
      <w:pPr>
        <w:bidi w:val="0"/>
        <w:rPr>
          <w:highlight w:val="none"/>
        </w:rPr>
      </w:pPr>
      <w:r>
        <w:rPr>
          <w:highlight w:val="none"/>
        </w:rPr>
        <w:t>b 施工扬尘的影响分析</w:t>
      </w:r>
    </w:p>
    <w:p>
      <w:pPr>
        <w:bidi w:val="0"/>
        <w:rPr>
          <w:highlight w:val="none"/>
        </w:rPr>
      </w:pPr>
      <w:r>
        <w:rPr>
          <w:highlight w:val="none"/>
        </w:rPr>
        <w:t>由以上分析可知，施工扬尘量是一个复杂、较难定量的问题，同样，施工扬尘的影响也是较难定量的问题。根据北京市环境保护科学研究院对 7 个建筑施工 工地扬尘情况的测定结果，施工扬尘的影响表现为：</w:t>
      </w:r>
    </w:p>
    <w:p>
      <w:pPr>
        <w:bidi w:val="0"/>
        <w:rPr>
          <w:highlight w:val="none"/>
        </w:rPr>
      </w:pPr>
      <w:r>
        <w:rPr>
          <w:highlight w:val="none"/>
        </w:rPr>
        <w:t>施工期运输车辆运行将产生道路扬尘，而道路扬尘属于等效线源，扬尘污染 在道路两边扩散，最大扬尘浓度出现在道路两边，随着离开路边的距离增加浓度逐渐递减而趋于背景值，一般条件下影响范围在路边两侧 30m 以内。因此，车辆扬尘对运输线路周围小范围大气造成一定程度的污染，但工程完工后其污染也随之消失。</w:t>
      </w:r>
    </w:p>
    <w:p>
      <w:pPr>
        <w:bidi w:val="0"/>
        <w:rPr>
          <w:highlight w:val="none"/>
        </w:rPr>
      </w:pPr>
      <w:r>
        <w:rPr>
          <w:highlight w:val="none"/>
        </w:rPr>
        <w:t>因此，对堆场以覆盖防尘布或防尘网，裸露地面进行硬化和绿化，施工场地内限制施工车辆行驶速度，对车辆行驶路面进行洒水抑尘，车胎冲洗后上路，并在风力大于4级时停止土方开挖和回填等作业，则项目施工期产生扬尘对环境空气质量影响较小，但仍会增加局部范围的 TSP 浓度。</w:t>
      </w:r>
    </w:p>
    <w:p>
      <w:pPr>
        <w:bidi w:val="0"/>
        <w:rPr>
          <w:highlight w:val="none"/>
        </w:rPr>
      </w:pPr>
      <w:r>
        <w:rPr>
          <w:highlight w:val="none"/>
        </w:rPr>
        <w:t>c 扬尘的防治措施</w:t>
      </w:r>
    </w:p>
    <w:p>
      <w:pPr>
        <w:bidi w:val="0"/>
        <w:rPr>
          <w:highlight w:val="none"/>
        </w:rPr>
      </w:pPr>
      <w:r>
        <w:rPr>
          <w:highlight w:val="none"/>
        </w:rPr>
        <w:t>①工程建设期间，对于工地内裸露地面，应采取下列防尘措施之一：覆盖防尘布或防尘网、定期洒水；</w:t>
      </w:r>
    </w:p>
    <w:p>
      <w:pPr>
        <w:bidi w:val="0"/>
        <w:rPr>
          <w:highlight w:val="none"/>
        </w:rPr>
      </w:pPr>
      <w:r>
        <w:rPr>
          <w:highlight w:val="none"/>
        </w:rPr>
        <w:t>②运输车辆出场前，需对车轮进行冲洗</w:t>
      </w:r>
    </w:p>
    <w:p>
      <w:pPr>
        <w:bidi w:val="0"/>
        <w:rPr>
          <w:highlight w:val="none"/>
        </w:rPr>
      </w:pPr>
      <w:r>
        <w:rPr>
          <w:highlight w:val="none"/>
        </w:rPr>
        <w:t>③施工期间，随工程进度及时进行已布设管段的闭水试验、回填和植被恢复， 减少裸露地面和临时土方堆场。</w:t>
      </w:r>
    </w:p>
    <w:p>
      <w:pPr>
        <w:bidi w:val="0"/>
        <w:rPr>
          <w:highlight w:val="none"/>
        </w:rPr>
      </w:pPr>
      <w:r>
        <w:rPr>
          <w:highlight w:val="none"/>
        </w:rPr>
        <w:t>（2）机械设备燃油废气</w:t>
      </w:r>
    </w:p>
    <w:p>
      <w:pPr>
        <w:bidi w:val="0"/>
        <w:rPr>
          <w:highlight w:val="none"/>
        </w:rPr>
      </w:pPr>
      <w:r>
        <w:rPr>
          <w:highlight w:val="none"/>
        </w:rPr>
        <w:t>主要污染因子为CO、HC、NOx 等。具有间断性产生、产生量较小、产生点相对分散、易被稀释扩散等特点。通过加强设备及车辆的养护，保证不排放未完全燃烧的黑烟，尾气排放达标，其对周围环境空气不会产生明显影响。</w:t>
      </w:r>
    </w:p>
    <w:p>
      <w:pPr>
        <w:bidi w:val="0"/>
        <w:rPr>
          <w:highlight w:val="none"/>
        </w:rPr>
      </w:pPr>
      <w:r>
        <w:rPr>
          <w:highlight w:val="none"/>
        </w:rPr>
        <w:t>综上，按照环评提出的措施，项目施工期产生的废气对周围环境影响较小。</w:t>
      </w:r>
    </w:p>
    <w:p>
      <w:pPr>
        <w:pStyle w:val="5"/>
        <w:bidi w:val="0"/>
        <w:rPr>
          <w:highlight w:val="none"/>
        </w:rPr>
      </w:pPr>
      <w:r>
        <w:rPr>
          <w:rFonts w:hint="eastAsia"/>
          <w:highlight w:val="none"/>
          <w:lang w:val="en-US" w:eastAsia="zh-CN"/>
        </w:rPr>
        <w:t>6</w:t>
      </w:r>
      <w:r>
        <w:rPr>
          <w:highlight w:val="none"/>
        </w:rPr>
        <w:t>.1.</w:t>
      </w:r>
      <w:r>
        <w:rPr>
          <w:rFonts w:hint="eastAsia"/>
          <w:highlight w:val="none"/>
          <w:lang w:val="en-US" w:eastAsia="zh-CN"/>
        </w:rPr>
        <w:t xml:space="preserve">2 </w:t>
      </w:r>
      <w:r>
        <w:rPr>
          <w:highlight w:val="none"/>
        </w:rPr>
        <w:t xml:space="preserve"> 施工期水环境影响分析</w:t>
      </w:r>
    </w:p>
    <w:p>
      <w:pPr>
        <w:bidi w:val="0"/>
        <w:rPr>
          <w:highlight w:val="none"/>
        </w:rPr>
      </w:pPr>
      <w:r>
        <w:rPr>
          <w:highlight w:val="none"/>
        </w:rPr>
        <w:t>施工期产生废水包括施工期产生的生产废水以及施工人员生活污水。</w:t>
      </w:r>
      <w:r>
        <w:rPr>
          <w:rFonts w:hint="eastAsia"/>
          <w:highlight w:val="none"/>
          <w:lang w:eastAsia="zh-CN"/>
        </w:rPr>
        <w:t>生产</w:t>
      </w:r>
      <w:r>
        <w:rPr>
          <w:highlight w:val="none"/>
        </w:rPr>
        <w:t>废水经沉淀池处理后上清水用于施工建设和洒水逸尘</w:t>
      </w:r>
      <w:r>
        <w:rPr>
          <w:rFonts w:hint="eastAsia"/>
          <w:highlight w:val="none"/>
          <w:lang w:eastAsia="zh-CN"/>
        </w:rPr>
        <w:t>；</w:t>
      </w:r>
      <w:r>
        <w:rPr>
          <w:highlight w:val="none"/>
        </w:rPr>
        <w:t>施工现场不设施工营地，项目施工期间人员不在施工场地食宿。</w:t>
      </w:r>
      <w:r>
        <w:rPr>
          <w:rFonts w:hint="eastAsia"/>
          <w:highlight w:val="none"/>
          <w:lang w:eastAsia="zh-CN"/>
        </w:rPr>
        <w:t>不产生生活污水</w:t>
      </w:r>
      <w:r>
        <w:rPr>
          <w:highlight w:val="none"/>
        </w:rPr>
        <w:t>。因此，项目施工期废水无外排，对地表水无影响。</w:t>
      </w:r>
    </w:p>
    <w:p>
      <w:pPr>
        <w:pStyle w:val="5"/>
        <w:bidi w:val="0"/>
        <w:rPr>
          <w:highlight w:val="none"/>
        </w:rPr>
      </w:pPr>
      <w:r>
        <w:rPr>
          <w:rFonts w:hint="eastAsia"/>
          <w:highlight w:val="none"/>
          <w:lang w:val="en-US" w:eastAsia="zh-CN"/>
        </w:rPr>
        <w:t>6</w:t>
      </w:r>
      <w:r>
        <w:rPr>
          <w:highlight w:val="none"/>
        </w:rPr>
        <w:t>.1.</w:t>
      </w:r>
      <w:r>
        <w:rPr>
          <w:rFonts w:hint="eastAsia"/>
          <w:highlight w:val="none"/>
          <w:lang w:val="en-US" w:eastAsia="zh-CN"/>
        </w:rPr>
        <w:t>3</w:t>
      </w:r>
      <w:r>
        <w:rPr>
          <w:highlight w:val="none"/>
        </w:rPr>
        <w:t xml:space="preserve"> </w:t>
      </w:r>
      <w:r>
        <w:rPr>
          <w:rFonts w:hint="eastAsia"/>
          <w:highlight w:val="none"/>
          <w:lang w:val="en-US" w:eastAsia="zh-CN"/>
        </w:rPr>
        <w:t xml:space="preserve"> </w:t>
      </w:r>
      <w:r>
        <w:rPr>
          <w:highlight w:val="none"/>
        </w:rPr>
        <w:t>施工期声环境影响分析</w:t>
      </w:r>
    </w:p>
    <w:p>
      <w:pPr>
        <w:bidi w:val="0"/>
        <w:rPr>
          <w:highlight w:val="none"/>
        </w:rPr>
      </w:pPr>
      <w:r>
        <w:rPr>
          <w:highlight w:val="none"/>
        </w:rPr>
        <w:t>1、施工期声源分析</w:t>
      </w:r>
    </w:p>
    <w:p>
      <w:pPr>
        <w:bidi w:val="0"/>
        <w:rPr>
          <w:highlight w:val="none"/>
        </w:rPr>
      </w:pPr>
      <w:r>
        <w:rPr>
          <w:highlight w:val="none"/>
        </w:rPr>
        <w:t>噪声污染源：建筑材料、设备运输中车辆产生的交通噪声约70～85dB（A）之间；施工现场的各类机械设备（推土机、装载机）噪声，产噪值在70～90dB（A）之间。</w:t>
      </w:r>
    </w:p>
    <w:p>
      <w:pPr>
        <w:bidi w:val="0"/>
        <w:rPr>
          <w:highlight w:val="none"/>
        </w:rPr>
      </w:pPr>
      <w:r>
        <w:rPr>
          <w:highlight w:val="none"/>
        </w:rPr>
        <w:t>2、施工期噪声影响分析</w:t>
      </w:r>
    </w:p>
    <w:p>
      <w:pPr>
        <w:bidi w:val="0"/>
        <w:rPr>
          <w:highlight w:val="none"/>
        </w:rPr>
      </w:pPr>
      <w:r>
        <w:rPr>
          <w:highlight w:val="none"/>
        </w:rPr>
        <w:t>本次评价采用点源衰减模式，预测计算声源至受声点的几何发散衰减，计算中不考虑声屏障、空气吸收等衰减。预测公式如下：</w:t>
      </w:r>
    </w:p>
    <w:p>
      <w:pPr>
        <w:bidi w:val="0"/>
        <w:jc w:val="center"/>
        <w:rPr>
          <w:i/>
          <w:iCs/>
          <w:highlight w:val="none"/>
        </w:rPr>
      </w:pPr>
      <w:r>
        <w:rPr>
          <w:i/>
          <w:iCs/>
          <w:highlight w:val="none"/>
        </w:rPr>
        <w:t>L</w:t>
      </w:r>
      <w:r>
        <w:rPr>
          <w:i/>
          <w:iCs/>
          <w:highlight w:val="none"/>
          <w:vertAlign w:val="subscript"/>
        </w:rPr>
        <w:t>r</w:t>
      </w:r>
      <w:r>
        <w:rPr>
          <w:i/>
          <w:iCs/>
          <w:highlight w:val="none"/>
        </w:rPr>
        <w:t>=L</w:t>
      </w:r>
      <w:r>
        <w:rPr>
          <w:i/>
          <w:iCs/>
          <w:highlight w:val="none"/>
          <w:vertAlign w:val="subscript"/>
        </w:rPr>
        <w:t>ro</w:t>
      </w:r>
      <w:r>
        <w:rPr>
          <w:i/>
          <w:iCs/>
          <w:highlight w:val="none"/>
        </w:rPr>
        <w:t>-20lg（r/r</w:t>
      </w:r>
      <w:r>
        <w:rPr>
          <w:rFonts w:hint="eastAsia"/>
          <w:i/>
          <w:iCs/>
          <w:highlight w:val="none"/>
          <w:lang w:val="en-US" w:eastAsia="zh-CN"/>
        </w:rPr>
        <w:t>0</w:t>
      </w:r>
      <w:r>
        <w:rPr>
          <w:i/>
          <w:iCs/>
          <w:highlight w:val="none"/>
        </w:rPr>
        <w:t>）</w:t>
      </w:r>
    </w:p>
    <w:p>
      <w:pPr>
        <w:bidi w:val="0"/>
        <w:rPr>
          <w:highlight w:val="none"/>
        </w:rPr>
      </w:pPr>
      <w:r>
        <w:rPr>
          <w:highlight w:val="none"/>
        </w:rPr>
        <w:t>式中：Lr-----距声源 r 处的声压级；</w:t>
      </w:r>
    </w:p>
    <w:p>
      <w:pPr>
        <w:bidi w:val="0"/>
        <w:rPr>
          <w:highlight w:val="none"/>
        </w:rPr>
      </w:pPr>
      <w:r>
        <w:rPr>
          <w:highlight w:val="none"/>
        </w:rPr>
        <w:t>L</w:t>
      </w:r>
      <w:r>
        <w:rPr>
          <w:highlight w:val="none"/>
          <w:vertAlign w:val="subscript"/>
        </w:rPr>
        <w:t>r</w:t>
      </w:r>
      <w:r>
        <w:rPr>
          <w:rFonts w:hint="eastAsia"/>
          <w:highlight w:val="none"/>
          <w:vertAlign w:val="subscript"/>
          <w:lang w:val="en-US" w:eastAsia="zh-CN"/>
        </w:rPr>
        <w:t>0</w:t>
      </w:r>
      <w:r>
        <w:rPr>
          <w:highlight w:val="none"/>
        </w:rPr>
        <w:t>----距声源r0处的声压级；</w:t>
      </w:r>
    </w:p>
    <w:p>
      <w:pPr>
        <w:bidi w:val="0"/>
        <w:rPr>
          <w:highlight w:val="none"/>
        </w:rPr>
      </w:pPr>
      <w:r>
        <w:rPr>
          <w:highlight w:val="none"/>
        </w:rPr>
        <w:t>r------预测点与声源的距离；</w:t>
      </w:r>
    </w:p>
    <w:p>
      <w:pPr>
        <w:bidi w:val="0"/>
        <w:rPr>
          <w:highlight w:val="none"/>
        </w:rPr>
      </w:pPr>
      <w:r>
        <w:rPr>
          <w:highlight w:val="none"/>
        </w:rPr>
        <w:t>r0-----监测设备噪声时的距离。</w:t>
      </w:r>
    </w:p>
    <w:p>
      <w:pPr>
        <w:bidi w:val="0"/>
        <w:rPr>
          <w:highlight w:val="none"/>
        </w:rPr>
      </w:pPr>
      <w:r>
        <w:rPr>
          <w:highlight w:val="none"/>
        </w:rPr>
        <w:t>施工机械在不同距离处的噪声预测结果表</w:t>
      </w:r>
      <w:r>
        <w:rPr>
          <w:rFonts w:hint="eastAsia"/>
          <w:highlight w:val="none"/>
          <w:lang w:val="en-US" w:eastAsia="zh-CN"/>
        </w:rPr>
        <w:t>6</w:t>
      </w:r>
      <w:r>
        <w:rPr>
          <w:highlight w:val="none"/>
        </w:rPr>
        <w:t>.1-3。</w:t>
      </w:r>
    </w:p>
    <w:p>
      <w:pPr>
        <w:pStyle w:val="7"/>
        <w:bidi w:val="0"/>
        <w:rPr>
          <w:highlight w:val="none"/>
        </w:rPr>
      </w:pPr>
      <w:r>
        <w:rPr>
          <w:highlight w:val="none"/>
        </w:rPr>
        <w:t>表</w:t>
      </w:r>
      <w:r>
        <w:rPr>
          <w:rFonts w:hint="eastAsia"/>
          <w:highlight w:val="none"/>
          <w:lang w:val="en-US" w:eastAsia="zh-CN"/>
        </w:rPr>
        <w:t>6</w:t>
      </w:r>
      <w:r>
        <w:rPr>
          <w:highlight w:val="none"/>
        </w:rPr>
        <w:t>.1-3  各种施工机械在不同距离的噪声贡献值  单位： dB （A）</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26"/>
        <w:gridCol w:w="1549"/>
        <w:gridCol w:w="724"/>
        <w:gridCol w:w="724"/>
        <w:gridCol w:w="879"/>
        <w:gridCol w:w="879"/>
        <w:gridCol w:w="879"/>
        <w:gridCol w:w="879"/>
        <w:gridCol w:w="8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序号</w:t>
            </w:r>
          </w:p>
        </w:tc>
        <w:tc>
          <w:tcPr>
            <w:tcW w:w="93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机械</w:t>
            </w:r>
          </w:p>
        </w:tc>
        <w:tc>
          <w:tcPr>
            <w:tcW w:w="3512"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不同距离处的噪声贡献值[dB（A）]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p>
        </w:tc>
        <w:tc>
          <w:tcPr>
            <w:tcW w:w="93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40m</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60m</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100m</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200m</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300m</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400m</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500m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1</w:t>
            </w:r>
          </w:p>
        </w:tc>
        <w:tc>
          <w:tcPr>
            <w:tcW w:w="9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运输卡车</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50</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46</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42</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36</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32</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30</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2</w:t>
            </w:r>
          </w:p>
        </w:tc>
        <w:tc>
          <w:tcPr>
            <w:tcW w:w="9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推土机</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54</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50</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46</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40</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36</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34</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w:t>
            </w:r>
          </w:p>
        </w:tc>
        <w:tc>
          <w:tcPr>
            <w:tcW w:w="9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装载机</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53</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49</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45</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39</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35</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33</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w:t>
            </w:r>
          </w:p>
        </w:tc>
        <w:tc>
          <w:tcPr>
            <w:tcW w:w="9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挖掘机</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52</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48</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44</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38</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34</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32</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w:t>
            </w:r>
          </w:p>
        </w:tc>
        <w:tc>
          <w:tcPr>
            <w:tcW w:w="9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振捣机</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48</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44</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40</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34</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30</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28</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6</w:t>
            </w:r>
          </w:p>
        </w:tc>
        <w:tc>
          <w:tcPr>
            <w:tcW w:w="9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打桩机</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56</w:t>
            </w:r>
          </w:p>
        </w:tc>
        <w:tc>
          <w:tcPr>
            <w:tcW w:w="4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52</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48</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42</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38</w:t>
            </w:r>
          </w:p>
        </w:tc>
        <w:tc>
          <w:tcPr>
            <w:tcW w:w="5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36</w:t>
            </w:r>
          </w:p>
        </w:tc>
        <w:tc>
          <w:tcPr>
            <w:tcW w:w="5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34</w:t>
            </w:r>
          </w:p>
        </w:tc>
      </w:tr>
    </w:tbl>
    <w:p>
      <w:pPr>
        <w:bidi w:val="0"/>
        <w:rPr>
          <w:highlight w:val="none"/>
        </w:rPr>
      </w:pPr>
      <w:r>
        <w:rPr>
          <w:highlight w:val="none"/>
        </w:rPr>
        <w:t>从表</w:t>
      </w:r>
      <w:r>
        <w:rPr>
          <w:rFonts w:hint="eastAsia"/>
          <w:highlight w:val="none"/>
          <w:lang w:val="en-US" w:eastAsia="zh-CN"/>
        </w:rPr>
        <w:t>6.1-3</w:t>
      </w:r>
      <w:r>
        <w:rPr>
          <w:highlight w:val="none"/>
        </w:rPr>
        <w:t>可以看出，昼间施工噪声均未超过《建筑施工场界环境噪声排放标准》（GB12523-2011），项目夜间不施工。</w:t>
      </w:r>
    </w:p>
    <w:p>
      <w:pPr>
        <w:bidi w:val="0"/>
        <w:rPr>
          <w:highlight w:val="none"/>
        </w:rPr>
      </w:pPr>
      <w:r>
        <w:rPr>
          <w:highlight w:val="none"/>
        </w:rPr>
        <w:t>根据项目施工特点，项目通过采用低噪声机械设备、合理安排施工计划和时间以及距离防护和隔声等措施减少施工噪声对区域声环境的影响，结合施工进展，具体采取如下防治措施：在施工机械设备与基础或连接部位之间采用弹簧减振、橡胶减振、管道减振、阻尼减振技术，可减少动量，降低噪声，在高噪声设备周围设置1-3cm厚的临时隔声板，运载建筑材料及建筑垃圾的车辆要选择合适的时间、路线进行运输，运输车辆行驶路线尽量避开居民点和环境敏感点。</w:t>
      </w:r>
    </w:p>
    <w:p>
      <w:pPr>
        <w:bidi w:val="0"/>
        <w:rPr>
          <w:highlight w:val="none"/>
        </w:rPr>
      </w:pPr>
      <w:r>
        <w:rPr>
          <w:highlight w:val="none"/>
        </w:rPr>
        <w:t>对比各施工机械的噪声值及未采取措施时的距离衰减量，在采取措施后各施工机械10m处即可满足《建筑施工场界环境噪声排放标准》（GB12523-2011）的要求，各施工机械距项目边界距离均大于10m，因此本项目在采取相应措施后，施工场界噪声可满足《建筑施工场界环境噪声排放标准》（GB12523-2011）的要求，因此对周围环境影响较小。</w:t>
      </w:r>
    </w:p>
    <w:p>
      <w:pPr>
        <w:pStyle w:val="5"/>
        <w:bidi w:val="0"/>
        <w:rPr>
          <w:highlight w:val="none"/>
        </w:rPr>
      </w:pPr>
      <w:r>
        <w:rPr>
          <w:rFonts w:hint="eastAsia"/>
          <w:highlight w:val="none"/>
          <w:lang w:val="en-US" w:eastAsia="zh-CN"/>
        </w:rPr>
        <w:t>6</w:t>
      </w:r>
      <w:r>
        <w:rPr>
          <w:highlight w:val="none"/>
        </w:rPr>
        <w:t xml:space="preserve">.1.4 </w:t>
      </w:r>
      <w:r>
        <w:rPr>
          <w:rFonts w:hint="eastAsia"/>
          <w:highlight w:val="none"/>
          <w:lang w:val="en-US" w:eastAsia="zh-CN"/>
        </w:rPr>
        <w:t xml:space="preserve"> </w:t>
      </w:r>
      <w:r>
        <w:rPr>
          <w:highlight w:val="none"/>
        </w:rPr>
        <w:t>施工期固体废物影响分析</w:t>
      </w:r>
    </w:p>
    <w:p>
      <w:pPr>
        <w:bidi w:val="0"/>
        <w:rPr>
          <w:highlight w:val="none"/>
        </w:rPr>
      </w:pPr>
      <w:r>
        <w:rPr>
          <w:highlight w:val="none"/>
        </w:rPr>
        <w:t>施工期固体废弃物主要为施工渣土及损坏或废弃的各种建筑装修材料、施工人员的生活垃圾。</w:t>
      </w:r>
    </w:p>
    <w:p>
      <w:pPr>
        <w:bidi w:val="0"/>
        <w:rPr>
          <w:highlight w:val="none"/>
        </w:rPr>
      </w:pPr>
      <w:r>
        <w:rPr>
          <w:highlight w:val="none"/>
        </w:rPr>
        <w:t>施工渣土或废弃的各种建筑装修材料若遇大风天气易产生风蚀扬尘污染附近的大气环境；在雨季易随降水产生径流漫流，使周围土壤环境受到污染；固体废物堆放会造成景观污染，即固体废物处理不当，会产生二次污染和水土流失等不良后果。</w:t>
      </w:r>
    </w:p>
    <w:p>
      <w:pPr>
        <w:bidi w:val="0"/>
        <w:rPr>
          <w:highlight w:val="none"/>
        </w:rPr>
      </w:pPr>
      <w:r>
        <w:rPr>
          <w:highlight w:val="none"/>
        </w:rPr>
        <w:t>施工期产生的生活垃圾主要包括废弃的各种生活用品以及饮食垃圾，总量不大</w:t>
      </w:r>
      <w:r>
        <w:rPr>
          <w:rFonts w:hint="eastAsia"/>
          <w:highlight w:val="none"/>
          <w:lang w:val="en-US" w:eastAsia="zh-CN"/>
        </w:rPr>
        <w:t>,</w:t>
      </w:r>
      <w:r>
        <w:rPr>
          <w:highlight w:val="none"/>
        </w:rPr>
        <w:t>但若不及时清运处理，则会腐烂变质、滋生苍蝇蚊虫、产生恶臭、传染疾病，从而给周围环境和作业人员健康带来不利影响。</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val="en-US" w:eastAsia="zh-CN"/>
        </w:rPr>
        <w:t>6</w:t>
      </w:r>
      <w:r>
        <w:rPr>
          <w:rFonts w:ascii="Times New Roman" w:hAnsi="Times New Roman" w:eastAsia="Times New Roman" w:cs="Times New Roman"/>
          <w:b/>
          <w:bCs/>
          <w:spacing w:val="-1"/>
          <w:sz w:val="28"/>
          <w:szCs w:val="28"/>
          <w:highlight w:val="none"/>
        </w:rPr>
        <w:t>.1.5</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1"/>
          <w:sz w:val="28"/>
          <w:szCs w:val="28"/>
          <w:highlight w:val="none"/>
        </w:rPr>
        <w:t>施工期生态环境影响分析</w:t>
      </w:r>
    </w:p>
    <w:p>
      <w:pPr>
        <w:bidi w:val="0"/>
        <w:rPr>
          <w:highlight w:val="none"/>
        </w:rPr>
      </w:pPr>
      <w:r>
        <w:rPr>
          <w:highlight w:val="none"/>
        </w:rPr>
        <w:t>1、水土流失</w:t>
      </w:r>
    </w:p>
    <w:p>
      <w:pPr>
        <w:bidi w:val="0"/>
        <w:rPr>
          <w:highlight w:val="none"/>
        </w:rPr>
      </w:pPr>
      <w:r>
        <w:rPr>
          <w:highlight w:val="none"/>
        </w:rPr>
        <w:t>施工过程中由于挖土和弃土等产生水土流失。</w:t>
      </w:r>
    </w:p>
    <w:p>
      <w:pPr>
        <w:bidi w:val="0"/>
        <w:rPr>
          <w:highlight w:val="none"/>
        </w:rPr>
      </w:pPr>
      <w:r>
        <w:rPr>
          <w:highlight w:val="none"/>
        </w:rPr>
        <w:t>施工期水土流失可能造成局部水体污染、生态破坏。水土流失的危害性主要表现在：</w:t>
      </w:r>
    </w:p>
    <w:p>
      <w:pPr>
        <w:bidi w:val="0"/>
        <w:rPr>
          <w:highlight w:val="none"/>
        </w:rPr>
      </w:pPr>
      <w:r>
        <w:rPr>
          <w:highlight w:val="none"/>
        </w:rPr>
        <w:t>（1）降低土壤肥力，水土流失一般冲走富含有机质的表层细土粒；</w:t>
      </w:r>
    </w:p>
    <w:p>
      <w:pPr>
        <w:bidi w:val="0"/>
        <w:rPr>
          <w:highlight w:val="none"/>
        </w:rPr>
      </w:pPr>
      <w:r>
        <w:rPr>
          <w:highlight w:val="none"/>
        </w:rPr>
        <w:t>（2）水土流失造成河流水质混浊，影响了水体的使用功能；</w:t>
      </w:r>
    </w:p>
    <w:p>
      <w:pPr>
        <w:bidi w:val="0"/>
        <w:rPr>
          <w:highlight w:val="none"/>
        </w:rPr>
      </w:pPr>
      <w:r>
        <w:rPr>
          <w:highlight w:val="none"/>
        </w:rPr>
        <w:t>（3）造成泥沙淤积，抬高河床，降低河道的泄洪能力。为将水土流失、生态破坏减少到最低程度，建议如下：</w:t>
      </w:r>
    </w:p>
    <w:p>
      <w:pPr>
        <w:bidi w:val="0"/>
        <w:rPr>
          <w:highlight w:val="none"/>
        </w:rPr>
      </w:pPr>
      <w:r>
        <w:rPr>
          <w:highlight w:val="none"/>
        </w:rPr>
        <w:t>（1）取土场地、开挖面等裸露地应尽快恢复土层和植被。在选择开采面时 不要靠近路边，减少水土流失，并选择在较隐蔽的地方，有利于保持景观。</w:t>
      </w:r>
    </w:p>
    <w:p>
      <w:pPr>
        <w:bidi w:val="0"/>
        <w:rPr>
          <w:highlight w:val="none"/>
        </w:rPr>
      </w:pPr>
      <w:r>
        <w:rPr>
          <w:highlight w:val="none"/>
        </w:rPr>
        <w:t>（2）雨季施工期易造成水土流失，要注意施工场地建筑材料堆放及施工过 程弃土的雨水冲刷问题。建筑材料不能露天。</w:t>
      </w:r>
    </w:p>
    <w:p>
      <w:pPr>
        <w:bidi w:val="0"/>
        <w:rPr>
          <w:highlight w:val="none"/>
        </w:rPr>
      </w:pPr>
      <w:r>
        <w:rPr>
          <w:highlight w:val="none"/>
        </w:rPr>
        <w:t>（3）避开暴雨期施工。</w:t>
      </w:r>
    </w:p>
    <w:p>
      <w:pPr>
        <w:bidi w:val="0"/>
        <w:rPr>
          <w:highlight w:val="none"/>
        </w:rPr>
      </w:pPr>
      <w:r>
        <w:rPr>
          <w:highlight w:val="none"/>
        </w:rPr>
        <w:t>2、生态环境</w:t>
      </w:r>
    </w:p>
    <w:p>
      <w:pPr>
        <w:bidi w:val="0"/>
        <w:rPr>
          <w:highlight w:val="none"/>
        </w:rPr>
      </w:pPr>
      <w:r>
        <w:rPr>
          <w:highlight w:val="none"/>
        </w:rPr>
        <w:t>本项目用地类型主要为人工林地、荒地和水塘等，不属于保护林类，项目施工过程会对其现有的陆生生态系统造成破坏，将其转变成建设用地，但在建设后期通过绿化等措施可缓和对生态系统的不利影响。</w:t>
      </w:r>
    </w:p>
    <w:p>
      <w:pPr>
        <w:bidi w:val="0"/>
        <w:rPr>
          <w:highlight w:val="none"/>
        </w:rPr>
      </w:pPr>
      <w:r>
        <w:rPr>
          <w:highlight w:val="none"/>
        </w:rPr>
        <w:t>因此，施工期对当地的陆生生态系统带来不利影响很小。</w:t>
      </w:r>
    </w:p>
    <w:p>
      <w:pPr>
        <w:pStyle w:val="4"/>
        <w:bidi w:val="0"/>
        <w:rPr>
          <w:rFonts w:ascii="宋体" w:hAnsi="宋体" w:eastAsia="宋体" w:cs="宋体"/>
          <w:sz w:val="28"/>
          <w:szCs w:val="28"/>
          <w:highlight w:val="none"/>
        </w:rPr>
      </w:pPr>
      <w:bookmarkStart w:id="72" w:name="_Toc11820"/>
      <w:bookmarkStart w:id="73" w:name="_Toc31471"/>
      <w:r>
        <w:rPr>
          <w:rFonts w:hint="eastAsia" w:ascii="Times New Roman" w:hAnsi="Times New Roman" w:eastAsia="宋体" w:cs="Times New Roman"/>
          <w:b/>
          <w:bCs/>
          <w:spacing w:val="-1"/>
          <w:sz w:val="28"/>
          <w:szCs w:val="28"/>
          <w:highlight w:val="none"/>
          <w:lang w:val="en-US" w:eastAsia="zh-CN"/>
        </w:rPr>
        <w:t>6</w:t>
      </w:r>
      <w:r>
        <w:rPr>
          <w:rFonts w:ascii="Times New Roman" w:hAnsi="Times New Roman" w:eastAsia="Times New Roman" w:cs="Times New Roman"/>
          <w:b/>
          <w:bCs/>
          <w:spacing w:val="-1"/>
          <w:sz w:val="28"/>
          <w:szCs w:val="28"/>
          <w:highlight w:val="none"/>
        </w:rPr>
        <w:t>.2</w:t>
      </w:r>
      <w:r>
        <w:rPr>
          <w:rFonts w:ascii="Times New Roman" w:hAnsi="Times New Roman" w:eastAsia="Times New Roman" w:cs="Times New Roman"/>
          <w:spacing w:val="6"/>
          <w:sz w:val="28"/>
          <w:szCs w:val="28"/>
          <w:highlight w:val="none"/>
        </w:rPr>
        <w:t xml:space="preserve">  </w:t>
      </w:r>
      <w:r>
        <w:rPr>
          <w:rFonts w:ascii="宋体" w:hAnsi="宋体" w:eastAsia="宋体" w:cs="宋体"/>
          <w:spacing w:val="-1"/>
          <w:sz w:val="28"/>
          <w:szCs w:val="28"/>
          <w:highlight w:val="none"/>
        </w:rPr>
        <w:t>运营期环境影响分析</w:t>
      </w:r>
      <w:bookmarkEnd w:id="72"/>
      <w:bookmarkEnd w:id="73"/>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6</w:t>
      </w:r>
      <w:r>
        <w:rPr>
          <w:rFonts w:ascii="Times New Roman" w:hAnsi="Times New Roman" w:eastAsia="Times New Roman" w:cs="Times New Roman"/>
          <w:b/>
          <w:bCs/>
          <w:spacing w:val="-2"/>
          <w:sz w:val="28"/>
          <w:szCs w:val="28"/>
          <w:highlight w:val="none"/>
        </w:rPr>
        <w:t>.2.1</w:t>
      </w:r>
      <w:r>
        <w:rPr>
          <w:rFonts w:ascii="Times New Roman" w:hAnsi="Times New Roman" w:eastAsia="Times New Roman" w:cs="Times New Roman"/>
          <w:spacing w:val="13"/>
          <w:sz w:val="28"/>
          <w:szCs w:val="28"/>
          <w:highlight w:val="none"/>
        </w:rPr>
        <w:t xml:space="preserve">  </w:t>
      </w:r>
      <w:r>
        <w:rPr>
          <w:rFonts w:ascii="宋体" w:hAnsi="宋体" w:eastAsia="宋体" w:cs="宋体"/>
          <w:spacing w:val="-2"/>
          <w:sz w:val="28"/>
          <w:szCs w:val="28"/>
          <w:highlight w:val="none"/>
        </w:rPr>
        <w:t>大气环境影响分析</w:t>
      </w:r>
    </w:p>
    <w:p>
      <w:pPr>
        <w:pStyle w:val="6"/>
        <w:bidi w:val="0"/>
        <w:rPr>
          <w:highlight w:val="none"/>
        </w:rPr>
      </w:pPr>
      <w:r>
        <w:rPr>
          <w:rFonts w:hint="eastAsia" w:ascii="Times New Roman" w:hAnsi="Times New Roman" w:eastAsia="宋体" w:cs="Times New Roman"/>
          <w:b/>
          <w:bCs/>
          <w:spacing w:val="-2"/>
          <w:sz w:val="24"/>
          <w:szCs w:val="24"/>
          <w:highlight w:val="none"/>
          <w:lang w:val="en-US" w:eastAsia="zh-CN"/>
        </w:rPr>
        <w:t>6</w:t>
      </w:r>
      <w:r>
        <w:rPr>
          <w:rFonts w:ascii="Times New Roman" w:hAnsi="Times New Roman" w:eastAsia="Times New Roman" w:cs="Times New Roman"/>
          <w:b/>
          <w:bCs/>
          <w:spacing w:val="-2"/>
          <w:sz w:val="24"/>
          <w:szCs w:val="24"/>
          <w:highlight w:val="none"/>
        </w:rPr>
        <w:t>.2.1.1</w:t>
      </w:r>
      <w:r>
        <w:rPr>
          <w:rFonts w:ascii="Times New Roman" w:hAnsi="Times New Roman" w:eastAsia="Times New Roman" w:cs="Times New Roman"/>
          <w:spacing w:val="9"/>
          <w:sz w:val="24"/>
          <w:szCs w:val="24"/>
          <w:highlight w:val="none"/>
        </w:rPr>
        <w:t xml:space="preserve">  </w:t>
      </w:r>
      <w:r>
        <w:rPr>
          <w:rFonts w:ascii="宋体" w:hAnsi="宋体" w:eastAsia="宋体" w:cs="宋体"/>
          <w:spacing w:val="-2"/>
          <w:sz w:val="24"/>
          <w:szCs w:val="24"/>
          <w:highlight w:val="none"/>
        </w:rPr>
        <w:t>预测因子</w:t>
      </w:r>
    </w:p>
    <w:p>
      <w:pPr>
        <w:bidi w:val="0"/>
        <w:rPr>
          <w:highlight w:val="none"/>
        </w:rPr>
      </w:pPr>
      <w:r>
        <w:rPr>
          <w:highlight w:val="none"/>
        </w:rPr>
        <mc:AlternateContent>
          <mc:Choice Requires="wps">
            <w:drawing>
              <wp:anchor distT="0" distB="0" distL="114300" distR="114300" simplePos="0" relativeHeight="251662336" behindDoc="0" locked="0" layoutInCell="0" allowOverlap="1">
                <wp:simplePos x="0" y="0"/>
                <wp:positionH relativeFrom="page">
                  <wp:posOffset>3561715</wp:posOffset>
                </wp:positionH>
                <wp:positionV relativeFrom="page">
                  <wp:posOffset>5951855</wp:posOffset>
                </wp:positionV>
                <wp:extent cx="194945" cy="1816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4945" cy="181610"/>
                        </a:xfrm>
                        <a:prstGeom prst="rect">
                          <a:avLst/>
                        </a:prstGeom>
                        <a:noFill/>
                        <a:ln>
                          <a:noFill/>
                        </a:ln>
                      </wps:spPr>
                      <wps:txbx>
                        <w:txbxContent>
                          <w:p>
                            <w:pPr>
                              <w:spacing w:before="20" w:line="180" w:lineRule="auto"/>
                              <w:ind w:firstLine="20"/>
                              <w:rPr>
                                <w:sz w:val="17"/>
                                <w:szCs w:val="17"/>
                              </w:rPr>
                            </w:pPr>
                            <w:r>
                              <w:rPr>
                                <w:position w:val="2"/>
                              </w:rPr>
                              <w:drawing>
                                <wp:inline distT="0" distB="0" distL="114300" distR="114300">
                                  <wp:extent cx="84455" cy="106045"/>
                                  <wp:effectExtent l="0" t="0" r="10795" b="8255"/>
                                  <wp:docPr id="6" name="图片 4"/>
                                  <wp:cNvGraphicFramePr/>
                                  <a:graphic xmlns:a="http://schemas.openxmlformats.org/drawingml/2006/main">
                                    <a:graphicData uri="http://schemas.openxmlformats.org/drawingml/2006/picture">
                                      <pic:pic xmlns:pic="http://schemas.openxmlformats.org/drawingml/2006/picture">
                                        <pic:nvPicPr>
                                          <pic:cNvPr id="6" name="图片 4"/>
                                          <pic:cNvPicPr/>
                                        </pic:nvPicPr>
                                        <pic:blipFill>
                                          <a:blip r:embed="rId34"/>
                                          <a:stretch>
                                            <a:fillRect/>
                                          </a:stretch>
                                        </pic:blipFill>
                                        <pic:spPr>
                                          <a:xfrm>
                                            <a:off x="0" y="0"/>
                                            <a:ext cx="84455" cy="106045"/>
                                          </a:xfrm>
                                          <a:prstGeom prst="rect">
                                            <a:avLst/>
                                          </a:prstGeom>
                                          <a:noFill/>
                                          <a:ln>
                                            <a:noFill/>
                                          </a:ln>
                                        </pic:spPr>
                                      </pic:pic>
                                    </a:graphicData>
                                  </a:graphic>
                                </wp:inline>
                              </w:drawing>
                            </w:r>
                            <w:r>
                              <w:rPr>
                                <w:rFonts w:ascii="Cambria Math" w:hAnsi="Cambria Math" w:eastAsia="Cambria Math" w:cs="Cambria Math"/>
                                <w:spacing w:val="-6"/>
                                <w:position w:val="-2"/>
                                <w:sz w:val="17"/>
                                <w:szCs w:val="17"/>
                              </w:rPr>
                              <w:t>0</w:t>
                            </w:r>
                            <w:r>
                              <w:rPr>
                                <w:position w:val="-2"/>
                                <w:sz w:val="17"/>
                                <w:szCs w:val="17"/>
                              </w:rPr>
                              <w:drawing>
                                <wp:inline distT="0" distB="0" distL="114300" distR="114300">
                                  <wp:extent cx="27940" cy="76200"/>
                                  <wp:effectExtent l="0" t="0" r="10160" b="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35"/>
                                          <a:stretch>
                                            <a:fillRect/>
                                          </a:stretch>
                                        </pic:blipFill>
                                        <pic:spPr>
                                          <a:xfrm>
                                            <a:off x="0" y="0"/>
                                            <a:ext cx="27940" cy="76200"/>
                                          </a:xfrm>
                                          <a:prstGeom prst="rect">
                                            <a:avLst/>
                                          </a:prstGeom>
                                          <a:noFill/>
                                          <a:ln>
                                            <a:noFill/>
                                          </a:ln>
                                        </pic:spPr>
                                      </pic:pic>
                                    </a:graphicData>
                                  </a:graphic>
                                </wp:inline>
                              </w:drawing>
                            </w:r>
                          </w:p>
                        </w:txbxContent>
                      </wps:txbx>
                      <wps:bodyPr lIns="0" tIns="0" rIns="0" bIns="0" upright="1"/>
                    </wps:wsp>
                  </a:graphicData>
                </a:graphic>
              </wp:anchor>
            </w:drawing>
          </mc:Choice>
          <mc:Fallback>
            <w:pict>
              <v:shape id="_x0000_s1026" o:spid="_x0000_s1026" o:spt="202" type="#_x0000_t202" style="position:absolute;left:0pt;margin-left:280.45pt;margin-top:468.65pt;height:14.3pt;width:15.35pt;mso-position-horizontal-relative:page;mso-position-vertical-relative:page;z-index:251662336;mso-width-relative:page;mso-height-relative:page;" filled="f" stroked="f" coordsize="21600,21600" o:allowincell="f" o:gfxdata="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LYHA2QAAAAsBAAAPAAAAAAAAAAEAIAAAACIAAABkcnMvZG93bnJldi54bWxQSwEC&#10;FAAUAAAACACHTuJALdnjgboBAABxAwAADgAAAAAAAAABACAAAAAoAQAAZHJzL2Uyb0RvYy54bWxQ&#10;SwUGAAAAAAYABgBZAQAAVAUAAAAA&#10;">
                <v:fill on="f" focussize="0,0"/>
                <v:stroke on="f"/>
                <v:imagedata o:title=""/>
                <o:lock v:ext="edit" aspectratio="f"/>
                <v:textbox inset="0mm,0mm,0mm,0mm">
                  <w:txbxContent>
                    <w:p>
                      <w:pPr>
                        <w:spacing w:before="20" w:line="180" w:lineRule="auto"/>
                        <w:ind w:firstLine="20"/>
                        <w:rPr>
                          <w:sz w:val="17"/>
                          <w:szCs w:val="17"/>
                        </w:rPr>
                      </w:pPr>
                      <w:r>
                        <w:rPr>
                          <w:position w:val="2"/>
                        </w:rPr>
                        <w:drawing>
                          <wp:inline distT="0" distB="0" distL="114300" distR="114300">
                            <wp:extent cx="84455" cy="106045"/>
                            <wp:effectExtent l="0" t="0" r="10795" b="8255"/>
                            <wp:docPr id="6" name="图片 4"/>
                            <wp:cNvGraphicFramePr/>
                            <a:graphic xmlns:a="http://schemas.openxmlformats.org/drawingml/2006/main">
                              <a:graphicData uri="http://schemas.openxmlformats.org/drawingml/2006/picture">
                                <pic:pic xmlns:pic="http://schemas.openxmlformats.org/drawingml/2006/picture">
                                  <pic:nvPicPr>
                                    <pic:cNvPr id="6" name="图片 4"/>
                                    <pic:cNvPicPr/>
                                  </pic:nvPicPr>
                                  <pic:blipFill>
                                    <a:blip r:embed="rId34"/>
                                    <a:stretch>
                                      <a:fillRect/>
                                    </a:stretch>
                                  </pic:blipFill>
                                  <pic:spPr>
                                    <a:xfrm>
                                      <a:off x="0" y="0"/>
                                      <a:ext cx="84455" cy="106045"/>
                                    </a:xfrm>
                                    <a:prstGeom prst="rect">
                                      <a:avLst/>
                                    </a:prstGeom>
                                    <a:noFill/>
                                    <a:ln>
                                      <a:noFill/>
                                    </a:ln>
                                  </pic:spPr>
                                </pic:pic>
                              </a:graphicData>
                            </a:graphic>
                          </wp:inline>
                        </w:drawing>
                      </w:r>
                      <w:r>
                        <w:rPr>
                          <w:rFonts w:ascii="Cambria Math" w:hAnsi="Cambria Math" w:eastAsia="Cambria Math" w:cs="Cambria Math"/>
                          <w:spacing w:val="-6"/>
                          <w:position w:val="-2"/>
                          <w:sz w:val="17"/>
                          <w:szCs w:val="17"/>
                        </w:rPr>
                        <w:t>0</w:t>
                      </w:r>
                      <w:r>
                        <w:rPr>
                          <w:position w:val="-2"/>
                          <w:sz w:val="17"/>
                          <w:szCs w:val="17"/>
                        </w:rPr>
                        <w:drawing>
                          <wp:inline distT="0" distB="0" distL="114300" distR="114300">
                            <wp:extent cx="27940" cy="76200"/>
                            <wp:effectExtent l="0" t="0" r="10160" b="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35"/>
                                    <a:stretch>
                                      <a:fillRect/>
                                    </a:stretch>
                                  </pic:blipFill>
                                  <pic:spPr>
                                    <a:xfrm>
                                      <a:off x="0" y="0"/>
                                      <a:ext cx="27940" cy="76200"/>
                                    </a:xfrm>
                                    <a:prstGeom prst="rect">
                                      <a:avLst/>
                                    </a:prstGeom>
                                    <a:noFill/>
                                    <a:ln>
                                      <a:noFill/>
                                    </a:ln>
                                  </pic:spPr>
                                </pic:pic>
                              </a:graphicData>
                            </a:graphic>
                          </wp:inline>
                        </w:drawing>
                      </w:r>
                    </w:p>
                  </w:txbxContent>
                </v:textbox>
              </v:shape>
            </w:pict>
          </mc:Fallback>
        </mc:AlternateContent>
      </w:r>
      <w:r>
        <w:rPr>
          <w:highlight w:val="none"/>
        </w:rPr>
        <mc:AlternateContent>
          <mc:Choice Requires="wps">
            <w:drawing>
              <wp:anchor distT="0" distB="0" distL="114300" distR="114300" simplePos="0" relativeHeight="251663360" behindDoc="0" locked="0" layoutInCell="0" allowOverlap="1">
                <wp:simplePos x="0" y="0"/>
                <wp:positionH relativeFrom="page">
                  <wp:posOffset>3592195</wp:posOffset>
                </wp:positionH>
                <wp:positionV relativeFrom="page">
                  <wp:posOffset>5734050</wp:posOffset>
                </wp:positionV>
                <wp:extent cx="132715" cy="161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2715" cy="161925"/>
                        </a:xfrm>
                        <a:prstGeom prst="rect">
                          <a:avLst/>
                        </a:prstGeom>
                        <a:noFill/>
                        <a:ln>
                          <a:noFill/>
                        </a:ln>
                      </wps:spPr>
                      <wps:txbx>
                        <w:txbxContent>
                          <w:p>
                            <w:pPr>
                              <w:spacing w:before="20" w:line="214" w:lineRule="exact"/>
                              <w:ind w:firstLine="20"/>
                              <w:rPr>
                                <w:sz w:val="21"/>
                                <w:szCs w:val="21"/>
                              </w:rPr>
                            </w:pPr>
                            <w:r>
                              <w:rPr>
                                <w:position w:val="1"/>
                              </w:rPr>
                              <w:drawing>
                                <wp:inline distT="0" distB="0" distL="114300" distR="114300">
                                  <wp:extent cx="78105" cy="106045"/>
                                  <wp:effectExtent l="0" t="0" r="17145" b="8255"/>
                                  <wp:docPr id="3" name="图片 6"/>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34"/>
                                          <a:stretch>
                                            <a:fillRect/>
                                          </a:stretch>
                                        </pic:blipFill>
                                        <pic:spPr>
                                          <a:xfrm>
                                            <a:off x="0" y="0"/>
                                            <a:ext cx="78105" cy="106045"/>
                                          </a:xfrm>
                                          <a:prstGeom prst="rect">
                                            <a:avLst/>
                                          </a:prstGeom>
                                          <a:noFill/>
                                          <a:ln>
                                            <a:noFill/>
                                          </a:ln>
                                        </pic:spPr>
                                      </pic:pic>
                                    </a:graphicData>
                                  </a:graphic>
                                </wp:inline>
                              </w:drawing>
                            </w:r>
                            <w:r>
                              <w:rPr>
                                <w:rFonts w:ascii="宋体" w:hAnsi="宋体" w:eastAsia="宋体" w:cs="宋体"/>
                                <w:spacing w:val="-102"/>
                                <w:sz w:val="21"/>
                                <w:szCs w:val="21"/>
                              </w:rPr>
                              <w:t xml:space="preserve"> </w:t>
                            </w:r>
                            <w:r>
                              <w:rPr>
                                <w:position w:val="-3"/>
                                <w:sz w:val="21"/>
                                <w:szCs w:val="21"/>
                              </w:rPr>
                              <w:drawing>
                                <wp:inline distT="0" distB="0" distL="114300" distR="114300">
                                  <wp:extent cx="26035" cy="76200"/>
                                  <wp:effectExtent l="0" t="0" r="12065" b="0"/>
                                  <wp:docPr id="4" name="图片 7"/>
                                  <wp:cNvGraphicFramePr/>
                                  <a:graphic xmlns:a="http://schemas.openxmlformats.org/drawingml/2006/main">
                                    <a:graphicData uri="http://schemas.openxmlformats.org/drawingml/2006/picture">
                                      <pic:pic xmlns:pic="http://schemas.openxmlformats.org/drawingml/2006/picture">
                                        <pic:nvPicPr>
                                          <pic:cNvPr id="4" name="图片 7"/>
                                          <pic:cNvPicPr/>
                                        </pic:nvPicPr>
                                        <pic:blipFill>
                                          <a:blip r:embed="rId36"/>
                                          <a:stretch>
                                            <a:fillRect/>
                                          </a:stretch>
                                        </pic:blipFill>
                                        <pic:spPr>
                                          <a:xfrm>
                                            <a:off x="0" y="0"/>
                                            <a:ext cx="26035" cy="76200"/>
                                          </a:xfrm>
                                          <a:prstGeom prst="rect">
                                            <a:avLst/>
                                          </a:prstGeom>
                                          <a:noFill/>
                                          <a:ln>
                                            <a:noFill/>
                                          </a:ln>
                                        </pic:spPr>
                                      </pic:pic>
                                    </a:graphicData>
                                  </a:graphic>
                                </wp:inline>
                              </w:drawing>
                            </w:r>
                          </w:p>
                        </w:txbxContent>
                      </wps:txbx>
                      <wps:bodyPr lIns="0" tIns="0" rIns="0" bIns="0" upright="1"/>
                    </wps:wsp>
                  </a:graphicData>
                </a:graphic>
              </wp:anchor>
            </w:drawing>
          </mc:Choice>
          <mc:Fallback>
            <w:pict>
              <v:shape id="_x0000_s1026" o:spid="_x0000_s1026" o:spt="202" type="#_x0000_t202" style="position:absolute;left:0pt;margin-left:282.85pt;margin-top:451.5pt;height:12.75pt;width:10.45pt;mso-position-horizontal-relative:page;mso-position-vertical-relative:page;z-index:251663360;mso-width-relative:page;mso-height-relative:page;" filled="f" stroked="f" coordsize="21600,21600" o:allowincell="f" o:gfxdata="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pCoc2gAAAAsBAAAPAAAAAAAAAAEAIAAAACIAAABkcnMvZG93bnJldi54bWxQSwEC&#10;FAAUAAAACACHTuJAB9Y6ZbkBAABxAwAADgAAAAAAAAABACAAAAApAQAAZHJzL2Uyb0RvYy54bWxQ&#10;SwUGAAAAAAYABgBZAQAAVAUAAAAA&#10;">
                <v:fill on="f" focussize="0,0"/>
                <v:stroke on="f"/>
                <v:imagedata o:title=""/>
                <o:lock v:ext="edit" aspectratio="f"/>
                <v:textbox inset="0mm,0mm,0mm,0mm">
                  <w:txbxContent>
                    <w:p>
                      <w:pPr>
                        <w:spacing w:before="20" w:line="214" w:lineRule="exact"/>
                        <w:ind w:firstLine="20"/>
                        <w:rPr>
                          <w:sz w:val="21"/>
                          <w:szCs w:val="21"/>
                        </w:rPr>
                      </w:pPr>
                      <w:r>
                        <w:rPr>
                          <w:position w:val="1"/>
                        </w:rPr>
                        <w:drawing>
                          <wp:inline distT="0" distB="0" distL="114300" distR="114300">
                            <wp:extent cx="78105" cy="106045"/>
                            <wp:effectExtent l="0" t="0" r="17145" b="8255"/>
                            <wp:docPr id="3" name="图片 6"/>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34"/>
                                    <a:stretch>
                                      <a:fillRect/>
                                    </a:stretch>
                                  </pic:blipFill>
                                  <pic:spPr>
                                    <a:xfrm>
                                      <a:off x="0" y="0"/>
                                      <a:ext cx="78105" cy="106045"/>
                                    </a:xfrm>
                                    <a:prstGeom prst="rect">
                                      <a:avLst/>
                                    </a:prstGeom>
                                    <a:noFill/>
                                    <a:ln>
                                      <a:noFill/>
                                    </a:ln>
                                  </pic:spPr>
                                </pic:pic>
                              </a:graphicData>
                            </a:graphic>
                          </wp:inline>
                        </w:drawing>
                      </w:r>
                      <w:r>
                        <w:rPr>
                          <w:rFonts w:ascii="宋体" w:hAnsi="宋体" w:eastAsia="宋体" w:cs="宋体"/>
                          <w:spacing w:val="-102"/>
                          <w:sz w:val="21"/>
                          <w:szCs w:val="21"/>
                        </w:rPr>
                        <w:t xml:space="preserve"> </w:t>
                      </w:r>
                      <w:r>
                        <w:rPr>
                          <w:position w:val="-3"/>
                          <w:sz w:val="21"/>
                          <w:szCs w:val="21"/>
                        </w:rPr>
                        <w:drawing>
                          <wp:inline distT="0" distB="0" distL="114300" distR="114300">
                            <wp:extent cx="26035" cy="76200"/>
                            <wp:effectExtent l="0" t="0" r="12065" b="0"/>
                            <wp:docPr id="4" name="图片 7"/>
                            <wp:cNvGraphicFramePr/>
                            <a:graphic xmlns:a="http://schemas.openxmlformats.org/drawingml/2006/main">
                              <a:graphicData uri="http://schemas.openxmlformats.org/drawingml/2006/picture">
                                <pic:pic xmlns:pic="http://schemas.openxmlformats.org/drawingml/2006/picture">
                                  <pic:nvPicPr>
                                    <pic:cNvPr id="4" name="图片 7"/>
                                    <pic:cNvPicPr/>
                                  </pic:nvPicPr>
                                  <pic:blipFill>
                                    <a:blip r:embed="rId36"/>
                                    <a:stretch>
                                      <a:fillRect/>
                                    </a:stretch>
                                  </pic:blipFill>
                                  <pic:spPr>
                                    <a:xfrm>
                                      <a:off x="0" y="0"/>
                                      <a:ext cx="26035" cy="76200"/>
                                    </a:xfrm>
                                    <a:prstGeom prst="rect">
                                      <a:avLst/>
                                    </a:prstGeom>
                                    <a:noFill/>
                                    <a:ln>
                                      <a:noFill/>
                                    </a:ln>
                                  </pic:spPr>
                                </pic:pic>
                              </a:graphicData>
                            </a:graphic>
                          </wp:inline>
                        </w:drawing>
                      </w:r>
                    </w:p>
                  </w:txbxContent>
                </v:textbox>
              </v:shape>
            </w:pict>
          </mc:Fallback>
        </mc:AlternateContent>
      </w:r>
      <w:r>
        <w:rPr>
          <w:highlight w:val="none"/>
        </w:rPr>
        <w:t>本项目运营期主要废气污染物是恶臭，源于猪只的粪便、尿液等在空气中腐烂发酵的过程，以无组织排放的形式进入周围大气。恶臭气体中主要污染物质为NH</w:t>
      </w:r>
      <w:r>
        <w:rPr>
          <w:highlight w:val="none"/>
          <w:vertAlign w:val="subscript"/>
        </w:rPr>
        <w:t>3</w:t>
      </w:r>
      <w:r>
        <w:rPr>
          <w:highlight w:val="none"/>
        </w:rPr>
        <w:t>、H</w:t>
      </w:r>
      <w:r>
        <w:rPr>
          <w:highlight w:val="none"/>
          <w:vertAlign w:val="subscript"/>
        </w:rPr>
        <w:t>2</w:t>
      </w:r>
      <w:r>
        <w:rPr>
          <w:highlight w:val="none"/>
        </w:rPr>
        <w:t>S、胺、硫醇、苯酸、挥发性有机酸、吲哚、粪臭素、乙醇、乙醛等恶臭物质，以上有害气体及生产中产生的大量尘埃、微生物混入大气，会刺激人、畜呼吸道，可引起呼吸道疾病，影响人畜健康。恶臭气体使人产生不愉快的感觉，影响人的工作效率，猪场自身大气污染也常引起猪只生产力下降。</w:t>
      </w:r>
    </w:p>
    <w:p>
      <w:pPr>
        <w:bidi w:val="0"/>
        <w:rPr>
          <w:highlight w:val="none"/>
        </w:rPr>
      </w:pPr>
      <w:r>
        <w:rPr>
          <w:highlight w:val="none"/>
        </w:rPr>
        <w:t>根据工程分析，本工程运营期废气中主要污染物为猪舍及粪污处理系统产生的NH</w:t>
      </w:r>
      <w:r>
        <w:rPr>
          <w:highlight w:val="none"/>
          <w:vertAlign w:val="subscript"/>
        </w:rPr>
        <w:t>3</w:t>
      </w:r>
      <w:r>
        <w:rPr>
          <w:highlight w:val="none"/>
        </w:rPr>
        <w:t>、H</w:t>
      </w:r>
      <w:r>
        <w:rPr>
          <w:highlight w:val="none"/>
          <w:vertAlign w:val="subscript"/>
        </w:rPr>
        <w:t>2</w:t>
      </w:r>
      <w:r>
        <w:rPr>
          <w:highlight w:val="none"/>
        </w:rPr>
        <w:t>S，因此选取NH</w:t>
      </w:r>
      <w:r>
        <w:rPr>
          <w:highlight w:val="none"/>
          <w:vertAlign w:val="subscript"/>
        </w:rPr>
        <w:t>3</w:t>
      </w:r>
      <w:r>
        <w:rPr>
          <w:highlight w:val="none"/>
        </w:rPr>
        <w:t>、H</w:t>
      </w:r>
      <w:r>
        <w:rPr>
          <w:highlight w:val="none"/>
          <w:vertAlign w:val="subscript"/>
        </w:rPr>
        <w:t>2</w:t>
      </w:r>
      <w:r>
        <w:rPr>
          <w:highlight w:val="none"/>
        </w:rPr>
        <w:t>S作为预测因子。</w:t>
      </w:r>
    </w:p>
    <w:p>
      <w:pPr>
        <w:pStyle w:val="6"/>
        <w:bidi w:val="0"/>
        <w:rPr>
          <w:highlight w:val="none"/>
        </w:rPr>
      </w:pPr>
      <w:r>
        <w:rPr>
          <w:rFonts w:hint="eastAsia"/>
          <w:highlight w:val="none"/>
          <w:lang w:val="en-US" w:eastAsia="zh-CN"/>
        </w:rPr>
        <w:t>6</w:t>
      </w:r>
      <w:r>
        <w:rPr>
          <w:highlight w:val="none"/>
        </w:rPr>
        <w:t xml:space="preserve">.2.1.2 </w:t>
      </w:r>
      <w:r>
        <w:rPr>
          <w:rFonts w:hint="eastAsia"/>
          <w:highlight w:val="none"/>
          <w:lang w:val="en-US" w:eastAsia="zh-CN"/>
        </w:rPr>
        <w:t xml:space="preserve"> </w:t>
      </w:r>
      <w:r>
        <w:rPr>
          <w:highlight w:val="none"/>
        </w:rPr>
        <w:t>大气环境影响评价工作等级的确定</w:t>
      </w:r>
    </w:p>
    <w:p>
      <w:pPr>
        <w:bidi w:val="0"/>
        <w:rPr>
          <w:highlight w:val="none"/>
        </w:rPr>
      </w:pPr>
      <w:r>
        <w:rPr>
          <w:highlight w:val="none"/>
        </w:rPr>
        <w:t>依据《环境影响评价技术导则-大气环境》</w:t>
      </w:r>
      <w:r>
        <w:rPr>
          <w:rFonts w:hint="eastAsia"/>
          <w:highlight w:val="none"/>
          <w:lang w:eastAsia="zh-CN"/>
        </w:rPr>
        <w:t>（</w:t>
      </w:r>
      <w:r>
        <w:rPr>
          <w:highlight w:val="none"/>
        </w:rPr>
        <w:t>HJ2.2-2018</w:t>
      </w:r>
      <w:r>
        <w:rPr>
          <w:rFonts w:hint="eastAsia"/>
          <w:highlight w:val="none"/>
          <w:lang w:eastAsia="zh-CN"/>
        </w:rPr>
        <w:t>）</w:t>
      </w:r>
      <w:r>
        <w:rPr>
          <w:highlight w:val="none"/>
        </w:rPr>
        <w:t>中 5.3 节工作等级的确定方法，结合项目工程分析结果，选择正常排放的主要污染物及排放参数，采用附录A推荐模型中的AERSCREEN模式计算项目污染源的最大环境影响，然后按评价工作分级判据进行分级。</w:t>
      </w:r>
    </w:p>
    <w:p>
      <w:pPr>
        <w:bidi w:val="0"/>
        <w:rPr>
          <w:highlight w:val="none"/>
        </w:rPr>
      </w:pPr>
      <w:r>
        <w:rPr>
          <w:highlight w:val="none"/>
        </w:rPr>
        <w:t>（1）P</w:t>
      </w:r>
      <w:r>
        <w:rPr>
          <w:highlight w:val="none"/>
          <w:vertAlign w:val="subscript"/>
        </w:rPr>
        <w:t>max</w:t>
      </w:r>
      <w:r>
        <w:rPr>
          <w:highlight w:val="none"/>
        </w:rPr>
        <w:t>及D</w:t>
      </w:r>
      <w:r>
        <w:rPr>
          <w:highlight w:val="none"/>
          <w:vertAlign w:val="subscript"/>
        </w:rPr>
        <w:t>10%</w:t>
      </w:r>
      <w:r>
        <w:rPr>
          <w:highlight w:val="none"/>
        </w:rPr>
        <w:t>的确定</w:t>
      </w:r>
    </w:p>
    <w:p>
      <w:pPr>
        <w:bidi w:val="0"/>
        <w:rPr>
          <w:highlight w:val="none"/>
        </w:rPr>
      </w:pPr>
      <w:r>
        <w:rPr>
          <w:highlight w:val="none"/>
        </w:rPr>
        <w:t>依据《环境影响评价技术导则 大气环境》 (HJ2.2-2018)中最大地面浓度占标率P</w:t>
      </w:r>
      <w:r>
        <w:rPr>
          <w:highlight w:val="none"/>
          <w:vertAlign w:val="subscript"/>
        </w:rPr>
        <w:t>i</w:t>
      </w:r>
      <w:r>
        <w:rPr>
          <w:highlight w:val="none"/>
        </w:rPr>
        <w:t>定义如下：</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highlight w:val="none"/>
        </w:rPr>
      </w:pPr>
      <w:r>
        <w:rPr>
          <w:highlight w:val="none"/>
        </w:rPr>
        <w:drawing>
          <wp:inline distT="0" distB="0" distL="114300" distR="114300">
            <wp:extent cx="1084580" cy="403225"/>
            <wp:effectExtent l="0" t="0" r="1270" b="15875"/>
            <wp:docPr id="11" name="图片 8"/>
            <wp:cNvGraphicFramePr/>
            <a:graphic xmlns:a="http://schemas.openxmlformats.org/drawingml/2006/main">
              <a:graphicData uri="http://schemas.openxmlformats.org/drawingml/2006/picture">
                <pic:pic xmlns:pic="http://schemas.openxmlformats.org/drawingml/2006/picture">
                  <pic:nvPicPr>
                    <pic:cNvPr id="11" name="图片 8"/>
                    <pic:cNvPicPr/>
                  </pic:nvPicPr>
                  <pic:blipFill>
                    <a:blip r:embed="rId37"/>
                    <a:stretch>
                      <a:fillRect/>
                    </a:stretch>
                  </pic:blipFill>
                  <pic:spPr>
                    <a:xfrm>
                      <a:off x="0" y="0"/>
                      <a:ext cx="1084580" cy="403225"/>
                    </a:xfrm>
                    <a:prstGeom prst="rect">
                      <a:avLst/>
                    </a:prstGeom>
                    <a:noFill/>
                    <a:ln>
                      <a:noFill/>
                    </a:ln>
                  </pic:spPr>
                </pic:pic>
              </a:graphicData>
            </a:graphic>
          </wp:inline>
        </w:drawing>
      </w:r>
    </w:p>
    <w:p>
      <w:pPr>
        <w:bidi w:val="0"/>
        <w:rPr>
          <w:highlight w:val="none"/>
        </w:rPr>
      </w:pPr>
      <w:r>
        <w:rPr>
          <w:rFonts w:hint="eastAsia"/>
          <w:highlight w:val="none"/>
          <w:lang w:eastAsia="zh-CN"/>
        </w:rPr>
        <w:t>式中：</w:t>
      </w:r>
      <w:r>
        <w:rPr>
          <w:rFonts w:hint="eastAsia"/>
          <w:highlight w:val="none"/>
          <w:lang w:val="en-US" w:eastAsia="zh-CN"/>
        </w:rPr>
        <w:t>P</w:t>
      </w:r>
      <w:r>
        <w:rPr>
          <w:rFonts w:hint="eastAsia"/>
          <w:highlight w:val="none"/>
          <w:vertAlign w:val="subscript"/>
          <w:lang w:val="en-US" w:eastAsia="zh-CN"/>
        </w:rPr>
        <w:t>i</w:t>
      </w:r>
      <w:r>
        <w:rPr>
          <w:highlight w:val="none"/>
        </w:rPr>
        <w:t>——第i个污染物的最大地面空气质量浓度占标率，%；</w:t>
      </w:r>
    </w:p>
    <w:p>
      <w:pPr>
        <w:bidi w:val="0"/>
        <w:ind w:firstLine="1200" w:firstLineChars="500"/>
        <w:rPr>
          <w:highlight w:val="none"/>
        </w:rPr>
      </w:pPr>
      <w:r>
        <w:rPr>
          <w:rFonts w:hint="eastAsia"/>
          <w:highlight w:val="none"/>
          <w:lang w:val="en-US" w:eastAsia="zh-CN"/>
        </w:rPr>
        <w:t>C</w:t>
      </w:r>
      <w:r>
        <w:rPr>
          <w:rFonts w:hint="eastAsia"/>
          <w:highlight w:val="none"/>
          <w:vertAlign w:val="subscript"/>
          <w:lang w:val="en-US" w:eastAsia="zh-CN"/>
        </w:rPr>
        <w:t>i</w:t>
      </w:r>
      <w:r>
        <w:rPr>
          <w:highlight w:val="none"/>
        </w:rPr>
        <w:t>——采用估算模型计算出的第i个污染物的最大1h地面空气质量浓度，μg/m</w:t>
      </w:r>
      <w:r>
        <w:rPr>
          <w:highlight w:val="none"/>
          <w:vertAlign w:val="superscript"/>
        </w:rPr>
        <w:t>3</w:t>
      </w:r>
      <w:r>
        <w:rPr>
          <w:highlight w:val="none"/>
        </w:rPr>
        <w:t>；</w:t>
      </w:r>
    </w:p>
    <w:p>
      <w:pPr>
        <w:bidi w:val="0"/>
        <w:ind w:firstLine="1200" w:firstLineChars="500"/>
        <w:rPr>
          <w:highlight w:val="none"/>
        </w:rPr>
      </w:pPr>
      <w:r>
        <w:rPr>
          <w:rFonts w:hint="eastAsia"/>
          <w:highlight w:val="none"/>
          <w:lang w:val="en-US" w:eastAsia="zh-CN"/>
        </w:rPr>
        <w:t>C</w:t>
      </w:r>
      <w:r>
        <w:rPr>
          <w:rFonts w:hint="eastAsia"/>
          <w:highlight w:val="none"/>
          <w:vertAlign w:val="subscript"/>
          <w:lang w:val="en-US" w:eastAsia="zh-CN"/>
        </w:rPr>
        <w:t>oi</w:t>
      </w:r>
      <w:r>
        <w:rPr>
          <w:highlight w:val="none"/>
        </w:rPr>
        <w:t>——第i个污染物的环境空气质量浓度标准，μg/m</w:t>
      </w:r>
      <w:r>
        <w:rPr>
          <w:highlight w:val="none"/>
          <w:vertAlign w:val="superscript"/>
        </w:rPr>
        <w:t>3</w:t>
      </w:r>
      <w:r>
        <w:rPr>
          <w:highlight w:val="none"/>
        </w:rPr>
        <w:t>。</w:t>
      </w:r>
    </w:p>
    <w:p>
      <w:pPr>
        <w:bidi w:val="0"/>
        <w:rPr>
          <w:highlight w:val="none"/>
        </w:rPr>
      </w:pPr>
      <w:r>
        <w:rPr>
          <w:highlight w:val="none"/>
        </w:rPr>
        <w:t>（2）评价等级判别表</w:t>
      </w:r>
    </w:p>
    <w:p>
      <w:pPr>
        <w:bidi w:val="0"/>
        <w:rPr>
          <w:highlight w:val="none"/>
        </w:rPr>
      </w:pPr>
      <w:r>
        <w:rPr>
          <w:highlight w:val="none"/>
        </w:rPr>
        <w:t>评价等级按下表的分级判据进行划分</w:t>
      </w:r>
    </w:p>
    <w:p>
      <w:pPr>
        <w:pStyle w:val="7"/>
        <w:bidi w:val="0"/>
        <w:rPr>
          <w:highlight w:val="none"/>
        </w:rPr>
      </w:pPr>
      <w:r>
        <w:rPr>
          <w:highlight w:val="none"/>
        </w:rPr>
        <w:t>表</w:t>
      </w:r>
      <w:r>
        <w:rPr>
          <w:rFonts w:hint="eastAsia"/>
          <w:highlight w:val="none"/>
          <w:lang w:val="en-US" w:eastAsia="zh-CN"/>
        </w:rPr>
        <w:t>6</w:t>
      </w:r>
      <w:r>
        <w:rPr>
          <w:highlight w:val="none"/>
        </w:rPr>
        <w:t>.2-1  评价等级判别表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136"/>
        <w:gridCol w:w="41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评价工作等级</w:t>
            </w:r>
          </w:p>
        </w:tc>
        <w:tc>
          <w:tcPr>
            <w:tcW w:w="2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评价工作分级判据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一级评价</w:t>
            </w:r>
          </w:p>
        </w:tc>
        <w:tc>
          <w:tcPr>
            <w:tcW w:w="2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Pmax≧10%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二级评价</w:t>
            </w:r>
          </w:p>
        </w:tc>
        <w:tc>
          <w:tcPr>
            <w:tcW w:w="2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1%≦Pmax&lt;10%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三级评价</w:t>
            </w:r>
          </w:p>
        </w:tc>
        <w:tc>
          <w:tcPr>
            <w:tcW w:w="2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Pmax&lt;1%</w:t>
            </w:r>
          </w:p>
        </w:tc>
      </w:tr>
    </w:tbl>
    <w:p>
      <w:pPr>
        <w:bidi w:val="0"/>
        <w:rPr>
          <w:highlight w:val="none"/>
        </w:rPr>
      </w:pPr>
      <w:r>
        <w:rPr>
          <w:highlight w:val="none"/>
        </w:rPr>
        <w:t>（3）污染物评价标准</w:t>
      </w:r>
    </w:p>
    <w:p>
      <w:pPr>
        <w:bidi w:val="0"/>
        <w:rPr>
          <w:highlight w:val="none"/>
        </w:rPr>
      </w:pPr>
      <w:r>
        <w:rPr>
          <w:highlight w:val="none"/>
        </w:rPr>
        <w:t>污染物评价标准和来源见下表。</w:t>
      </w:r>
    </w:p>
    <w:p>
      <w:pPr>
        <w:pStyle w:val="7"/>
        <w:bidi w:val="0"/>
        <w:rPr>
          <w:highlight w:val="none"/>
        </w:rPr>
      </w:pPr>
      <w:r>
        <w:rPr>
          <w:highlight w:val="none"/>
        </w:rPr>
        <w:t>表</w:t>
      </w:r>
      <w:r>
        <w:rPr>
          <w:rFonts w:hint="eastAsia"/>
          <w:highlight w:val="none"/>
          <w:lang w:val="en-US" w:eastAsia="zh-CN"/>
        </w:rPr>
        <w:t>6</w:t>
      </w:r>
      <w:r>
        <w:rPr>
          <w:highlight w:val="none"/>
        </w:rPr>
        <w:t>.2-2  污染物评价标准</w:t>
      </w:r>
    </w:p>
    <w:tbl>
      <w:tblPr>
        <w:tblStyle w:val="20"/>
        <w:tblW w:w="4883" w:type="pct"/>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704"/>
        <w:gridCol w:w="1704"/>
        <w:gridCol w:w="1704"/>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污染物名称</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功能区</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取值时间</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标准值(μg/m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9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二类限区</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1h 平均</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200.0</w:t>
            </w:r>
          </w:p>
        </w:tc>
        <w:tc>
          <w:tcPr>
            <w:tcW w:w="97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HJ2.2-2018附录 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二类限区</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1h 平均</w:t>
            </w:r>
          </w:p>
        </w:tc>
        <w:tc>
          <w:tcPr>
            <w:tcW w:w="10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10.0</w:t>
            </w:r>
          </w:p>
        </w:tc>
        <w:tc>
          <w:tcPr>
            <w:tcW w:w="97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r>
    </w:tbl>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.2.1.3</w:t>
      </w:r>
      <w:r>
        <w:rPr>
          <w:rFonts w:ascii="Times New Roman" w:hAnsi="Times New Roman" w:eastAsia="Times New Roman" w:cs="Times New Roman"/>
          <w:spacing w:val="6"/>
          <w:sz w:val="24"/>
          <w:szCs w:val="24"/>
          <w:highlight w:val="none"/>
        </w:rPr>
        <w:t xml:space="preserve">  </w:t>
      </w:r>
      <w:r>
        <w:rPr>
          <w:rFonts w:ascii="宋体" w:hAnsi="宋体" w:eastAsia="宋体" w:cs="宋体"/>
          <w:spacing w:val="-1"/>
          <w:sz w:val="24"/>
          <w:szCs w:val="24"/>
          <w:highlight w:val="none"/>
        </w:rPr>
        <w:t>污染源强及参数</w:t>
      </w:r>
    </w:p>
    <w:p>
      <w:pPr>
        <w:bidi w:val="0"/>
        <w:rPr>
          <w:highlight w:val="none"/>
        </w:rPr>
      </w:pPr>
      <w:r>
        <w:rPr>
          <w:highlight w:val="none"/>
        </w:rPr>
        <w:t>本次环评的主要预测因子为猪舍、粪污处理系统排放的NH</w:t>
      </w:r>
      <w:r>
        <w:rPr>
          <w:highlight w:val="none"/>
          <w:vertAlign w:val="subscript"/>
        </w:rPr>
        <w:t>3</w:t>
      </w:r>
      <w:r>
        <w:rPr>
          <w:highlight w:val="none"/>
        </w:rPr>
        <w:t>、H</w:t>
      </w:r>
      <w:r>
        <w:rPr>
          <w:highlight w:val="none"/>
          <w:vertAlign w:val="subscript"/>
        </w:rPr>
        <w:t>2</w:t>
      </w:r>
      <w:r>
        <w:rPr>
          <w:highlight w:val="none"/>
        </w:rPr>
        <w:t>S。因此，本项目排放源强见表</w:t>
      </w:r>
      <w:r>
        <w:rPr>
          <w:rFonts w:hint="eastAsia"/>
          <w:highlight w:val="none"/>
          <w:lang w:val="en-US" w:eastAsia="zh-CN"/>
        </w:rPr>
        <w:t>6</w:t>
      </w:r>
      <w:r>
        <w:rPr>
          <w:highlight w:val="none"/>
        </w:rPr>
        <w:t>.2-3，面源参数调查清单见表</w:t>
      </w:r>
      <w:r>
        <w:rPr>
          <w:rFonts w:hint="eastAsia"/>
          <w:highlight w:val="none"/>
          <w:lang w:val="en-US" w:eastAsia="zh-CN"/>
        </w:rPr>
        <w:t>6</w:t>
      </w:r>
      <w:r>
        <w:rPr>
          <w:highlight w:val="none"/>
        </w:rPr>
        <w:t>.2-4。</w:t>
      </w:r>
    </w:p>
    <w:p>
      <w:pPr>
        <w:pStyle w:val="7"/>
        <w:bidi w:val="0"/>
        <w:rPr>
          <w:highlight w:val="none"/>
        </w:rPr>
      </w:pPr>
      <w:r>
        <w:rPr>
          <w:highlight w:val="none"/>
        </w:rPr>
        <w:t>表</w:t>
      </w:r>
      <w:r>
        <w:rPr>
          <w:rFonts w:hint="eastAsia"/>
          <w:highlight w:val="none"/>
          <w:lang w:val="en-US" w:eastAsia="zh-CN"/>
        </w:rPr>
        <w:t>6</w:t>
      </w:r>
      <w:r>
        <w:rPr>
          <w:highlight w:val="none"/>
        </w:rPr>
        <w:t>.2-3  本项目大气污染物源强汇总表</w:t>
      </w:r>
    </w:p>
    <w:tbl>
      <w:tblPr>
        <w:tblStyle w:val="34"/>
        <w:tblW w:w="503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116"/>
        <w:gridCol w:w="1383"/>
        <w:gridCol w:w="1637"/>
        <w:gridCol w:w="1630"/>
        <w:gridCol w:w="16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26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污染源</w:t>
            </w:r>
          </w:p>
        </w:tc>
        <w:tc>
          <w:tcPr>
            <w:tcW w:w="179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194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8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排放量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（t/a）</w:t>
            </w:r>
          </w:p>
        </w:tc>
        <w:tc>
          <w:tcPr>
            <w:tcW w:w="9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排放速率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（kg/h）</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排放量（t/a）</w:t>
            </w:r>
          </w:p>
        </w:tc>
        <w:tc>
          <w:tcPr>
            <w:tcW w:w="9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排放速率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2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猪舍</w:t>
            </w:r>
          </w:p>
        </w:tc>
        <w:tc>
          <w:tcPr>
            <w:tcW w:w="82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0.114</w:t>
            </w:r>
          </w:p>
        </w:tc>
        <w:tc>
          <w:tcPr>
            <w:tcW w:w="97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0.013</w:t>
            </w:r>
          </w:p>
        </w:tc>
        <w:tc>
          <w:tcPr>
            <w:tcW w:w="9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0.012</w:t>
            </w:r>
          </w:p>
        </w:tc>
        <w:tc>
          <w:tcPr>
            <w:tcW w:w="9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pacing w:val="0"/>
                <w:position w:val="0"/>
                <w:sz w:val="21"/>
                <w:szCs w:val="21"/>
                <w:highlight w:val="none"/>
                <w:lang w:eastAsia="zh-CN"/>
              </w:rPr>
            </w:pPr>
            <w:r>
              <w:rPr>
                <w:rFonts w:hint="eastAsia" w:cs="Times New Roman"/>
                <w:spacing w:val="0"/>
                <w:position w:val="0"/>
                <w:sz w:val="21"/>
                <w:szCs w:val="21"/>
                <w:highlight w:val="none"/>
                <w:lang w:eastAsia="zh-CN"/>
              </w:rPr>
              <w:t>污水处理站</w:t>
            </w:r>
          </w:p>
        </w:tc>
        <w:tc>
          <w:tcPr>
            <w:tcW w:w="82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0.054</w:t>
            </w:r>
          </w:p>
        </w:tc>
        <w:tc>
          <w:tcPr>
            <w:tcW w:w="97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0.0062</w:t>
            </w:r>
          </w:p>
        </w:tc>
        <w:tc>
          <w:tcPr>
            <w:tcW w:w="9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0.002</w:t>
            </w:r>
          </w:p>
        </w:tc>
        <w:tc>
          <w:tcPr>
            <w:tcW w:w="9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总计</w:t>
            </w:r>
          </w:p>
        </w:tc>
        <w:tc>
          <w:tcPr>
            <w:tcW w:w="82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0.168</w:t>
            </w:r>
          </w:p>
        </w:tc>
        <w:tc>
          <w:tcPr>
            <w:tcW w:w="97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0.0192</w:t>
            </w:r>
          </w:p>
        </w:tc>
        <w:tc>
          <w:tcPr>
            <w:tcW w:w="971"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0.014</w:t>
            </w:r>
          </w:p>
        </w:tc>
        <w:tc>
          <w:tcPr>
            <w:tcW w:w="9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0.0016</w:t>
            </w:r>
          </w:p>
        </w:tc>
      </w:tr>
    </w:tbl>
    <w:p>
      <w:pPr>
        <w:pStyle w:val="7"/>
        <w:bidi w:val="0"/>
        <w:rPr>
          <w:highlight w:val="none"/>
        </w:rPr>
      </w:pPr>
      <w:r>
        <w:rPr>
          <w:highlight w:val="none"/>
        </w:rPr>
        <w:t>表</w:t>
      </w:r>
      <w:r>
        <w:rPr>
          <w:rFonts w:hint="eastAsia"/>
          <w:highlight w:val="none"/>
          <w:lang w:val="en-US" w:eastAsia="zh-CN"/>
        </w:rPr>
        <w:t>6</w:t>
      </w:r>
      <w:r>
        <w:rPr>
          <w:highlight w:val="none"/>
        </w:rPr>
        <w:t>.2-4  矩形面源参数调查清单</w:t>
      </w:r>
    </w:p>
    <w:tbl>
      <w:tblPr>
        <w:tblStyle w:val="34"/>
        <w:tblW w:w="5052"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16"/>
        <w:gridCol w:w="1024"/>
        <w:gridCol w:w="1044"/>
        <w:gridCol w:w="627"/>
        <w:gridCol w:w="627"/>
        <w:gridCol w:w="627"/>
        <w:gridCol w:w="715"/>
        <w:gridCol w:w="584"/>
        <w:gridCol w:w="627"/>
        <w:gridCol w:w="972"/>
        <w:gridCol w:w="7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面源名称</w:t>
            </w:r>
          </w:p>
        </w:tc>
        <w:tc>
          <w:tcPr>
            <w:tcW w:w="1226"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面源起始点</w:t>
            </w:r>
          </w:p>
        </w:tc>
        <w:tc>
          <w:tcPr>
            <w:tcW w:w="3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default" w:ascii="Times New Roman" w:hAnsi="Times New Roman" w:eastAsia="宋体" w:cs="Times New Roman"/>
                <w:spacing w:val="0"/>
                <w:position w:val="0"/>
                <w:sz w:val="21"/>
                <w:szCs w:val="21"/>
                <w:highlight w:val="none"/>
              </w:rPr>
              <w:t>海拔高度H0</w:t>
            </w:r>
            <w:r>
              <w:rPr>
                <w:rFonts w:hint="eastAsia"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m</w:t>
            </w:r>
            <w:r>
              <w:rPr>
                <w:rFonts w:hint="eastAsia" w:cs="Times New Roman"/>
                <w:spacing w:val="0"/>
                <w:position w:val="0"/>
                <w:sz w:val="21"/>
                <w:szCs w:val="21"/>
                <w:highlight w:val="none"/>
                <w:lang w:eastAsia="zh-CN"/>
              </w:rPr>
              <w:t>）</w:t>
            </w:r>
          </w:p>
        </w:tc>
        <w:tc>
          <w:tcPr>
            <w:tcW w:w="3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default" w:ascii="Times New Roman" w:hAnsi="Times New Roman" w:eastAsia="宋体" w:cs="Times New Roman"/>
                <w:spacing w:val="0"/>
                <w:position w:val="0"/>
                <w:sz w:val="21"/>
                <w:szCs w:val="21"/>
                <w:highlight w:val="none"/>
              </w:rPr>
              <w:t>面源长度L1</w:t>
            </w:r>
            <w:r>
              <w:rPr>
                <w:rFonts w:hint="eastAsia"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m</w:t>
            </w:r>
            <w:r>
              <w:rPr>
                <w:rFonts w:hint="eastAsia" w:cs="Times New Roman"/>
                <w:spacing w:val="0"/>
                <w:position w:val="0"/>
                <w:sz w:val="21"/>
                <w:szCs w:val="21"/>
                <w:highlight w:val="none"/>
                <w:lang w:eastAsia="zh-CN"/>
              </w:rPr>
              <w:t>）</w:t>
            </w:r>
          </w:p>
        </w:tc>
        <w:tc>
          <w:tcPr>
            <w:tcW w:w="3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default" w:ascii="Times New Roman" w:hAnsi="Times New Roman" w:eastAsia="宋体" w:cs="Times New Roman"/>
                <w:spacing w:val="0"/>
                <w:position w:val="0"/>
                <w:sz w:val="21"/>
                <w:szCs w:val="21"/>
                <w:highlight w:val="none"/>
              </w:rPr>
              <w:t>面源宽度Lw</w:t>
            </w:r>
            <w:r>
              <w:rPr>
                <w:rFonts w:hint="eastAsia"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m</w:t>
            </w:r>
            <w:r>
              <w:rPr>
                <w:rFonts w:hint="eastAsia" w:cs="Times New Roman"/>
                <w:spacing w:val="0"/>
                <w:position w:val="0"/>
                <w:sz w:val="21"/>
                <w:szCs w:val="21"/>
                <w:highlight w:val="none"/>
                <w:lang w:eastAsia="zh-CN"/>
              </w:rPr>
              <w:t>）</w:t>
            </w:r>
          </w:p>
        </w:tc>
        <w:tc>
          <w:tcPr>
            <w:tcW w:w="42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default" w:ascii="Times New Roman" w:hAnsi="Times New Roman" w:eastAsia="宋体" w:cs="Times New Roman"/>
                <w:spacing w:val="0"/>
                <w:position w:val="0"/>
                <w:sz w:val="21"/>
                <w:szCs w:val="21"/>
                <w:highlight w:val="none"/>
              </w:rPr>
              <w:t>面源初始排放高度H</w:t>
            </w:r>
            <w:r>
              <w:rPr>
                <w:rFonts w:hint="eastAsia"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m</w:t>
            </w:r>
            <w:r>
              <w:rPr>
                <w:rFonts w:hint="eastAsia" w:cs="Times New Roman"/>
                <w:spacing w:val="0"/>
                <w:position w:val="0"/>
                <w:sz w:val="21"/>
                <w:szCs w:val="21"/>
                <w:highlight w:val="none"/>
                <w:lang w:eastAsia="zh-CN"/>
              </w:rPr>
              <w:t>）</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default" w:ascii="Times New Roman" w:hAnsi="Times New Roman" w:eastAsia="宋体" w:cs="Times New Roman"/>
                <w:spacing w:val="0"/>
                <w:position w:val="0"/>
                <w:sz w:val="21"/>
                <w:szCs w:val="21"/>
                <w:highlight w:val="none"/>
              </w:rPr>
              <w:t>年排放小时数r</w:t>
            </w:r>
            <w:r>
              <w:rPr>
                <w:rFonts w:hint="eastAsia"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h</w:t>
            </w:r>
            <w:r>
              <w:rPr>
                <w:rFonts w:hint="eastAsia" w:cs="Times New Roman"/>
                <w:spacing w:val="0"/>
                <w:position w:val="0"/>
                <w:sz w:val="21"/>
                <w:szCs w:val="21"/>
                <w:highlight w:val="none"/>
                <w:lang w:eastAsia="zh-CN"/>
              </w:rPr>
              <w:t>）</w:t>
            </w:r>
          </w:p>
        </w:tc>
        <w:tc>
          <w:tcPr>
            <w:tcW w:w="3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排放工况</w:t>
            </w:r>
          </w:p>
        </w:tc>
        <w:tc>
          <w:tcPr>
            <w:tcW w:w="102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default" w:ascii="Times New Roman" w:hAnsi="Times New Roman" w:eastAsia="宋体" w:cs="Times New Roman"/>
                <w:spacing w:val="0"/>
                <w:position w:val="0"/>
                <w:sz w:val="21"/>
                <w:szCs w:val="21"/>
                <w:highlight w:val="none"/>
              </w:rPr>
              <w:t>评价因子源强</w:t>
            </w:r>
            <w:r>
              <w:rPr>
                <w:rFonts w:hint="eastAsia" w:cs="Times New Roman"/>
                <w:spacing w:val="0"/>
                <w:position w:val="0"/>
                <w:sz w:val="21"/>
                <w:szCs w:val="21"/>
                <w:highlight w:val="none"/>
                <w:lang w:eastAsia="zh-CN"/>
              </w:rPr>
              <w:t>（</w:t>
            </w:r>
            <w:r>
              <w:rPr>
                <w:rFonts w:hint="default" w:ascii="Times New Roman" w:hAnsi="Times New Roman" w:eastAsia="宋体" w:cs="Times New Roman"/>
                <w:spacing w:val="0"/>
                <w:position w:val="0"/>
                <w:sz w:val="21"/>
                <w:szCs w:val="21"/>
                <w:highlight w:val="none"/>
              </w:rPr>
              <w:t>kg/h</w:t>
            </w:r>
            <w:r>
              <w:rPr>
                <w:rFonts w:hint="eastAsia" w:cs="Times New Roman"/>
                <w:spacing w:val="0"/>
                <w:position w:val="0"/>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226"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4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4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经度</w:t>
            </w:r>
          </w:p>
        </w:tc>
        <w:tc>
          <w:tcPr>
            <w:tcW w:w="6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kern w:val="2"/>
                <w:position w:val="0"/>
                <w:sz w:val="21"/>
                <w:szCs w:val="21"/>
                <w:highlight w:val="none"/>
                <w:lang w:val="en-US" w:eastAsia="zh-CN" w:bidi="ar-SA"/>
              </w:rPr>
            </w:pPr>
            <w:r>
              <w:rPr>
                <w:rFonts w:hint="default" w:ascii="Times New Roman" w:hAnsi="Times New Roman" w:eastAsia="宋体" w:cs="Times New Roman"/>
                <w:spacing w:val="0"/>
                <w:position w:val="0"/>
                <w:sz w:val="21"/>
                <w:szCs w:val="21"/>
                <w:highlight w:val="none"/>
              </w:rPr>
              <w:t>纬度</w:t>
            </w: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42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4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猪舍区</w:t>
            </w: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112.75015</w:t>
            </w:r>
          </w:p>
        </w:tc>
        <w:tc>
          <w:tcPr>
            <w:tcW w:w="6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29.57481</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80</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96.08</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60</w:t>
            </w:r>
          </w:p>
        </w:tc>
        <w:tc>
          <w:tcPr>
            <w:tcW w:w="4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5</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8760</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正常排放</w:t>
            </w:r>
          </w:p>
        </w:tc>
        <w:tc>
          <w:tcPr>
            <w:tcW w:w="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0.013</w:t>
            </w:r>
          </w:p>
        </w:tc>
        <w:tc>
          <w:tcPr>
            <w:tcW w:w="4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污水处理站</w:t>
            </w:r>
          </w:p>
        </w:tc>
        <w:tc>
          <w:tcPr>
            <w:tcW w:w="6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112.75018</w:t>
            </w:r>
          </w:p>
        </w:tc>
        <w:tc>
          <w:tcPr>
            <w:tcW w:w="6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29.57529</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66</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25</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25</w:t>
            </w:r>
          </w:p>
        </w:tc>
        <w:tc>
          <w:tcPr>
            <w:tcW w:w="4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cs="Times New Roman"/>
                <w:spacing w:val="0"/>
                <w:position w:val="0"/>
                <w:sz w:val="21"/>
                <w:szCs w:val="21"/>
                <w:highlight w:val="none"/>
                <w:lang w:val="en-US" w:eastAsia="zh-CN"/>
              </w:rPr>
              <w:t>4</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8760</w:t>
            </w:r>
          </w:p>
        </w:tc>
        <w:tc>
          <w:tcPr>
            <w:tcW w:w="3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正常排放</w:t>
            </w:r>
          </w:p>
        </w:tc>
        <w:tc>
          <w:tcPr>
            <w:tcW w:w="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0.0062</w:t>
            </w:r>
          </w:p>
        </w:tc>
        <w:tc>
          <w:tcPr>
            <w:tcW w:w="4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0.0002</w:t>
            </w:r>
          </w:p>
        </w:tc>
      </w:tr>
    </w:tbl>
    <w:p>
      <w:pPr>
        <w:pStyle w:val="6"/>
        <w:bidi w:val="0"/>
        <w:rPr>
          <w:highlight w:val="none"/>
        </w:rPr>
      </w:pPr>
      <w:r>
        <w:rPr>
          <w:rFonts w:hint="eastAsia"/>
          <w:highlight w:val="none"/>
          <w:lang w:val="en-US" w:eastAsia="zh-CN"/>
        </w:rPr>
        <w:t>6</w:t>
      </w:r>
      <w:r>
        <w:rPr>
          <w:highlight w:val="none"/>
        </w:rPr>
        <w:t>.2.1.4  项目参数</w:t>
      </w:r>
    </w:p>
    <w:p>
      <w:pPr>
        <w:bidi w:val="0"/>
        <w:rPr>
          <w:highlight w:val="none"/>
        </w:rPr>
      </w:pPr>
      <w:r>
        <w:rPr>
          <w:highlight w:val="none"/>
        </w:rPr>
        <w:t>估算模式所用参数见表。</w:t>
      </w:r>
    </w:p>
    <w:p>
      <w:pPr>
        <w:pStyle w:val="18"/>
        <w:rPr>
          <w:highlight w:val="none"/>
        </w:rPr>
      </w:pPr>
    </w:p>
    <w:p>
      <w:pPr>
        <w:pStyle w:val="17"/>
        <w:rPr>
          <w:highlight w:val="none"/>
        </w:rPr>
      </w:pPr>
    </w:p>
    <w:p>
      <w:pPr>
        <w:pStyle w:val="7"/>
        <w:bidi w:val="0"/>
        <w:rPr>
          <w:highlight w:val="none"/>
        </w:rPr>
      </w:pPr>
      <w:r>
        <w:rPr>
          <w:highlight w:val="none"/>
        </w:rPr>
        <w:t>表</w:t>
      </w:r>
      <w:r>
        <w:rPr>
          <w:rFonts w:hint="eastAsia"/>
          <w:highlight w:val="none"/>
          <w:lang w:val="en-US" w:eastAsia="zh-CN"/>
        </w:rPr>
        <w:t>6</w:t>
      </w:r>
      <w:r>
        <w:rPr>
          <w:highlight w:val="none"/>
        </w:rPr>
        <w:t>.2-5  估算模型参数表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775"/>
        <w:gridCol w:w="2781"/>
        <w:gridCol w:w="27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参数</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取值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6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城市/农选项村</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城市/农村</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农村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6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人口数（城市选项时）</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最高环境温度/℃</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40</w:t>
            </w:r>
            <w:r>
              <w:rPr>
                <w:rFonts w:hint="default" w:ascii="Times New Roman" w:hAnsi="Times New Roman" w:eastAsia="宋体" w:cs="Times New Roman"/>
                <w:spacing w:val="0"/>
                <w:position w:val="0"/>
                <w:sz w:val="21"/>
                <w:szCs w:val="21"/>
                <w:highlight w:val="none"/>
              </w:rPr>
              <w:t>°C</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最低环境温度/℃</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r>
              <w:rPr>
                <w:rFonts w:hint="eastAsia" w:cs="Times New Roman"/>
                <w:spacing w:val="0"/>
                <w:position w:val="0"/>
                <w:sz w:val="21"/>
                <w:szCs w:val="21"/>
                <w:highlight w:val="none"/>
                <w:lang w:val="en-US" w:eastAsia="zh-CN"/>
              </w:rPr>
              <w:t>12.6</w:t>
            </w:r>
            <w:r>
              <w:rPr>
                <w:rFonts w:hint="default" w:ascii="Times New Roman" w:hAnsi="Times New Roman" w:eastAsia="宋体" w:cs="Times New Roman"/>
                <w:spacing w:val="0"/>
                <w:position w:val="0"/>
                <w:sz w:val="21"/>
                <w:szCs w:val="21"/>
                <w:highlight w:val="none"/>
              </w:rPr>
              <w:t>°C</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土地利用类型</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cs="Times New Roman"/>
                <w:spacing w:val="0"/>
                <w:position w:val="0"/>
                <w:sz w:val="21"/>
                <w:szCs w:val="21"/>
                <w:highlight w:val="none"/>
                <w:lang w:eastAsia="zh-CN"/>
              </w:rPr>
              <w:t>农业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区域湿度条件</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cs="Times New Roman"/>
                <w:spacing w:val="0"/>
                <w:position w:val="0"/>
                <w:sz w:val="21"/>
                <w:szCs w:val="21"/>
                <w:highlight w:val="none"/>
                <w:lang w:eastAsia="zh-CN"/>
              </w:rPr>
              <w:t>潮湿区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6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是否考虑地形</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考虑地形</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sym w:font="Wingdings 2" w:char="0052"/>
            </w:r>
            <w:r>
              <w:rPr>
                <w:rFonts w:hint="default" w:ascii="Times New Roman" w:hAnsi="Times New Roman" w:eastAsia="宋体" w:cs="Times New Roman"/>
                <w:spacing w:val="0"/>
                <w:position w:val="0"/>
                <w:sz w:val="21"/>
                <w:szCs w:val="21"/>
                <w:highlight w:val="none"/>
              </w:rPr>
              <w:t>是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6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地形数据分辨率/m</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6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是否考虑岸线熏烟</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考虑岸线熏烟</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 xml:space="preserve">□是  </w:t>
            </w:r>
            <w:r>
              <w:rPr>
                <w:rFonts w:hint="default" w:ascii="Times New Roman" w:hAnsi="Times New Roman" w:eastAsia="宋体" w:cs="Times New Roman"/>
                <w:spacing w:val="0"/>
                <w:position w:val="0"/>
                <w:sz w:val="21"/>
                <w:szCs w:val="21"/>
                <w:highlight w:val="none"/>
              </w:rPr>
              <w:sym w:font="Wingdings 2" w:char="0052"/>
            </w:r>
            <w:r>
              <w:rPr>
                <w:rFonts w:hint="default" w:ascii="Times New Roman" w:hAnsi="Times New Roman" w:eastAsia="宋体" w:cs="Times New Roman"/>
                <w:spacing w:val="0"/>
                <w:position w:val="0"/>
                <w:sz w:val="21"/>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6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岸线距离/km</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66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ascii="Times New Roman"/>
                <w:sz w:val="21"/>
                <w:szCs w:val="21"/>
              </w:rPr>
              <w:t>岸线方向</w:t>
            </w:r>
            <w:r>
              <w:rPr>
                <w:rFonts w:hint="default" w:ascii="Times New Roman" w:hAnsi="Times New Roman" w:eastAsia="宋体" w:cs="Times New Roman"/>
                <w:spacing w:val="0"/>
                <w:position w:val="0"/>
                <w:sz w:val="21"/>
                <w:szCs w:val="21"/>
                <w:highlight w:val="none"/>
              </w:rPr>
              <w:t>/°</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r>
    </w:tbl>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.2.1.5</w:t>
      </w:r>
      <w:r>
        <w:rPr>
          <w:rFonts w:ascii="Times New Roman" w:hAnsi="Times New Roman" w:eastAsia="Times New Roman" w:cs="Times New Roman"/>
          <w:spacing w:val="14"/>
          <w:sz w:val="24"/>
          <w:szCs w:val="24"/>
          <w:highlight w:val="none"/>
        </w:rPr>
        <w:t xml:space="preserve"> </w:t>
      </w:r>
      <w:r>
        <w:rPr>
          <w:rFonts w:ascii="宋体" w:hAnsi="宋体" w:eastAsia="宋体" w:cs="宋体"/>
          <w:spacing w:val="-1"/>
          <w:sz w:val="24"/>
          <w:szCs w:val="24"/>
          <w:highlight w:val="none"/>
        </w:rPr>
        <w:t>评级工作等级确定</w:t>
      </w:r>
    </w:p>
    <w:p>
      <w:pPr>
        <w:bidi w:val="0"/>
        <w:rPr>
          <w:highlight w:val="none"/>
        </w:rPr>
      </w:pPr>
      <w:r>
        <w:rPr>
          <w:highlight w:val="none"/>
        </w:rPr>
        <w:t>本项目所有污染源的正常排放的污染物的P</w:t>
      </w:r>
      <w:r>
        <w:rPr>
          <w:highlight w:val="none"/>
          <w:vertAlign w:val="subscript"/>
        </w:rPr>
        <w:t>max</w:t>
      </w:r>
      <w:r>
        <w:rPr>
          <w:highlight w:val="none"/>
        </w:rPr>
        <w:t>和D</w:t>
      </w:r>
      <w:r>
        <w:rPr>
          <w:highlight w:val="none"/>
          <w:vertAlign w:val="subscript"/>
        </w:rPr>
        <w:t>10%</w:t>
      </w:r>
      <w:r>
        <w:rPr>
          <w:highlight w:val="none"/>
        </w:rPr>
        <w:t>预测结果如下：</w:t>
      </w:r>
    </w:p>
    <w:p>
      <w:pPr>
        <w:pStyle w:val="7"/>
        <w:bidi w:val="0"/>
        <w:rPr>
          <w:highlight w:val="none"/>
        </w:rPr>
      </w:pPr>
      <w:r>
        <w:rPr>
          <w:highlight w:val="none"/>
        </w:rPr>
        <w:t>表</w:t>
      </w:r>
      <w:r>
        <w:rPr>
          <w:rFonts w:hint="eastAsia"/>
          <w:highlight w:val="none"/>
          <w:lang w:val="en-US" w:eastAsia="zh-CN"/>
        </w:rPr>
        <w:t>6</w:t>
      </w:r>
      <w:r>
        <w:rPr>
          <w:highlight w:val="none"/>
        </w:rPr>
        <w:t>.2-6  项目大气环境影响评价等级判定</w:t>
      </w:r>
    </w:p>
    <w:tbl>
      <w:tblPr>
        <w:tblStyle w:val="3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93"/>
        <w:gridCol w:w="673"/>
        <w:gridCol w:w="972"/>
        <w:gridCol w:w="717"/>
        <w:gridCol w:w="1340"/>
        <w:gridCol w:w="1063"/>
        <w:gridCol w:w="1000"/>
        <w:gridCol w:w="888"/>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污染源</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类型</w:t>
            </w:r>
          </w:p>
        </w:tc>
        <w:tc>
          <w:tcPr>
            <w:tcW w:w="101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（mg/m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最大落地浓度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（mg/m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ascii="Times New Roman" w:hAnsi="Times New Roman" w:eastAsia="宋体" w:cs="Times New Roman"/>
                <w:spacing w:val="0"/>
                <w:position w:val="0"/>
                <w:sz w:val="21"/>
                <w:szCs w:val="21"/>
                <w:highlight w:val="none"/>
                <w:lang w:eastAsia="zh-CN"/>
              </w:rPr>
              <w:t>最大浓度</w:t>
            </w:r>
            <w:r>
              <w:rPr>
                <w:rFonts w:hint="default" w:ascii="Times New Roman" w:hAnsi="Times New Roman" w:eastAsia="宋体" w:cs="Times New Roman"/>
                <w:spacing w:val="0"/>
                <w:position w:val="0"/>
                <w:sz w:val="21"/>
                <w:szCs w:val="21"/>
                <w:highlight w:val="none"/>
              </w:rPr>
              <w:t>出现</w:t>
            </w:r>
            <w:r>
              <w:rPr>
                <w:rFonts w:hint="eastAsia" w:ascii="Times New Roman" w:hAnsi="Times New Roman" w:eastAsia="宋体" w:cs="Times New Roman"/>
                <w:spacing w:val="0"/>
                <w:position w:val="0"/>
                <w:sz w:val="21"/>
                <w:szCs w:val="21"/>
                <w:highlight w:val="none"/>
                <w:lang w:eastAsia="zh-CN"/>
              </w:rPr>
              <w:t>位置</w:t>
            </w:r>
            <w:r>
              <w:rPr>
                <w:rFonts w:hint="default" w:ascii="Times New Roman" w:hAnsi="Times New Roman" w:eastAsia="宋体" w:cs="Times New Roman"/>
                <w:spacing w:val="0"/>
                <w:position w:val="0"/>
                <w:sz w:val="21"/>
                <w:szCs w:val="21"/>
                <w:highlight w:val="none"/>
              </w:rPr>
              <w:t>（m）</w:t>
            </w: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占标率（%）</w:t>
            </w:r>
          </w:p>
        </w:tc>
        <w:tc>
          <w:tcPr>
            <w:tcW w:w="5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Pmax</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c>
          <w:tcPr>
            <w:tcW w:w="5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评价等级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猪舍区</w:t>
            </w:r>
          </w:p>
        </w:tc>
        <w:tc>
          <w:tcPr>
            <w:tcW w:w="4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面源</w:t>
            </w:r>
          </w:p>
        </w:tc>
        <w:tc>
          <w:tcPr>
            <w:tcW w:w="5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default" w:ascii="Times New Roman" w:hAnsi="Times New Roman" w:eastAsia="宋体" w:cs="Times New Roman"/>
                <w:spacing w:val="0"/>
                <w:position w:val="0"/>
                <w:sz w:val="21"/>
                <w:szCs w:val="21"/>
                <w:highlight w:val="none"/>
              </w:rPr>
              <w:t>0.2</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2.06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6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74</w:t>
            </w: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1.03</w:t>
            </w:r>
          </w:p>
        </w:tc>
        <w:tc>
          <w:tcPr>
            <w:tcW w:w="5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2.22</w:t>
            </w:r>
          </w:p>
        </w:tc>
        <w:tc>
          <w:tcPr>
            <w:tcW w:w="58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default" w:ascii="Times New Roman" w:hAnsi="Times New Roman" w:eastAsia="宋体" w:cs="Times New Roman"/>
                <w:spacing w:val="0"/>
                <w:position w:val="0"/>
                <w:sz w:val="21"/>
                <w:szCs w:val="21"/>
                <w:highlight w:val="none"/>
              </w:rPr>
              <w:t>0.01</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2.22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6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2.22</w:t>
            </w:r>
          </w:p>
        </w:tc>
        <w:tc>
          <w:tcPr>
            <w:tcW w:w="5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8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ascii="Times New Roman" w:hAnsi="Times New Roman" w:eastAsia="宋体" w:cs="Times New Roman"/>
                <w:spacing w:val="0"/>
                <w:position w:val="0"/>
                <w:sz w:val="21"/>
                <w:szCs w:val="21"/>
                <w:highlight w:val="none"/>
                <w:lang w:eastAsia="zh-CN"/>
              </w:rPr>
              <w:t>污水处理站</w:t>
            </w:r>
          </w:p>
        </w:tc>
        <w:tc>
          <w:tcPr>
            <w:tcW w:w="4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面源</w:t>
            </w:r>
          </w:p>
        </w:tc>
        <w:tc>
          <w:tcPr>
            <w:tcW w:w="5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0.2</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4.06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6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20</w:t>
            </w: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2.03</w:t>
            </w:r>
          </w:p>
        </w:tc>
        <w:tc>
          <w:tcPr>
            <w:tcW w:w="5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8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二</w:t>
            </w:r>
            <w:r>
              <w:rPr>
                <w:rFonts w:hint="default" w:ascii="Times New Roman" w:hAnsi="Times New Roman" w:eastAsia="宋体" w:cs="Times New Roman"/>
                <w:spacing w:val="0"/>
                <w:position w:val="0"/>
                <w:sz w:val="21"/>
                <w:szCs w:val="21"/>
                <w:highlight w:val="none"/>
              </w:rPr>
              <w:t>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1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0.01</w:t>
            </w:r>
          </w:p>
        </w:tc>
        <w:tc>
          <w:tcPr>
            <w:tcW w:w="8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1.31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6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1.31</w:t>
            </w:r>
          </w:p>
        </w:tc>
        <w:tc>
          <w:tcPr>
            <w:tcW w:w="5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58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r>
    </w:tbl>
    <w:p>
      <w:pPr>
        <w:bidi w:val="0"/>
        <w:rPr>
          <w:highlight w:val="none"/>
        </w:rPr>
      </w:pPr>
      <w:r>
        <w:rPr>
          <w:highlight w:val="none"/>
        </w:rPr>
        <w:t>本项目 P</w:t>
      </w:r>
      <w:r>
        <w:rPr>
          <w:highlight w:val="none"/>
          <w:vertAlign w:val="subscript"/>
        </w:rPr>
        <w:t>max</w:t>
      </w:r>
      <w:r>
        <w:rPr>
          <w:highlight w:val="none"/>
        </w:rPr>
        <w:t xml:space="preserve"> 最大值出现为猪舍区面源排放的H</w:t>
      </w:r>
      <w:r>
        <w:rPr>
          <w:highlight w:val="none"/>
          <w:vertAlign w:val="subscript"/>
        </w:rPr>
        <w:t>2</w:t>
      </w:r>
      <w:r>
        <w:rPr>
          <w:highlight w:val="none"/>
        </w:rPr>
        <w:t>S，P</w:t>
      </w:r>
      <w:r>
        <w:rPr>
          <w:highlight w:val="none"/>
          <w:vertAlign w:val="subscript"/>
        </w:rPr>
        <w:t>max</w:t>
      </w:r>
      <w:r>
        <w:rPr>
          <w:highlight w:val="none"/>
        </w:rPr>
        <w:t>值为</w:t>
      </w:r>
      <w:r>
        <w:rPr>
          <w:rFonts w:hint="eastAsia"/>
          <w:highlight w:val="none"/>
          <w:lang w:val="en-US" w:eastAsia="zh-CN"/>
        </w:rPr>
        <w:t>2.22</w:t>
      </w:r>
      <w:r>
        <w:rPr>
          <w:highlight w:val="none"/>
        </w:rPr>
        <w:t>%，C</w:t>
      </w:r>
      <w:r>
        <w:rPr>
          <w:highlight w:val="none"/>
          <w:vertAlign w:val="subscript"/>
        </w:rPr>
        <w:t>max</w:t>
      </w:r>
      <w:r>
        <w:rPr>
          <w:highlight w:val="none"/>
        </w:rPr>
        <w:t>为</w:t>
      </w:r>
      <w:r>
        <w:rPr>
          <w:rFonts w:hint="eastAsia" w:cs="Times New Roman"/>
          <w:spacing w:val="0"/>
          <w:position w:val="0"/>
          <w:sz w:val="24"/>
          <w:szCs w:val="24"/>
          <w:highlight w:val="none"/>
          <w:lang w:val="en-US" w:eastAsia="zh-CN"/>
        </w:rPr>
        <w:t>2.22</w:t>
      </w:r>
      <w:r>
        <w:rPr>
          <w:rFonts w:hint="default" w:ascii="Times New Roman" w:hAnsi="Times New Roman" w:eastAsia="宋体" w:cs="Times New Roman"/>
          <w:spacing w:val="0"/>
          <w:position w:val="0"/>
          <w:sz w:val="24"/>
          <w:szCs w:val="24"/>
          <w:highlight w:val="none"/>
        </w:rPr>
        <w:t>×10</w:t>
      </w:r>
      <w:r>
        <w:rPr>
          <w:rFonts w:hint="default" w:ascii="Times New Roman" w:hAnsi="Times New Roman" w:eastAsia="宋体" w:cs="Times New Roman"/>
          <w:spacing w:val="0"/>
          <w:position w:val="0"/>
          <w:sz w:val="24"/>
          <w:szCs w:val="24"/>
          <w:highlight w:val="none"/>
          <w:vertAlign w:val="superscript"/>
        </w:rPr>
        <w:t>-</w:t>
      </w:r>
      <w:r>
        <w:rPr>
          <w:rFonts w:hint="eastAsia" w:cs="Times New Roman"/>
          <w:spacing w:val="0"/>
          <w:position w:val="0"/>
          <w:sz w:val="24"/>
          <w:szCs w:val="24"/>
          <w:highlight w:val="none"/>
          <w:vertAlign w:val="superscript"/>
          <w:lang w:val="en-US" w:eastAsia="zh-CN"/>
        </w:rPr>
        <w:t>4</w:t>
      </w:r>
      <w:r>
        <w:rPr>
          <w:highlight w:val="none"/>
        </w:rPr>
        <w:t>mg/m</w:t>
      </w:r>
      <w:r>
        <w:rPr>
          <w:highlight w:val="none"/>
          <w:vertAlign w:val="superscript"/>
        </w:rPr>
        <w:t>3</w:t>
      </w:r>
      <w:r>
        <w:rPr>
          <w:highlight w:val="none"/>
        </w:rPr>
        <w:t>，根据《环境影响评价技术导则 大气环境》</w:t>
      </w:r>
      <w:r>
        <w:rPr>
          <w:rFonts w:hint="eastAsia"/>
          <w:highlight w:val="none"/>
          <w:lang w:eastAsia="zh-CN"/>
        </w:rPr>
        <w:t>（</w:t>
      </w:r>
      <w:r>
        <w:rPr>
          <w:highlight w:val="none"/>
        </w:rPr>
        <w:t>HJ2.2-2018</w:t>
      </w:r>
      <w:r>
        <w:rPr>
          <w:rFonts w:hint="eastAsia"/>
          <w:highlight w:val="none"/>
          <w:lang w:eastAsia="zh-CN"/>
        </w:rPr>
        <w:t>）</w:t>
      </w:r>
      <w:r>
        <w:rPr>
          <w:highlight w:val="none"/>
        </w:rPr>
        <w:t>分级判据，确定本项目大气环境影响评价工作等级为二级。</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.2.1.6</w:t>
      </w:r>
      <w:r>
        <w:rPr>
          <w:rFonts w:ascii="Times New Roman" w:hAnsi="Times New Roman" w:eastAsia="Times New Roman" w:cs="Times New Roman"/>
          <w:spacing w:val="6"/>
          <w:sz w:val="24"/>
          <w:szCs w:val="24"/>
          <w:highlight w:val="none"/>
        </w:rPr>
        <w:t xml:space="preserve">  </w:t>
      </w:r>
      <w:r>
        <w:rPr>
          <w:rFonts w:ascii="宋体" w:hAnsi="宋体" w:eastAsia="宋体" w:cs="宋体"/>
          <w:spacing w:val="-1"/>
          <w:sz w:val="24"/>
          <w:szCs w:val="24"/>
          <w:highlight w:val="none"/>
        </w:rPr>
        <w:t>预测结果与评价</w:t>
      </w:r>
    </w:p>
    <w:p>
      <w:pPr>
        <w:bidi w:val="0"/>
        <w:rPr>
          <w:highlight w:val="none"/>
        </w:rPr>
      </w:pPr>
      <w:r>
        <w:rPr>
          <w:highlight w:val="none"/>
        </w:rPr>
        <w:t>正常排放情况下，猪舍区无组织排放的NH</w:t>
      </w:r>
      <w:r>
        <w:rPr>
          <w:highlight w:val="none"/>
          <w:vertAlign w:val="subscript"/>
        </w:rPr>
        <w:t>3</w:t>
      </w:r>
      <w:r>
        <w:rPr>
          <w:highlight w:val="none"/>
        </w:rPr>
        <w:t>、H</w:t>
      </w:r>
      <w:r>
        <w:rPr>
          <w:highlight w:val="none"/>
          <w:vertAlign w:val="subscript"/>
        </w:rPr>
        <w:t>2</w:t>
      </w:r>
      <w:r>
        <w:rPr>
          <w:highlight w:val="none"/>
        </w:rPr>
        <w:t>S估算结果见表</w:t>
      </w:r>
      <w:r>
        <w:rPr>
          <w:rFonts w:hint="eastAsia"/>
          <w:highlight w:val="none"/>
          <w:lang w:val="en-US" w:eastAsia="zh-CN"/>
        </w:rPr>
        <w:t>6</w:t>
      </w:r>
      <w:r>
        <w:rPr>
          <w:highlight w:val="none"/>
        </w:rPr>
        <w:t>.2-7。正常排放情况下，</w:t>
      </w:r>
      <w:r>
        <w:rPr>
          <w:rFonts w:hint="eastAsia"/>
          <w:highlight w:val="none"/>
          <w:lang w:eastAsia="zh-CN"/>
        </w:rPr>
        <w:t>污水处理站</w:t>
      </w:r>
      <w:r>
        <w:rPr>
          <w:highlight w:val="none"/>
        </w:rPr>
        <w:t>无组织排放的NH</w:t>
      </w:r>
      <w:r>
        <w:rPr>
          <w:highlight w:val="none"/>
          <w:vertAlign w:val="subscript"/>
        </w:rPr>
        <w:t>3</w:t>
      </w:r>
      <w:r>
        <w:rPr>
          <w:highlight w:val="none"/>
        </w:rPr>
        <w:t>、H</w:t>
      </w:r>
      <w:r>
        <w:rPr>
          <w:highlight w:val="none"/>
          <w:vertAlign w:val="subscript"/>
        </w:rPr>
        <w:t>2</w:t>
      </w:r>
      <w:r>
        <w:rPr>
          <w:highlight w:val="none"/>
        </w:rPr>
        <w:t>S估算结果见表</w:t>
      </w:r>
      <w:r>
        <w:rPr>
          <w:rFonts w:hint="eastAsia"/>
          <w:highlight w:val="none"/>
          <w:lang w:val="en-US" w:eastAsia="zh-CN"/>
        </w:rPr>
        <w:t>6</w:t>
      </w:r>
      <w:r>
        <w:rPr>
          <w:highlight w:val="none"/>
        </w:rPr>
        <w:t>.2-8。</w:t>
      </w:r>
    </w:p>
    <w:p>
      <w:pPr>
        <w:pStyle w:val="7"/>
        <w:bidi w:val="0"/>
      </w:pPr>
      <w:r>
        <w:t>表</w:t>
      </w:r>
      <w:r>
        <w:rPr>
          <w:rFonts w:hint="eastAsia"/>
          <w:lang w:val="en-US" w:eastAsia="zh-CN"/>
        </w:rPr>
        <w:t>6</w:t>
      </w:r>
      <w:r>
        <w:t>.2-7  猪舍区无组织排放估算模式计算结果列表</w:t>
      </w:r>
    </w:p>
    <w:tbl>
      <w:tblPr>
        <w:tblStyle w:val="19"/>
        <w:tblpPr w:leftFromText="180" w:rightFromText="180" w:vertAnchor="text" w:horzAnchor="page" w:tblpXSpec="center" w:tblpY="33"/>
        <w:tblOverlap w:val="never"/>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67"/>
        <w:gridCol w:w="1682"/>
        <w:gridCol w:w="1325"/>
        <w:gridCol w:w="1751"/>
        <w:gridCol w:w="13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9" w:hRule="atLeast"/>
          <w:jc w:val="center"/>
        </w:trPr>
        <w:tc>
          <w:tcPr>
            <w:tcW w:w="136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距源中心下风向距离 D （m）</w:t>
            </w:r>
          </w:p>
        </w:tc>
        <w:tc>
          <w:tcPr>
            <w:tcW w:w="180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183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下风向预测浓度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（mg /m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浓度占标率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下风向预测浓度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（mg/m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浓度占标率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1.43×10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0.71</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1.54×10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1.54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74</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2.06×10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2.22×10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2.03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1.02</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2.19</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1.83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0.91</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1.97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300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1.36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0.68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1.47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400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1.03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0.51</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1.10</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500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7.98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0.40</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8.59</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600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6.42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0.32</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6.91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700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5.30</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0.27</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5.71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0.57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800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4.48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0.22</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4.83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900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3.85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0.19</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4.15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3.36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0.17</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3.62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1100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3.04</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0.15</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3.27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1200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2.70</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2.91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1300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2.42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0.12</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2.61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1400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2.19</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0.11</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2.36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1500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1.99</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0.10</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2.15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1600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1.83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0.09</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1.97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1700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1.68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1.81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1800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1.55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1.67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1900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1.44</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0.07</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1.55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2000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1.35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0.07</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1.45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2100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1.26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0.06</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1.36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2200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0.06</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1.27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2300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0.06</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1.20</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2400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1.05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0.05</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2500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9.92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0.05</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1.07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下风向最大浓度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r>
              <w:rPr>
                <w:rFonts w:hint="eastAsia" w:cs="Times New Roman"/>
                <w:spacing w:val="0"/>
                <w:position w:val="0"/>
                <w:sz w:val="21"/>
                <w:szCs w:val="21"/>
                <w:highlight w:val="none"/>
                <w:lang w:val="en-US" w:eastAsia="zh-CN"/>
              </w:rPr>
              <w:t>74</w:t>
            </w:r>
            <w:r>
              <w:rPr>
                <w:rFonts w:hint="default" w:ascii="Times New Roman" w:hAnsi="Times New Roman" w:eastAsia="宋体" w:cs="Times New Roman"/>
                <w:spacing w:val="0"/>
                <w:position w:val="0"/>
                <w:sz w:val="21"/>
                <w:szCs w:val="21"/>
                <w:highlight w:val="none"/>
              </w:rPr>
              <w:t>m 处）</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2.06×10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2.22×10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2.22</w:t>
            </w:r>
          </w:p>
        </w:tc>
      </w:tr>
    </w:tbl>
    <w:p>
      <w:pPr>
        <w:pStyle w:val="7"/>
        <w:bidi w:val="0"/>
        <w:rPr>
          <w:highlight w:val="none"/>
        </w:rPr>
      </w:pPr>
      <w:r>
        <w:rPr>
          <w:highlight w:val="none"/>
        </w:rPr>
        <w:t>表</w:t>
      </w:r>
      <w:r>
        <w:rPr>
          <w:rFonts w:hint="eastAsia"/>
          <w:highlight w:val="none"/>
          <w:lang w:val="en-US" w:eastAsia="zh-CN"/>
        </w:rPr>
        <w:t>6</w:t>
      </w:r>
      <w:r>
        <w:rPr>
          <w:highlight w:val="none"/>
        </w:rPr>
        <w:t xml:space="preserve">.2-8  </w:t>
      </w:r>
      <w:r>
        <w:rPr>
          <w:rFonts w:hint="eastAsia"/>
          <w:highlight w:val="none"/>
          <w:lang w:eastAsia="zh-CN"/>
        </w:rPr>
        <w:t>污水处理站</w:t>
      </w:r>
      <w:r>
        <w:rPr>
          <w:highlight w:val="none"/>
        </w:rPr>
        <w:t>无组织排放估算模式计算结果列表</w:t>
      </w:r>
    </w:p>
    <w:tbl>
      <w:tblPr>
        <w:tblStyle w:val="34"/>
        <w:tblpPr w:leftFromText="180" w:rightFromText="180" w:vertAnchor="text" w:horzAnchor="page" w:tblpXSpec="center" w:tblpY="33"/>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69"/>
        <w:gridCol w:w="1682"/>
        <w:gridCol w:w="1325"/>
        <w:gridCol w:w="1751"/>
        <w:gridCol w:w="13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距源中心下风向距离 D （m）</w:t>
            </w:r>
          </w:p>
        </w:tc>
        <w:tc>
          <w:tcPr>
            <w:tcW w:w="180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NH</w:t>
            </w:r>
            <w:r>
              <w:rPr>
                <w:rFonts w:hint="default" w:ascii="Times New Roman" w:hAnsi="Times New Roman" w:eastAsia="宋体" w:cs="Times New Roman"/>
                <w:spacing w:val="0"/>
                <w:position w:val="0"/>
                <w:sz w:val="21"/>
                <w:szCs w:val="21"/>
                <w:highlight w:val="none"/>
                <w:vertAlign w:val="subscript"/>
              </w:rPr>
              <w:t>3</w:t>
            </w:r>
          </w:p>
        </w:tc>
        <w:tc>
          <w:tcPr>
            <w:tcW w:w="18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H</w:t>
            </w:r>
            <w:r>
              <w:rPr>
                <w:rFonts w:hint="default" w:ascii="Times New Roman" w:hAnsi="Times New Roman" w:eastAsia="宋体" w:cs="Times New Roman"/>
                <w:spacing w:val="0"/>
                <w:position w:val="0"/>
                <w:sz w:val="21"/>
                <w:szCs w:val="21"/>
                <w:highlight w:val="none"/>
                <w:vertAlign w:val="subscript"/>
              </w:rPr>
              <w:t>2</w:t>
            </w:r>
            <w:r>
              <w:rPr>
                <w:rFonts w:hint="default" w:ascii="Times New Roman" w:hAnsi="Times New Roman" w:eastAsia="宋体" w:cs="Times New Roman"/>
                <w:spacing w:val="0"/>
                <w:position w:val="0"/>
                <w:sz w:val="21"/>
                <w:szCs w:val="21"/>
                <w:highlight w:val="non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下风向预测浓度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（mg /m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浓度占标率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下风向预测浓度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（mg/m</w:t>
            </w:r>
            <w:r>
              <w:rPr>
                <w:rFonts w:hint="default" w:ascii="Times New Roman" w:hAnsi="Times New Roman" w:eastAsia="宋体" w:cs="Times New Roman"/>
                <w:spacing w:val="0"/>
                <w:position w:val="0"/>
                <w:sz w:val="21"/>
                <w:szCs w:val="21"/>
                <w:highlight w:val="none"/>
                <w:vertAlign w:val="superscript"/>
              </w:rPr>
              <w:t>3</w:t>
            </w:r>
            <w:r>
              <w:rPr>
                <w:rFonts w:hint="default" w:ascii="Times New Roman" w:hAnsi="Times New Roman" w:eastAsia="宋体" w:cs="Times New Roman"/>
                <w:spacing w:val="0"/>
                <w:position w:val="0"/>
                <w:sz w:val="21"/>
                <w:szCs w:val="21"/>
                <w:highlight w:val="none"/>
              </w:rPr>
              <w:t>）</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浓度占标率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2.87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1.43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9.25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default" w:ascii="Times New Roman" w:hAnsi="Times New Roman" w:eastAsia="宋体" w:cs="Times New Roman"/>
                <w:spacing w:val="0"/>
                <w:position w:val="0"/>
                <w:sz w:val="21"/>
                <w:szCs w:val="21"/>
                <w:highlight w:val="none"/>
              </w:rPr>
              <w:t>0.</w:t>
            </w:r>
            <w:r>
              <w:rPr>
                <w:rFonts w:hint="eastAsia" w:cs="Times New Roman"/>
                <w:spacing w:val="0"/>
                <w:position w:val="0"/>
                <w:sz w:val="21"/>
                <w:szCs w:val="21"/>
                <w:highlight w:val="none"/>
                <w:lang w:val="en-US" w:eastAsia="zh-CN"/>
              </w:rPr>
              <w:t>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4.06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2.03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1.31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100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2.87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7.62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200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2.36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0.68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4.36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300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1.35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0.43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2.75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400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8.53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0.30</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1.92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500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5.96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0.23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1.46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600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4.54</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700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3.55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0.14</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9.31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800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2.89</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0.12</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rPr>
            </w:pPr>
            <w:r>
              <w:rPr>
                <w:rFonts w:hint="eastAsia"/>
                <w:sz w:val="21"/>
                <w:szCs w:val="21"/>
                <w:highlight w:val="none"/>
              </w:rPr>
              <w:t>7.77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900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sz w:val="21"/>
                <w:szCs w:val="21"/>
                <w:highlight w:val="none"/>
              </w:rPr>
              <w:t>2.41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0.10</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6.61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1000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1.78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0.09</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5.73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1100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1.56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0.08</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5.03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1200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1.38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0.07</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4.46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1300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1.24</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0.06</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4.00</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1400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1.12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0.06</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3.61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1500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1.02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0.05</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3.29</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1600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9.33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0.05</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3.01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1700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8.58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0.04</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2.77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1800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7.94</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0.04</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2.56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1900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7.37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0.04</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2.38</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2000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6.87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0.0</w:t>
            </w:r>
            <w:r>
              <w:rPr>
                <w:rFonts w:hint="eastAsia"/>
                <w:sz w:val="21"/>
                <w:szCs w:val="21"/>
                <w:highlight w:val="none"/>
                <w:lang w:val="en-US" w:eastAsia="zh-CN"/>
              </w:rPr>
              <w:t>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2.22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rPr>
              <w:t>0.0</w:t>
            </w:r>
            <w:r>
              <w:rPr>
                <w:rFonts w:hint="eastAsia"/>
                <w:sz w:val="21"/>
                <w:szCs w:val="21"/>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2100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6.42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2.07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2200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6.02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lang w:val="en-US" w:eastAsia="zh-CN"/>
              </w:rPr>
              <w:t>1.94</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2300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5.67</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lang w:val="en-US" w:eastAsia="zh-CN"/>
              </w:rPr>
              <w:t>1.83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2400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5.35</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lang w:val="en-US" w:eastAsia="zh-CN"/>
              </w:rPr>
              <w:t>1.72</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2500</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lang w:val="en-US" w:eastAsia="zh-CN"/>
              </w:rPr>
              <w:t>5.06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5</w:t>
            </w:r>
          </w:p>
        </w:tc>
        <w:tc>
          <w:tcPr>
            <w:tcW w:w="7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3</w:t>
            </w:r>
          </w:p>
        </w:tc>
        <w:tc>
          <w:tcPr>
            <w:tcW w:w="10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val="en-US" w:eastAsia="zh-CN"/>
              </w:rPr>
            </w:pPr>
            <w:r>
              <w:rPr>
                <w:rFonts w:hint="eastAsia"/>
                <w:sz w:val="21"/>
                <w:szCs w:val="21"/>
                <w:highlight w:val="none"/>
                <w:lang w:val="en-US" w:eastAsia="zh-CN"/>
              </w:rPr>
              <w:t>1.63</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6</w:t>
            </w: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sz w:val="21"/>
                <w:szCs w:val="21"/>
                <w:highlight w:val="none"/>
              </w:rPr>
              <w:t>0.0</w:t>
            </w:r>
            <w:r>
              <w:rPr>
                <w:rFonts w:hint="eastAsia"/>
                <w:sz w:val="21"/>
                <w:szCs w:val="21"/>
                <w:highlight w:val="non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下风向最大浓度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w:t>
            </w:r>
            <w:r>
              <w:rPr>
                <w:rFonts w:hint="eastAsia" w:cs="Times New Roman"/>
                <w:spacing w:val="0"/>
                <w:position w:val="0"/>
                <w:sz w:val="21"/>
                <w:szCs w:val="21"/>
                <w:highlight w:val="none"/>
                <w:lang w:val="en-US" w:eastAsia="zh-CN"/>
              </w:rPr>
              <w:t>20</w:t>
            </w:r>
            <w:r>
              <w:rPr>
                <w:rFonts w:hint="default" w:ascii="Times New Roman" w:hAnsi="Times New Roman" w:eastAsia="宋体" w:cs="Times New Roman"/>
                <w:spacing w:val="0"/>
                <w:position w:val="0"/>
                <w:sz w:val="21"/>
                <w:szCs w:val="21"/>
                <w:highlight w:val="none"/>
              </w:rPr>
              <w:t>m 处）</w:t>
            </w:r>
          </w:p>
        </w:tc>
        <w:tc>
          <w:tcPr>
            <w:tcW w:w="16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4.06</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3</w:t>
            </w:r>
          </w:p>
        </w:tc>
        <w:tc>
          <w:tcPr>
            <w:tcW w:w="1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2.03</w:t>
            </w:r>
          </w:p>
        </w:tc>
        <w:tc>
          <w:tcPr>
            <w:tcW w:w="1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1.31</w:t>
            </w:r>
            <w:r>
              <w:rPr>
                <w:rFonts w:hint="default" w:ascii="Times New Roman" w:hAnsi="Times New Roman" w:eastAsia="宋体" w:cs="Times New Roman"/>
                <w:spacing w:val="0"/>
                <w:position w:val="0"/>
                <w:sz w:val="21"/>
                <w:szCs w:val="21"/>
                <w:highlight w:val="none"/>
              </w:rPr>
              <w:t>×10</w:t>
            </w:r>
            <w:r>
              <w:rPr>
                <w:rFonts w:hint="default" w:ascii="Times New Roman" w:hAnsi="Times New Roman" w:eastAsia="宋体" w:cs="Times New Roman"/>
                <w:spacing w:val="0"/>
                <w:position w:val="0"/>
                <w:sz w:val="21"/>
                <w:szCs w:val="21"/>
                <w:highlight w:val="none"/>
                <w:vertAlign w:val="superscript"/>
              </w:rPr>
              <w:t>-</w:t>
            </w:r>
            <w:r>
              <w:rPr>
                <w:rFonts w:hint="eastAsia" w:cs="Times New Roman"/>
                <w:spacing w:val="0"/>
                <w:position w:val="0"/>
                <w:sz w:val="21"/>
                <w:szCs w:val="21"/>
                <w:highlight w:val="none"/>
                <w:vertAlign w:val="superscript"/>
                <w:lang w:val="en-US" w:eastAsia="zh-CN"/>
              </w:rPr>
              <w:t>4</w:t>
            </w:r>
          </w:p>
        </w:tc>
        <w:tc>
          <w:tcPr>
            <w:tcW w:w="13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1.31</w:t>
            </w:r>
          </w:p>
        </w:tc>
      </w:tr>
    </w:tbl>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.2.1.7</w:t>
      </w:r>
      <w:r>
        <w:rPr>
          <w:rFonts w:ascii="Times New Roman" w:hAnsi="Times New Roman" w:eastAsia="Times New Roman" w:cs="Times New Roman"/>
          <w:spacing w:val="14"/>
          <w:sz w:val="24"/>
          <w:szCs w:val="24"/>
          <w:highlight w:val="none"/>
        </w:rPr>
        <w:t xml:space="preserve"> </w:t>
      </w:r>
      <w:r>
        <w:rPr>
          <w:rFonts w:hint="eastAsia" w:eastAsia="宋体" w:cs="Times New Roman"/>
          <w:spacing w:val="14"/>
          <w:sz w:val="24"/>
          <w:szCs w:val="24"/>
          <w:highlight w:val="none"/>
          <w:lang w:val="en-US" w:eastAsia="zh-CN"/>
        </w:rPr>
        <w:t xml:space="preserve"> </w:t>
      </w:r>
      <w:r>
        <w:rPr>
          <w:rFonts w:ascii="宋体" w:hAnsi="宋体" w:eastAsia="宋体" w:cs="宋体"/>
          <w:spacing w:val="-1"/>
          <w:sz w:val="24"/>
          <w:szCs w:val="24"/>
          <w:highlight w:val="none"/>
        </w:rPr>
        <w:t>大气环境影响评价</w:t>
      </w:r>
    </w:p>
    <w:p>
      <w:pPr>
        <w:bidi w:val="0"/>
        <w:rPr>
          <w:rFonts w:hint="eastAsia" w:eastAsia="宋体"/>
          <w:sz w:val="24"/>
          <w:szCs w:val="24"/>
          <w:highlight w:val="none"/>
          <w:lang w:eastAsia="zh-CN"/>
        </w:rPr>
      </w:pPr>
      <w:r>
        <w:rPr>
          <w:sz w:val="24"/>
          <w:szCs w:val="24"/>
          <w:highlight w:val="none"/>
        </w:rPr>
        <w:t>由表</w:t>
      </w:r>
      <w:r>
        <w:rPr>
          <w:rFonts w:hint="eastAsia"/>
          <w:sz w:val="24"/>
          <w:szCs w:val="24"/>
          <w:highlight w:val="none"/>
          <w:lang w:val="en-US" w:eastAsia="zh-CN"/>
        </w:rPr>
        <w:t>6</w:t>
      </w:r>
      <w:r>
        <w:rPr>
          <w:sz w:val="24"/>
          <w:szCs w:val="24"/>
          <w:highlight w:val="none"/>
        </w:rPr>
        <w:t>.2-7可知，本项目猪舍区无组织排放的NH</w:t>
      </w:r>
      <w:r>
        <w:rPr>
          <w:sz w:val="24"/>
          <w:szCs w:val="24"/>
          <w:highlight w:val="none"/>
          <w:vertAlign w:val="subscript"/>
        </w:rPr>
        <w:t>3</w:t>
      </w:r>
      <w:r>
        <w:rPr>
          <w:sz w:val="24"/>
          <w:szCs w:val="24"/>
          <w:highlight w:val="none"/>
        </w:rPr>
        <w:t xml:space="preserve"> 最大贡献浓度 </w:t>
      </w:r>
      <w:r>
        <w:rPr>
          <w:rFonts w:hint="default" w:ascii="Times New Roman" w:hAnsi="Times New Roman" w:eastAsia="宋体" w:cs="Times New Roman"/>
          <w:spacing w:val="0"/>
          <w:position w:val="0"/>
          <w:sz w:val="24"/>
          <w:szCs w:val="24"/>
          <w:highlight w:val="none"/>
        </w:rPr>
        <w:t>2.06×10</w:t>
      </w:r>
      <w:r>
        <w:rPr>
          <w:rFonts w:hint="default" w:ascii="Times New Roman" w:hAnsi="Times New Roman" w:eastAsia="宋体" w:cs="Times New Roman"/>
          <w:spacing w:val="0"/>
          <w:position w:val="0"/>
          <w:sz w:val="24"/>
          <w:szCs w:val="24"/>
          <w:highlight w:val="none"/>
          <w:vertAlign w:val="superscript"/>
        </w:rPr>
        <w:t>-</w:t>
      </w:r>
      <w:r>
        <w:rPr>
          <w:rFonts w:hint="eastAsia" w:cs="Times New Roman"/>
          <w:spacing w:val="0"/>
          <w:position w:val="0"/>
          <w:sz w:val="24"/>
          <w:szCs w:val="24"/>
          <w:highlight w:val="none"/>
          <w:vertAlign w:val="superscript"/>
          <w:lang w:val="en-US" w:eastAsia="zh-CN"/>
        </w:rPr>
        <w:t>3</w:t>
      </w:r>
      <w:r>
        <w:rPr>
          <w:sz w:val="24"/>
          <w:szCs w:val="24"/>
          <w:highlight w:val="none"/>
        </w:rPr>
        <w:t>mg/m</w:t>
      </w:r>
      <w:r>
        <w:rPr>
          <w:sz w:val="24"/>
          <w:szCs w:val="24"/>
          <w:highlight w:val="none"/>
          <w:vertAlign w:val="superscript"/>
        </w:rPr>
        <w:t>3</w:t>
      </w:r>
      <w:r>
        <w:rPr>
          <w:sz w:val="24"/>
          <w:szCs w:val="24"/>
          <w:highlight w:val="none"/>
        </w:rPr>
        <w:t>，占标率为</w:t>
      </w:r>
      <w:r>
        <w:rPr>
          <w:rFonts w:hint="default" w:ascii="Times New Roman" w:hAnsi="Times New Roman" w:eastAsia="宋体" w:cs="Times New Roman"/>
          <w:spacing w:val="0"/>
          <w:position w:val="0"/>
          <w:sz w:val="24"/>
          <w:szCs w:val="24"/>
          <w:highlight w:val="none"/>
        </w:rPr>
        <w:t>1.03</w:t>
      </w:r>
      <w:r>
        <w:rPr>
          <w:sz w:val="24"/>
          <w:szCs w:val="24"/>
          <w:highlight w:val="none"/>
        </w:rPr>
        <w:t>%</w:t>
      </w:r>
      <w:r>
        <w:rPr>
          <w:rFonts w:hint="eastAsia"/>
          <w:sz w:val="24"/>
          <w:szCs w:val="24"/>
          <w:highlight w:val="none"/>
          <w:lang w:eastAsia="zh-CN"/>
        </w:rPr>
        <w:t>；</w:t>
      </w:r>
      <w:r>
        <w:rPr>
          <w:sz w:val="24"/>
          <w:szCs w:val="24"/>
          <w:highlight w:val="none"/>
        </w:rPr>
        <w:t>H</w:t>
      </w:r>
      <w:r>
        <w:rPr>
          <w:sz w:val="24"/>
          <w:szCs w:val="24"/>
          <w:highlight w:val="none"/>
          <w:vertAlign w:val="subscript"/>
        </w:rPr>
        <w:t>2</w:t>
      </w:r>
      <w:r>
        <w:rPr>
          <w:sz w:val="24"/>
          <w:szCs w:val="24"/>
          <w:highlight w:val="none"/>
        </w:rPr>
        <w:t>S最大贡献浓度为</w:t>
      </w:r>
      <w:r>
        <w:rPr>
          <w:rFonts w:hint="default" w:ascii="Times New Roman" w:hAnsi="Times New Roman" w:eastAsia="宋体" w:cs="Times New Roman"/>
          <w:spacing w:val="0"/>
          <w:position w:val="0"/>
          <w:sz w:val="24"/>
          <w:szCs w:val="24"/>
          <w:highlight w:val="none"/>
        </w:rPr>
        <w:t>2.22×10</w:t>
      </w:r>
      <w:r>
        <w:rPr>
          <w:rFonts w:hint="default" w:ascii="Times New Roman" w:hAnsi="Times New Roman" w:eastAsia="宋体" w:cs="Times New Roman"/>
          <w:spacing w:val="0"/>
          <w:position w:val="0"/>
          <w:sz w:val="24"/>
          <w:szCs w:val="24"/>
          <w:highlight w:val="none"/>
          <w:vertAlign w:val="superscript"/>
        </w:rPr>
        <w:t>-</w:t>
      </w:r>
      <w:r>
        <w:rPr>
          <w:rFonts w:hint="eastAsia" w:cs="Times New Roman"/>
          <w:spacing w:val="0"/>
          <w:position w:val="0"/>
          <w:sz w:val="24"/>
          <w:szCs w:val="24"/>
          <w:highlight w:val="none"/>
          <w:vertAlign w:val="superscript"/>
          <w:lang w:val="en-US" w:eastAsia="zh-CN"/>
        </w:rPr>
        <w:t>4</w:t>
      </w:r>
      <w:r>
        <w:rPr>
          <w:sz w:val="24"/>
          <w:szCs w:val="24"/>
          <w:highlight w:val="none"/>
        </w:rPr>
        <w:t>mg/m</w:t>
      </w:r>
      <w:r>
        <w:rPr>
          <w:sz w:val="24"/>
          <w:szCs w:val="24"/>
          <w:highlight w:val="none"/>
          <w:vertAlign w:val="superscript"/>
        </w:rPr>
        <w:t>3</w:t>
      </w:r>
      <w:r>
        <w:rPr>
          <w:sz w:val="24"/>
          <w:szCs w:val="24"/>
          <w:highlight w:val="none"/>
        </w:rPr>
        <w:t>，占标率为</w:t>
      </w:r>
      <w:r>
        <w:rPr>
          <w:rFonts w:hint="default" w:ascii="Times New Roman" w:hAnsi="Times New Roman" w:eastAsia="宋体" w:cs="Times New Roman"/>
          <w:spacing w:val="0"/>
          <w:position w:val="0"/>
          <w:sz w:val="24"/>
          <w:szCs w:val="24"/>
          <w:highlight w:val="none"/>
        </w:rPr>
        <w:t>2.22</w:t>
      </w:r>
      <w:r>
        <w:rPr>
          <w:sz w:val="24"/>
          <w:szCs w:val="24"/>
          <w:highlight w:val="none"/>
        </w:rPr>
        <w:t>%；最大落地点距离为</w:t>
      </w:r>
      <w:r>
        <w:rPr>
          <w:rFonts w:hint="eastAsia"/>
          <w:sz w:val="24"/>
          <w:szCs w:val="24"/>
          <w:highlight w:val="none"/>
          <w:lang w:val="en-US" w:eastAsia="zh-CN"/>
        </w:rPr>
        <w:t>74</w:t>
      </w:r>
      <w:r>
        <w:rPr>
          <w:sz w:val="24"/>
          <w:szCs w:val="24"/>
          <w:highlight w:val="none"/>
        </w:rPr>
        <w:t>m</w:t>
      </w:r>
      <w:r>
        <w:rPr>
          <w:rFonts w:hint="eastAsia"/>
          <w:sz w:val="24"/>
          <w:szCs w:val="24"/>
          <w:highlight w:val="none"/>
          <w:lang w:eastAsia="zh-CN"/>
        </w:rPr>
        <w:t>。</w:t>
      </w:r>
    </w:p>
    <w:p>
      <w:pPr>
        <w:bidi w:val="0"/>
        <w:rPr>
          <w:rFonts w:hint="eastAsia" w:eastAsia="宋体"/>
          <w:sz w:val="24"/>
          <w:szCs w:val="24"/>
          <w:highlight w:val="none"/>
          <w:lang w:eastAsia="zh-CN"/>
        </w:rPr>
      </w:pPr>
      <w:r>
        <w:rPr>
          <w:sz w:val="24"/>
          <w:szCs w:val="24"/>
          <w:highlight w:val="none"/>
        </w:rPr>
        <w:t>由表</w:t>
      </w: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8</w:t>
      </w:r>
      <w:r>
        <w:rPr>
          <w:sz w:val="24"/>
          <w:szCs w:val="24"/>
          <w:highlight w:val="none"/>
        </w:rPr>
        <w:t>可知，本项目</w:t>
      </w:r>
      <w:r>
        <w:rPr>
          <w:rFonts w:hint="eastAsia"/>
          <w:sz w:val="24"/>
          <w:szCs w:val="24"/>
          <w:highlight w:val="none"/>
          <w:lang w:eastAsia="zh-CN"/>
        </w:rPr>
        <w:t>污水处理站</w:t>
      </w:r>
      <w:r>
        <w:rPr>
          <w:sz w:val="24"/>
          <w:szCs w:val="24"/>
          <w:highlight w:val="none"/>
        </w:rPr>
        <w:t>无组织排放的NH</w:t>
      </w:r>
      <w:r>
        <w:rPr>
          <w:sz w:val="24"/>
          <w:szCs w:val="24"/>
          <w:highlight w:val="none"/>
          <w:vertAlign w:val="subscript"/>
        </w:rPr>
        <w:t>3</w:t>
      </w:r>
      <w:r>
        <w:rPr>
          <w:sz w:val="24"/>
          <w:szCs w:val="24"/>
          <w:highlight w:val="none"/>
        </w:rPr>
        <w:t xml:space="preserve"> 最大贡献浓度 </w:t>
      </w:r>
      <w:r>
        <w:rPr>
          <w:rFonts w:hint="eastAsia" w:cs="Times New Roman"/>
          <w:spacing w:val="0"/>
          <w:position w:val="0"/>
          <w:sz w:val="24"/>
          <w:szCs w:val="24"/>
          <w:highlight w:val="none"/>
          <w:lang w:val="en-US" w:eastAsia="zh-CN"/>
        </w:rPr>
        <w:t>4.06</w:t>
      </w:r>
      <w:r>
        <w:rPr>
          <w:rFonts w:hint="default" w:ascii="Times New Roman" w:hAnsi="Times New Roman" w:eastAsia="宋体" w:cs="Times New Roman"/>
          <w:spacing w:val="0"/>
          <w:position w:val="0"/>
          <w:sz w:val="24"/>
          <w:szCs w:val="24"/>
          <w:highlight w:val="none"/>
        </w:rPr>
        <w:t>×10</w:t>
      </w:r>
      <w:r>
        <w:rPr>
          <w:rFonts w:hint="default" w:ascii="Times New Roman" w:hAnsi="Times New Roman" w:eastAsia="宋体" w:cs="Times New Roman"/>
          <w:spacing w:val="0"/>
          <w:position w:val="0"/>
          <w:sz w:val="24"/>
          <w:szCs w:val="24"/>
          <w:highlight w:val="none"/>
          <w:vertAlign w:val="superscript"/>
        </w:rPr>
        <w:t>-</w:t>
      </w:r>
      <w:r>
        <w:rPr>
          <w:rFonts w:hint="eastAsia" w:cs="Times New Roman"/>
          <w:spacing w:val="0"/>
          <w:position w:val="0"/>
          <w:sz w:val="24"/>
          <w:szCs w:val="24"/>
          <w:highlight w:val="none"/>
          <w:vertAlign w:val="superscript"/>
          <w:lang w:val="en-US" w:eastAsia="zh-CN"/>
        </w:rPr>
        <w:t>3</w:t>
      </w:r>
      <w:r>
        <w:rPr>
          <w:sz w:val="24"/>
          <w:szCs w:val="24"/>
          <w:highlight w:val="none"/>
        </w:rPr>
        <w:t>mg/m</w:t>
      </w:r>
      <w:r>
        <w:rPr>
          <w:sz w:val="24"/>
          <w:szCs w:val="24"/>
          <w:highlight w:val="none"/>
          <w:vertAlign w:val="superscript"/>
        </w:rPr>
        <w:t>3</w:t>
      </w:r>
      <w:r>
        <w:rPr>
          <w:sz w:val="24"/>
          <w:szCs w:val="24"/>
          <w:highlight w:val="none"/>
        </w:rPr>
        <w:t>，占标率为</w:t>
      </w:r>
      <w:r>
        <w:rPr>
          <w:rFonts w:hint="eastAsia" w:cs="Times New Roman"/>
          <w:spacing w:val="0"/>
          <w:position w:val="0"/>
          <w:sz w:val="24"/>
          <w:szCs w:val="24"/>
          <w:highlight w:val="none"/>
          <w:lang w:val="en-US" w:eastAsia="zh-CN"/>
        </w:rPr>
        <w:t>2.03</w:t>
      </w:r>
      <w:r>
        <w:rPr>
          <w:sz w:val="24"/>
          <w:szCs w:val="24"/>
          <w:highlight w:val="none"/>
        </w:rPr>
        <w:t>%</w:t>
      </w:r>
      <w:r>
        <w:rPr>
          <w:rFonts w:hint="eastAsia"/>
          <w:sz w:val="24"/>
          <w:szCs w:val="24"/>
          <w:highlight w:val="none"/>
          <w:lang w:eastAsia="zh-CN"/>
        </w:rPr>
        <w:t>；</w:t>
      </w:r>
      <w:r>
        <w:rPr>
          <w:sz w:val="24"/>
          <w:szCs w:val="24"/>
          <w:highlight w:val="none"/>
        </w:rPr>
        <w:t>H</w:t>
      </w:r>
      <w:r>
        <w:rPr>
          <w:sz w:val="24"/>
          <w:szCs w:val="24"/>
          <w:highlight w:val="none"/>
          <w:vertAlign w:val="subscript"/>
        </w:rPr>
        <w:t>2</w:t>
      </w:r>
      <w:r>
        <w:rPr>
          <w:sz w:val="24"/>
          <w:szCs w:val="24"/>
          <w:highlight w:val="none"/>
        </w:rPr>
        <w:t>S最大贡献浓度为</w:t>
      </w:r>
      <w:r>
        <w:rPr>
          <w:rFonts w:hint="eastAsia" w:cs="Times New Roman"/>
          <w:spacing w:val="0"/>
          <w:position w:val="0"/>
          <w:sz w:val="24"/>
          <w:szCs w:val="24"/>
          <w:highlight w:val="none"/>
          <w:lang w:val="en-US" w:eastAsia="zh-CN"/>
        </w:rPr>
        <w:t>1.31</w:t>
      </w:r>
      <w:r>
        <w:rPr>
          <w:rFonts w:hint="default" w:ascii="Times New Roman" w:hAnsi="Times New Roman" w:eastAsia="宋体" w:cs="Times New Roman"/>
          <w:spacing w:val="0"/>
          <w:position w:val="0"/>
          <w:sz w:val="24"/>
          <w:szCs w:val="24"/>
          <w:highlight w:val="none"/>
        </w:rPr>
        <w:t>×10</w:t>
      </w:r>
      <w:r>
        <w:rPr>
          <w:rFonts w:hint="default" w:ascii="Times New Roman" w:hAnsi="Times New Roman" w:eastAsia="宋体" w:cs="Times New Roman"/>
          <w:spacing w:val="0"/>
          <w:position w:val="0"/>
          <w:sz w:val="24"/>
          <w:szCs w:val="24"/>
          <w:highlight w:val="none"/>
          <w:vertAlign w:val="superscript"/>
        </w:rPr>
        <w:t>-</w:t>
      </w:r>
      <w:r>
        <w:rPr>
          <w:rFonts w:hint="eastAsia" w:cs="Times New Roman"/>
          <w:spacing w:val="0"/>
          <w:position w:val="0"/>
          <w:sz w:val="24"/>
          <w:szCs w:val="24"/>
          <w:highlight w:val="none"/>
          <w:vertAlign w:val="superscript"/>
          <w:lang w:val="en-US" w:eastAsia="zh-CN"/>
        </w:rPr>
        <w:t>4</w:t>
      </w:r>
      <w:r>
        <w:rPr>
          <w:sz w:val="24"/>
          <w:szCs w:val="24"/>
          <w:highlight w:val="none"/>
        </w:rPr>
        <w:t>mg/m</w:t>
      </w:r>
      <w:r>
        <w:rPr>
          <w:sz w:val="24"/>
          <w:szCs w:val="24"/>
          <w:highlight w:val="none"/>
          <w:vertAlign w:val="superscript"/>
        </w:rPr>
        <w:t>3</w:t>
      </w:r>
      <w:r>
        <w:rPr>
          <w:sz w:val="24"/>
          <w:szCs w:val="24"/>
          <w:highlight w:val="none"/>
        </w:rPr>
        <w:t>，占标率为</w:t>
      </w:r>
      <w:r>
        <w:rPr>
          <w:rFonts w:hint="eastAsia" w:cs="Times New Roman"/>
          <w:spacing w:val="0"/>
          <w:position w:val="0"/>
          <w:sz w:val="24"/>
          <w:szCs w:val="24"/>
          <w:highlight w:val="none"/>
          <w:lang w:val="en-US" w:eastAsia="zh-CN"/>
        </w:rPr>
        <w:t>1.31</w:t>
      </w:r>
      <w:r>
        <w:rPr>
          <w:sz w:val="24"/>
          <w:szCs w:val="24"/>
          <w:highlight w:val="none"/>
        </w:rPr>
        <w:t>%；最大落地点距离为</w:t>
      </w:r>
      <w:r>
        <w:rPr>
          <w:rFonts w:hint="eastAsia"/>
          <w:sz w:val="24"/>
          <w:szCs w:val="24"/>
          <w:highlight w:val="none"/>
          <w:lang w:val="en-US" w:eastAsia="zh-CN"/>
        </w:rPr>
        <w:t>20</w:t>
      </w:r>
      <w:r>
        <w:rPr>
          <w:sz w:val="24"/>
          <w:szCs w:val="24"/>
          <w:highlight w:val="none"/>
        </w:rPr>
        <w:t>m</w:t>
      </w:r>
      <w:r>
        <w:rPr>
          <w:rFonts w:hint="eastAsia"/>
          <w:sz w:val="24"/>
          <w:szCs w:val="24"/>
          <w:highlight w:val="none"/>
          <w:lang w:eastAsia="zh-CN"/>
        </w:rPr>
        <w:t>。</w:t>
      </w:r>
    </w:p>
    <w:p>
      <w:pPr>
        <w:bidi w:val="0"/>
        <w:rPr>
          <w:highlight w:val="none"/>
        </w:rPr>
      </w:pPr>
      <w:r>
        <w:rPr>
          <w:highlight w:val="none"/>
        </w:rPr>
        <w:t>当项目正常排放的情况下，NH</w:t>
      </w:r>
      <w:r>
        <w:rPr>
          <w:highlight w:val="none"/>
          <w:vertAlign w:val="subscript"/>
        </w:rPr>
        <w:t>3</w:t>
      </w:r>
      <w:r>
        <w:rPr>
          <w:highlight w:val="none"/>
        </w:rPr>
        <w:t>和H</w:t>
      </w:r>
      <w:r>
        <w:rPr>
          <w:highlight w:val="none"/>
          <w:vertAlign w:val="subscript"/>
        </w:rPr>
        <w:t>2</w:t>
      </w:r>
      <w:r>
        <w:rPr>
          <w:highlight w:val="none"/>
        </w:rPr>
        <w:t>S均满足《畜禽养殖产地环境评价规范》中《畜禽养殖场和养殖小区环境空气质量评价指标限值》中规定限制，同时也满足《恶臭污染物排放标准》（GB14554-93）中的标准值，对场区内和外界环境都影响不大。</w:t>
      </w:r>
    </w:p>
    <w:p>
      <w:pPr>
        <w:pStyle w:val="6"/>
        <w:bidi w:val="0"/>
        <w:rPr>
          <w:highlight w:val="none"/>
        </w:rPr>
      </w:pPr>
      <w:r>
        <w:rPr>
          <w:rFonts w:hint="eastAsia" w:ascii="Times New Roman" w:hAnsi="Times New Roman" w:eastAsia="宋体" w:cs="Times New Roman"/>
          <w:b/>
          <w:bCs/>
          <w:color w:val="000000"/>
          <w:kern w:val="0"/>
          <w:sz w:val="24"/>
          <w:szCs w:val="24"/>
          <w:highlight w:val="none"/>
          <w:lang w:val="en-US" w:eastAsia="zh-CN" w:bidi="ar"/>
        </w:rPr>
        <w:t xml:space="preserve">6.2.1.8  </w:t>
      </w:r>
      <w:r>
        <w:rPr>
          <w:rFonts w:hint="eastAsia" w:ascii="宋体" w:hAnsi="宋体" w:eastAsia="宋体" w:cs="宋体"/>
          <w:b/>
          <w:bCs/>
          <w:color w:val="000000"/>
          <w:kern w:val="0"/>
          <w:sz w:val="24"/>
          <w:szCs w:val="24"/>
          <w:highlight w:val="none"/>
          <w:lang w:val="en-US" w:eastAsia="zh-CN" w:bidi="ar"/>
        </w:rPr>
        <w:t xml:space="preserve">大气环境防护距离 </w:t>
      </w:r>
    </w:p>
    <w:p>
      <w:pPr>
        <w:bidi w:val="0"/>
        <w:rPr>
          <w:highlight w:val="none"/>
        </w:rPr>
      </w:pPr>
      <w:r>
        <w:rPr>
          <w:rFonts w:hint="eastAsia"/>
          <w:highlight w:val="none"/>
          <w:lang w:val="en-US" w:eastAsia="zh-CN"/>
        </w:rPr>
        <w:t>采用推荐模式中的大气环境防护距离模式计算各无组织源的大气环境防护距离。计算出的距离是以污染源中心为起点的控制距离，并结合场区的平面布置图，确定控制距离范围，超出厂界以外的范围，即为项目大气环境防护距离。当无组织源排放多种污染物时，应分别计算，并按计算结果的最大值确定其大气环境防护距离。对于同属一个生产单元（生产区、车间或工段）的无组织排放源，应合并作为单一面源计算并确定大气环境防护距离。</w:t>
      </w:r>
    </w:p>
    <w:p>
      <w:pPr>
        <w:bidi w:val="0"/>
        <w:rPr>
          <w:highlight w:val="none"/>
        </w:rPr>
      </w:pPr>
      <w:r>
        <w:rPr>
          <w:rFonts w:hint="eastAsia"/>
          <w:highlight w:val="none"/>
          <w:lang w:val="en-US" w:eastAsia="zh-CN"/>
        </w:rPr>
        <w:t>计算得到</w:t>
      </w:r>
      <w:r>
        <w:rPr>
          <w:rFonts w:hint="default"/>
          <w:highlight w:val="none"/>
          <w:lang w:val="en-US" w:eastAsia="zh-CN"/>
        </w:rPr>
        <w:t>NH</w:t>
      </w:r>
      <w:r>
        <w:rPr>
          <w:rFonts w:hint="default"/>
          <w:highlight w:val="none"/>
          <w:vertAlign w:val="subscript"/>
          <w:lang w:val="en-US" w:eastAsia="zh-CN"/>
        </w:rPr>
        <w:t>3</w:t>
      </w:r>
      <w:r>
        <w:rPr>
          <w:rFonts w:hint="eastAsia"/>
          <w:highlight w:val="none"/>
          <w:lang w:val="en-US" w:eastAsia="zh-CN"/>
        </w:rPr>
        <w:t>、</w:t>
      </w:r>
      <w:r>
        <w:rPr>
          <w:rFonts w:hint="default"/>
          <w:highlight w:val="none"/>
          <w:lang w:val="en-US" w:eastAsia="zh-CN"/>
        </w:rPr>
        <w:t>H</w:t>
      </w:r>
      <w:r>
        <w:rPr>
          <w:rFonts w:hint="default"/>
          <w:highlight w:val="none"/>
          <w:vertAlign w:val="subscript"/>
          <w:lang w:val="en-US" w:eastAsia="zh-CN"/>
        </w:rPr>
        <w:t>2</w:t>
      </w:r>
      <w:r>
        <w:rPr>
          <w:rFonts w:hint="default"/>
          <w:highlight w:val="none"/>
          <w:lang w:val="en-US" w:eastAsia="zh-CN"/>
        </w:rPr>
        <w:t>S</w:t>
      </w:r>
      <w:r>
        <w:rPr>
          <w:rFonts w:hint="eastAsia"/>
          <w:highlight w:val="none"/>
          <w:lang w:val="en-US" w:eastAsia="zh-CN"/>
        </w:rPr>
        <w:t>无超标点，因此，项目无需设置大气环境防护距离。</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.2.1.</w:t>
      </w:r>
      <w:r>
        <w:rPr>
          <w:rFonts w:hint="eastAsia" w:eastAsia="宋体" w:cs="Times New Roman"/>
          <w:b/>
          <w:bCs/>
          <w:spacing w:val="-1"/>
          <w:sz w:val="24"/>
          <w:szCs w:val="24"/>
          <w:highlight w:val="none"/>
          <w:lang w:val="en-US" w:eastAsia="zh-CN"/>
        </w:rPr>
        <w:t>9</w:t>
      </w:r>
      <w:r>
        <w:rPr>
          <w:rFonts w:ascii="Times New Roman" w:hAnsi="Times New Roman" w:eastAsia="Times New Roman" w:cs="Times New Roman"/>
          <w:spacing w:val="10"/>
          <w:sz w:val="24"/>
          <w:szCs w:val="24"/>
          <w:highlight w:val="none"/>
        </w:rPr>
        <w:t xml:space="preserve">  </w:t>
      </w:r>
      <w:r>
        <w:rPr>
          <w:rFonts w:ascii="宋体" w:hAnsi="宋体" w:eastAsia="宋体" w:cs="宋体"/>
          <w:spacing w:val="-1"/>
          <w:sz w:val="24"/>
          <w:szCs w:val="24"/>
          <w:highlight w:val="none"/>
        </w:rPr>
        <w:t>其他大气环境影响分析</w:t>
      </w:r>
    </w:p>
    <w:p>
      <w:pPr>
        <w:bidi w:val="0"/>
        <w:rPr>
          <w:highlight w:val="none"/>
        </w:rPr>
      </w:pPr>
      <w:r>
        <w:rPr>
          <w:highlight w:val="none"/>
        </w:rPr>
        <w:t>食堂油烟采用先进的高效静电油烟净化装置进行有效处理，经处理后，油烟浓度可降至0.</w:t>
      </w:r>
      <w:r>
        <w:rPr>
          <w:rFonts w:hint="eastAsia"/>
          <w:highlight w:val="none"/>
          <w:lang w:val="en-US" w:eastAsia="zh-CN"/>
        </w:rPr>
        <w:t>225</w:t>
      </w:r>
      <w:r>
        <w:rPr>
          <w:highlight w:val="none"/>
        </w:rPr>
        <w:t>mg/m</w:t>
      </w:r>
      <w:r>
        <w:rPr>
          <w:highlight w:val="none"/>
          <w:vertAlign w:val="superscript"/>
        </w:rPr>
        <w:t>3</w:t>
      </w:r>
      <w:r>
        <w:rPr>
          <w:highlight w:val="none"/>
        </w:rPr>
        <w:t>，达到《饮食业油烟排放标准》（试行）（GB18483-2001），即≤2mg/m</w:t>
      </w:r>
      <w:r>
        <w:rPr>
          <w:highlight w:val="none"/>
          <w:vertAlign w:val="superscript"/>
        </w:rPr>
        <w:t>3</w:t>
      </w:r>
      <w:r>
        <w:rPr>
          <w:highlight w:val="none"/>
        </w:rPr>
        <w:t>，对外界环境影响不大。</w:t>
      </w:r>
    </w:p>
    <w:p>
      <w:pPr>
        <w:bidi w:val="0"/>
        <w:rPr>
          <w:highlight w:val="none"/>
        </w:rPr>
      </w:pPr>
      <w:r>
        <w:rPr>
          <w:highlight w:val="none"/>
        </w:rPr>
        <w:t>综上所述，本项目各点源产生的废气通过措施处理后，污染物较少，并都可做到达标排放，只要加强管理，对外环境影响轻微。</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.2.1.1</w:t>
      </w:r>
      <w:r>
        <w:rPr>
          <w:rFonts w:hint="eastAsia" w:eastAsia="宋体" w:cs="Times New Roman"/>
          <w:b/>
          <w:bCs/>
          <w:spacing w:val="-1"/>
          <w:sz w:val="24"/>
          <w:szCs w:val="24"/>
          <w:highlight w:val="none"/>
          <w:lang w:val="en-US" w:eastAsia="zh-CN"/>
        </w:rPr>
        <w:t>0</w:t>
      </w:r>
      <w:r>
        <w:rPr>
          <w:rFonts w:ascii="Times New Roman" w:hAnsi="Times New Roman" w:eastAsia="Times New Roman" w:cs="Times New Roman"/>
          <w:spacing w:val="18"/>
          <w:sz w:val="24"/>
          <w:szCs w:val="24"/>
          <w:highlight w:val="none"/>
        </w:rPr>
        <w:t xml:space="preserve"> </w:t>
      </w:r>
      <w:r>
        <w:rPr>
          <w:rFonts w:hint="eastAsia" w:eastAsia="宋体" w:cs="Times New Roman"/>
          <w:spacing w:val="18"/>
          <w:sz w:val="24"/>
          <w:szCs w:val="24"/>
          <w:highlight w:val="none"/>
          <w:lang w:val="en-US" w:eastAsia="zh-CN"/>
        </w:rPr>
        <w:t xml:space="preserve"> </w:t>
      </w:r>
      <w:r>
        <w:rPr>
          <w:rFonts w:ascii="宋体" w:hAnsi="宋体" w:eastAsia="宋体" w:cs="宋体"/>
          <w:spacing w:val="-1"/>
          <w:sz w:val="24"/>
          <w:szCs w:val="24"/>
          <w:highlight w:val="none"/>
        </w:rPr>
        <w:t>大气污染排放核算表</w:t>
      </w:r>
    </w:p>
    <w:p>
      <w:pPr>
        <w:bidi w:val="0"/>
        <w:rPr>
          <w:highlight w:val="none"/>
        </w:rPr>
      </w:pPr>
      <w:r>
        <w:rPr>
          <w:highlight w:val="none"/>
        </w:rPr>
        <w:t>根据项目工程分析及环评影响预测与评价，本项目大气污染排放核算情况见 表</w:t>
      </w:r>
      <w:r>
        <w:rPr>
          <w:rFonts w:hint="eastAsia"/>
          <w:highlight w:val="none"/>
          <w:lang w:val="en-US" w:eastAsia="zh-CN"/>
        </w:rPr>
        <w:t>6</w:t>
      </w:r>
      <w:r>
        <w:rPr>
          <w:highlight w:val="none"/>
        </w:rPr>
        <w:t>.2-</w:t>
      </w:r>
      <w:r>
        <w:rPr>
          <w:rFonts w:hint="eastAsia"/>
          <w:highlight w:val="none"/>
          <w:lang w:val="en-US" w:eastAsia="zh-CN"/>
        </w:rPr>
        <w:t>9</w:t>
      </w:r>
      <w:r>
        <w:rPr>
          <w:highlight w:val="none"/>
        </w:rPr>
        <w:t>~</w:t>
      </w:r>
      <w:r>
        <w:rPr>
          <w:rFonts w:hint="eastAsia"/>
          <w:highlight w:val="none"/>
          <w:lang w:val="en-US" w:eastAsia="zh-CN"/>
        </w:rPr>
        <w:t>6.2-10</w:t>
      </w:r>
      <w:r>
        <w:rPr>
          <w:highlight w:val="none"/>
        </w:rPr>
        <w:t>。</w:t>
      </w:r>
    </w:p>
    <w:p>
      <w:pPr>
        <w:pStyle w:val="7"/>
        <w:bidi w:val="0"/>
        <w:rPr>
          <w:highlight w:val="none"/>
        </w:rPr>
      </w:pPr>
      <w:r>
        <w:rPr>
          <w:highlight w:val="none"/>
        </w:rPr>
        <w:t>表</w:t>
      </w:r>
      <w:r>
        <w:rPr>
          <w:rFonts w:hint="eastAsia"/>
          <w:highlight w:val="none"/>
          <w:lang w:val="en-US" w:eastAsia="zh-CN"/>
        </w:rPr>
        <w:t>6</w:t>
      </w:r>
      <w:r>
        <w:rPr>
          <w:highlight w:val="none"/>
        </w:rPr>
        <w:t>.2-</w:t>
      </w:r>
      <w:r>
        <w:rPr>
          <w:rFonts w:hint="eastAsia"/>
          <w:highlight w:val="none"/>
          <w:lang w:val="en-US" w:eastAsia="zh-CN"/>
        </w:rPr>
        <w:t>9</w:t>
      </w:r>
      <w:r>
        <w:rPr>
          <w:highlight w:val="none"/>
        </w:rPr>
        <w:t xml:space="preserve">  大气污染物无组织排排放量核算表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24"/>
        <w:gridCol w:w="832"/>
        <w:gridCol w:w="729"/>
        <w:gridCol w:w="799"/>
        <w:gridCol w:w="2031"/>
        <w:gridCol w:w="1304"/>
        <w:gridCol w:w="1322"/>
        <w:gridCol w:w="8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序号</w:t>
            </w:r>
          </w:p>
        </w:tc>
        <w:tc>
          <w:tcPr>
            <w:tcW w:w="4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排放口编号</w:t>
            </w:r>
          </w:p>
        </w:tc>
        <w:tc>
          <w:tcPr>
            <w:tcW w:w="4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产污环节</w:t>
            </w:r>
          </w:p>
        </w:tc>
        <w:tc>
          <w:tcPr>
            <w:tcW w:w="4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污染物</w:t>
            </w:r>
          </w:p>
        </w:tc>
        <w:tc>
          <w:tcPr>
            <w:tcW w:w="12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主要污染防治措施</w:t>
            </w:r>
          </w:p>
        </w:tc>
        <w:tc>
          <w:tcPr>
            <w:tcW w:w="157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国家或地方污染物排放标准</w:t>
            </w:r>
          </w:p>
        </w:tc>
        <w:tc>
          <w:tcPr>
            <w:tcW w:w="5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1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7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标准名称</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浓度限值/（mg/m</w:t>
            </w:r>
            <w:r>
              <w:rPr>
                <w:rFonts w:hint="default" w:ascii="Times New Roman" w:hAnsi="Times New Roman" w:eastAsia="宋体" w:cs="Times New Roman"/>
                <w:b w:val="0"/>
                <w:bCs w:val="0"/>
                <w:spacing w:val="0"/>
                <w:w w:val="100"/>
                <w:position w:val="0"/>
                <w:sz w:val="21"/>
                <w:szCs w:val="21"/>
                <w:highlight w:val="none"/>
                <w:vertAlign w:val="superscript"/>
              </w:rPr>
              <w:t>3</w:t>
            </w:r>
            <w:r>
              <w:rPr>
                <w:rFonts w:hint="default" w:ascii="Times New Roman" w:hAnsi="Times New Roman" w:eastAsia="宋体" w:cs="Times New Roman"/>
                <w:b w:val="0"/>
                <w:bCs w:val="0"/>
                <w:spacing w:val="0"/>
                <w:w w:val="100"/>
                <w:position w:val="0"/>
                <w:sz w:val="21"/>
                <w:szCs w:val="21"/>
                <w:highlight w:val="none"/>
              </w:rPr>
              <w:t>）</w:t>
            </w:r>
          </w:p>
        </w:tc>
        <w:tc>
          <w:tcPr>
            <w:tcW w:w="5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1</w:t>
            </w:r>
          </w:p>
        </w:tc>
        <w:tc>
          <w:tcPr>
            <w:tcW w:w="4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DA001</w:t>
            </w:r>
          </w:p>
        </w:tc>
        <w:tc>
          <w:tcPr>
            <w:tcW w:w="4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猪舍</w:t>
            </w:r>
          </w:p>
        </w:tc>
        <w:tc>
          <w:tcPr>
            <w:tcW w:w="4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NH</w:t>
            </w:r>
            <w:r>
              <w:rPr>
                <w:rFonts w:hint="default" w:ascii="Times New Roman" w:hAnsi="Times New Roman" w:eastAsia="宋体" w:cs="Times New Roman"/>
                <w:b w:val="0"/>
                <w:bCs w:val="0"/>
                <w:spacing w:val="0"/>
                <w:w w:val="100"/>
                <w:position w:val="0"/>
                <w:sz w:val="21"/>
                <w:szCs w:val="21"/>
                <w:highlight w:val="none"/>
                <w:vertAlign w:val="subscript"/>
              </w:rPr>
              <w:t>3</w:t>
            </w:r>
          </w:p>
        </w:tc>
        <w:tc>
          <w:tcPr>
            <w:tcW w:w="12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饲料中通过添加生物菌素、猪舍通风、喷洒生物除臭剂，加强场区绿化等</w:t>
            </w:r>
          </w:p>
        </w:tc>
        <w:tc>
          <w:tcPr>
            <w:tcW w:w="7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GB14554-93</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1.5</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0.114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2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H</w:t>
            </w:r>
            <w:r>
              <w:rPr>
                <w:rFonts w:hint="default" w:ascii="Times New Roman" w:hAnsi="Times New Roman" w:eastAsia="宋体" w:cs="Times New Roman"/>
                <w:b w:val="0"/>
                <w:bCs w:val="0"/>
                <w:spacing w:val="0"/>
                <w:w w:val="100"/>
                <w:position w:val="0"/>
                <w:sz w:val="21"/>
                <w:szCs w:val="21"/>
                <w:highlight w:val="none"/>
                <w:vertAlign w:val="subscript"/>
              </w:rPr>
              <w:t>2</w:t>
            </w:r>
            <w:r>
              <w:rPr>
                <w:rFonts w:hint="default" w:ascii="Times New Roman" w:hAnsi="Times New Roman" w:eastAsia="宋体" w:cs="Times New Roman"/>
                <w:b w:val="0"/>
                <w:bCs w:val="0"/>
                <w:spacing w:val="0"/>
                <w:w w:val="100"/>
                <w:position w:val="0"/>
                <w:sz w:val="21"/>
                <w:szCs w:val="21"/>
                <w:highlight w:val="none"/>
              </w:rPr>
              <w:t>S</w:t>
            </w:r>
          </w:p>
        </w:tc>
        <w:tc>
          <w:tcPr>
            <w:tcW w:w="1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7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0.06</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0.012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2</w:t>
            </w:r>
          </w:p>
        </w:tc>
        <w:tc>
          <w:tcPr>
            <w:tcW w:w="4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pacing w:val="0"/>
                <w:w w:val="100"/>
                <w:position w:val="0"/>
                <w:sz w:val="21"/>
                <w:szCs w:val="21"/>
                <w:highlight w:val="none"/>
                <w:lang w:val="en-US" w:eastAsia="zh-CN"/>
              </w:rPr>
            </w:pPr>
            <w:r>
              <w:rPr>
                <w:rFonts w:hint="default" w:ascii="Times New Roman" w:hAnsi="Times New Roman" w:eastAsia="宋体" w:cs="Times New Roman"/>
                <w:b w:val="0"/>
                <w:bCs w:val="0"/>
                <w:spacing w:val="0"/>
                <w:w w:val="100"/>
                <w:position w:val="0"/>
                <w:sz w:val="21"/>
                <w:szCs w:val="21"/>
                <w:highlight w:val="none"/>
              </w:rPr>
              <w:t>DA00</w:t>
            </w:r>
            <w:r>
              <w:rPr>
                <w:rFonts w:hint="eastAsia" w:cs="Times New Roman"/>
                <w:b w:val="0"/>
                <w:bCs w:val="0"/>
                <w:spacing w:val="0"/>
                <w:w w:val="100"/>
                <w:position w:val="0"/>
                <w:sz w:val="21"/>
                <w:szCs w:val="21"/>
                <w:highlight w:val="none"/>
                <w:lang w:val="en-US" w:eastAsia="zh-CN"/>
              </w:rPr>
              <w:t>2</w:t>
            </w:r>
          </w:p>
        </w:tc>
        <w:tc>
          <w:tcPr>
            <w:tcW w:w="4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pacing w:val="0"/>
                <w:w w:val="100"/>
                <w:position w:val="0"/>
                <w:sz w:val="21"/>
                <w:szCs w:val="21"/>
                <w:highlight w:val="none"/>
                <w:lang w:eastAsia="zh-CN"/>
              </w:rPr>
            </w:pPr>
            <w:r>
              <w:rPr>
                <w:rFonts w:hint="eastAsia" w:cs="Times New Roman"/>
                <w:b w:val="0"/>
                <w:bCs w:val="0"/>
                <w:spacing w:val="0"/>
                <w:w w:val="100"/>
                <w:position w:val="0"/>
                <w:sz w:val="21"/>
                <w:szCs w:val="21"/>
                <w:highlight w:val="none"/>
                <w:lang w:eastAsia="zh-CN"/>
              </w:rPr>
              <w:t>污水处理站</w:t>
            </w:r>
          </w:p>
        </w:tc>
        <w:tc>
          <w:tcPr>
            <w:tcW w:w="4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NH</w:t>
            </w:r>
            <w:r>
              <w:rPr>
                <w:rFonts w:hint="default" w:ascii="Times New Roman" w:hAnsi="Times New Roman" w:eastAsia="宋体" w:cs="Times New Roman"/>
                <w:b w:val="0"/>
                <w:bCs w:val="0"/>
                <w:spacing w:val="0"/>
                <w:w w:val="100"/>
                <w:position w:val="0"/>
                <w:sz w:val="21"/>
                <w:szCs w:val="21"/>
                <w:highlight w:val="none"/>
                <w:vertAlign w:val="subscript"/>
              </w:rPr>
              <w:t>3</w:t>
            </w:r>
          </w:p>
        </w:tc>
        <w:tc>
          <w:tcPr>
            <w:tcW w:w="12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喷洒生物除臭剂，加强场区绿化等</w:t>
            </w:r>
          </w:p>
        </w:tc>
        <w:tc>
          <w:tcPr>
            <w:tcW w:w="7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GB14554-93</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1.5</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0.054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4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H</w:t>
            </w:r>
            <w:r>
              <w:rPr>
                <w:rFonts w:hint="default" w:ascii="Times New Roman" w:hAnsi="Times New Roman" w:eastAsia="宋体" w:cs="Times New Roman"/>
                <w:b w:val="0"/>
                <w:bCs w:val="0"/>
                <w:spacing w:val="0"/>
                <w:w w:val="100"/>
                <w:position w:val="0"/>
                <w:sz w:val="21"/>
                <w:szCs w:val="21"/>
                <w:highlight w:val="none"/>
                <w:vertAlign w:val="subscript"/>
              </w:rPr>
              <w:t>2</w:t>
            </w:r>
            <w:r>
              <w:rPr>
                <w:rFonts w:hint="default" w:ascii="Times New Roman" w:hAnsi="Times New Roman" w:eastAsia="宋体" w:cs="Times New Roman"/>
                <w:b w:val="0"/>
                <w:bCs w:val="0"/>
                <w:spacing w:val="0"/>
                <w:w w:val="100"/>
                <w:position w:val="0"/>
                <w:sz w:val="21"/>
                <w:szCs w:val="21"/>
                <w:highlight w:val="none"/>
              </w:rPr>
              <w:t>S</w:t>
            </w:r>
          </w:p>
        </w:tc>
        <w:tc>
          <w:tcPr>
            <w:tcW w:w="1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7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0.06</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0.002</w:t>
            </w:r>
          </w:p>
        </w:tc>
      </w:tr>
    </w:tbl>
    <w:p>
      <w:pPr>
        <w:bidi w:val="0"/>
        <w:rPr>
          <w:highlight w:val="none"/>
          <w:lang w:val="en-US" w:eastAsia="zh-CN"/>
        </w:rPr>
      </w:pPr>
    </w:p>
    <w:p>
      <w:pPr>
        <w:bidi w:val="0"/>
        <w:rPr>
          <w:highlight w:val="none"/>
          <w:lang w:val="en-US" w:eastAsia="zh-CN"/>
        </w:rPr>
      </w:pPr>
    </w:p>
    <w:p>
      <w:pPr>
        <w:bidi w:val="0"/>
        <w:rPr>
          <w:highlight w:val="none"/>
          <w:lang w:val="en-US" w:eastAsia="zh-CN"/>
        </w:rPr>
      </w:pPr>
    </w:p>
    <w:p>
      <w:pPr>
        <w:pStyle w:val="7"/>
        <w:bidi w:val="0"/>
        <w:rPr>
          <w:highlight w:val="none"/>
          <w:lang w:val="en-US" w:eastAsia="zh-CN"/>
        </w:rPr>
      </w:pPr>
      <w:r>
        <w:rPr>
          <w:highlight w:val="none"/>
          <w:lang w:val="en-US" w:eastAsia="zh-CN"/>
        </w:rPr>
        <w:t>表</w:t>
      </w:r>
      <w:r>
        <w:rPr>
          <w:rFonts w:hint="eastAsia"/>
          <w:highlight w:val="none"/>
          <w:lang w:val="en-US" w:eastAsia="zh-CN"/>
        </w:rPr>
        <w:t>6</w:t>
      </w:r>
      <w:r>
        <w:rPr>
          <w:highlight w:val="none"/>
          <w:lang w:val="en-US" w:eastAsia="zh-CN"/>
        </w:rPr>
        <w:t>.2-</w:t>
      </w:r>
      <w:r>
        <w:rPr>
          <w:rFonts w:hint="eastAsia"/>
          <w:highlight w:val="none"/>
          <w:lang w:val="en-US" w:eastAsia="zh-CN"/>
        </w:rPr>
        <w:t>10</w:t>
      </w:r>
      <w:r>
        <w:rPr>
          <w:highlight w:val="none"/>
          <w:lang w:val="en-US" w:eastAsia="zh-CN"/>
        </w:rPr>
        <w:t xml:space="preserve">  大气污染物年排排放量核算表</w:t>
      </w:r>
    </w:p>
    <w:tbl>
      <w:tblPr>
        <w:tblStyle w:val="34"/>
        <w:tblpPr w:leftFromText="180" w:rightFromText="180" w:vertAnchor="text" w:horzAnchor="page" w:tblpX="1814" w:tblpY="11"/>
        <w:tblOverlap w:val="never"/>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794"/>
        <w:gridCol w:w="2771"/>
        <w:gridCol w:w="27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序号</w:t>
            </w:r>
          </w:p>
        </w:tc>
        <w:tc>
          <w:tcPr>
            <w:tcW w:w="1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污染物</w:t>
            </w:r>
          </w:p>
        </w:tc>
        <w:tc>
          <w:tcPr>
            <w:tcW w:w="1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1</w:t>
            </w:r>
          </w:p>
        </w:tc>
        <w:tc>
          <w:tcPr>
            <w:tcW w:w="1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NH</w:t>
            </w:r>
            <w:r>
              <w:rPr>
                <w:rFonts w:hint="default" w:ascii="Times New Roman" w:hAnsi="Times New Roman" w:eastAsia="宋体" w:cs="Times New Roman"/>
                <w:b w:val="0"/>
                <w:bCs w:val="0"/>
                <w:spacing w:val="0"/>
                <w:w w:val="100"/>
                <w:position w:val="0"/>
                <w:sz w:val="21"/>
                <w:szCs w:val="21"/>
                <w:highlight w:val="none"/>
                <w:vertAlign w:val="subscript"/>
              </w:rPr>
              <w:t>3</w:t>
            </w:r>
          </w:p>
        </w:tc>
        <w:tc>
          <w:tcPr>
            <w:tcW w:w="1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0.168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2</w:t>
            </w:r>
          </w:p>
        </w:tc>
        <w:tc>
          <w:tcPr>
            <w:tcW w:w="16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rPr>
            </w:pPr>
            <w:r>
              <w:rPr>
                <w:rFonts w:hint="default" w:ascii="Times New Roman" w:hAnsi="Times New Roman" w:eastAsia="宋体" w:cs="Times New Roman"/>
                <w:b w:val="0"/>
                <w:bCs w:val="0"/>
                <w:spacing w:val="0"/>
                <w:w w:val="100"/>
                <w:position w:val="0"/>
                <w:sz w:val="21"/>
                <w:szCs w:val="21"/>
                <w:highlight w:val="none"/>
              </w:rPr>
              <w:t>H</w:t>
            </w:r>
            <w:r>
              <w:rPr>
                <w:rFonts w:hint="default" w:ascii="Times New Roman" w:hAnsi="Times New Roman" w:eastAsia="宋体" w:cs="Times New Roman"/>
                <w:b w:val="0"/>
                <w:bCs w:val="0"/>
                <w:spacing w:val="0"/>
                <w:w w:val="100"/>
                <w:position w:val="0"/>
                <w:sz w:val="21"/>
                <w:szCs w:val="21"/>
                <w:highlight w:val="none"/>
                <w:vertAlign w:val="subscript"/>
              </w:rPr>
              <w:t>2</w:t>
            </w:r>
            <w:r>
              <w:rPr>
                <w:rFonts w:hint="default" w:ascii="Times New Roman" w:hAnsi="Times New Roman" w:eastAsia="宋体" w:cs="Times New Roman"/>
                <w:b w:val="0"/>
                <w:bCs w:val="0"/>
                <w:spacing w:val="0"/>
                <w:w w:val="100"/>
                <w:position w:val="0"/>
                <w:sz w:val="21"/>
                <w:szCs w:val="21"/>
                <w:highlight w:val="none"/>
              </w:rPr>
              <w:t>S</w:t>
            </w:r>
          </w:p>
        </w:tc>
        <w:tc>
          <w:tcPr>
            <w:tcW w:w="16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pacing w:val="0"/>
                <w:w w:val="100"/>
                <w:position w:val="0"/>
                <w:sz w:val="21"/>
                <w:szCs w:val="21"/>
                <w:highlight w:val="none"/>
                <w:lang w:val="en-US" w:eastAsia="zh-CN"/>
              </w:rPr>
            </w:pPr>
            <w:r>
              <w:rPr>
                <w:rFonts w:hint="eastAsia" w:cs="Times New Roman"/>
                <w:b w:val="0"/>
                <w:bCs w:val="0"/>
                <w:spacing w:val="0"/>
                <w:w w:val="100"/>
                <w:position w:val="0"/>
                <w:sz w:val="21"/>
                <w:szCs w:val="21"/>
                <w:highlight w:val="none"/>
                <w:lang w:val="en-US" w:eastAsia="zh-CN"/>
              </w:rPr>
              <w:t>0.014</w:t>
            </w:r>
          </w:p>
        </w:tc>
      </w:tr>
    </w:tbl>
    <w:p>
      <w:pPr>
        <w:pStyle w:val="5"/>
        <w:bidi w:val="0"/>
        <w:rPr>
          <w:highlight w:val="none"/>
        </w:rPr>
      </w:pPr>
      <w:r>
        <w:rPr>
          <w:rFonts w:hint="eastAsia" w:ascii="Times New Roman" w:hAnsi="Times New Roman" w:eastAsia="宋体" w:cs="Times New Roman"/>
          <w:b/>
          <w:bCs/>
          <w:color w:val="000000"/>
          <w:kern w:val="0"/>
          <w:sz w:val="28"/>
          <w:szCs w:val="28"/>
          <w:highlight w:val="none"/>
          <w:lang w:val="en-US" w:eastAsia="zh-CN" w:bidi="ar"/>
        </w:rPr>
        <w:t>6</w:t>
      </w:r>
      <w:r>
        <w:rPr>
          <w:rFonts w:hint="default" w:ascii="Times New Roman" w:hAnsi="Times New Roman" w:eastAsia="宋体" w:cs="Times New Roman"/>
          <w:b/>
          <w:bCs/>
          <w:color w:val="000000"/>
          <w:kern w:val="0"/>
          <w:sz w:val="28"/>
          <w:szCs w:val="28"/>
          <w:highlight w:val="none"/>
          <w:lang w:val="en-US" w:eastAsia="zh-CN" w:bidi="ar"/>
        </w:rPr>
        <w:t>.2.2</w:t>
      </w:r>
      <w:r>
        <w:rPr>
          <w:rFonts w:hint="eastAsia" w:ascii="Times New Roman" w:hAnsi="Times New Roman" w:eastAsia="宋体" w:cs="Times New Roman"/>
          <w:b/>
          <w:bCs/>
          <w:color w:val="000000"/>
          <w:kern w:val="0"/>
          <w:sz w:val="28"/>
          <w:szCs w:val="28"/>
          <w:highlight w:val="none"/>
          <w:lang w:val="en-US" w:eastAsia="zh-CN" w:bidi="ar"/>
        </w:rPr>
        <w:t xml:space="preserve">  </w:t>
      </w:r>
      <w:r>
        <w:rPr>
          <w:rFonts w:hint="eastAsia" w:ascii="宋体" w:hAnsi="宋体" w:eastAsia="宋体" w:cs="宋体"/>
          <w:b/>
          <w:bCs/>
          <w:color w:val="000000"/>
          <w:kern w:val="0"/>
          <w:sz w:val="28"/>
          <w:szCs w:val="28"/>
          <w:highlight w:val="none"/>
          <w:lang w:val="en-US" w:eastAsia="zh-CN" w:bidi="ar"/>
        </w:rPr>
        <w:t xml:space="preserve">地表水环境影响预测与分析 </w:t>
      </w:r>
    </w:p>
    <w:p>
      <w:pPr>
        <w:bidi w:val="0"/>
        <w:rPr>
          <w:highlight w:val="none"/>
        </w:rPr>
      </w:pPr>
      <w:r>
        <w:rPr>
          <w:rFonts w:hint="eastAsia"/>
          <w:highlight w:val="none"/>
          <w:lang w:val="en-US" w:eastAsia="zh-CN"/>
        </w:rPr>
        <w:t>依据《环境影响评价技术导则 地表水环境》（</w:t>
      </w:r>
      <w:r>
        <w:rPr>
          <w:rFonts w:hint="default"/>
          <w:highlight w:val="none"/>
          <w:lang w:val="en-US" w:eastAsia="zh-CN"/>
        </w:rPr>
        <w:t>HJ2.3-2018</w:t>
      </w:r>
      <w:r>
        <w:rPr>
          <w:rFonts w:hint="eastAsia"/>
          <w:highlight w:val="none"/>
          <w:lang w:val="en-US" w:eastAsia="zh-CN"/>
        </w:rPr>
        <w:t>）中</w:t>
      </w:r>
      <w:r>
        <w:rPr>
          <w:rFonts w:hint="eastAsia" w:ascii="宋体" w:hAnsi="宋体" w:eastAsia="宋体" w:cs="宋体"/>
          <w:highlight w:val="none"/>
          <w:lang w:val="en-US" w:eastAsia="zh-CN"/>
        </w:rPr>
        <w:t>“水污染影响型建设项目评价等级判定”</w:t>
      </w:r>
      <w:r>
        <w:rPr>
          <w:rFonts w:hint="eastAsia"/>
          <w:highlight w:val="none"/>
          <w:lang w:val="en-US" w:eastAsia="zh-CN"/>
        </w:rPr>
        <w:t>，注</w:t>
      </w:r>
      <w:r>
        <w:rPr>
          <w:rFonts w:hint="default"/>
          <w:highlight w:val="none"/>
          <w:lang w:val="en-US" w:eastAsia="zh-CN"/>
        </w:rPr>
        <w:t>10</w:t>
      </w:r>
      <w:r>
        <w:rPr>
          <w:rFonts w:hint="eastAsia"/>
          <w:highlight w:val="none"/>
          <w:lang w:val="en-US" w:eastAsia="zh-CN"/>
        </w:rPr>
        <w:t>中</w:t>
      </w:r>
      <w:r>
        <w:rPr>
          <w:rFonts w:hint="eastAsia" w:ascii="宋体" w:hAnsi="宋体" w:eastAsia="宋体" w:cs="宋体"/>
          <w:highlight w:val="none"/>
          <w:lang w:val="en-US" w:eastAsia="zh-CN"/>
        </w:rPr>
        <w:t>“建设项目生产工艺有废水产生，但作为回水利用，</w:t>
      </w:r>
      <w:r>
        <w:rPr>
          <w:rFonts w:hint="eastAsia"/>
          <w:highlight w:val="none"/>
          <w:lang w:val="en-US" w:eastAsia="zh-CN"/>
        </w:rPr>
        <w:t>不外排到外环境的，按三级</w:t>
      </w:r>
      <w:r>
        <w:rPr>
          <w:rFonts w:hint="default"/>
          <w:highlight w:val="none"/>
          <w:lang w:val="en-US" w:eastAsia="zh-CN"/>
        </w:rPr>
        <w:t>B</w:t>
      </w:r>
      <w:r>
        <w:rPr>
          <w:rFonts w:hint="eastAsia"/>
          <w:highlight w:val="none"/>
          <w:lang w:val="en-US" w:eastAsia="zh-CN"/>
        </w:rPr>
        <w:t>评价</w:t>
      </w:r>
      <w:r>
        <w:rPr>
          <w:rFonts w:hint="eastAsia" w:ascii="宋体" w:hAnsi="宋体" w:eastAsia="宋体" w:cs="宋体"/>
          <w:highlight w:val="none"/>
          <w:lang w:val="en-US" w:eastAsia="zh-CN"/>
        </w:rPr>
        <w:t>”</w:t>
      </w:r>
      <w:r>
        <w:rPr>
          <w:rFonts w:hint="eastAsia"/>
          <w:highlight w:val="none"/>
          <w:lang w:val="en-US" w:eastAsia="zh-CN"/>
        </w:rPr>
        <w:t>，确定本项目地表水评价等级为三级</w:t>
      </w:r>
      <w:r>
        <w:rPr>
          <w:rFonts w:hint="default"/>
          <w:highlight w:val="none"/>
          <w:lang w:val="en-US" w:eastAsia="zh-CN"/>
        </w:rPr>
        <w:t>B</w:t>
      </w:r>
      <w:r>
        <w:rPr>
          <w:rFonts w:hint="eastAsia"/>
          <w:highlight w:val="none"/>
          <w:lang w:val="en-US" w:eastAsia="zh-CN"/>
        </w:rPr>
        <w:t>。根据《环境影响评价技术导则 地表水环境》（</w:t>
      </w:r>
      <w:r>
        <w:rPr>
          <w:rFonts w:hint="default"/>
          <w:highlight w:val="none"/>
          <w:lang w:val="en-US" w:eastAsia="zh-CN"/>
        </w:rPr>
        <w:t>HJ2.3-2018</w:t>
      </w:r>
      <w:r>
        <w:rPr>
          <w:rFonts w:hint="eastAsia"/>
          <w:highlight w:val="none"/>
          <w:lang w:val="en-US" w:eastAsia="zh-CN"/>
        </w:rPr>
        <w:t>）</w:t>
      </w:r>
      <w:r>
        <w:rPr>
          <w:rFonts w:hint="eastAsia" w:ascii="宋体" w:hAnsi="宋体" w:eastAsia="宋体" w:cs="宋体"/>
          <w:highlight w:val="none"/>
          <w:lang w:val="en-US" w:eastAsia="zh-CN"/>
        </w:rPr>
        <w:t>“地表水环境影响预测总体要求：水污染影响三</w:t>
      </w:r>
      <w:r>
        <w:rPr>
          <w:rFonts w:hint="default" w:ascii="Times New Roman" w:hAnsi="Times New Roman" w:eastAsia="宋体" w:cs="Times New Roman"/>
          <w:highlight w:val="none"/>
          <w:lang w:val="en-US" w:eastAsia="zh-CN"/>
        </w:rPr>
        <w:t>级B评</w:t>
      </w:r>
      <w:r>
        <w:rPr>
          <w:rFonts w:hint="eastAsia" w:ascii="宋体" w:hAnsi="宋体" w:eastAsia="宋体" w:cs="宋体"/>
          <w:highlight w:val="none"/>
          <w:lang w:val="en-US" w:eastAsia="zh-CN"/>
        </w:rPr>
        <w:t>价可不进行水环境影响预测”</w:t>
      </w:r>
      <w:r>
        <w:rPr>
          <w:rFonts w:hint="eastAsia"/>
          <w:highlight w:val="none"/>
          <w:lang w:val="en-US" w:eastAsia="zh-CN"/>
        </w:rPr>
        <w:t>、</w:t>
      </w:r>
    </w:p>
    <w:p>
      <w:pPr>
        <w:bidi w:val="0"/>
        <w:rPr>
          <w:highlight w:val="none"/>
        </w:rPr>
      </w:pPr>
      <w:r>
        <w:rPr>
          <w:rFonts w:hint="eastAsia" w:ascii="宋体" w:hAnsi="宋体" w:eastAsia="宋体" w:cs="宋体"/>
          <w:highlight w:val="none"/>
          <w:lang w:val="en-US" w:eastAsia="zh-CN"/>
        </w:rPr>
        <w:t>“水</w:t>
      </w:r>
      <w:r>
        <w:rPr>
          <w:rFonts w:hint="eastAsia"/>
          <w:highlight w:val="none"/>
          <w:lang w:val="en-US" w:eastAsia="zh-CN"/>
        </w:rPr>
        <w:t>污染影响型三级</w:t>
      </w:r>
      <w:r>
        <w:rPr>
          <w:rFonts w:hint="default"/>
          <w:highlight w:val="none"/>
          <w:lang w:val="en-US" w:eastAsia="zh-CN"/>
        </w:rPr>
        <w:t>B</w:t>
      </w:r>
      <w:r>
        <w:rPr>
          <w:rFonts w:hint="eastAsia"/>
          <w:highlight w:val="none"/>
          <w:lang w:val="en-US" w:eastAsia="zh-CN"/>
        </w:rPr>
        <w:t>主要评价内容：水污染控制和水环境影响减缓措施的有效性评价；依托污水处理设施的环境可行性评价</w:t>
      </w:r>
      <w:r>
        <w:rPr>
          <w:rFonts w:hint="eastAsia" w:ascii="宋体" w:hAnsi="宋体" w:eastAsia="宋体" w:cs="宋体"/>
          <w:highlight w:val="none"/>
          <w:lang w:val="en-US" w:eastAsia="zh-CN"/>
        </w:rPr>
        <w:t>”</w:t>
      </w:r>
      <w:r>
        <w:rPr>
          <w:rFonts w:hint="eastAsia"/>
          <w:highlight w:val="none"/>
          <w:lang w:val="en-US" w:eastAsia="zh-CN"/>
        </w:rPr>
        <w:t>。</w:t>
      </w:r>
    </w:p>
    <w:p>
      <w:pPr>
        <w:bidi w:val="0"/>
        <w:rPr>
          <w:rFonts w:hint="eastAsia"/>
          <w:highlight w:val="none"/>
          <w:lang w:val="en-US" w:eastAsia="zh-CN"/>
        </w:rPr>
      </w:pPr>
      <w:r>
        <w:rPr>
          <w:rFonts w:hint="eastAsia"/>
          <w:highlight w:val="none"/>
          <w:lang w:val="en-US" w:eastAsia="zh-CN"/>
        </w:rPr>
        <w:t>本项目废水主要为生活污水与猪场生产废水（主要是猪舍清洗废水和猪尿），属于可生化降解性高、适合微处理、属于无毒有害废水。本项目养殖废水和生活污水经化粪池处理后均通过场区污水处理站处理后，用于周边林地灌溉，不外排，最终全部实现综合利用，因此，本项目运营期环境影响以臭气为主，对周边水环境影响不大。</w:t>
      </w:r>
    </w:p>
    <w:p>
      <w:pPr>
        <w:bidi w:val="0"/>
        <w:rPr>
          <w:rFonts w:hint="eastAsia"/>
          <w:highlight w:val="none"/>
          <w:lang w:val="en-US" w:eastAsia="zh-CN"/>
        </w:rPr>
      </w:pPr>
      <w:r>
        <w:rPr>
          <w:rFonts w:hint="eastAsia"/>
          <w:highlight w:val="none"/>
          <w:lang w:val="en-US" w:eastAsia="zh-CN"/>
        </w:rPr>
        <w:t>该项目产生的污水经收集后排至格栅池，阻挡大的固体物质，接着废水自流至收集池，收集池中污水经提升泵提升至固液分离机，固液分离后污水进入调节池进行匀质匀量，经厌氧、好氧微生物作用去除污水中的有机污染物后，污水自流至沉淀池，经沉淀去除污水中的悬浮颗粒物和老化脱落的生物膜，沉淀池出水流入药剂反应池，通过混凝剂的作用大大降低污水的悬浮物浓度，而后进入大型沉淀池进一步去除水中悬浮颗粒物，出水经清水池排入氧化塘。项目废水工艺为“格栅池+收集池+固液分离+调节池+厌氧处理池+</w:t>
      </w:r>
      <w:r>
        <w:rPr>
          <w:rFonts w:hint="default" w:ascii="Times New Roman" w:hAnsi="Times New Roman" w:cs="Times New Roman"/>
          <w:highlight w:val="none"/>
          <w:u w:val="none" w:color="auto"/>
          <w:lang w:val="en-US" w:eastAsia="zh-CN"/>
        </w:rPr>
        <w:t>A</w:t>
      </w:r>
      <w:r>
        <w:rPr>
          <w:rFonts w:hint="eastAsia" w:cs="Times New Roman"/>
          <w:highlight w:val="none"/>
          <w:u w:val="none" w:color="auto"/>
          <w:vertAlign w:val="superscript"/>
          <w:lang w:val="en-US" w:eastAsia="zh-CN"/>
        </w:rPr>
        <w:t>2</w:t>
      </w:r>
      <w:r>
        <w:rPr>
          <w:rFonts w:hint="default" w:ascii="Times New Roman" w:hAnsi="Times New Roman" w:cs="Times New Roman"/>
          <w:highlight w:val="none"/>
          <w:u w:val="none" w:color="auto"/>
          <w:lang w:val="en-US" w:eastAsia="zh-CN"/>
        </w:rPr>
        <w:t>/O</w:t>
      </w:r>
      <w:r>
        <w:rPr>
          <w:rFonts w:hint="eastAsia" w:cs="Times New Roman"/>
          <w:highlight w:val="none"/>
          <w:u w:val="none" w:color="auto"/>
          <w:vertAlign w:val="superscript"/>
          <w:lang w:val="en-US" w:eastAsia="zh-CN"/>
        </w:rPr>
        <w:t>2</w:t>
      </w:r>
      <w:r>
        <w:rPr>
          <w:rFonts w:hint="eastAsia"/>
          <w:highlight w:val="none"/>
          <w:lang w:val="en-US" w:eastAsia="zh-CN"/>
        </w:rPr>
        <w:t xml:space="preserve"> 池+沉淀池+药剂反应池+大型沉淀池+清水池+氧化塘”，本项目养殖废水和生活污水经化粪池处理后均通过场区污水处理站处理后，达到《农田灌溉水质标准》 （GB5084-2005） 水作标准后用于周边林地灌溉，不外排，最终全部实现综合利用，因此本项目废水对地表水和地下水的影响均较小。</w:t>
      </w:r>
    </w:p>
    <w:p>
      <w:pPr>
        <w:bidi w:val="0"/>
        <w:rPr>
          <w:highlight w:val="none"/>
        </w:rPr>
      </w:pPr>
      <w:r>
        <w:rPr>
          <w:rFonts w:hint="eastAsia"/>
          <w:highlight w:val="none"/>
          <w:lang w:val="en-US" w:eastAsia="zh-CN"/>
        </w:rPr>
        <w:t>项目废水主要是猪排泄产生的尿液、猪舍冲洗废水等生产废水以及职工生活污水。根据估算，项目运营期废水总量27435.59</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，其中猪养殖区生产废水27283.75</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、生活区生活污水151.84</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w:t>
      </w:r>
    </w:p>
    <w:p>
      <w:pPr>
        <w:bidi w:val="0"/>
        <w:rPr>
          <w:highlight w:val="none"/>
        </w:rPr>
      </w:pPr>
      <w:r>
        <w:rPr>
          <w:rFonts w:hint="eastAsia"/>
          <w:highlight w:val="none"/>
          <w:lang w:val="en-US" w:eastAsia="zh-CN"/>
        </w:rPr>
        <w:t>废水主要污染物为</w:t>
      </w:r>
      <w:r>
        <w:rPr>
          <w:rFonts w:hint="default"/>
          <w:highlight w:val="none"/>
          <w:lang w:val="en-US" w:eastAsia="zh-CN"/>
        </w:rPr>
        <w:t>COD</w:t>
      </w:r>
      <w:r>
        <w:rPr>
          <w:rFonts w:hint="default"/>
          <w:highlight w:val="none"/>
          <w:vertAlign w:val="subscript"/>
          <w:lang w:val="en-US" w:eastAsia="zh-CN"/>
        </w:rPr>
        <w:t>Cr</w:t>
      </w:r>
      <w:r>
        <w:rPr>
          <w:rFonts w:hint="eastAsia"/>
          <w:highlight w:val="none"/>
          <w:lang w:val="en-US" w:eastAsia="zh-CN"/>
        </w:rPr>
        <w:t>、</w:t>
      </w:r>
      <w:r>
        <w:rPr>
          <w:rFonts w:hint="default"/>
          <w:highlight w:val="none"/>
          <w:lang w:val="en-US" w:eastAsia="zh-CN"/>
        </w:rPr>
        <w:t>BOD</w:t>
      </w:r>
      <w:r>
        <w:rPr>
          <w:rFonts w:hint="default"/>
          <w:highlight w:val="none"/>
          <w:vertAlign w:val="subscript"/>
          <w:lang w:val="en-US" w:eastAsia="zh-CN"/>
        </w:rPr>
        <w:t>5</w:t>
      </w:r>
      <w:r>
        <w:rPr>
          <w:rFonts w:hint="eastAsia"/>
          <w:highlight w:val="none"/>
          <w:lang w:val="en-US" w:eastAsia="zh-CN"/>
        </w:rPr>
        <w:t>、</w:t>
      </w:r>
      <w:r>
        <w:rPr>
          <w:rFonts w:hint="default"/>
          <w:highlight w:val="none"/>
          <w:lang w:val="en-US" w:eastAsia="zh-CN"/>
        </w:rPr>
        <w:t>SS</w:t>
      </w:r>
      <w:r>
        <w:rPr>
          <w:rFonts w:hint="eastAsia"/>
          <w:highlight w:val="none"/>
          <w:lang w:val="en-US" w:eastAsia="zh-CN"/>
        </w:rPr>
        <w:t>和NH</w:t>
      </w:r>
      <w:r>
        <w:rPr>
          <w:rFonts w:hint="eastAsia"/>
          <w:highlight w:val="none"/>
          <w:vertAlign w:val="subscript"/>
          <w:lang w:val="en-US" w:eastAsia="zh-CN"/>
        </w:rPr>
        <w:t>3</w:t>
      </w:r>
      <w:r>
        <w:rPr>
          <w:rFonts w:hint="default"/>
          <w:highlight w:val="none"/>
          <w:lang w:val="en-US" w:eastAsia="zh-CN"/>
        </w:rPr>
        <w:t>-N</w:t>
      </w:r>
      <w:r>
        <w:rPr>
          <w:rFonts w:hint="eastAsia"/>
          <w:highlight w:val="none"/>
          <w:lang w:val="en-US" w:eastAsia="zh-CN"/>
        </w:rPr>
        <w:t>，本项目养殖废水和生活污水经化粪池处理后均通过场区污水处理站处理后用于周边林地灌溉，不外排，最终全部实现综合利用。因此，运营期项目废水对地表水环境影响不大。</w:t>
      </w:r>
    </w:p>
    <w:p>
      <w:pPr>
        <w:pStyle w:val="5"/>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6</w:t>
      </w:r>
      <w:r>
        <w:rPr>
          <w:rFonts w:ascii="Times New Roman" w:hAnsi="Times New Roman" w:eastAsia="Times New Roman" w:cs="Times New Roman"/>
          <w:b/>
          <w:bCs/>
          <w:spacing w:val="-1"/>
          <w:sz w:val="24"/>
          <w:szCs w:val="24"/>
          <w:highlight w:val="none"/>
        </w:rPr>
        <w:t>.2.</w:t>
      </w:r>
      <w:r>
        <w:rPr>
          <w:rFonts w:hint="eastAsia" w:ascii="Times New Roman" w:hAnsi="Times New Roman" w:eastAsia="宋体" w:cs="Times New Roman"/>
          <w:b/>
          <w:bCs/>
          <w:spacing w:val="-1"/>
          <w:sz w:val="24"/>
          <w:szCs w:val="24"/>
          <w:highlight w:val="none"/>
          <w:lang w:val="en-US" w:eastAsia="zh-CN"/>
        </w:rPr>
        <w:t xml:space="preserve">3 </w:t>
      </w:r>
      <w:r>
        <w:rPr>
          <w:rFonts w:ascii="Times New Roman" w:hAnsi="Times New Roman" w:eastAsia="Times New Roman" w:cs="Times New Roman"/>
          <w:spacing w:val="8"/>
          <w:w w:val="101"/>
          <w:sz w:val="24"/>
          <w:szCs w:val="24"/>
          <w:highlight w:val="none"/>
        </w:rPr>
        <w:t xml:space="preserve"> </w:t>
      </w:r>
      <w:r>
        <w:rPr>
          <w:rFonts w:ascii="宋体" w:hAnsi="宋体" w:eastAsia="宋体" w:cs="宋体"/>
          <w:spacing w:val="-1"/>
          <w:sz w:val="24"/>
          <w:szCs w:val="24"/>
          <w:highlight w:val="none"/>
        </w:rPr>
        <w:t>地下水环境影响分析</w:t>
      </w:r>
    </w:p>
    <w:p>
      <w:pPr>
        <w:bidi w:val="0"/>
        <w:rPr>
          <w:highlight w:val="none"/>
        </w:rPr>
      </w:pPr>
      <w:r>
        <w:rPr>
          <w:highlight w:val="none"/>
        </w:rPr>
        <w:t>（1）地下水环境影响评价等级</w:t>
      </w:r>
    </w:p>
    <w:p>
      <w:pPr>
        <w:bidi w:val="0"/>
        <w:rPr>
          <w:highlight w:val="none"/>
        </w:rPr>
      </w:pPr>
      <w:r>
        <w:rPr>
          <w:rFonts w:hint="default"/>
          <w:highlight w:val="none"/>
        </w:rPr>
        <w:t>①</w:t>
      </w:r>
      <w:r>
        <w:rPr>
          <w:highlight w:val="none"/>
        </w:rPr>
        <w:t>建设项目分类</w:t>
      </w:r>
    </w:p>
    <w:p>
      <w:pPr>
        <w:bidi w:val="0"/>
        <w:rPr>
          <w:highlight w:val="none"/>
        </w:rPr>
      </w:pPr>
      <w:r>
        <w:rPr>
          <w:highlight w:val="none"/>
        </w:rPr>
        <w:t>根据《环境影响评价技术导则 地下水环境》（HJ610-2016），畜禽养殖场、养殖小区属于Ⅲ类建设项目。</w:t>
      </w:r>
    </w:p>
    <w:p>
      <w:pPr>
        <w:bidi w:val="0"/>
        <w:rPr>
          <w:highlight w:val="none"/>
        </w:rPr>
      </w:pPr>
      <w:r>
        <w:rPr>
          <w:highlight w:val="none"/>
        </w:rPr>
        <w:t>污染物对地下水的影响主要是由于降雨或废水排放等通过垂直渗透进入包气带，进入包气带的污染物在物理、化学和生物作用下经吸附、转化、迁移和分解后输入地下水。</w:t>
      </w:r>
    </w:p>
    <w:p>
      <w:pPr>
        <w:bidi w:val="0"/>
        <w:rPr>
          <w:highlight w:val="none"/>
        </w:rPr>
      </w:pPr>
      <w:r>
        <w:rPr>
          <w:rFonts w:hint="default"/>
          <w:highlight w:val="none"/>
        </w:rPr>
        <w:t>②</w:t>
      </w:r>
      <w:r>
        <w:rPr>
          <w:highlight w:val="none"/>
        </w:rPr>
        <w:t>建设项目工作等级划分</w:t>
      </w:r>
    </w:p>
    <w:p>
      <w:pPr>
        <w:bidi w:val="0"/>
        <w:rPr>
          <w:highlight w:val="none"/>
        </w:rPr>
      </w:pPr>
      <w:r>
        <w:rPr>
          <w:highlight w:val="none"/>
        </w:rPr>
        <w:t>根据《环境影响评价技术导则 地下水环境》（HJ610-2011）， Ⅲ类建设项目地下水环境影响评价工作等级划分情况见下表。</w:t>
      </w:r>
    </w:p>
    <w:p>
      <w:pPr>
        <w:pStyle w:val="7"/>
        <w:bidi w:val="0"/>
        <w:rPr>
          <w:highlight w:val="none"/>
        </w:rPr>
      </w:pPr>
      <w:r>
        <w:rPr>
          <w:highlight w:val="none"/>
        </w:rPr>
        <w:t>表</w:t>
      </w:r>
      <w:r>
        <w:rPr>
          <w:rFonts w:hint="eastAsia"/>
          <w:highlight w:val="none"/>
          <w:lang w:val="en-US" w:eastAsia="zh-CN"/>
        </w:rPr>
        <w:t>6</w:t>
      </w:r>
      <w:r>
        <w:rPr>
          <w:highlight w:val="none"/>
        </w:rPr>
        <w:t>.2-1</w:t>
      </w:r>
      <w:r>
        <w:rPr>
          <w:rFonts w:hint="eastAsia"/>
          <w:highlight w:val="none"/>
          <w:lang w:val="en-US" w:eastAsia="zh-CN"/>
        </w:rPr>
        <w:t>1</w:t>
      </w:r>
      <w:r>
        <w:rPr>
          <w:highlight w:val="none"/>
        </w:rPr>
        <w:t xml:space="preserve">  评价工作分级表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446"/>
        <w:gridCol w:w="1937"/>
        <w:gridCol w:w="1522"/>
        <w:gridCol w:w="14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067" w:type="pct"/>
            <w:tcBorders>
              <w:tl2br w:val="nil"/>
              <w:tr2bl w:val="nil"/>
            </w:tcBorders>
            <w:noWrap w:val="0"/>
            <w:vAlign w:val="center"/>
            <mc:AlternateContent>
              <mc:Choice Requires="wpsCustomData">
                <wpsCustomData:diagonals>
                  <wpsCustomData:diagonal from="30000" to="10000">
                    <wpsCustomData:border w:val="single" w:color="000000"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环境敏感程度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项目类别</w:t>
            </w:r>
          </w:p>
        </w:tc>
        <w:tc>
          <w:tcPr>
            <w:tcW w:w="1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Ⅰ类项目</w:t>
            </w:r>
          </w:p>
        </w:tc>
        <w:tc>
          <w:tcPr>
            <w:tcW w:w="9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Ⅱ类项目</w:t>
            </w:r>
          </w:p>
        </w:tc>
        <w:tc>
          <w:tcPr>
            <w:tcW w:w="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Ⅲ类项目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敏感</w:t>
            </w:r>
          </w:p>
        </w:tc>
        <w:tc>
          <w:tcPr>
            <w:tcW w:w="1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一</w:t>
            </w:r>
          </w:p>
        </w:tc>
        <w:tc>
          <w:tcPr>
            <w:tcW w:w="9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一</w:t>
            </w:r>
          </w:p>
        </w:tc>
        <w:tc>
          <w:tcPr>
            <w:tcW w:w="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较敏感</w:t>
            </w:r>
          </w:p>
        </w:tc>
        <w:tc>
          <w:tcPr>
            <w:tcW w:w="1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一</w:t>
            </w:r>
          </w:p>
        </w:tc>
        <w:tc>
          <w:tcPr>
            <w:tcW w:w="9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二</w:t>
            </w:r>
          </w:p>
        </w:tc>
        <w:tc>
          <w:tcPr>
            <w:tcW w:w="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不敏感</w:t>
            </w:r>
          </w:p>
        </w:tc>
        <w:tc>
          <w:tcPr>
            <w:tcW w:w="1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二</w:t>
            </w:r>
          </w:p>
        </w:tc>
        <w:tc>
          <w:tcPr>
            <w:tcW w:w="9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三</w:t>
            </w:r>
          </w:p>
        </w:tc>
        <w:tc>
          <w:tcPr>
            <w:tcW w:w="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三</w:t>
            </w:r>
          </w:p>
        </w:tc>
      </w:tr>
    </w:tbl>
    <w:p>
      <w:pPr>
        <w:bidi w:val="0"/>
        <w:rPr>
          <w:highlight w:val="none"/>
        </w:rPr>
      </w:pPr>
      <w:r>
        <w:rPr>
          <w:highlight w:val="none"/>
        </w:rPr>
        <w:t>综上所述，通过表</w:t>
      </w:r>
      <w:r>
        <w:rPr>
          <w:rFonts w:hint="eastAsia"/>
          <w:highlight w:val="none"/>
          <w:lang w:val="en-US" w:eastAsia="zh-CN"/>
        </w:rPr>
        <w:t>6</w:t>
      </w:r>
      <w:r>
        <w:rPr>
          <w:highlight w:val="none"/>
        </w:rPr>
        <w:t xml:space="preserve">.2- </w:t>
      </w:r>
      <w:r>
        <w:rPr>
          <w:rFonts w:hint="eastAsia"/>
          <w:highlight w:val="none"/>
          <w:lang w:val="en-US" w:eastAsia="zh-CN"/>
        </w:rPr>
        <w:t>11</w:t>
      </w:r>
      <w:r>
        <w:rPr>
          <w:highlight w:val="none"/>
        </w:rPr>
        <w:t>可以确定本项目地下水影响评价等级为三级。污染物对地下水的影响主要是由于降雨或废水泄漏等通过垂直渗透进入包气带，进入包气带是联接地面污染物与地下含水层的主要通道和过渡带，既是污染物媒介体，又是污染物的净化场所和防护层。地下水能否被污染与土壤的渗透性密切相关，一般说来，土壤粒细而紧密，渗透性差，则污染慢；反之，颗粒大而松散，渗透性能良好则污染重。</w:t>
      </w:r>
    </w:p>
    <w:p>
      <w:pPr>
        <w:bidi w:val="0"/>
        <w:rPr>
          <w:highlight w:val="none"/>
        </w:rPr>
      </w:pPr>
      <w:r>
        <w:rPr>
          <w:highlight w:val="none"/>
        </w:rPr>
        <w:t>本项目对地下水环境影响作简要分析与评价，并提出切实可行的环保措施。</w:t>
      </w:r>
    </w:p>
    <w:p>
      <w:pPr>
        <w:bidi w:val="0"/>
        <w:rPr>
          <w:highlight w:val="none"/>
        </w:rPr>
      </w:pPr>
      <w:r>
        <w:rPr>
          <w:highlight w:val="none"/>
        </w:rPr>
        <w:t>（3）地下水污染途径分析</w:t>
      </w:r>
    </w:p>
    <w:p>
      <w:pPr>
        <w:bidi w:val="0"/>
        <w:rPr>
          <w:highlight w:val="none"/>
        </w:rPr>
      </w:pPr>
      <w:r>
        <w:rPr>
          <w:highlight w:val="none"/>
        </w:rPr>
        <w:t>本项目可能造成的地下水污染途径有以下几种途径：</w:t>
      </w:r>
    </w:p>
    <w:p>
      <w:pPr>
        <w:bidi w:val="0"/>
        <w:rPr>
          <w:highlight w:val="none"/>
        </w:rPr>
      </w:pPr>
      <w:r>
        <w:rPr>
          <w:highlight w:val="none"/>
        </w:rPr>
        <w:t>1）生产区猪舍防渗措施不足，导致粪便、猪尿、冲洗水通过裂隙渗入地下造成污染；</w:t>
      </w:r>
    </w:p>
    <w:p>
      <w:pPr>
        <w:bidi w:val="0"/>
        <w:rPr>
          <w:highlight w:val="none"/>
        </w:rPr>
      </w:pPr>
      <w:r>
        <w:rPr>
          <w:highlight w:val="none"/>
        </w:rPr>
        <w:t>2）粪污处理系统中的</w:t>
      </w:r>
      <w:r>
        <w:rPr>
          <w:rFonts w:hint="eastAsia"/>
          <w:highlight w:val="none"/>
          <w:lang w:eastAsia="zh-CN"/>
        </w:rPr>
        <w:t>污水处理站管</w:t>
      </w:r>
      <w:r>
        <w:rPr>
          <w:highlight w:val="none"/>
        </w:rPr>
        <w:t>道防渗措施不足，而造成废水渗漏污染地下水；</w:t>
      </w:r>
    </w:p>
    <w:p>
      <w:pPr>
        <w:bidi w:val="0"/>
        <w:rPr>
          <w:highlight w:val="none"/>
        </w:rPr>
      </w:pPr>
      <w:r>
        <w:rPr>
          <w:highlight w:val="none"/>
        </w:rPr>
        <w:t>3）若养殖场内猪舍养殖生产性废水未能全部收集，或收集系统出现故障，则可能导致生产废水漫流而渗入地下，从而影响地下水质量；</w:t>
      </w:r>
    </w:p>
    <w:p>
      <w:pPr>
        <w:bidi w:val="0"/>
        <w:rPr>
          <w:highlight w:val="none"/>
        </w:rPr>
      </w:pPr>
      <w:r>
        <w:rPr>
          <w:highlight w:val="none"/>
        </w:rPr>
        <w:t>（4）地下水环境影响分析</w:t>
      </w:r>
    </w:p>
    <w:p>
      <w:pPr>
        <w:bidi w:val="0"/>
        <w:rPr>
          <w:highlight w:val="none"/>
        </w:rPr>
      </w:pPr>
      <w:r>
        <w:rPr>
          <w:highlight w:val="none"/>
        </w:rPr>
        <w:t>①对浅层地下水的污染影响</w:t>
      </w:r>
    </w:p>
    <w:p>
      <w:pPr>
        <w:bidi w:val="0"/>
        <w:rPr>
          <w:highlight w:val="none"/>
        </w:rPr>
      </w:pPr>
      <w:r>
        <w:rPr>
          <w:highlight w:val="none"/>
        </w:rPr>
        <w:t>正常情况下，对地下水的污染主要是由于污染物迁移穿过包气带进入含水层造成。项目场地渗透性强，说明浅层地下水容易受到污染。若废水或废液发生渗漏，污染物会很快穿过包气带进入浅层地下水，对浅层地下水的污染大。</w:t>
      </w:r>
    </w:p>
    <w:p>
      <w:pPr>
        <w:bidi w:val="0"/>
        <w:rPr>
          <w:highlight w:val="none"/>
        </w:rPr>
      </w:pPr>
      <w:r>
        <w:rPr>
          <w:highlight w:val="none"/>
        </w:rPr>
        <w:t>②对深层地下水的污染影响</w:t>
      </w:r>
    </w:p>
    <w:p>
      <w:pPr>
        <w:bidi w:val="0"/>
        <w:rPr>
          <w:highlight w:val="none"/>
        </w:rPr>
      </w:pPr>
      <w:r>
        <w:rPr>
          <w:highlight w:val="none"/>
        </w:rPr>
        <w:t>判断深层地下水是否会受到污染影响，通常分析深层地下水含水组上覆地层的防污性能和有无与浅层地下水的水利联系。通过水文地质条件分析，该区域深层土质渗透性弱，所以垂直渗入补给条件较差，与浅层地下水水利联系不密切。因此，深层地下水受到项目下渗污水的污染影响较小。</w:t>
      </w:r>
    </w:p>
    <w:p>
      <w:pPr>
        <w:bidi w:val="0"/>
        <w:rPr>
          <w:highlight w:val="none"/>
        </w:rPr>
      </w:pPr>
      <w:r>
        <w:rPr>
          <w:highlight w:val="none"/>
        </w:rPr>
        <w:t>（5）地下水防渗措施</w:t>
      </w:r>
    </w:p>
    <w:p>
      <w:pPr>
        <w:bidi w:val="0"/>
        <w:rPr>
          <w:highlight w:val="none"/>
        </w:rPr>
      </w:pPr>
      <w:r>
        <w:rPr>
          <w:highlight w:val="none"/>
        </w:rPr>
        <w:t>为防止场区污水、固废对土壤和地下水造成污染，拟采取的具体措施如下：</w:t>
      </w:r>
    </w:p>
    <w:p>
      <w:pPr>
        <w:bidi w:val="0"/>
        <w:rPr>
          <w:highlight w:val="none"/>
        </w:rPr>
      </w:pPr>
      <w:r>
        <w:rPr>
          <w:highlight w:val="none"/>
        </w:rPr>
        <w:t>1）重点防渗区</w:t>
      </w:r>
    </w:p>
    <w:p>
      <w:pPr>
        <w:bidi w:val="0"/>
        <w:rPr>
          <w:highlight w:val="none"/>
        </w:rPr>
      </w:pPr>
      <w:r>
        <w:rPr>
          <w:highlight w:val="none"/>
        </w:rPr>
        <w:t>①猪舍、医疗废物暂存间需采取防渗措施，铺设防渗地坪，防渗地坪主要是三层 从下面起第一层为土石混合料，厚度在300～600cm，第二层为二灰土结石，厚度在16～18cm，第三层也就是最上面为混凝土，厚度在20～25cm。</w:t>
      </w:r>
    </w:p>
    <w:p>
      <w:pPr>
        <w:bidi w:val="0"/>
        <w:rPr>
          <w:highlight w:val="none"/>
        </w:rPr>
      </w:pPr>
      <w:r>
        <w:rPr>
          <w:highlight w:val="none"/>
        </w:rPr>
        <w:t>项目医疗废物暂存间应按照《危险废物贮存污染控制标准》（GB18597-2001）及其 2013 年修改单中的相关要求，做好</w:t>
      </w:r>
      <w:r>
        <w:rPr>
          <w:rFonts w:hint="eastAsia" w:ascii="宋体" w:hAnsi="宋体" w:eastAsia="宋体" w:cs="宋体"/>
          <w:highlight w:val="none"/>
        </w:rPr>
        <w:t>“三防”</w:t>
      </w:r>
      <w:r>
        <w:rPr>
          <w:highlight w:val="none"/>
        </w:rPr>
        <w:t>措施，避免污染地下水。医疗废物暂存间周边设围堰，并设置废液导排系统；地面应按规定采取防腐、防渗措施；设置明显的标识并加强管理。</w:t>
      </w:r>
    </w:p>
    <w:p>
      <w:pPr>
        <w:bidi w:val="0"/>
        <w:rPr>
          <w:rFonts w:hint="eastAsia" w:eastAsia="宋体"/>
          <w:highlight w:val="none"/>
          <w:lang w:eastAsia="zh-CN"/>
        </w:rPr>
      </w:pPr>
      <w:r>
        <w:rPr>
          <w:highlight w:val="none"/>
        </w:rPr>
        <w:t>②</w:t>
      </w:r>
      <w:r>
        <w:rPr>
          <w:rFonts w:hint="eastAsia"/>
          <w:highlight w:val="none"/>
          <w:lang w:eastAsia="zh-CN"/>
        </w:rPr>
        <w:t>污水处理站</w:t>
      </w:r>
    </w:p>
    <w:p>
      <w:pPr>
        <w:bidi w:val="0"/>
        <w:rPr>
          <w:highlight w:val="none"/>
        </w:rPr>
      </w:pPr>
      <w:r>
        <w:rPr>
          <w:rFonts w:hint="eastAsia"/>
          <w:highlight w:val="none"/>
          <w:lang w:eastAsia="zh-CN"/>
        </w:rPr>
        <w:t>污水处理站等</w:t>
      </w:r>
      <w:r>
        <w:rPr>
          <w:highlight w:val="none"/>
        </w:rPr>
        <w:t>的建设应参照《规模化畜禽养殖场沼气工程设计规范》（NY/T1222）和《混凝土结构设计规范》 （GB50010）的要求，严格做好防渗措施，水泥应优先选用硅酸盐水泥，也可以用矿渣硅酸盐水泥、火山灰硅酸盐水泥或粉煤灰硅酸盐水泥。水泥的性能指标应符合GB175和GB1344的规定，宜选用水泥强度标号为325号或425号的水泥。砂宜采用中砂，不应含有有机物，水洗后含泥量不大于3%；云母含量小于0.5%。石子采用粒径0.5cm-4.0cm的碎石或卵石，级配合理，孔隙率不大于45%；针状、片状小于15%；压碎指标小于10%；泥土杂质含量用水冲洗后小于2%；石子强度大于混凝土标号1.5倍。如因</w:t>
      </w:r>
      <w:r>
        <w:rPr>
          <w:rFonts w:hint="eastAsia"/>
          <w:highlight w:val="none"/>
          <w:lang w:eastAsia="zh-CN"/>
        </w:rPr>
        <w:t>污水处理站</w:t>
      </w:r>
      <w:r>
        <w:rPr>
          <w:highlight w:val="none"/>
        </w:rPr>
        <w:t>设施故障（如污水池地裂、壁损等事故），则导致废水事故排放，同时会污染地下水，建设单位应在每个污水池设水位计，并安排专人日常监管。</w:t>
      </w:r>
    </w:p>
    <w:p>
      <w:pPr>
        <w:bidi w:val="0"/>
        <w:rPr>
          <w:highlight w:val="none"/>
        </w:rPr>
      </w:pPr>
      <w:r>
        <w:rPr>
          <w:highlight w:val="none"/>
        </w:rPr>
        <w:t>③管道、阀门防渗漏措施</w:t>
      </w:r>
    </w:p>
    <w:p>
      <w:pPr>
        <w:bidi w:val="0"/>
        <w:rPr>
          <w:highlight w:val="none"/>
        </w:rPr>
      </w:pPr>
      <w:r>
        <w:rPr>
          <w:highlight w:val="none"/>
        </w:rPr>
        <w:t>阀门采用知名厂家优质产品，对于生活区及生产区地上管道、阀门派专人负责随时观察，如出现渗漏问题及时解决。对工艺要求必须地下走管的管道、阀门设专用防渗管沟，管沟上设活动观察顶盖，以便出现渗漏问题及时观察、解决。</w:t>
      </w:r>
    </w:p>
    <w:p>
      <w:pPr>
        <w:bidi w:val="0"/>
        <w:rPr>
          <w:highlight w:val="none"/>
        </w:rPr>
      </w:pPr>
      <w:r>
        <w:rPr>
          <w:highlight w:val="none"/>
        </w:rPr>
        <w:t>④废水收集管网防渗漏措施</w:t>
      </w:r>
    </w:p>
    <w:p>
      <w:pPr>
        <w:bidi w:val="0"/>
        <w:rPr>
          <w:highlight w:val="none"/>
        </w:rPr>
      </w:pPr>
      <w:r>
        <w:rPr>
          <w:highlight w:val="none"/>
        </w:rPr>
        <w:t>在防渗漏区内废水收集管网是设计的关键内容，采用优质的管材，设计合理 的排水坡度。</w:t>
      </w:r>
    </w:p>
    <w:p>
      <w:pPr>
        <w:bidi w:val="0"/>
        <w:rPr>
          <w:highlight w:val="none"/>
        </w:rPr>
      </w:pPr>
      <w:r>
        <w:rPr>
          <w:highlight w:val="none"/>
        </w:rPr>
        <w:t>2）一般防渗区</w:t>
      </w:r>
    </w:p>
    <w:p>
      <w:pPr>
        <w:bidi w:val="0"/>
        <w:rPr>
          <w:highlight w:val="none"/>
        </w:rPr>
      </w:pPr>
      <w:r>
        <w:rPr>
          <w:highlight w:val="none"/>
        </w:rPr>
        <w:t>养殖场场区路面、</w:t>
      </w:r>
      <w:r>
        <w:rPr>
          <w:rFonts w:hint="eastAsia"/>
          <w:highlight w:val="none"/>
          <w:lang w:eastAsia="zh-CN"/>
        </w:rPr>
        <w:t>污水处理站</w:t>
      </w:r>
      <w:r>
        <w:rPr>
          <w:highlight w:val="none"/>
        </w:rPr>
        <w:t>路面</w:t>
      </w:r>
      <w:r>
        <w:rPr>
          <w:rFonts w:hint="eastAsia"/>
          <w:highlight w:val="none"/>
          <w:lang w:eastAsia="zh-CN"/>
        </w:rPr>
        <w:t>、</w:t>
      </w:r>
      <w:r>
        <w:rPr>
          <w:highlight w:val="none"/>
        </w:rPr>
        <w:t>化粪池、垃圾集中箱放置地等地面采取粘土铺底，再在上层铺10～15cm的混凝土进行硬化。通过上述措施可使一般污染区各单元防渗层渗透系数≤10</w:t>
      </w:r>
      <w:r>
        <w:rPr>
          <w:highlight w:val="none"/>
          <w:vertAlign w:val="superscript"/>
        </w:rPr>
        <w:t>-7</w:t>
      </w:r>
      <w:r>
        <w:rPr>
          <w:highlight w:val="none"/>
        </w:rPr>
        <w:t>cm/s。</w:t>
      </w:r>
    </w:p>
    <w:p>
      <w:pPr>
        <w:bidi w:val="0"/>
        <w:rPr>
          <w:highlight w:val="none"/>
        </w:rPr>
      </w:pPr>
      <w:r>
        <w:rPr>
          <w:highlight w:val="none"/>
        </w:rPr>
        <w:t>3）简单防渗区</w:t>
      </w:r>
    </w:p>
    <w:p>
      <w:pPr>
        <w:bidi w:val="0"/>
        <w:rPr>
          <w:highlight w:val="none"/>
        </w:rPr>
      </w:pPr>
      <w:r>
        <w:rPr>
          <w:highlight w:val="none"/>
        </w:rPr>
        <w:t>办公室、宿舍等应全部进行硬化处理，实现场区不裸露土层。</w:t>
      </w:r>
    </w:p>
    <w:p>
      <w:pPr>
        <w:bidi w:val="0"/>
        <w:rPr>
          <w:highlight w:val="none"/>
        </w:rPr>
      </w:pPr>
      <w:r>
        <w:rPr>
          <w:highlight w:val="none"/>
        </w:rPr>
        <w:t>因此，在建设单位严格按照本次评价提出的防渗措施对各单元进行治理后，各功能区及各单元的渗透系数均较低，本项目废水、固废向地下水发生渗透的概率较小，因此对区域内地下水污染产生的不利影响较小。</w:t>
      </w:r>
    </w:p>
    <w:p>
      <w:pPr>
        <w:bidi w:val="0"/>
        <w:rPr>
          <w:highlight w:val="none"/>
        </w:rPr>
      </w:pPr>
      <w:r>
        <w:rPr>
          <w:highlight w:val="none"/>
        </w:rPr>
        <w:t>通过对项目区域水井进行水质监测，项目区域监测点位各监测因子均未超过</w:t>
      </w:r>
      <w:r>
        <w:rPr>
          <w:rFonts w:hint="eastAsia"/>
          <w:highlight w:val="none"/>
        </w:rPr>
        <w:t>《地下水质量标准》（GB/T14848-2017）</w:t>
      </w:r>
      <w:r>
        <w:rPr>
          <w:highlight w:val="none"/>
        </w:rPr>
        <w:t>中的Ⅲ类标准。故项目建成后，加强养殖场区和废水、固废处理设施的防渗以及管理措施后，项目运行期对当地居民用水影响不大。</w:t>
      </w:r>
    </w:p>
    <w:p>
      <w:pPr>
        <w:bidi w:val="0"/>
        <w:rPr>
          <w:highlight w:val="none"/>
        </w:rPr>
      </w:pPr>
      <w:r>
        <w:rPr>
          <w:highlight w:val="none"/>
        </w:rPr>
        <w:t>（6）地下水环境影响结论</w:t>
      </w:r>
    </w:p>
    <w:p>
      <w:pPr>
        <w:bidi w:val="0"/>
        <w:rPr>
          <w:highlight w:val="none"/>
        </w:rPr>
      </w:pPr>
      <w:r>
        <w:rPr>
          <w:highlight w:val="none"/>
        </w:rPr>
        <w:t>综合所述，本项目所在区域为不敏感区，地下水径流补给量大，大气降水丰富，项目所在地为山区，树木较多，储水量较大，本项目取用地下水较小，影响范围主要为项目场界内。通过对项目区域水井进行水质监测，项目区域监测点位各监测因子均未超过</w:t>
      </w:r>
      <w:r>
        <w:rPr>
          <w:rFonts w:hint="eastAsia"/>
          <w:highlight w:val="none"/>
        </w:rPr>
        <w:t>《地下水质量标准》（GB/T14848-2017）</w:t>
      </w:r>
      <w:r>
        <w:rPr>
          <w:highlight w:val="none"/>
        </w:rPr>
        <w:t>中的Ⅲ类标准。由污染途径及对应措施分析可知，项目生活区及生产区对可能产生地下水影响的各项途径均进行有效预防，在确保各项防渗措施得以落实，并加强维护和场区环境管理的前提下，可有效控制项目产生的污染物下渗现象，对区域地下水产生的不利影响较小，不会影响周边居民饮用水。</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6</w:t>
      </w:r>
      <w:r>
        <w:rPr>
          <w:rFonts w:ascii="Times New Roman" w:hAnsi="Times New Roman" w:eastAsia="Times New Roman" w:cs="Times New Roman"/>
          <w:b/>
          <w:bCs/>
          <w:spacing w:val="-2"/>
          <w:sz w:val="28"/>
          <w:szCs w:val="28"/>
          <w:highlight w:val="none"/>
        </w:rPr>
        <w:t>.2.4</w:t>
      </w:r>
      <w:r>
        <w:rPr>
          <w:rFonts w:ascii="Times New Roman" w:hAnsi="Times New Roman" w:eastAsia="Times New Roman" w:cs="Times New Roman"/>
          <w:spacing w:val="11"/>
          <w:sz w:val="28"/>
          <w:szCs w:val="28"/>
          <w:highlight w:val="none"/>
        </w:rPr>
        <w:t xml:space="preserve">  </w:t>
      </w:r>
      <w:r>
        <w:rPr>
          <w:rFonts w:ascii="宋体" w:hAnsi="宋体" w:eastAsia="宋体" w:cs="宋体"/>
          <w:spacing w:val="-2"/>
          <w:sz w:val="28"/>
          <w:szCs w:val="28"/>
          <w:highlight w:val="none"/>
        </w:rPr>
        <w:t>声环境影响分析</w:t>
      </w:r>
    </w:p>
    <w:p>
      <w:pPr>
        <w:bidi w:val="0"/>
        <w:rPr>
          <w:highlight w:val="none"/>
        </w:rPr>
      </w:pPr>
      <w:r>
        <w:rPr>
          <w:highlight w:val="none"/>
        </w:rPr>
        <w:t>（1）噪声源强</w:t>
      </w:r>
    </w:p>
    <w:p>
      <w:pPr>
        <w:bidi w:val="0"/>
        <w:rPr>
          <w:highlight w:val="none"/>
        </w:rPr>
      </w:pPr>
      <w:r>
        <w:rPr>
          <w:highlight w:val="none"/>
        </w:rPr>
        <w:t>本项目营运期噪声主要来源于各类污水提升泵、</w:t>
      </w:r>
      <w:r>
        <w:rPr>
          <w:rFonts w:hint="eastAsia"/>
          <w:highlight w:val="none"/>
          <w:lang w:eastAsia="zh-CN"/>
        </w:rPr>
        <w:t>固液分离机</w:t>
      </w:r>
      <w:r>
        <w:rPr>
          <w:highlight w:val="none"/>
        </w:rPr>
        <w:t>等设备以及猪只喂食时叫声，其噪声源强在75～90dB 之间。</w:t>
      </w:r>
    </w:p>
    <w:p>
      <w:pPr>
        <w:bidi w:val="0"/>
        <w:rPr>
          <w:highlight w:val="none"/>
        </w:rPr>
      </w:pPr>
      <w:r>
        <w:rPr>
          <w:highlight w:val="none"/>
        </w:rPr>
        <w:t>（2）噪声预测模式</w:t>
      </w:r>
    </w:p>
    <w:p>
      <w:pPr>
        <w:bidi w:val="0"/>
        <w:rPr>
          <w:highlight w:val="none"/>
        </w:rPr>
      </w:pPr>
      <w:r>
        <w:rPr>
          <w:highlight w:val="none"/>
        </w:rPr>
        <w:t>将一个由多个点声源组成的复合声源，即把全部猪舍、综合利用设施视为点声源；并按一定的速度通过评价区段的运营行驶车辆视为线声源。</w:t>
      </w:r>
    </w:p>
    <w:p>
      <w:pPr>
        <w:bidi w:val="0"/>
        <w:rPr>
          <w:highlight w:val="none"/>
        </w:rPr>
      </w:pPr>
      <w:r>
        <w:rPr>
          <w:highlight w:val="none"/>
        </w:rPr>
        <w:t>①点声源预测模式如下：</w:t>
      </w:r>
    </w:p>
    <w:p>
      <w:pPr>
        <w:bidi w:val="0"/>
        <w:rPr>
          <w:rFonts w:hint="eastAsia" w:eastAsia="宋体"/>
          <w:highlight w:val="none"/>
          <w:lang w:eastAsia="zh-CN"/>
        </w:rPr>
      </w:pPr>
      <w:r>
        <w:rPr>
          <w:rFonts w:hint="eastAsia" w:eastAsia="宋体"/>
          <w:position w:val="-24"/>
          <w:highlight w:val="none"/>
          <w:lang w:eastAsia="zh-CN"/>
        </w:rPr>
        <w:object>
          <v:shape id="_x0000_i1038" o:spt="75" type="#_x0000_t75" style="height:31pt;width:155pt;" o:ole="t" filled="f" o:preferrelative="t" stroked="f" coordsize="21600,21600">
            <v:path/>
            <v:fill on="f" focussize="0,0"/>
            <v:stroke on="f"/>
            <v:imagedata r:id="rId39" o:title=""/>
            <o:lock v:ext="edit" aspectratio="t"/>
            <w10:wrap type="none"/>
            <w10:anchorlock/>
          </v:shape>
          <o:OLEObject Type="Embed" ProgID="Equation.KSEE3" ShapeID="_x0000_i1038" DrawAspect="Content" ObjectID="_1468075738" r:id="rId38">
            <o:LockedField>false</o:LockedField>
          </o:OLEObject>
        </w:object>
      </w:r>
    </w:p>
    <w:p>
      <w:pPr>
        <w:bidi w:val="0"/>
        <w:rPr>
          <w:highlight w:val="none"/>
        </w:rPr>
      </w:pPr>
      <w:r>
        <w:rPr>
          <w:highlight w:val="none"/>
        </w:rPr>
        <w:t>式中：L</w:t>
      </w:r>
      <w:r>
        <w:rPr>
          <w:highlight w:val="none"/>
          <w:vertAlign w:val="subscript"/>
        </w:rPr>
        <w:t>oct(ri)</w:t>
      </w:r>
      <w:r>
        <w:rPr>
          <w:highlight w:val="none"/>
        </w:rPr>
        <w:t>—点声源在预测点产生的倍频带压级 dB(A)；</w:t>
      </w:r>
    </w:p>
    <w:p>
      <w:pPr>
        <w:bidi w:val="0"/>
        <w:ind w:firstLine="1200" w:firstLineChars="500"/>
        <w:rPr>
          <w:highlight w:val="none"/>
        </w:rPr>
      </w:pPr>
      <w:r>
        <w:rPr>
          <w:highlight w:val="none"/>
        </w:rPr>
        <w:t>L</w:t>
      </w:r>
      <w:r>
        <w:rPr>
          <w:highlight w:val="none"/>
          <w:vertAlign w:val="subscript"/>
        </w:rPr>
        <w:t>oct(r0)</w:t>
      </w:r>
      <w:r>
        <w:rPr>
          <w:highlight w:val="none"/>
        </w:rPr>
        <w:t>—参考位置 r0 处的倍频带声压级， dB(A)；</w:t>
      </w:r>
    </w:p>
    <w:p>
      <w:pPr>
        <w:bidi w:val="0"/>
        <w:ind w:firstLine="1200" w:firstLineChars="500"/>
        <w:rPr>
          <w:highlight w:val="none"/>
        </w:rPr>
      </w:pPr>
      <w:r>
        <w:rPr>
          <w:highlight w:val="none"/>
        </w:rPr>
        <w:t>r0—参考位置至声源的距离（m）；</w:t>
      </w:r>
    </w:p>
    <w:p>
      <w:pPr>
        <w:bidi w:val="0"/>
        <w:ind w:firstLine="1200" w:firstLineChars="500"/>
        <w:rPr>
          <w:highlight w:val="none"/>
        </w:rPr>
      </w:pPr>
      <w:r>
        <w:rPr>
          <w:highlight w:val="none"/>
        </w:rPr>
        <w:t>ri—某预测点至声源的距离（m）；</w:t>
      </w:r>
    </w:p>
    <w:p>
      <w:pPr>
        <w:bidi w:val="0"/>
        <w:ind w:firstLine="1200" w:firstLineChars="500"/>
        <w:rPr>
          <w:highlight w:val="none"/>
        </w:rPr>
      </w:pPr>
      <w:r>
        <w:rPr>
          <w:highlight w:val="none"/>
        </w:rPr>
        <w:t>△Loct— 附加衰减值，包括建筑物，绿化带，空气吸收衰减值等，一般为8～25dB(A)，考虑设备噪声对环境最不利情况，△L</w:t>
      </w:r>
      <w:r>
        <w:rPr>
          <w:highlight w:val="none"/>
          <w:vertAlign w:val="subscript"/>
        </w:rPr>
        <w:t>oct</w:t>
      </w:r>
      <w:r>
        <w:rPr>
          <w:highlight w:val="none"/>
        </w:rPr>
        <w:t>=8dB(A)。</w:t>
      </w:r>
    </w:p>
    <w:p>
      <w:pPr>
        <w:bidi w:val="0"/>
        <w:rPr>
          <w:highlight w:val="none"/>
        </w:rPr>
      </w:pPr>
      <w:r>
        <w:rPr>
          <w:highlight w:val="none"/>
        </w:rPr>
        <w:t>②多个声源对某预测点声能量叠加模式</w:t>
      </w:r>
    </w:p>
    <w:p>
      <w:pPr>
        <w:bidi w:val="0"/>
        <w:rPr>
          <w:rFonts w:hint="eastAsia" w:eastAsia="宋体"/>
          <w:highlight w:val="none"/>
          <w:lang w:eastAsia="zh-CN"/>
        </w:rPr>
      </w:pPr>
      <w:r>
        <w:rPr>
          <w:rFonts w:hint="eastAsia" w:eastAsia="宋体"/>
          <w:position w:val="-30"/>
          <w:highlight w:val="none"/>
          <w:lang w:eastAsia="zh-CN"/>
        </w:rPr>
        <w:object>
          <v:shape id="_x0000_i1039" o:spt="75" type="#_x0000_t75" style="height:36pt;width:109pt;" o:ole="t" filled="f" o:preferrelative="t" stroked="f" coordsize="21600,21600">
            <v:path/>
            <v:fill on="f" focussize="0,0"/>
            <v:stroke on="f"/>
            <v:imagedata r:id="rId41" o:title=""/>
            <o:lock v:ext="edit" aspectratio="t"/>
            <w10:wrap type="none"/>
            <w10:anchorlock/>
          </v:shape>
          <o:OLEObject Type="Embed" ProgID="Equation.KSEE3" ShapeID="_x0000_i1039" DrawAspect="Content" ObjectID="_1468075739" r:id="rId40">
            <o:LockedField>false</o:LockedField>
          </o:OLEObject>
        </w:object>
      </w:r>
    </w:p>
    <w:p>
      <w:pPr>
        <w:bidi w:val="0"/>
        <w:rPr>
          <w:highlight w:val="none"/>
        </w:rPr>
      </w:pPr>
      <w:r>
        <w:rPr>
          <w:rFonts w:hint="eastAsia"/>
          <w:highlight w:val="none"/>
          <w:lang w:eastAsia="zh-CN"/>
        </w:rPr>
        <w:t>式中：</w:t>
      </w:r>
      <w:r>
        <w:rPr>
          <w:highlight w:val="none"/>
        </w:rPr>
        <w:t>L</w:t>
      </w:r>
      <w:r>
        <w:rPr>
          <w:highlight w:val="none"/>
          <w:vertAlign w:val="subscript"/>
        </w:rPr>
        <w:t>eq</w:t>
      </w:r>
      <w:r>
        <w:rPr>
          <w:rFonts w:hint="eastAsia"/>
          <w:highlight w:val="none"/>
          <w:lang w:val="en-US" w:eastAsia="zh-CN"/>
        </w:rPr>
        <w:t>=</w:t>
      </w:r>
      <w:r>
        <w:rPr>
          <w:highlight w:val="none"/>
        </w:rPr>
        <w:t>总—某预测点总声压级，dB(A)；</w:t>
      </w:r>
    </w:p>
    <w:p>
      <w:pPr>
        <w:bidi w:val="0"/>
        <w:ind w:firstLine="1200" w:firstLineChars="500"/>
        <w:rPr>
          <w:highlight w:val="none"/>
        </w:rPr>
      </w:pPr>
      <w:r>
        <w:rPr>
          <w:highlight w:val="none"/>
        </w:rPr>
        <w:t>n—为室外声源个数；</w:t>
      </w:r>
    </w:p>
    <w:p>
      <w:pPr>
        <w:bidi w:val="0"/>
        <w:rPr>
          <w:highlight w:val="none"/>
        </w:rPr>
      </w:pPr>
      <w:r>
        <w:rPr>
          <w:highlight w:val="none"/>
        </w:rPr>
        <w:t>（3）预测结果与分析</w:t>
      </w:r>
    </w:p>
    <w:p>
      <w:pPr>
        <w:bidi w:val="0"/>
        <w:rPr>
          <w:highlight w:val="none"/>
        </w:rPr>
      </w:pPr>
      <w:r>
        <w:rPr>
          <w:highlight w:val="none"/>
        </w:rPr>
        <w:t>根据项目设备的布置，利用上述噪声预测公式，预测点的昼间、夜间噪声的预测结果见表</w:t>
      </w:r>
      <w:r>
        <w:rPr>
          <w:rFonts w:hint="eastAsia"/>
          <w:highlight w:val="none"/>
          <w:lang w:val="en-US" w:eastAsia="zh-CN"/>
        </w:rPr>
        <w:t>6</w:t>
      </w:r>
      <w:r>
        <w:rPr>
          <w:highlight w:val="none"/>
        </w:rPr>
        <w:t>.2-1</w:t>
      </w:r>
      <w:r>
        <w:rPr>
          <w:rFonts w:hint="eastAsia"/>
          <w:highlight w:val="none"/>
          <w:lang w:val="en-US" w:eastAsia="zh-CN"/>
        </w:rPr>
        <w:t>2</w:t>
      </w:r>
      <w:r>
        <w:rPr>
          <w:highlight w:val="none"/>
        </w:rPr>
        <w:t>。</w:t>
      </w:r>
    </w:p>
    <w:p>
      <w:pPr>
        <w:pStyle w:val="7"/>
        <w:bidi w:val="0"/>
        <w:rPr>
          <w:highlight w:val="none"/>
        </w:rPr>
      </w:pPr>
      <w:r>
        <w:rPr>
          <w:highlight w:val="none"/>
        </w:rPr>
        <w:t>表</w:t>
      </w:r>
      <w:r>
        <w:rPr>
          <w:rFonts w:hint="eastAsia"/>
          <w:highlight w:val="none"/>
          <w:lang w:val="en-US" w:eastAsia="zh-CN"/>
        </w:rPr>
        <w:t>6</w:t>
      </w:r>
      <w:r>
        <w:rPr>
          <w:highlight w:val="none"/>
        </w:rPr>
        <w:t>.2-1</w:t>
      </w:r>
      <w:r>
        <w:rPr>
          <w:rFonts w:hint="eastAsia"/>
          <w:highlight w:val="none"/>
          <w:lang w:val="en-US" w:eastAsia="zh-CN"/>
        </w:rPr>
        <w:t>2</w:t>
      </w:r>
      <w:r>
        <w:rPr>
          <w:highlight w:val="none"/>
        </w:rPr>
        <w:t xml:space="preserve">  场界昼、夜间噪声影响预测结果  单位： dB（A）</w:t>
      </w:r>
    </w:p>
    <w:tbl>
      <w:tblPr>
        <w:tblStyle w:val="3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92"/>
        <w:gridCol w:w="526"/>
        <w:gridCol w:w="1295"/>
        <w:gridCol w:w="1295"/>
        <w:gridCol w:w="1295"/>
        <w:gridCol w:w="1295"/>
        <w:gridCol w:w="781"/>
        <w:gridCol w:w="10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79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预测点</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cs="Times New Roman"/>
                <w:spacing w:val="0"/>
                <w:position w:val="0"/>
                <w:sz w:val="21"/>
                <w:szCs w:val="21"/>
                <w:highlight w:val="none"/>
                <w:lang w:eastAsia="zh-CN"/>
              </w:rPr>
              <w:t>项目区东侧</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项目区南侧</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项目区西侧</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项目区北侧</w:t>
            </w: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cs="Times New Roman"/>
                <w:spacing w:val="0"/>
                <w:position w:val="0"/>
                <w:sz w:val="21"/>
                <w:szCs w:val="21"/>
                <w:highlight w:val="none"/>
                <w:lang w:eastAsia="zh-CN"/>
              </w:rPr>
              <w:t>标准值</w:t>
            </w:r>
          </w:p>
        </w:tc>
        <w:tc>
          <w:tcPr>
            <w:tcW w:w="6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评价结果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eastAsia="zh-CN"/>
              </w:rPr>
              <w:t>预测值</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cs="Times New Roman"/>
                <w:spacing w:val="0"/>
                <w:position w:val="0"/>
                <w:sz w:val="21"/>
                <w:szCs w:val="21"/>
                <w:highlight w:val="none"/>
                <w:lang w:eastAsia="zh-CN"/>
              </w:rPr>
              <w:t>昼间</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54.32</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53.9</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54.77</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53.35</w:t>
            </w: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60</w:t>
            </w:r>
          </w:p>
        </w:tc>
        <w:tc>
          <w:tcPr>
            <w:tcW w:w="6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position w:val="0"/>
                <w:sz w:val="21"/>
                <w:szCs w:val="21"/>
                <w:highlight w:val="none"/>
                <w:lang w:eastAsia="zh-CN"/>
              </w:rPr>
            </w:pPr>
            <w:r>
              <w:rPr>
                <w:rFonts w:hint="eastAsia" w:eastAsia="宋体" w:cs="Times New Roman"/>
                <w:spacing w:val="-6"/>
                <w:sz w:val="21"/>
                <w:szCs w:val="21"/>
                <w:highlight w:val="none"/>
                <w:lang w:eastAsia="zh-CN"/>
              </w:rPr>
              <w:t>夜间</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49.47</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47.77</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eastAsia" w:cs="Times New Roman"/>
                <w:spacing w:val="0"/>
                <w:position w:val="0"/>
                <w:sz w:val="21"/>
                <w:szCs w:val="21"/>
                <w:highlight w:val="none"/>
                <w:lang w:val="en-US" w:eastAsia="zh-CN"/>
              </w:rPr>
              <w:t>49.81</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val="en-US" w:eastAsia="zh-CN"/>
              </w:rPr>
              <w:t>48.66</w:t>
            </w:r>
          </w:p>
        </w:tc>
        <w:tc>
          <w:tcPr>
            <w:tcW w:w="4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lang w:val="en-US" w:eastAsia="zh-CN"/>
              </w:rPr>
            </w:pPr>
            <w:r>
              <w:rPr>
                <w:rFonts w:hint="eastAsia" w:cs="Times New Roman"/>
                <w:spacing w:val="0"/>
                <w:position w:val="0"/>
                <w:sz w:val="21"/>
                <w:szCs w:val="21"/>
                <w:highlight w:val="none"/>
                <w:lang w:eastAsia="zh-CN"/>
              </w:rPr>
              <w:t>5</w:t>
            </w:r>
            <w:r>
              <w:rPr>
                <w:rFonts w:hint="eastAsia" w:cs="Times New Roman"/>
                <w:spacing w:val="0"/>
                <w:position w:val="0"/>
                <w:sz w:val="21"/>
                <w:szCs w:val="21"/>
                <w:highlight w:val="none"/>
                <w:lang w:val="en-US" w:eastAsia="zh-CN"/>
              </w:rPr>
              <w:t>0</w:t>
            </w:r>
          </w:p>
        </w:tc>
        <w:tc>
          <w:tcPr>
            <w:tcW w:w="6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position w:val="0"/>
                <w:sz w:val="21"/>
                <w:szCs w:val="21"/>
                <w:highlight w:val="none"/>
              </w:rPr>
            </w:pPr>
            <w:r>
              <w:rPr>
                <w:rFonts w:hint="default" w:ascii="Times New Roman" w:hAnsi="Times New Roman" w:eastAsia="宋体" w:cs="Times New Roman"/>
                <w:spacing w:val="0"/>
                <w:position w:val="0"/>
                <w:sz w:val="21"/>
                <w:szCs w:val="21"/>
                <w:highlight w:val="none"/>
              </w:rPr>
              <w:t>达标</w:t>
            </w:r>
          </w:p>
        </w:tc>
      </w:tr>
    </w:tbl>
    <w:p>
      <w:pPr>
        <w:bidi w:val="0"/>
        <w:rPr>
          <w:highlight w:val="none"/>
        </w:rPr>
      </w:pPr>
      <w:r>
        <w:rPr>
          <w:highlight w:val="none"/>
        </w:rPr>
        <w:t>由于各产噪声源均位于室内，水泵位于室内或者地下，受多道构筑物阻隔，可以降低5~10dB，通过衰减公式计算可知，到场界四周时完全可以达到《工业企业厂界环境噪声排放标准》（GB12348-2008）2 类标准，厂界噪声昼夜间满足要求，且项目距离周边居民较远（最近居民点距场界约为</w:t>
      </w:r>
      <w:r>
        <w:rPr>
          <w:rFonts w:hint="eastAsia"/>
          <w:highlight w:val="none"/>
          <w:lang w:val="en-US" w:eastAsia="zh-CN"/>
        </w:rPr>
        <w:t>2</w:t>
      </w:r>
      <w:r>
        <w:rPr>
          <w:highlight w:val="none"/>
        </w:rPr>
        <w:t>00m），所以项目噪声对附近的居民等敏感点影响较小。</w:t>
      </w:r>
    </w:p>
    <w:p>
      <w:pPr>
        <w:pStyle w:val="5"/>
        <w:bidi w:val="0"/>
        <w:rPr>
          <w:highlight w:val="none"/>
        </w:rPr>
      </w:pPr>
      <w:r>
        <w:rPr>
          <w:rFonts w:hint="eastAsia"/>
          <w:highlight w:val="none"/>
          <w:lang w:val="en-US" w:eastAsia="zh-CN"/>
        </w:rPr>
        <w:t>6</w:t>
      </w:r>
      <w:r>
        <w:rPr>
          <w:highlight w:val="none"/>
        </w:rPr>
        <w:t>.2.</w:t>
      </w:r>
      <w:r>
        <w:rPr>
          <w:rFonts w:hint="eastAsia"/>
          <w:highlight w:val="none"/>
          <w:lang w:val="en-US" w:eastAsia="zh-CN"/>
        </w:rPr>
        <w:t xml:space="preserve">5 </w:t>
      </w:r>
      <w:r>
        <w:rPr>
          <w:highlight w:val="none"/>
        </w:rPr>
        <w:t xml:space="preserve"> 固体废物影响分析</w:t>
      </w:r>
    </w:p>
    <w:p>
      <w:pPr>
        <w:pStyle w:val="6"/>
        <w:bidi w:val="0"/>
        <w:rPr>
          <w:highlight w:val="none"/>
        </w:rPr>
      </w:pPr>
      <w:r>
        <w:rPr>
          <w:rFonts w:hint="eastAsia"/>
          <w:highlight w:val="none"/>
          <w:lang w:val="en-US" w:eastAsia="zh-CN"/>
        </w:rPr>
        <w:t>6</w:t>
      </w:r>
      <w:r>
        <w:rPr>
          <w:highlight w:val="none"/>
        </w:rPr>
        <w:t>.2.</w:t>
      </w:r>
      <w:r>
        <w:rPr>
          <w:rFonts w:hint="eastAsia"/>
          <w:highlight w:val="none"/>
          <w:lang w:val="en-US" w:eastAsia="zh-CN"/>
        </w:rPr>
        <w:t>5</w:t>
      </w:r>
      <w:r>
        <w:rPr>
          <w:highlight w:val="none"/>
        </w:rPr>
        <w:t xml:space="preserve">.1 </w:t>
      </w:r>
      <w:r>
        <w:rPr>
          <w:rFonts w:hint="eastAsia"/>
          <w:highlight w:val="none"/>
          <w:lang w:val="en-US" w:eastAsia="zh-CN"/>
        </w:rPr>
        <w:t xml:space="preserve"> </w:t>
      </w:r>
      <w:r>
        <w:rPr>
          <w:highlight w:val="none"/>
        </w:rPr>
        <w:t>固体废物污染途径</w:t>
      </w:r>
    </w:p>
    <w:p>
      <w:pPr>
        <w:bidi w:val="0"/>
        <w:rPr>
          <w:highlight w:val="none"/>
        </w:rPr>
      </w:pPr>
      <w:r>
        <w:rPr>
          <w:highlight w:val="none"/>
        </w:rPr>
        <w:t>根据工程分析可知，项目营运期产生的固废主要包括猪粪、病死猪及疾病防疫产生的医疗废物、生活垃圾等。项目营运期固体废物产生情况及处置措施见表</w:t>
      </w:r>
      <w:r>
        <w:rPr>
          <w:rFonts w:hint="eastAsia"/>
          <w:highlight w:val="none"/>
          <w:lang w:val="en-US" w:eastAsia="zh-CN"/>
        </w:rPr>
        <w:t>6</w:t>
      </w:r>
      <w:r>
        <w:rPr>
          <w:highlight w:val="none"/>
        </w:rPr>
        <w:t>.2-1</w:t>
      </w:r>
      <w:r>
        <w:rPr>
          <w:rFonts w:hint="eastAsia"/>
          <w:highlight w:val="none"/>
          <w:lang w:val="en-US" w:eastAsia="zh-CN"/>
        </w:rPr>
        <w:t>3</w:t>
      </w:r>
      <w:r>
        <w:rPr>
          <w:highlight w:val="none"/>
        </w:rPr>
        <w:t>。</w:t>
      </w:r>
    </w:p>
    <w:p>
      <w:pPr>
        <w:pStyle w:val="7"/>
        <w:bidi w:val="0"/>
        <w:rPr>
          <w:highlight w:val="none"/>
        </w:rPr>
      </w:pPr>
      <w:r>
        <w:rPr>
          <w:highlight w:val="none"/>
        </w:rPr>
        <w:t>表</w:t>
      </w:r>
      <w:r>
        <w:rPr>
          <w:rFonts w:hint="eastAsia"/>
          <w:highlight w:val="none"/>
          <w:lang w:val="en-US" w:eastAsia="zh-CN"/>
        </w:rPr>
        <w:t>6.2-13</w:t>
      </w:r>
      <w:r>
        <w:rPr>
          <w:highlight w:val="none"/>
        </w:rPr>
        <w:t xml:space="preserve">  废物产生情况及处置措施一览表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34"/>
        <w:gridCol w:w="1184"/>
        <w:gridCol w:w="1244"/>
        <w:gridCol w:w="1421"/>
        <w:gridCol w:w="38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序号</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产生源</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产生量（t/a）</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类别</w:t>
            </w:r>
          </w:p>
        </w:tc>
        <w:tc>
          <w:tcPr>
            <w:tcW w:w="23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处理处置情况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生活垃圾</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3"/>
                <w:sz w:val="21"/>
                <w:szCs w:val="21"/>
                <w:highlight w:val="none"/>
                <w:lang w:val="en-US" w:eastAsia="zh-CN"/>
              </w:rPr>
              <w:t>0.913</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一般固废</w:t>
            </w:r>
          </w:p>
        </w:tc>
        <w:tc>
          <w:tcPr>
            <w:tcW w:w="23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环卫部门统一处理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猪粪</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4"/>
                <w:sz w:val="21"/>
                <w:szCs w:val="21"/>
                <w:highlight w:val="none"/>
                <w:lang w:val="en-US" w:eastAsia="zh-CN"/>
              </w:rPr>
              <w:t>4015</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一般固废</w:t>
            </w:r>
          </w:p>
        </w:tc>
        <w:tc>
          <w:tcPr>
            <w:tcW w:w="23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本项目采用</w:t>
            </w:r>
            <w:r>
              <w:rPr>
                <w:rFonts w:hint="eastAsia" w:cs="Times New Roman"/>
                <w:spacing w:val="0"/>
                <w:w w:val="100"/>
                <w:position w:val="0"/>
                <w:sz w:val="21"/>
                <w:szCs w:val="21"/>
                <w:highlight w:val="none"/>
                <w:lang w:eastAsia="zh-CN"/>
              </w:rPr>
              <w:t>干清</w:t>
            </w:r>
            <w:r>
              <w:rPr>
                <w:rFonts w:hint="default" w:ascii="Times New Roman" w:hAnsi="Times New Roman" w:eastAsia="宋体" w:cs="Times New Roman"/>
                <w:spacing w:val="0"/>
                <w:w w:val="100"/>
                <w:position w:val="0"/>
                <w:sz w:val="21"/>
                <w:szCs w:val="21"/>
                <w:highlight w:val="none"/>
              </w:rPr>
              <w:t>粪处理工艺，</w:t>
            </w:r>
            <w:r>
              <w:rPr>
                <w:rFonts w:hint="eastAsia" w:cs="Times New Roman"/>
                <w:spacing w:val="0"/>
                <w:w w:val="100"/>
                <w:position w:val="0"/>
                <w:sz w:val="21"/>
                <w:szCs w:val="21"/>
                <w:highlight w:val="none"/>
                <w:lang w:eastAsia="zh-CN"/>
              </w:rPr>
              <w:t>采取</w:t>
            </w:r>
            <w:r>
              <w:rPr>
                <w:rFonts w:hint="default" w:ascii="Times New Roman" w:hAnsi="Times New Roman" w:eastAsia="宋体" w:cs="Times New Roman"/>
                <w:spacing w:val="0"/>
                <w:w w:val="100"/>
                <w:position w:val="0"/>
                <w:sz w:val="21"/>
                <w:szCs w:val="21"/>
                <w:highlight w:val="none"/>
              </w:rPr>
              <w:t>固液分离，养殖粪污分离出来的固态作为有机肥原料通过罐车外运，不在厂区内堆肥。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病死猪</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lang w:val="en-US"/>
              </w:rPr>
            </w:pPr>
            <w:r>
              <w:rPr>
                <w:rFonts w:hint="eastAsia" w:cs="Times New Roman"/>
                <w:sz w:val="21"/>
                <w:szCs w:val="21"/>
                <w:highlight w:val="none"/>
                <w:lang w:val="en-US" w:eastAsia="zh-CN"/>
              </w:rPr>
              <w:t>3.3</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危险废物</w:t>
            </w:r>
          </w:p>
        </w:tc>
        <w:tc>
          <w:tcPr>
            <w:tcW w:w="23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病死猪当天委托当地畜禽无害化处理中心清运和处理，不在厂内暂存；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医疗废物</w:t>
            </w:r>
          </w:p>
        </w:tc>
        <w:tc>
          <w:tcPr>
            <w:tcW w:w="1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3"/>
                <w:sz w:val="21"/>
                <w:szCs w:val="21"/>
                <w:highlight w:val="none"/>
              </w:rPr>
              <w:t>0.01</w:t>
            </w:r>
            <w:r>
              <w:rPr>
                <w:rFonts w:hint="eastAsia" w:cs="Times New Roman"/>
                <w:spacing w:val="-3"/>
                <w:sz w:val="21"/>
                <w:szCs w:val="21"/>
                <w:highlight w:val="none"/>
                <w:lang w:val="en-US" w:eastAsia="zh-CN"/>
              </w:rPr>
              <w:t>1</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危险废物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HW01</w:t>
            </w:r>
          </w:p>
        </w:tc>
        <w:tc>
          <w:tcPr>
            <w:tcW w:w="23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交有处理资质单位处置</w:t>
            </w:r>
          </w:p>
        </w:tc>
      </w:tr>
    </w:tbl>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2"/>
          <w:sz w:val="24"/>
          <w:szCs w:val="24"/>
          <w:highlight w:val="none"/>
          <w:lang w:val="en-US" w:eastAsia="zh-CN"/>
        </w:rPr>
        <w:t>6</w:t>
      </w:r>
      <w:r>
        <w:rPr>
          <w:rFonts w:ascii="Times New Roman" w:hAnsi="Times New Roman" w:eastAsia="Times New Roman" w:cs="Times New Roman"/>
          <w:b/>
          <w:bCs/>
          <w:spacing w:val="-2"/>
          <w:sz w:val="24"/>
          <w:szCs w:val="24"/>
          <w:highlight w:val="none"/>
        </w:rPr>
        <w:t>.2.</w:t>
      </w:r>
      <w:r>
        <w:rPr>
          <w:rFonts w:hint="eastAsia" w:ascii="Times New Roman" w:hAnsi="Times New Roman" w:eastAsia="宋体" w:cs="Times New Roman"/>
          <w:b/>
          <w:bCs/>
          <w:spacing w:val="-2"/>
          <w:sz w:val="24"/>
          <w:szCs w:val="24"/>
          <w:highlight w:val="none"/>
          <w:lang w:val="en-US" w:eastAsia="zh-CN"/>
        </w:rPr>
        <w:t>5</w:t>
      </w:r>
      <w:r>
        <w:rPr>
          <w:rFonts w:ascii="Times New Roman" w:hAnsi="Times New Roman" w:eastAsia="Times New Roman" w:cs="Times New Roman"/>
          <w:b/>
          <w:bCs/>
          <w:spacing w:val="-2"/>
          <w:sz w:val="24"/>
          <w:szCs w:val="24"/>
          <w:highlight w:val="none"/>
        </w:rPr>
        <w:t>.2</w:t>
      </w:r>
      <w:r>
        <w:rPr>
          <w:rFonts w:hint="eastAsia" w:ascii="Times New Roman" w:hAnsi="Times New Roman" w:eastAsia="宋体" w:cs="Times New Roman"/>
          <w:b/>
          <w:bCs/>
          <w:spacing w:val="-2"/>
          <w:sz w:val="24"/>
          <w:szCs w:val="24"/>
          <w:highlight w:val="none"/>
          <w:lang w:val="en-US" w:eastAsia="zh-CN"/>
        </w:rPr>
        <w:t xml:space="preserve"> </w:t>
      </w:r>
      <w:r>
        <w:rPr>
          <w:rFonts w:ascii="Times New Roman" w:hAnsi="Times New Roman" w:eastAsia="Times New Roman" w:cs="Times New Roman"/>
          <w:spacing w:val="25"/>
          <w:w w:val="101"/>
          <w:sz w:val="24"/>
          <w:szCs w:val="24"/>
          <w:highlight w:val="none"/>
        </w:rPr>
        <w:t xml:space="preserve"> </w:t>
      </w:r>
      <w:r>
        <w:rPr>
          <w:rFonts w:ascii="宋体" w:hAnsi="宋体" w:eastAsia="宋体" w:cs="宋体"/>
          <w:spacing w:val="-2"/>
          <w:sz w:val="24"/>
          <w:szCs w:val="24"/>
          <w:highlight w:val="none"/>
        </w:rPr>
        <w:t>固体废物环境影响分析</w:t>
      </w:r>
    </w:p>
    <w:p>
      <w:pPr>
        <w:bidi w:val="0"/>
        <w:rPr>
          <w:highlight w:val="none"/>
        </w:rPr>
      </w:pPr>
      <w:r>
        <w:rPr>
          <w:highlight w:val="none"/>
        </w:rPr>
        <w:t>1、一般固废环境影响分析</w:t>
      </w:r>
    </w:p>
    <w:p>
      <w:pPr>
        <w:bidi w:val="0"/>
        <w:rPr>
          <w:rFonts w:hint="eastAsia"/>
          <w:highlight w:val="none"/>
        </w:rPr>
      </w:pPr>
      <w:r>
        <w:rPr>
          <w:highlight w:val="none"/>
        </w:rPr>
        <w:t>本项目产生的一般固体废物主要为猪粪以及生活垃圾。生活垃圾委托环卫部门统一处理；</w:t>
      </w:r>
      <w:r>
        <w:rPr>
          <w:rFonts w:hint="eastAsia"/>
          <w:highlight w:val="none"/>
        </w:rPr>
        <w:t>本项目采用</w:t>
      </w:r>
      <w:r>
        <w:rPr>
          <w:rFonts w:hint="eastAsia"/>
          <w:highlight w:val="none"/>
          <w:lang w:eastAsia="zh-CN"/>
        </w:rPr>
        <w:t>干清粪</w:t>
      </w:r>
      <w:r>
        <w:rPr>
          <w:rFonts w:hint="eastAsia"/>
          <w:highlight w:val="none"/>
        </w:rPr>
        <w:t>处理工艺，养殖粪污分离出来的固态作为有机肥原料通过罐车外运，不在厂区内堆肥。</w:t>
      </w:r>
    </w:p>
    <w:p>
      <w:pPr>
        <w:bidi w:val="0"/>
        <w:rPr>
          <w:highlight w:val="none"/>
        </w:rPr>
      </w:pPr>
      <w:r>
        <w:rPr>
          <w:highlight w:val="none"/>
        </w:rPr>
        <w:t>2、危险固体废物环境影响分析</w:t>
      </w:r>
    </w:p>
    <w:p>
      <w:pPr>
        <w:bidi w:val="0"/>
        <w:rPr>
          <w:highlight w:val="none"/>
        </w:rPr>
      </w:pPr>
      <w:r>
        <w:rPr>
          <w:highlight w:val="none"/>
        </w:rPr>
        <w:t>工程产生的防疫器具、病死猪有一定的危险性，如果保存不当，可能会对周围环境造成影响。项目产生的医疗废物委托有资质的单位处理，</w:t>
      </w:r>
      <w:r>
        <w:rPr>
          <w:rFonts w:hint="eastAsia"/>
          <w:highlight w:val="none"/>
        </w:rPr>
        <w:t>病死猪当天委托当地畜禽无害化处理中心清运和处理，不在厂内暂存</w:t>
      </w:r>
      <w:r>
        <w:rPr>
          <w:highlight w:val="none"/>
        </w:rPr>
        <w:t>。对防疫器具、病死猪的收集、贮存、外运，应采取下述措施：</w:t>
      </w:r>
    </w:p>
    <w:p>
      <w:pPr>
        <w:bidi w:val="0"/>
        <w:rPr>
          <w:highlight w:val="none"/>
        </w:rPr>
      </w:pPr>
      <w:r>
        <w:rPr>
          <w:highlight w:val="none"/>
        </w:rPr>
        <w:t>（1）企业应及时将防疫器具、病死猪等危废外运处理，在未处理期间，应集中收集，专人管理，集中贮存。为此，企业在场区内应专门设立</w:t>
      </w:r>
      <w:r>
        <w:rPr>
          <w:rFonts w:hint="eastAsia"/>
          <w:highlight w:val="none"/>
          <w:lang w:eastAsia="zh-CN"/>
        </w:rPr>
        <w:t>医疗</w:t>
      </w:r>
      <w:r>
        <w:rPr>
          <w:highlight w:val="none"/>
        </w:rPr>
        <w:t>危废储存间，</w:t>
      </w:r>
      <w:r>
        <w:rPr>
          <w:rFonts w:hint="eastAsia"/>
          <w:highlight w:val="none"/>
          <w:lang w:eastAsia="zh-CN"/>
        </w:rPr>
        <w:t>医疗</w:t>
      </w:r>
      <w:r>
        <w:rPr>
          <w:highlight w:val="none"/>
        </w:rPr>
        <w:t>危废暂存间要防风、防雨、防晒，在场区内应避开易燃、高压输电线路防护区域，基础必须采取重点防渗。</w:t>
      </w:r>
      <w:r>
        <w:rPr>
          <w:rFonts w:hint="eastAsia"/>
          <w:highlight w:val="none"/>
        </w:rPr>
        <w:t>病死猪当天委托当地畜禽无害化处理中心清运和处理，不在厂内暂存</w:t>
      </w:r>
      <w:r>
        <w:rPr>
          <w:highlight w:val="none"/>
        </w:rPr>
        <w:t>。</w:t>
      </w:r>
    </w:p>
    <w:p>
      <w:pPr>
        <w:bidi w:val="0"/>
        <w:rPr>
          <w:highlight w:val="none"/>
        </w:rPr>
      </w:pPr>
      <w:r>
        <w:rPr>
          <w:highlight w:val="none"/>
        </w:rPr>
        <w:t>（2）企业须按照与相应危废处理单位签订的协议，及时将防疫器具送交处置，病死猪第一时间清运。</w:t>
      </w:r>
    </w:p>
    <w:p>
      <w:pPr>
        <w:bidi w:val="0"/>
        <w:rPr>
          <w:highlight w:val="none"/>
        </w:rPr>
      </w:pPr>
      <w:r>
        <w:rPr>
          <w:highlight w:val="none"/>
        </w:rPr>
        <w:t>（3）危废管理应作为场内环境管理的重要组成部分，由专门人员负责防疫器具的收集、贮存及处置，按月统计产生量、暂存时间、交由处置时间等，并按月向当地环保部门报告。</w:t>
      </w:r>
    </w:p>
    <w:p>
      <w:pPr>
        <w:bidi w:val="0"/>
        <w:rPr>
          <w:highlight w:val="none"/>
        </w:rPr>
      </w:pPr>
      <w:r>
        <w:rPr>
          <w:highlight w:val="none"/>
        </w:rPr>
        <w:t>（4）防疫器具、病死猪等危险废物的转移和运输应按《危险废物转移联单管理办法》的规定报批危险废物转移计划，填写好转运联单，并必须交由有资质的单位承运。做好每次外运处置危险废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收单位，第五联交接收地</w:t>
      </w:r>
      <w:r>
        <w:rPr>
          <w:rFonts w:hint="eastAsia"/>
          <w:highlight w:val="none"/>
          <w:lang w:eastAsia="zh-CN"/>
        </w:rPr>
        <w:t>生态环境局</w:t>
      </w:r>
      <w:r>
        <w:rPr>
          <w:highlight w:val="none"/>
        </w:rPr>
        <w:t>。</w:t>
      </w:r>
    </w:p>
    <w:p>
      <w:pPr>
        <w:bidi w:val="0"/>
        <w:rPr>
          <w:highlight w:val="none"/>
        </w:rPr>
      </w:pPr>
      <w:r>
        <w:rPr>
          <w:highlight w:val="none"/>
        </w:rPr>
        <w:t>由于本项目医疗废物在未能及时处理或运往相关的回收单位前，需要在场内临时暂存，场区新建一处</w:t>
      </w:r>
      <w:r>
        <w:rPr>
          <w:rFonts w:hint="eastAsia"/>
          <w:highlight w:val="none"/>
          <w:lang w:eastAsia="zh-CN"/>
        </w:rPr>
        <w:t>医疗</w:t>
      </w:r>
      <w:r>
        <w:rPr>
          <w:highlight w:val="none"/>
        </w:rPr>
        <w:t>危废暂存间，本危废间按照《危险废物贮存污染控制标准》（GB18597-2001）的要求，采取以下控制措施：</w:t>
      </w:r>
    </w:p>
    <w:p>
      <w:pPr>
        <w:bidi w:val="0"/>
        <w:rPr>
          <w:highlight w:val="none"/>
        </w:rPr>
      </w:pPr>
      <w:r>
        <w:rPr>
          <w:highlight w:val="none"/>
        </w:rPr>
        <w:t>①按照贮存危险固废场所建设要求，并设立危险固废标志。</w:t>
      </w:r>
    </w:p>
    <w:p>
      <w:pPr>
        <w:bidi w:val="0"/>
        <w:rPr>
          <w:highlight w:val="none"/>
        </w:rPr>
      </w:pPr>
      <w:r>
        <w:rPr>
          <w:highlight w:val="none"/>
        </w:rPr>
        <w:t>②危险固废贮存设施要符合国家危险固废贮存场所的建设要求，危险固废贮存设施要建有堵截泄漏的裙脚，地面与裙脚用坚固的防渗材料建造和防风、防晒、防雨设施。危废间地面渗透系数≤10</w:t>
      </w:r>
      <w:r>
        <w:rPr>
          <w:highlight w:val="none"/>
          <w:vertAlign w:val="superscript"/>
        </w:rPr>
        <w:t>-10</w:t>
      </w:r>
      <w:r>
        <w:rPr>
          <w:highlight w:val="none"/>
        </w:rPr>
        <w:t>cm/s。</w:t>
      </w:r>
    </w:p>
    <w:p>
      <w:pPr>
        <w:bidi w:val="0"/>
        <w:rPr>
          <w:highlight w:val="none"/>
        </w:rPr>
      </w:pPr>
      <w:r>
        <w:rPr>
          <w:highlight w:val="none"/>
        </w:rPr>
        <w:t>总之，对本项目产生的固体废物必须分类存放，及时清运。建设单位必须满足《一般工业固体废物贮存</w:t>
      </w:r>
      <w:r>
        <w:rPr>
          <w:rFonts w:hint="eastAsia"/>
          <w:highlight w:val="none"/>
          <w:lang w:eastAsia="zh-CN"/>
        </w:rPr>
        <w:t>和填埋</w:t>
      </w:r>
      <w:r>
        <w:rPr>
          <w:highlight w:val="none"/>
        </w:rPr>
        <w:t>污染控制标准》（GB18599-2020）、《畜禽养殖业污染物排放标准》（DB37/534-2005）</w:t>
      </w:r>
      <w:r>
        <w:rPr>
          <w:rFonts w:hint="eastAsia" w:ascii="宋体" w:hAnsi="宋体" w:eastAsia="宋体" w:cs="宋体"/>
          <w:highlight w:val="none"/>
        </w:rPr>
        <w:t>“</w:t>
      </w:r>
      <w:r>
        <w:rPr>
          <w:highlight w:val="none"/>
        </w:rPr>
        <w:t>表4.2畜禽养殖业废渣无害化环境标准</w:t>
      </w:r>
      <w:r>
        <w:rPr>
          <w:rFonts w:hint="eastAsia" w:ascii="宋体" w:hAnsi="宋体" w:eastAsia="宋体" w:cs="宋体"/>
          <w:highlight w:val="none"/>
        </w:rPr>
        <w:t>”</w:t>
      </w:r>
      <w:r>
        <w:rPr>
          <w:highlight w:val="none"/>
        </w:rPr>
        <w:t>、《粪便无害化卫生标准》和《危险废物贮存污染控制标准》（GB18597-2001）的要求，建设符合要求的临时贮存设施，落实防风、防雨、防渗措施。</w:t>
      </w:r>
    </w:p>
    <w:p>
      <w:pPr>
        <w:bidi w:val="0"/>
        <w:rPr>
          <w:highlight w:val="none"/>
        </w:rPr>
      </w:pPr>
      <w:r>
        <w:rPr>
          <w:highlight w:val="none"/>
        </w:rPr>
        <w:t>综上所述，本项目所产生的固体废物在落实本报告书所提出的治理措施的前提下，固体废弃物将全部得到了妥善处理，特别是将危废堆存对环境产生的影响降低最小，符合我国对危废堆存、处理的政策要求和技术规定，可满足环境保护的要求，对环境的影响很小。</w:t>
      </w:r>
    </w:p>
    <w:p>
      <w:pPr>
        <w:bidi w:val="0"/>
        <w:rPr>
          <w:highlight w:val="none"/>
        </w:rPr>
      </w:pPr>
      <w:r>
        <w:rPr>
          <w:highlight w:val="none"/>
        </w:rPr>
        <w:t>综上所述，本项目场区运营期固体废物均得到综合利用和合理处置，不会对周围环境产生明显影响。</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val="en-US" w:eastAsia="zh-CN"/>
        </w:rPr>
        <w:t>6</w:t>
      </w:r>
      <w:r>
        <w:rPr>
          <w:rFonts w:ascii="Times New Roman" w:hAnsi="Times New Roman" w:eastAsia="Times New Roman" w:cs="Times New Roman"/>
          <w:b/>
          <w:bCs/>
          <w:spacing w:val="-1"/>
          <w:sz w:val="28"/>
          <w:szCs w:val="28"/>
          <w:highlight w:val="none"/>
        </w:rPr>
        <w:t>.2.</w:t>
      </w:r>
      <w:r>
        <w:rPr>
          <w:rFonts w:hint="eastAsia" w:ascii="Times New Roman" w:hAnsi="Times New Roman" w:eastAsia="宋体" w:cs="Times New Roman"/>
          <w:b/>
          <w:bCs/>
          <w:spacing w:val="-1"/>
          <w:sz w:val="28"/>
          <w:szCs w:val="28"/>
          <w:highlight w:val="none"/>
          <w:lang w:val="en-US" w:eastAsia="zh-CN"/>
        </w:rPr>
        <w:t>6</w:t>
      </w:r>
      <w:r>
        <w:rPr>
          <w:rFonts w:hint="eastAsia" w:cs="Times New Roman"/>
          <w:b/>
          <w:bCs/>
          <w:spacing w:val="-1"/>
          <w:sz w:val="28"/>
          <w:szCs w:val="28"/>
          <w:highlight w:val="none"/>
          <w:lang w:val="en-US" w:eastAsia="zh-CN"/>
        </w:rPr>
        <w:t xml:space="preserve">  </w:t>
      </w:r>
      <w:r>
        <w:rPr>
          <w:rFonts w:ascii="宋体" w:hAnsi="宋体" w:eastAsia="宋体" w:cs="宋体"/>
          <w:spacing w:val="-1"/>
          <w:sz w:val="28"/>
          <w:szCs w:val="28"/>
          <w:highlight w:val="none"/>
        </w:rPr>
        <w:t>土壤环境影响分析</w:t>
      </w:r>
    </w:p>
    <w:p>
      <w:pPr>
        <w:bidi w:val="0"/>
        <w:rPr>
          <w:highlight w:val="none"/>
        </w:rPr>
      </w:pPr>
      <w:r>
        <w:rPr>
          <w:highlight w:val="none"/>
        </w:rPr>
        <w:t>（1）项目类型判定</w:t>
      </w:r>
    </w:p>
    <w:p>
      <w:pPr>
        <w:bidi w:val="0"/>
        <w:rPr>
          <w:highlight w:val="none"/>
        </w:rPr>
      </w:pPr>
      <w:r>
        <w:rPr>
          <w:highlight w:val="none"/>
        </w:rPr>
        <w:t>根据《环境影响评价技术导则-土壤环境》</w:t>
      </w:r>
      <w:r>
        <w:rPr>
          <w:rFonts w:hint="eastAsia"/>
          <w:highlight w:val="none"/>
          <w:lang w:eastAsia="zh-CN"/>
        </w:rPr>
        <w:t>（</w:t>
      </w:r>
      <w:r>
        <w:rPr>
          <w:highlight w:val="none"/>
        </w:rPr>
        <w:t>HJ964-2018</w:t>
      </w:r>
      <w:r>
        <w:rPr>
          <w:rFonts w:hint="eastAsia"/>
          <w:highlight w:val="none"/>
          <w:lang w:eastAsia="zh-CN"/>
        </w:rPr>
        <w:t>）</w:t>
      </w:r>
      <w:r>
        <w:rPr>
          <w:highlight w:val="none"/>
        </w:rPr>
        <w:t>中附录A（规范性附录）土壤环境影响评价行业项目类别表，可知本项目属于</w:t>
      </w:r>
      <w:r>
        <w:rPr>
          <w:rFonts w:hint="eastAsia"/>
          <w:highlight w:val="none"/>
        </w:rPr>
        <w:t>“</w:t>
      </w:r>
      <w:r>
        <w:rPr>
          <w:highlight w:val="none"/>
        </w:rPr>
        <w:t>农林牧渔业</w:t>
      </w:r>
      <w:r>
        <w:rPr>
          <w:rFonts w:hint="eastAsia"/>
          <w:highlight w:val="none"/>
        </w:rPr>
        <w:t>”</w:t>
      </w:r>
      <w:r>
        <w:rPr>
          <w:highlight w:val="none"/>
        </w:rPr>
        <w:t>中的</w:t>
      </w:r>
      <w:r>
        <w:rPr>
          <w:rFonts w:hint="eastAsia"/>
          <w:highlight w:val="none"/>
        </w:rPr>
        <w:t>“</w:t>
      </w:r>
      <w:r>
        <w:rPr>
          <w:highlight w:val="none"/>
        </w:rPr>
        <w:t>年出栏生猪5000头及以上的畜禽养殖场或养殖小区</w:t>
      </w:r>
      <w:r>
        <w:rPr>
          <w:rFonts w:hint="eastAsia" w:ascii="宋体" w:hAnsi="宋体" w:eastAsia="宋体" w:cs="宋体"/>
          <w:highlight w:val="none"/>
        </w:rPr>
        <w:t>”</w:t>
      </w:r>
      <w:r>
        <w:rPr>
          <w:highlight w:val="none"/>
        </w:rPr>
        <w:t>，土壤环境影响评价项目类别为Ⅲ类。</w:t>
      </w:r>
    </w:p>
    <w:p>
      <w:pPr>
        <w:bidi w:val="0"/>
        <w:rPr>
          <w:highlight w:val="none"/>
        </w:rPr>
      </w:pPr>
      <w:r>
        <w:rPr>
          <w:highlight w:val="none"/>
        </w:rPr>
        <w:t>（2）项目占地规模判定</w:t>
      </w:r>
    </w:p>
    <w:p>
      <w:pPr>
        <w:spacing w:line="360" w:lineRule="auto"/>
        <w:ind w:firstLine="480" w:firstLineChars="200"/>
        <w:jc w:val="both"/>
        <w:rPr>
          <w:rFonts w:hint="default" w:ascii="Times New Roman" w:hAnsi="Times New Roman" w:eastAsia="宋体" w:cs="Times New Roman"/>
          <w:color w:val="auto"/>
          <w:spacing w:val="0"/>
          <w:sz w:val="24"/>
          <w:highlight w:val="none"/>
          <w:lang w:eastAsia="zh-CN"/>
        </w:rPr>
      </w:pPr>
      <w:r>
        <w:rPr>
          <w:highlight w:val="none"/>
        </w:rPr>
        <w:t>本项目占地面积约为</w:t>
      </w:r>
      <w:r>
        <w:rPr>
          <w:rFonts w:hint="eastAsia"/>
          <w:highlight w:val="none"/>
          <w:lang w:val="en-US" w:eastAsia="zh-CN"/>
        </w:rPr>
        <w:t>7213</w:t>
      </w:r>
      <w:r>
        <w:rPr>
          <w:highlight w:val="none"/>
        </w:rPr>
        <w:t>m</w:t>
      </w:r>
      <w:r>
        <w:rPr>
          <w:highlight w:val="none"/>
          <w:vertAlign w:val="superscript"/>
        </w:rPr>
        <w:t>2</w:t>
      </w:r>
      <w:r>
        <w:rPr>
          <w:highlight w:val="none"/>
        </w:rPr>
        <w:t>，小于</w:t>
      </w:r>
      <w:r>
        <w:rPr>
          <w:rFonts w:hint="eastAsia"/>
          <w:highlight w:val="none"/>
          <w:lang w:val="en-US" w:eastAsia="zh-CN"/>
        </w:rPr>
        <w:t>5</w:t>
      </w:r>
      <w:r>
        <w:rPr>
          <w:highlight w:val="none"/>
        </w:rPr>
        <w:t>hm</w:t>
      </w:r>
      <w:r>
        <w:rPr>
          <w:highlight w:val="none"/>
          <w:vertAlign w:val="superscript"/>
        </w:rPr>
        <w:t>2</w:t>
      </w:r>
      <w:r>
        <w:rPr>
          <w:highlight w:val="none"/>
        </w:rPr>
        <w:t>，占地规模属于小型。</w:t>
      </w:r>
    </w:p>
    <w:p>
      <w:pPr>
        <w:bidi w:val="0"/>
        <w:rPr>
          <w:highlight w:val="none"/>
        </w:rPr>
      </w:pPr>
      <w:r>
        <w:rPr>
          <w:highlight w:val="none"/>
        </w:rPr>
        <w:t>（3）项目用地敏感程度分析</w:t>
      </w:r>
    </w:p>
    <w:p>
      <w:pPr>
        <w:bidi w:val="0"/>
        <w:rPr>
          <w:rFonts w:hint="eastAsia" w:eastAsia="宋体"/>
          <w:highlight w:val="none"/>
          <w:lang w:eastAsia="zh-CN"/>
        </w:rPr>
      </w:pPr>
      <w:r>
        <w:rPr>
          <w:highlight w:val="none"/>
        </w:rPr>
        <w:t>根据现场调查</w:t>
      </w:r>
      <w:r>
        <w:rPr>
          <w:rFonts w:hint="eastAsia"/>
          <w:highlight w:val="none"/>
          <w:lang w:eastAsia="zh-CN"/>
        </w:rPr>
        <w:t>，</w:t>
      </w:r>
      <w:r>
        <w:rPr>
          <w:highlight w:val="none"/>
        </w:rPr>
        <w:t>项目所在区域主要为农田、水塘</w:t>
      </w:r>
      <w:r>
        <w:rPr>
          <w:rFonts w:hint="eastAsia"/>
          <w:highlight w:val="none"/>
          <w:lang w:eastAsia="zh-CN"/>
        </w:rPr>
        <w:t>、林地</w:t>
      </w:r>
      <w:r>
        <w:rPr>
          <w:highlight w:val="none"/>
        </w:rPr>
        <w:t>，根据《环境影响评价技术导则-土壤环境》中表 3 污染影响型敏感程度分级表，敏感程度为敏感类型</w:t>
      </w:r>
      <w:r>
        <w:rPr>
          <w:rFonts w:hint="eastAsia"/>
          <w:highlight w:val="none"/>
          <w:lang w:eastAsia="zh-CN"/>
        </w:rPr>
        <w:t>。</w:t>
      </w:r>
    </w:p>
    <w:p>
      <w:pPr>
        <w:pStyle w:val="7"/>
        <w:bidi w:val="0"/>
        <w:rPr>
          <w:rFonts w:hint="default"/>
          <w:highlight w:val="none"/>
          <w:lang w:val="en-US" w:eastAsia="zh-CN"/>
        </w:rPr>
      </w:pPr>
      <w:r>
        <w:rPr>
          <w:rFonts w:hint="default"/>
          <w:highlight w:val="none"/>
          <w:lang w:val="en-US" w:eastAsia="zh-CN"/>
        </w:rPr>
        <w:t>表</w:t>
      </w:r>
      <w:r>
        <w:rPr>
          <w:rFonts w:hint="eastAsia"/>
          <w:highlight w:val="none"/>
          <w:lang w:val="en-US" w:eastAsia="zh-CN"/>
        </w:rPr>
        <w:t>6.2</w:t>
      </w:r>
      <w:r>
        <w:rPr>
          <w:rFonts w:hint="default"/>
          <w:highlight w:val="none"/>
          <w:lang w:val="en-US" w:eastAsia="zh-CN"/>
        </w:rPr>
        <w:t>-1</w:t>
      </w:r>
      <w:r>
        <w:rPr>
          <w:rFonts w:hint="eastAsia"/>
          <w:highlight w:val="none"/>
          <w:lang w:val="en-US" w:eastAsia="zh-CN"/>
        </w:rPr>
        <w:t>4</w:t>
      </w:r>
      <w:r>
        <w:rPr>
          <w:rFonts w:hint="default"/>
          <w:highlight w:val="none"/>
          <w:lang w:val="en-US" w:eastAsia="zh-CN"/>
        </w:rPr>
        <w:t xml:space="preserve">  污染影响型敏感程度分级表</w: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6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敏感程度</w:t>
            </w:r>
          </w:p>
        </w:tc>
        <w:tc>
          <w:tcPr>
            <w:tcW w:w="3828"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判别依据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敏感</w:t>
            </w:r>
          </w:p>
        </w:tc>
        <w:tc>
          <w:tcPr>
            <w:tcW w:w="3828"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建设项目周边存在耕地、园地、牧草地、饮用水水源地或居民区、学校、医院、疗养院、养老院等土壤环境敏感目标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较敏感</w:t>
            </w:r>
          </w:p>
        </w:tc>
        <w:tc>
          <w:tcPr>
            <w:tcW w:w="3828"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建设项目周边存在其他环境敏感目标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不敏感</w:t>
            </w:r>
          </w:p>
        </w:tc>
        <w:tc>
          <w:tcPr>
            <w:tcW w:w="3828"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其他情况</w:t>
            </w:r>
          </w:p>
        </w:tc>
      </w:tr>
    </w:tbl>
    <w:p>
      <w:pPr>
        <w:bidi w:val="0"/>
        <w:rPr>
          <w:highlight w:val="none"/>
        </w:rPr>
      </w:pPr>
      <w:r>
        <w:rPr>
          <w:highlight w:val="none"/>
        </w:rPr>
        <w:t>（4）土壤环境评价等级</w:t>
      </w:r>
    </w:p>
    <w:p>
      <w:pPr>
        <w:bidi w:val="0"/>
        <w:rPr>
          <w:highlight w:val="none"/>
        </w:rPr>
      </w:pPr>
      <w:r>
        <w:rPr>
          <w:highlight w:val="none"/>
        </w:rPr>
        <w:t>本项目属于Ⅲ类项目，占地面积为小型，占地类型为敏感类型</w:t>
      </w:r>
      <w:r>
        <w:rPr>
          <w:rFonts w:hint="eastAsia"/>
          <w:highlight w:val="none"/>
          <w:lang w:eastAsia="zh-CN"/>
        </w:rPr>
        <w:t>。</w:t>
      </w:r>
      <w:r>
        <w:rPr>
          <w:highlight w:val="none"/>
        </w:rPr>
        <w:t>根据《环境影响评价技术导则-土壤环境》</w:t>
      </w:r>
      <w:r>
        <w:rPr>
          <w:rFonts w:hint="eastAsia"/>
          <w:highlight w:val="none"/>
          <w:lang w:eastAsia="zh-CN"/>
        </w:rPr>
        <w:t>（</w:t>
      </w:r>
      <w:r>
        <w:rPr>
          <w:highlight w:val="none"/>
        </w:rPr>
        <w:t>HJ964-2018</w:t>
      </w:r>
      <w:r>
        <w:rPr>
          <w:rFonts w:hint="eastAsia"/>
          <w:highlight w:val="none"/>
          <w:lang w:eastAsia="zh-CN"/>
        </w:rPr>
        <w:t>）</w:t>
      </w:r>
      <w:r>
        <w:rPr>
          <w:highlight w:val="none"/>
        </w:rPr>
        <w:t>，本项目土壤评价等级为三级。</w:t>
      </w:r>
    </w:p>
    <w:p>
      <w:pPr>
        <w:pStyle w:val="7"/>
        <w:bidi w:val="0"/>
        <w:rPr>
          <w:rFonts w:hint="default"/>
          <w:highlight w:val="none"/>
          <w:lang w:val="en-US" w:eastAsia="zh-CN"/>
        </w:rPr>
      </w:pPr>
      <w:r>
        <w:rPr>
          <w:rFonts w:hint="default"/>
          <w:highlight w:val="none"/>
          <w:lang w:val="en-US" w:eastAsia="zh-CN"/>
        </w:rPr>
        <w:t>表</w:t>
      </w:r>
      <w:r>
        <w:rPr>
          <w:rFonts w:hint="eastAsia"/>
          <w:highlight w:val="none"/>
          <w:lang w:val="en-US" w:eastAsia="zh-CN"/>
        </w:rPr>
        <w:t>6.2</w:t>
      </w:r>
      <w:r>
        <w:rPr>
          <w:rFonts w:hint="default"/>
          <w:highlight w:val="none"/>
          <w:lang w:val="en-US" w:eastAsia="zh-CN"/>
        </w:rPr>
        <w:t>-1</w:t>
      </w:r>
      <w:r>
        <w:rPr>
          <w:rFonts w:hint="eastAsia"/>
          <w:highlight w:val="none"/>
          <w:lang w:val="en-US" w:eastAsia="zh-CN"/>
        </w:rPr>
        <w:t>5</w:t>
      </w:r>
      <w:r>
        <w:rPr>
          <w:rFonts w:hint="default"/>
          <w:highlight w:val="none"/>
          <w:lang w:val="en-US" w:eastAsia="zh-CN"/>
        </w:rPr>
        <w:t xml:space="preserve">  污染影响型评价工作等级划分表</w:t>
      </w:r>
    </w:p>
    <w:tbl>
      <w:tblPr>
        <w:tblStyle w:val="1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751"/>
        <w:gridCol w:w="751"/>
        <w:gridCol w:w="753"/>
        <w:gridCol w:w="751"/>
        <w:gridCol w:w="751"/>
        <w:gridCol w:w="753"/>
        <w:gridCol w:w="752"/>
        <w:gridCol w:w="752"/>
        <w:gridCol w:w="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pct"/>
            <w:vMerge w:val="restart"/>
            <w:tcBorders>
              <w:tl2br w:val="nil"/>
              <w:tr2bl w:val="nil"/>
            </w:tcBorders>
            <w:noWrap w:val="0"/>
            <w:vAlign w:val="center"/>
            <mc:AlternateContent>
              <mc:Choice Requires="wpsCustomData">
                <wpsCustomData:diagonals>
                  <wpsCustomData:diagonal from="30000" to="6500">
                    <wpsCustomData:border w:val="single" w:color="auto" w:sz="12" w:space="0"/>
                  </wpsCustomData:diagonal>
                  <wpsCustomData:diagonal from="15000" to="30000">
                    <wpsCustomData:border w:val="single" w:color="auto" w:sz="12" w:space="0"/>
                  </wpsCustomData:diagonal>
                </wpsCustomData:diagonals>
              </mc:Choice>
            </mc:AlternateContent>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p>
          <w:p>
            <w:pPr>
              <w:widowControl w:val="0"/>
              <w:autoSpaceDE w:val="0"/>
              <w:autoSpaceDN w:val="0"/>
              <w:adjustRightInd w:val="0"/>
              <w:snapToGrid w:val="0"/>
              <w:spacing w:line="240" w:lineRule="auto"/>
              <w:ind w:firstLine="0" w:firstLineChars="0"/>
              <w:jc w:val="center"/>
              <mc:AlternateContent>
                <mc:Choice Requires="wpsCustomData">
                  <wpsCustomData:diagonalParaType/>
                </mc:Choice>
              </mc:AlternateContent>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eastAsia" w:ascii="Times New Roman" w:hAnsi="Times New Roman" w:eastAsia="宋体" w:cs="Times New Roman"/>
                <w:b w:val="0"/>
                <w:bCs w:val="0"/>
                <w:color w:val="auto"/>
                <w:spacing w:val="0"/>
                <w:kern w:val="2"/>
                <w:sz w:val="21"/>
                <w:szCs w:val="21"/>
                <w:highlight w:val="none"/>
                <w:u w:val="none" w:color="auto"/>
                <w:lang w:val="en-US" w:eastAsia="zh-CN" w:bidi="ar-SA"/>
              </w:rPr>
              <w:t>敏感程度</w:t>
            </w:r>
          </w:p>
          <w:p>
            <w:pPr>
              <w:widowControl w:val="0"/>
              <w:autoSpaceDE w:val="0"/>
              <w:autoSpaceDN w:val="0"/>
              <w:adjustRightInd w:val="0"/>
              <w:snapToGrid w:val="0"/>
              <w:spacing w:line="240" w:lineRule="auto"/>
              <w:ind w:firstLine="0" w:firstLineChars="0"/>
              <w:jc w:val="center"/>
              <mc:AlternateContent>
                <mc:Choice Requires="wpsCustomData">
                  <wpsCustomData:diagonalParaType/>
                </mc:Choice>
              </mc:AlternateContent>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评价工作等级</w:t>
            </w:r>
          </w:p>
          <w:p>
            <w:pPr>
              <w:widowControl w:val="0"/>
              <w:autoSpaceDE w:val="0"/>
              <w:autoSpaceDN w:val="0"/>
              <w:adjustRightInd w:val="0"/>
              <w:snapToGrid w:val="0"/>
              <w:spacing w:line="240" w:lineRule="auto"/>
              <w:ind w:firstLine="0" w:firstLineChars="0"/>
              <w:jc w:val="left"/>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占地规模</w:t>
            </w:r>
          </w:p>
        </w:tc>
        <w:tc>
          <w:tcPr>
            <w:tcW w:w="1324" w:type="pct"/>
            <w:gridSpan w:val="3"/>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Ⅰ类</w:t>
            </w:r>
          </w:p>
        </w:tc>
        <w:tc>
          <w:tcPr>
            <w:tcW w:w="1324" w:type="pct"/>
            <w:gridSpan w:val="3"/>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Ⅱ类</w:t>
            </w:r>
          </w:p>
        </w:tc>
        <w:tc>
          <w:tcPr>
            <w:tcW w:w="1324" w:type="pct"/>
            <w:gridSpan w:val="3"/>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25" w:type="pct"/>
            <w:vMerge w:val="continue"/>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pacing w:val="0"/>
                <w:sz w:val="24"/>
                <w:szCs w:val="24"/>
                <w:highlight w:val="none"/>
                <w:lang w:val="en-US" w:eastAsia="zh-CN" w:bidi="ar-SA"/>
              </w:rPr>
            </w:pP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中</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小</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中</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小</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中</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pacing w:val="0"/>
                <w:sz w:val="24"/>
                <w:szCs w:val="24"/>
                <w:highlight w:val="none"/>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敏感</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一级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一级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一级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pacing w:val="0"/>
                <w:sz w:val="24"/>
                <w:szCs w:val="24"/>
                <w:highlight w:val="none"/>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较敏感</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一级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一级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auto"/>
                <w:spacing w:val="0"/>
                <w:sz w:val="24"/>
                <w:szCs w:val="24"/>
                <w:highlight w:val="none"/>
                <w:lang w:val="en-US" w:eastAsia="zh-CN" w:bidi="ar-SA"/>
              </w:rPr>
            </w:pPr>
            <w:r>
              <w:rPr>
                <w:rFonts w:hint="default" w:ascii="Times New Roman" w:hAnsi="Times New Roman" w:eastAsia="宋体" w:cs="Times New Roman"/>
                <w:b w:val="0"/>
                <w:bCs w:val="0"/>
                <w:color w:val="auto"/>
                <w:spacing w:val="0"/>
                <w:sz w:val="21"/>
                <w:szCs w:val="21"/>
                <w:highlight w:val="none"/>
                <w:u w:val="none" w:color="auto"/>
                <w:lang w:val="en-US" w:eastAsia="zh-CN" w:bidi="ar-SA"/>
              </w:rPr>
              <w:t>不敏感</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一级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二级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三级</w:t>
            </w:r>
          </w:p>
        </w:tc>
        <w:tc>
          <w:tcPr>
            <w:tcW w:w="441"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 xml:space="preserve">-- </w:t>
            </w:r>
          </w:p>
        </w:tc>
        <w:tc>
          <w:tcPr>
            <w:tcW w:w="442" w:type="pct"/>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l2br w:val="nil"/>
              <w:tr2bl w:val="nil"/>
            </w:tcBorders>
            <w:noWrap w:val="0"/>
            <w:vAlign w:val="center"/>
          </w:tcPr>
          <w:p>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kern w:val="2"/>
                <w:sz w:val="21"/>
                <w:szCs w:val="21"/>
                <w:highlight w:val="none"/>
                <w:u w:val="none" w:color="auto"/>
                <w:lang w:val="en-US" w:eastAsia="zh-CN" w:bidi="ar-SA"/>
              </w:rPr>
              <w:t>注：“--”表示可不开展土壤环境影响评价工作。</w:t>
            </w:r>
          </w:p>
        </w:tc>
      </w:tr>
    </w:tbl>
    <w:p>
      <w:pPr>
        <w:bidi w:val="0"/>
        <w:rPr>
          <w:highlight w:val="none"/>
        </w:rPr>
      </w:pPr>
      <w:r>
        <w:rPr>
          <w:highlight w:val="none"/>
        </w:rPr>
        <w:t>（5）区域土壤利用状况</w:t>
      </w:r>
    </w:p>
    <w:p>
      <w:pPr>
        <w:bidi w:val="0"/>
        <w:rPr>
          <w:highlight w:val="none"/>
        </w:rPr>
      </w:pPr>
      <w:r>
        <w:rPr>
          <w:highlight w:val="none"/>
        </w:rPr>
        <w:t>本项目为</w:t>
      </w:r>
      <w:r>
        <w:rPr>
          <w:rFonts w:hint="eastAsia"/>
          <w:highlight w:val="none"/>
          <w:lang w:eastAsia="zh-CN"/>
        </w:rPr>
        <w:t>湖南双宏养殖有限公司</w:t>
      </w:r>
      <w:r>
        <w:rPr>
          <w:highlight w:val="none"/>
        </w:rPr>
        <w:t>年出栏</w:t>
      </w:r>
      <w:r>
        <w:rPr>
          <w:rFonts w:hint="eastAsia"/>
          <w:highlight w:val="none"/>
          <w:lang w:val="en-US" w:eastAsia="zh-CN"/>
        </w:rPr>
        <w:t>11</w:t>
      </w:r>
      <w:r>
        <w:rPr>
          <w:highlight w:val="none"/>
        </w:rPr>
        <w:t>000头生猪养殖项目，项目选址已通过</w:t>
      </w:r>
      <w:r>
        <w:rPr>
          <w:rFonts w:hint="eastAsia"/>
          <w:highlight w:val="none"/>
          <w:lang w:eastAsia="zh-CN"/>
        </w:rPr>
        <w:t>当地村民委员会、乡镇人民政府、生态环境局、自然资源局、林业局、水利局、农业农村局的联审联批</w:t>
      </w:r>
      <w:r>
        <w:rPr>
          <w:rFonts w:hint="eastAsia"/>
          <w:highlight w:val="none"/>
        </w:rPr>
        <w:t>。</w:t>
      </w:r>
    </w:p>
    <w:p>
      <w:pPr>
        <w:bidi w:val="0"/>
        <w:rPr>
          <w:highlight w:val="none"/>
        </w:rPr>
      </w:pPr>
      <w:r>
        <w:rPr>
          <w:highlight w:val="none"/>
        </w:rPr>
        <w:t>根据现场调查，本项目建设地点周围为主要为</w:t>
      </w:r>
      <w:r>
        <w:rPr>
          <w:rFonts w:hint="eastAsia"/>
          <w:highlight w:val="none"/>
          <w:lang w:eastAsia="zh-CN"/>
        </w:rPr>
        <w:t>荒地、</w:t>
      </w:r>
      <w:r>
        <w:rPr>
          <w:highlight w:val="none"/>
        </w:rPr>
        <w:t>林地等，项目周围无工业污染源。项目场地内主要以松树、杉树等乔木及灌木为主，无保护林类，不属于保护林地及工业林地。本项目总占地面积约</w:t>
      </w:r>
      <w:r>
        <w:rPr>
          <w:rFonts w:hint="eastAsia"/>
          <w:highlight w:val="none"/>
          <w:lang w:val="en-US" w:eastAsia="zh-CN"/>
        </w:rPr>
        <w:t>7213</w:t>
      </w:r>
      <w:r>
        <w:rPr>
          <w:highlight w:val="none"/>
        </w:rPr>
        <w:t>m</w:t>
      </w:r>
      <w:r>
        <w:rPr>
          <w:highlight w:val="none"/>
          <w:vertAlign w:val="superscript"/>
        </w:rPr>
        <w:t>2</w:t>
      </w:r>
      <w:r>
        <w:rPr>
          <w:highlight w:val="none"/>
        </w:rPr>
        <w:t>，建设用地面积约</w:t>
      </w:r>
      <w:r>
        <w:rPr>
          <w:rFonts w:hint="eastAsia"/>
          <w:highlight w:val="none"/>
          <w:lang w:val="en-US" w:eastAsia="zh-CN"/>
        </w:rPr>
        <w:t>5802.8</w:t>
      </w:r>
      <w:r>
        <w:rPr>
          <w:highlight w:val="none"/>
        </w:rPr>
        <w:t>m</w:t>
      </w:r>
      <w:r>
        <w:rPr>
          <w:highlight w:val="none"/>
          <w:vertAlign w:val="superscript"/>
        </w:rPr>
        <w:t>2</w:t>
      </w:r>
      <w:r>
        <w:rPr>
          <w:highlight w:val="none"/>
        </w:rPr>
        <w:t>， 剩余林地及荒地、草地最大限度保留。</w:t>
      </w:r>
    </w:p>
    <w:p>
      <w:pPr>
        <w:bidi w:val="0"/>
        <w:rPr>
          <w:highlight w:val="none"/>
        </w:rPr>
      </w:pPr>
      <w:r>
        <w:rPr>
          <w:highlight w:val="none"/>
        </w:rPr>
        <w:t>（6）土壤环境影响分析</w:t>
      </w:r>
    </w:p>
    <w:p>
      <w:pPr>
        <w:bidi w:val="0"/>
        <w:rPr>
          <w:highlight w:val="none"/>
        </w:rPr>
      </w:pPr>
      <w:r>
        <w:rPr>
          <w:highlight w:val="none"/>
        </w:rPr>
        <w:t>根据本项目拟采取的分区防渗措施，项目猪舍</w:t>
      </w:r>
      <w:r>
        <w:rPr>
          <w:rFonts w:hint="eastAsia"/>
          <w:highlight w:val="none"/>
          <w:lang w:eastAsia="zh-CN"/>
        </w:rPr>
        <w:t>、污水处理站</w:t>
      </w:r>
      <w:r>
        <w:rPr>
          <w:highlight w:val="none"/>
        </w:rPr>
        <w:t>以及医疗固废暂存间等均属于重点防渗区，在采取相应措施后（详见</w:t>
      </w:r>
      <w:r>
        <w:rPr>
          <w:rFonts w:hint="eastAsia"/>
          <w:highlight w:val="none"/>
          <w:lang w:val="en-US" w:eastAsia="zh-CN"/>
        </w:rPr>
        <w:t>6</w:t>
      </w:r>
      <w:r>
        <w:rPr>
          <w:highlight w:val="none"/>
        </w:rPr>
        <w:t>.2.</w:t>
      </w:r>
      <w:r>
        <w:rPr>
          <w:rFonts w:hint="eastAsia"/>
          <w:highlight w:val="none"/>
          <w:lang w:val="en-US" w:eastAsia="zh-CN"/>
        </w:rPr>
        <w:t>3</w:t>
      </w:r>
      <w:r>
        <w:rPr>
          <w:highlight w:val="none"/>
        </w:rPr>
        <w:t xml:space="preserve"> 地下水环境影响分析），不会造成废水下渗，不会对土壤环境产生明显影响。</w:t>
      </w:r>
    </w:p>
    <w:p>
      <w:pPr>
        <w:bidi w:val="0"/>
        <w:rPr>
          <w:highlight w:val="none"/>
        </w:rPr>
      </w:pPr>
      <w:r>
        <w:rPr>
          <w:rFonts w:hint="eastAsia"/>
          <w:highlight w:val="none"/>
        </w:rPr>
        <w:t>本项目采用</w:t>
      </w:r>
      <w:r>
        <w:rPr>
          <w:rFonts w:hint="eastAsia"/>
          <w:highlight w:val="none"/>
          <w:lang w:eastAsia="zh-CN"/>
        </w:rPr>
        <w:t>干清粪</w:t>
      </w:r>
      <w:r>
        <w:rPr>
          <w:rFonts w:hint="eastAsia"/>
          <w:highlight w:val="none"/>
        </w:rPr>
        <w:t>处理工艺，</w:t>
      </w:r>
      <w:r>
        <w:rPr>
          <w:rFonts w:hint="eastAsia"/>
          <w:highlight w:val="none"/>
          <w:lang w:eastAsia="zh-CN"/>
        </w:rPr>
        <w:t>采取</w:t>
      </w:r>
      <w:r>
        <w:rPr>
          <w:rFonts w:hint="eastAsia"/>
          <w:highlight w:val="none"/>
        </w:rPr>
        <w:t>固液分离，养殖粪污分离出来的固态作为有机肥原料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。本项目有机肥的施肥应严格按照《畜禽粪污土地承载力测算技术指南》中规定的土地承载力进行施肥。因此，不会破坏周边土地的肥力承载力。</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6</w:t>
      </w:r>
      <w:r>
        <w:rPr>
          <w:rFonts w:ascii="Times New Roman" w:hAnsi="Times New Roman" w:eastAsia="Times New Roman" w:cs="Times New Roman"/>
          <w:b/>
          <w:bCs/>
          <w:spacing w:val="-2"/>
          <w:sz w:val="28"/>
          <w:szCs w:val="28"/>
          <w:highlight w:val="none"/>
        </w:rPr>
        <w:t>.2.7</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2"/>
          <w:sz w:val="28"/>
          <w:szCs w:val="28"/>
          <w:highlight w:val="none"/>
        </w:rPr>
        <w:t>生态影响分析</w:t>
      </w:r>
    </w:p>
    <w:p>
      <w:pPr>
        <w:bidi w:val="0"/>
        <w:rPr>
          <w:highlight w:val="none"/>
        </w:rPr>
      </w:pPr>
      <w:r>
        <w:rPr>
          <w:highlight w:val="none"/>
        </w:rPr>
        <w:t>（1）生态系统组成变化</w:t>
      </w:r>
    </w:p>
    <w:p>
      <w:pPr>
        <w:bidi w:val="0"/>
        <w:rPr>
          <w:highlight w:val="none"/>
        </w:rPr>
      </w:pPr>
      <w:r>
        <w:rPr>
          <w:highlight w:val="none"/>
        </w:rPr>
        <w:t>本项目土地建设前用地性质为林地、</w:t>
      </w:r>
      <w:r>
        <w:rPr>
          <w:rFonts w:hint="eastAsia"/>
          <w:highlight w:val="none"/>
          <w:lang w:eastAsia="zh-CN"/>
        </w:rPr>
        <w:t>荒地</w:t>
      </w:r>
      <w:r>
        <w:rPr>
          <w:highlight w:val="none"/>
        </w:rPr>
        <w:t>。项目占用林地、</w:t>
      </w:r>
      <w:r>
        <w:rPr>
          <w:rFonts w:hint="eastAsia"/>
          <w:highlight w:val="none"/>
          <w:lang w:eastAsia="zh-CN"/>
        </w:rPr>
        <w:t>荒地</w:t>
      </w:r>
      <w:r>
        <w:rPr>
          <w:highlight w:val="none"/>
        </w:rPr>
        <w:t>不属于保护林类，生态系统的现状植被以乔木、灌木居多。</w:t>
      </w:r>
    </w:p>
    <w:p>
      <w:pPr>
        <w:bidi w:val="0"/>
        <w:rPr>
          <w:highlight w:val="none"/>
        </w:rPr>
      </w:pPr>
      <w:r>
        <w:rPr>
          <w:highlight w:val="none"/>
        </w:rPr>
        <w:t>本项目总建筑占地面积约为</w:t>
      </w:r>
      <w:r>
        <w:rPr>
          <w:rFonts w:hint="eastAsia"/>
          <w:highlight w:val="none"/>
          <w:lang w:val="en-US" w:eastAsia="zh-CN"/>
        </w:rPr>
        <w:t>5802.8</w:t>
      </w:r>
      <w:r>
        <w:rPr>
          <w:highlight w:val="none"/>
        </w:rPr>
        <w:t>m</w:t>
      </w:r>
      <w:r>
        <w:rPr>
          <w:highlight w:val="none"/>
          <w:vertAlign w:val="superscript"/>
        </w:rPr>
        <w:t>2</w:t>
      </w:r>
      <w:r>
        <w:rPr>
          <w:highlight w:val="none"/>
        </w:rPr>
        <w:t>，因此对周边地区整个生态系统的结构影响很小。</w:t>
      </w:r>
    </w:p>
    <w:p>
      <w:pPr>
        <w:bidi w:val="0"/>
        <w:rPr>
          <w:highlight w:val="none"/>
        </w:rPr>
      </w:pPr>
      <w:r>
        <w:rPr>
          <w:highlight w:val="none"/>
        </w:rPr>
        <w:t>（2）生态系统功能变化</w:t>
      </w:r>
    </w:p>
    <w:p>
      <w:pPr>
        <w:bidi w:val="0"/>
        <w:rPr>
          <w:highlight w:val="none"/>
        </w:rPr>
      </w:pPr>
      <w:r>
        <w:rPr>
          <w:highlight w:val="none"/>
        </w:rPr>
        <w:t>本项目土地平整前所在地块为植物生态系统，属自然生态系统，生态系统的物流、能量流处在较低的水平，整个生态系统排放到外环境的污染物较少。本项目建设后，所在大部分地块转变为人工生态系统，物流、能量流和信息流较原生态系统大大加强，同时排到外环境的污染物也相对较原生态系统多。目前的植物生态系统有大面积的各类灌木，植物的蒸腾量较大，具有较强的水、热气候调节功能，为当地提供了良好的绿色生态环境。转变为建设用地后，地表将大部分变为人工建筑地面，同时还会种植一些人工植被，其主要功能是为生产服务。当然，区内人工种植的植被具备一定的吸收二氧化碳和放氧功能，但水、热气候的调节功能将有所减弱。本项目建设对局部水、热气候调节功能的减弱影响可由附近广阔的山体植被调节功能弥补。</w:t>
      </w:r>
    </w:p>
    <w:p>
      <w:pPr>
        <w:bidi w:val="0"/>
        <w:rPr>
          <w:highlight w:val="none"/>
        </w:rPr>
      </w:pPr>
      <w:r>
        <w:rPr>
          <w:highlight w:val="none"/>
        </w:rPr>
        <w:t>（3）地表径流变化</w:t>
      </w:r>
    </w:p>
    <w:p>
      <w:pPr>
        <w:bidi w:val="0"/>
        <w:rPr>
          <w:highlight w:val="none"/>
        </w:rPr>
      </w:pPr>
      <w:r>
        <w:rPr>
          <w:highlight w:val="none"/>
        </w:rPr>
        <w:t>本项目建设后，所在地的地表将由山林用地转变为人工建筑地面。地面径流系数将发生变化，由于人工建筑地面属硬地表，地表径流较难下渗，降雨较易形成地表径流进入周边水体，而山林泥土则可起到蓄水作用，对地表径流有一定的蓄纳缓冲功能。由于本项目建筑占地面积较少，平面布置基本按照现有地表径流流向设计，地表发生的改变范围较小。</w:t>
      </w:r>
    </w:p>
    <w:p>
      <w:pPr>
        <w:bidi w:val="0"/>
        <w:rPr>
          <w:highlight w:val="none"/>
        </w:rPr>
      </w:pPr>
      <w:r>
        <w:rPr>
          <w:highlight w:val="none"/>
        </w:rPr>
        <w:t>（4）动植物生态环境影响评价</w:t>
      </w:r>
    </w:p>
    <w:p>
      <w:pPr>
        <w:bidi w:val="0"/>
        <w:rPr>
          <w:highlight w:val="none"/>
        </w:rPr>
      </w:pPr>
      <w:r>
        <w:rPr>
          <w:highlight w:val="none"/>
        </w:rPr>
        <w:t>本项目实施后采用多种绿化形式，保持该地区的覆绿面积。本项目实施后对当地植物生态环境不会有太大影响。本项目所在地原为林地，野生动物较少，本项目建设对当地动物数量影响较小。但牲猪发生病疫，如果处理不当，对当地野生和家养动物感染，造成野生和家养动物死亡。本项目建成后，采取了较好的牲猪病疫防疫措施并制定了强有力的牲猪病疫应急预案（见风险评价专章），只要加强管理和遵照执行，牲猪发生病疫对当地野生和家养动物影响较小。</w:t>
      </w:r>
    </w:p>
    <w:p>
      <w:pPr>
        <w:pStyle w:val="24"/>
        <w:rPr>
          <w:highlight w:val="none"/>
        </w:rPr>
      </w:pPr>
    </w:p>
    <w:p>
      <w:pPr>
        <w:pStyle w:val="26"/>
        <w:rPr>
          <w:highlight w:val="none"/>
        </w:rPr>
      </w:pPr>
    </w:p>
    <w:p>
      <w:pPr>
        <w:pStyle w:val="27"/>
        <w:rPr>
          <w:highlight w:val="none"/>
        </w:rPr>
      </w:pPr>
    </w:p>
    <w:p>
      <w:pPr>
        <w:pStyle w:val="3"/>
        <w:bidi w:val="0"/>
        <w:rPr>
          <w:highlight w:val="none"/>
        </w:rPr>
      </w:pPr>
      <w:bookmarkStart w:id="74" w:name="_Toc20631"/>
      <w:bookmarkStart w:id="75" w:name="_Toc12087"/>
      <w:r>
        <w:rPr>
          <w:rFonts w:hint="eastAsia"/>
          <w:highlight w:val="none"/>
          <w:lang w:val="en-US" w:eastAsia="zh-CN"/>
        </w:rPr>
        <w:t xml:space="preserve">7  </w:t>
      </w:r>
      <w:r>
        <w:rPr>
          <w:highlight w:val="none"/>
        </w:rPr>
        <w:t>环境保护措施及其可行性论证</w:t>
      </w:r>
      <w:bookmarkEnd w:id="74"/>
      <w:bookmarkEnd w:id="75"/>
    </w:p>
    <w:p>
      <w:pPr>
        <w:bidi w:val="0"/>
        <w:rPr>
          <w:highlight w:val="none"/>
        </w:rPr>
      </w:pPr>
      <w:r>
        <w:rPr>
          <w:highlight w:val="none"/>
        </w:rPr>
        <w:t>根据《建设项目环境影响评价技术导则 总纲》（HJ2.1-2016）可知：明确提出建设项目建设阶段、生产运行阶段和服务期满后（可根据项目情况选择）拟采取的具体污染防治、生态保护、环境风险防范等环境保护措施；分析论证拟采取措施的技术可行性、经济合理性、长期稳定运行和达标排放的可靠性、满足环境质量改善和排污许可要求的可行性、生态保护和恢复效果的可达性。</w:t>
      </w:r>
    </w:p>
    <w:p>
      <w:pPr>
        <w:bidi w:val="0"/>
        <w:rPr>
          <w:highlight w:val="none"/>
        </w:rPr>
      </w:pPr>
      <w:r>
        <w:rPr>
          <w:highlight w:val="none"/>
        </w:rPr>
        <w:t>本项目施工期和运营期环境保护措施和可行性论证如下：</w:t>
      </w:r>
    </w:p>
    <w:p>
      <w:pPr>
        <w:pStyle w:val="4"/>
        <w:bidi w:val="0"/>
        <w:rPr>
          <w:highlight w:val="none"/>
        </w:rPr>
      </w:pPr>
      <w:bookmarkStart w:id="76" w:name="_Toc17663"/>
      <w:bookmarkStart w:id="77" w:name="_Toc24635"/>
      <w:r>
        <w:rPr>
          <w:rFonts w:hint="eastAsia"/>
          <w:highlight w:val="none"/>
          <w:lang w:val="en-US" w:eastAsia="zh-CN"/>
        </w:rPr>
        <w:t>7</w:t>
      </w:r>
      <w:r>
        <w:rPr>
          <w:highlight w:val="none"/>
        </w:rPr>
        <w:t>.1</w:t>
      </w:r>
      <w:r>
        <w:rPr>
          <w:rFonts w:hint="eastAsia"/>
          <w:highlight w:val="none"/>
          <w:lang w:val="en-US" w:eastAsia="zh-CN"/>
        </w:rPr>
        <w:t xml:space="preserve">  </w:t>
      </w:r>
      <w:r>
        <w:rPr>
          <w:highlight w:val="none"/>
        </w:rPr>
        <w:t>施工期环境保护措施及</w:t>
      </w:r>
      <w:r>
        <w:rPr>
          <w:rFonts w:hint="eastAsia"/>
          <w:highlight w:val="none"/>
          <w:lang w:eastAsia="zh-CN"/>
        </w:rPr>
        <w:t>其</w:t>
      </w:r>
      <w:r>
        <w:rPr>
          <w:highlight w:val="none"/>
        </w:rPr>
        <w:t>论证</w:t>
      </w:r>
      <w:bookmarkEnd w:id="76"/>
      <w:bookmarkEnd w:id="77"/>
    </w:p>
    <w:p>
      <w:pPr>
        <w:pStyle w:val="5"/>
        <w:bidi w:val="0"/>
        <w:rPr>
          <w:rFonts w:ascii="宋体" w:hAnsi="宋体" w:eastAsia="宋体" w:cs="宋体"/>
          <w:sz w:val="24"/>
          <w:szCs w:val="24"/>
          <w:highlight w:val="none"/>
        </w:rPr>
      </w:pPr>
      <w:r>
        <w:rPr>
          <w:rFonts w:hint="eastAsia" w:ascii="Times New Roman" w:hAnsi="Times New Roman" w:eastAsia="宋体" w:cs="Times New Roman"/>
          <w:b/>
          <w:bCs/>
          <w:sz w:val="24"/>
          <w:szCs w:val="24"/>
          <w:highlight w:val="none"/>
          <w:lang w:val="en-US" w:eastAsia="zh-CN"/>
        </w:rPr>
        <w:t>7</w:t>
      </w:r>
      <w:r>
        <w:rPr>
          <w:rFonts w:ascii="Times New Roman" w:hAnsi="Times New Roman" w:eastAsia="Times New Roman" w:cs="Times New Roman"/>
          <w:b/>
          <w:bCs/>
          <w:sz w:val="24"/>
          <w:szCs w:val="24"/>
          <w:highlight w:val="none"/>
        </w:rPr>
        <w:t>.1.</w:t>
      </w:r>
      <w:r>
        <w:rPr>
          <w:rFonts w:hint="eastAsia" w:ascii="Times New Roman" w:hAnsi="Times New Roman" w:eastAsia="宋体" w:cs="Times New Roman"/>
          <w:b/>
          <w:bCs/>
          <w:sz w:val="24"/>
          <w:szCs w:val="24"/>
          <w:highlight w:val="none"/>
          <w:lang w:val="en-US" w:eastAsia="zh-CN"/>
        </w:rPr>
        <w:t xml:space="preserve">1 </w:t>
      </w:r>
      <w:r>
        <w:rPr>
          <w:rFonts w:ascii="Times New Roman" w:hAnsi="Times New Roman" w:eastAsia="Times New Roman" w:cs="Times New Roman"/>
          <w:spacing w:val="8"/>
          <w:sz w:val="24"/>
          <w:szCs w:val="24"/>
          <w:highlight w:val="none"/>
        </w:rPr>
        <w:t xml:space="preserve"> </w:t>
      </w:r>
      <w:r>
        <w:rPr>
          <w:rFonts w:ascii="宋体" w:hAnsi="宋体" w:eastAsia="宋体" w:cs="宋体"/>
          <w:sz w:val="24"/>
          <w:szCs w:val="24"/>
          <w:highlight w:val="none"/>
        </w:rPr>
        <w:t>施工期大气环境保护措施及</w:t>
      </w:r>
      <w:r>
        <w:rPr>
          <w:rFonts w:hint="eastAsia" w:ascii="宋体" w:hAnsi="宋体" w:eastAsia="宋体" w:cs="宋体"/>
          <w:sz w:val="24"/>
          <w:szCs w:val="24"/>
          <w:highlight w:val="none"/>
          <w:lang w:eastAsia="zh-CN"/>
        </w:rPr>
        <w:t>其可行性</w:t>
      </w:r>
      <w:r>
        <w:rPr>
          <w:rFonts w:ascii="宋体" w:hAnsi="宋体" w:eastAsia="宋体" w:cs="宋体"/>
          <w:sz w:val="24"/>
          <w:szCs w:val="24"/>
          <w:highlight w:val="none"/>
        </w:rPr>
        <w:t>论证</w:t>
      </w:r>
    </w:p>
    <w:p>
      <w:pPr>
        <w:pStyle w:val="6"/>
        <w:bidi w:val="0"/>
        <w:rPr>
          <w:highlight w:val="none"/>
        </w:rPr>
      </w:pPr>
      <w:r>
        <w:rPr>
          <w:rFonts w:hint="eastAsia"/>
          <w:highlight w:val="none"/>
          <w:lang w:val="en-US" w:eastAsia="zh-CN"/>
        </w:rPr>
        <w:t>7</w:t>
      </w:r>
      <w:r>
        <w:rPr>
          <w:highlight w:val="none"/>
        </w:rPr>
        <w:t>.1.</w:t>
      </w:r>
      <w:r>
        <w:rPr>
          <w:rFonts w:hint="eastAsia"/>
          <w:highlight w:val="none"/>
          <w:lang w:val="en-US" w:eastAsia="zh-CN"/>
        </w:rPr>
        <w:t>1</w:t>
      </w:r>
      <w:r>
        <w:rPr>
          <w:highlight w:val="none"/>
        </w:rPr>
        <w:t>.1</w:t>
      </w:r>
      <w:r>
        <w:rPr>
          <w:rFonts w:hint="eastAsia"/>
          <w:highlight w:val="none"/>
          <w:lang w:val="en-US" w:eastAsia="zh-CN"/>
        </w:rPr>
        <w:t xml:space="preserve"> </w:t>
      </w:r>
      <w:r>
        <w:rPr>
          <w:highlight w:val="none"/>
        </w:rPr>
        <w:t xml:space="preserve"> 扬尘治理措施</w:t>
      </w:r>
    </w:p>
    <w:p>
      <w:pPr>
        <w:bidi w:val="0"/>
        <w:rPr>
          <w:highlight w:val="none"/>
        </w:rPr>
      </w:pPr>
      <w:r>
        <w:rPr>
          <w:highlight w:val="none"/>
        </w:rPr>
        <w:t>①严控工地、道路、堆场扬尘污染。积极推行绿色施工，严格执行安全文明施工标准规范，全面推行现场标准化管理。严格落实施工现场围挡、工地物料堆场覆盖、渣土运输车辆密闭等扬尘防治要求。研究渣土运输车辆密闭改装标准，确保实现渣土密闭运输。加强建设工地监督检查，督促责任单位落实降尘、压尘和抑尘措施；</w:t>
      </w:r>
    </w:p>
    <w:p>
      <w:pPr>
        <w:bidi w:val="0"/>
        <w:rPr>
          <w:highlight w:val="none"/>
        </w:rPr>
      </w:pPr>
      <w:r>
        <w:rPr>
          <w:highlight w:val="none"/>
        </w:rPr>
        <w:t>②施工材料应集中堆放材料临时堆场内，在场内堆放时需加盖篷布，避免扬尘产生；</w:t>
      </w:r>
    </w:p>
    <w:p>
      <w:pPr>
        <w:bidi w:val="0"/>
        <w:rPr>
          <w:highlight w:val="none"/>
        </w:rPr>
      </w:pPr>
      <w:r>
        <w:rPr>
          <w:highlight w:val="none"/>
        </w:rPr>
        <w:t>③风速四级以上易产生扬尘时，建议施工单位应暂停土方开挖，采取覆盖堆料、湿润等措施，有效减少扬尘污染；</w:t>
      </w:r>
    </w:p>
    <w:p>
      <w:pPr>
        <w:bidi w:val="0"/>
        <w:rPr>
          <w:highlight w:val="none"/>
        </w:rPr>
      </w:pPr>
      <w:r>
        <w:rPr>
          <w:highlight w:val="none"/>
        </w:rPr>
        <w:t>④及时清运施工废弃物，暂时不能清运的应采取覆盖等措施。</w:t>
      </w:r>
    </w:p>
    <w:p>
      <w:pPr>
        <w:bidi w:val="0"/>
        <w:rPr>
          <w:highlight w:val="none"/>
        </w:rPr>
      </w:pPr>
      <w:r>
        <w:rPr>
          <w:highlight w:val="none"/>
        </w:rPr>
        <w:t>采取以扬尘治理措施，其浓度可得到有效控制，排放浓度可控制在1.0mg/m</w:t>
      </w:r>
      <w:r>
        <w:rPr>
          <w:highlight w:val="none"/>
          <w:vertAlign w:val="superscript"/>
        </w:rPr>
        <w:t>3</w:t>
      </w:r>
      <w:r>
        <w:rPr>
          <w:highlight w:val="none"/>
        </w:rPr>
        <w:t>，能够实现达标排放，扬尘治理措施可行。</w:t>
      </w:r>
    </w:p>
    <w:p>
      <w:pPr>
        <w:pStyle w:val="6"/>
        <w:bidi w:val="0"/>
        <w:rPr>
          <w:highlight w:val="none"/>
        </w:rPr>
      </w:pPr>
      <w:r>
        <w:rPr>
          <w:rFonts w:hint="eastAsia"/>
          <w:highlight w:val="none"/>
          <w:lang w:val="en-US" w:eastAsia="zh-CN"/>
        </w:rPr>
        <w:t>7</w:t>
      </w:r>
      <w:r>
        <w:rPr>
          <w:highlight w:val="none"/>
        </w:rPr>
        <w:t>.1.</w:t>
      </w:r>
      <w:r>
        <w:rPr>
          <w:rFonts w:hint="eastAsia"/>
          <w:highlight w:val="none"/>
          <w:lang w:val="en-US" w:eastAsia="zh-CN"/>
        </w:rPr>
        <w:t>1</w:t>
      </w:r>
      <w:r>
        <w:rPr>
          <w:highlight w:val="none"/>
        </w:rPr>
        <w:t xml:space="preserve">.2 </w:t>
      </w:r>
      <w:r>
        <w:rPr>
          <w:rFonts w:hint="eastAsia"/>
          <w:highlight w:val="none"/>
          <w:lang w:val="en-US" w:eastAsia="zh-CN"/>
        </w:rPr>
        <w:t xml:space="preserve"> </w:t>
      </w:r>
      <w:r>
        <w:rPr>
          <w:highlight w:val="none"/>
        </w:rPr>
        <w:t>机械设备燃油尾气</w:t>
      </w:r>
    </w:p>
    <w:p>
      <w:pPr>
        <w:bidi w:val="0"/>
        <w:rPr>
          <w:highlight w:val="none"/>
        </w:rPr>
      </w:pPr>
      <w:r>
        <w:rPr>
          <w:highlight w:val="none"/>
        </w:rPr>
        <w:t>施工期间，使用机动车运送原材料、设备和建筑机械设备的运转，均会排放一定量的CO、NOx以及未完全燃烧的THC等，其特点是排放量小，且属间断性无组织排放。加之施工场地开阔，扩散条件良好，施工期机械废气及运输车辆汽车尾气可实现达标排放。环评要求选择环保型机械设备，运输车辆按规定方向进出，减少怠速行使，将尾气排放降到最低。在施工期内多加注意施工设备的检查维修，使其能够正常的运行，从而避免施工机械非正常运行而使产生的废气超标排放。</w:t>
      </w:r>
    </w:p>
    <w:p>
      <w:pPr>
        <w:bidi w:val="0"/>
        <w:rPr>
          <w:highlight w:val="none"/>
        </w:rPr>
      </w:pPr>
      <w:r>
        <w:rPr>
          <w:highlight w:val="none"/>
        </w:rPr>
        <w:t>采取治理措施，其浓度可得到有效控制，能够实现达标排放，治理措施可行。</w:t>
      </w:r>
    </w:p>
    <w:p>
      <w:pPr>
        <w:pStyle w:val="5"/>
        <w:bidi w:val="0"/>
        <w:rPr>
          <w:highlight w:val="none"/>
        </w:rPr>
      </w:pPr>
      <w:r>
        <w:rPr>
          <w:rFonts w:hint="eastAsia"/>
          <w:highlight w:val="none"/>
          <w:lang w:val="en-US" w:eastAsia="zh-CN"/>
        </w:rPr>
        <w:t>7</w:t>
      </w:r>
      <w:r>
        <w:rPr>
          <w:highlight w:val="none"/>
        </w:rPr>
        <w:t>.</w:t>
      </w:r>
      <w:r>
        <w:rPr>
          <w:rFonts w:hint="eastAsia"/>
          <w:highlight w:val="none"/>
          <w:lang w:val="en-US" w:eastAsia="zh-CN"/>
        </w:rPr>
        <w:t>1.2</w:t>
      </w:r>
      <w:r>
        <w:rPr>
          <w:highlight w:val="none"/>
        </w:rPr>
        <w:t xml:space="preserve"> </w:t>
      </w:r>
      <w:r>
        <w:rPr>
          <w:rFonts w:hint="eastAsia"/>
          <w:highlight w:val="none"/>
          <w:lang w:val="en-US" w:eastAsia="zh-CN"/>
        </w:rPr>
        <w:t xml:space="preserve"> </w:t>
      </w:r>
      <w:r>
        <w:rPr>
          <w:highlight w:val="none"/>
        </w:rPr>
        <w:t>施工期水环境保护措施及</w:t>
      </w:r>
      <w:r>
        <w:rPr>
          <w:rFonts w:hint="eastAsia"/>
          <w:highlight w:val="none"/>
          <w:lang w:eastAsia="zh-CN"/>
        </w:rPr>
        <w:t>其可行性</w:t>
      </w:r>
      <w:r>
        <w:rPr>
          <w:highlight w:val="none"/>
        </w:rPr>
        <w:t>论证</w:t>
      </w:r>
    </w:p>
    <w:p>
      <w:pPr>
        <w:bidi w:val="0"/>
        <w:rPr>
          <w:highlight w:val="none"/>
        </w:rPr>
      </w:pPr>
      <w:r>
        <w:rPr>
          <w:highlight w:val="none"/>
        </w:rPr>
        <w:t>施工期产生废水包括施工期产生的生产废水以及施工人员生活污水。</w:t>
      </w:r>
      <w:r>
        <w:rPr>
          <w:rFonts w:hint="eastAsia"/>
          <w:highlight w:val="none"/>
          <w:lang w:eastAsia="zh-CN"/>
        </w:rPr>
        <w:t>生产</w:t>
      </w:r>
      <w:r>
        <w:rPr>
          <w:highlight w:val="none"/>
        </w:rPr>
        <w:t>废水经沉淀池处理后上清水用于施工建设和洒水逸尘</w:t>
      </w:r>
      <w:r>
        <w:rPr>
          <w:rFonts w:hint="eastAsia"/>
          <w:highlight w:val="none"/>
          <w:lang w:eastAsia="zh-CN"/>
        </w:rPr>
        <w:t>；</w:t>
      </w:r>
      <w:r>
        <w:rPr>
          <w:highlight w:val="none"/>
        </w:rPr>
        <w:t>施工现场不设施工营地，项目施工期间人员不在施工场地食宿</w:t>
      </w:r>
      <w:r>
        <w:rPr>
          <w:rFonts w:hint="eastAsia"/>
          <w:highlight w:val="none"/>
          <w:lang w:eastAsia="zh-CN"/>
        </w:rPr>
        <w:t>，不产生生活污水</w:t>
      </w:r>
      <w:r>
        <w:rPr>
          <w:highlight w:val="none"/>
        </w:rPr>
        <w:t>。采取以上治理措施后，本项目施工期废水不会对区域地表水造成明显影响，治理措施可行。</w:t>
      </w:r>
    </w:p>
    <w:p>
      <w:pPr>
        <w:pStyle w:val="5"/>
        <w:bidi w:val="0"/>
        <w:rPr>
          <w:rFonts w:hint="eastAsia" w:eastAsia="宋体"/>
          <w:highlight w:val="none"/>
          <w:lang w:eastAsia="zh-CN"/>
        </w:rPr>
      </w:pPr>
      <w:r>
        <w:rPr>
          <w:rFonts w:hint="eastAsia"/>
          <w:highlight w:val="none"/>
          <w:lang w:val="en-US" w:eastAsia="zh-CN"/>
        </w:rPr>
        <w:t>7</w:t>
      </w:r>
      <w:r>
        <w:rPr>
          <w:highlight w:val="none"/>
        </w:rPr>
        <w:t>.1.</w:t>
      </w:r>
      <w:r>
        <w:rPr>
          <w:rFonts w:hint="eastAsia"/>
          <w:highlight w:val="none"/>
          <w:lang w:val="en-US" w:eastAsia="zh-CN"/>
        </w:rPr>
        <w:t xml:space="preserve">3 </w:t>
      </w:r>
      <w:r>
        <w:rPr>
          <w:highlight w:val="none"/>
        </w:rPr>
        <w:t xml:space="preserve"> 施工期声环境</w:t>
      </w:r>
      <w:r>
        <w:rPr>
          <w:rFonts w:hint="eastAsia"/>
          <w:highlight w:val="none"/>
          <w:lang w:eastAsia="zh-CN"/>
        </w:rPr>
        <w:t>保护</w:t>
      </w:r>
      <w:r>
        <w:rPr>
          <w:highlight w:val="none"/>
        </w:rPr>
        <w:t>措施</w:t>
      </w:r>
      <w:r>
        <w:rPr>
          <w:rFonts w:hint="eastAsia"/>
          <w:highlight w:val="none"/>
          <w:lang w:eastAsia="zh-CN"/>
        </w:rPr>
        <w:t>及其</w:t>
      </w:r>
      <w:r>
        <w:rPr>
          <w:highlight w:val="none"/>
        </w:rPr>
        <w:t>可行性</w:t>
      </w:r>
      <w:r>
        <w:rPr>
          <w:rFonts w:hint="eastAsia"/>
          <w:highlight w:val="none"/>
          <w:lang w:eastAsia="zh-CN"/>
        </w:rPr>
        <w:t>论证</w:t>
      </w:r>
    </w:p>
    <w:p>
      <w:pPr>
        <w:bidi w:val="0"/>
        <w:rPr>
          <w:highlight w:val="none"/>
        </w:rPr>
      </w:pPr>
      <w:r>
        <w:rPr>
          <w:highlight w:val="none"/>
        </w:rPr>
        <w:t>施工期声源主要为建筑材料、设备运输中车辆产生的交通噪声约70～85dB（A）之间；施工现场的各类机械设备（推土机、装载机）噪声，产噪值在70～90dB（A）之间。</w:t>
      </w:r>
    </w:p>
    <w:p>
      <w:pPr>
        <w:bidi w:val="0"/>
        <w:rPr>
          <w:highlight w:val="none"/>
        </w:rPr>
      </w:pPr>
      <w:r>
        <w:rPr>
          <w:highlight w:val="none"/>
        </w:rPr>
        <w:t>根据项目施工特点，项目通过采用低噪声机械设备、合理安排施工计划和时间以及距离防护和隔声等措施减少施工噪声对区域声环境的影响，结合施工进展，具体采取如下防治措施：在施工机械设备与基础或连接部位之间采用弹簧减振、橡胶减振、管道减振、阻尼减振技术，可减少动量，降低噪声，在高噪声设备周围设置1-3cm厚的临时隔声板，运载建筑材料及建筑垃圾的车辆要选择合适的时间、路线进行运输，运输车辆行驶路线尽量避开居民点和环境敏感点。</w:t>
      </w:r>
    </w:p>
    <w:p>
      <w:pPr>
        <w:bidi w:val="0"/>
        <w:rPr>
          <w:highlight w:val="none"/>
        </w:rPr>
      </w:pPr>
      <w:r>
        <w:rPr>
          <w:highlight w:val="none"/>
        </w:rPr>
        <w:t>对比各施工机械的噪声值及未采取措施时的距离衰减量，在采取措施后各施工机械10m处即可满足《建筑施工场界环境噪声排放标准》（GB12523-2011）的要求，各施工机械距项目边界距离均大于10m，因此本项目在采取相应措施后，施工场界噪声可满足《建筑施工场界环境噪声排放标准》（GB12523-2011）的要求，因此对周围环境影响较小，</w:t>
      </w:r>
      <w:r>
        <w:rPr>
          <w:rFonts w:hint="eastAsia"/>
          <w:highlight w:val="none"/>
          <w:lang w:eastAsia="zh-CN"/>
        </w:rPr>
        <w:t>防治</w:t>
      </w:r>
      <w:r>
        <w:rPr>
          <w:highlight w:val="none"/>
        </w:rPr>
        <w:t>措施可行。</w:t>
      </w:r>
    </w:p>
    <w:p>
      <w:pPr>
        <w:pStyle w:val="5"/>
        <w:bidi w:val="0"/>
        <w:rPr>
          <w:rFonts w:hint="eastAsia" w:ascii="黑体" w:hAnsi="黑体" w:eastAsia="黑体" w:cs="黑体"/>
          <w:sz w:val="28"/>
          <w:szCs w:val="28"/>
          <w:highlight w:val="none"/>
          <w:lang w:eastAsia="zh-CN"/>
        </w:rPr>
      </w:pPr>
      <w:r>
        <w:rPr>
          <w:rFonts w:hint="eastAsia" w:ascii="Times New Roman" w:hAnsi="Times New Roman" w:eastAsia="宋体" w:cs="Times New Roman"/>
          <w:b/>
          <w:bCs/>
          <w:spacing w:val="-1"/>
          <w:sz w:val="28"/>
          <w:szCs w:val="28"/>
          <w:highlight w:val="none"/>
          <w:lang w:val="en-US" w:eastAsia="zh-CN"/>
        </w:rPr>
        <w:t>7</w:t>
      </w:r>
      <w:r>
        <w:rPr>
          <w:rFonts w:ascii="Times New Roman" w:hAnsi="Times New Roman" w:eastAsia="Times New Roman" w:cs="Times New Roman"/>
          <w:b/>
          <w:bCs/>
          <w:spacing w:val="-1"/>
          <w:sz w:val="28"/>
          <w:szCs w:val="28"/>
          <w:highlight w:val="none"/>
        </w:rPr>
        <w:t>.1.4</w:t>
      </w:r>
      <w:r>
        <w:rPr>
          <w:rFonts w:hint="eastAsia" w:ascii="Times New Roman" w:hAnsi="Times New Roman" w:eastAsia="宋体" w:cs="Times New Roman"/>
          <w:b/>
          <w:bCs/>
          <w:spacing w:val="-1"/>
          <w:sz w:val="28"/>
          <w:szCs w:val="28"/>
          <w:highlight w:val="none"/>
          <w:lang w:val="en-US" w:eastAsia="zh-CN"/>
        </w:rPr>
        <w:t xml:space="preserve"> </w:t>
      </w:r>
      <w:r>
        <w:rPr>
          <w:rFonts w:ascii="Times New Roman" w:hAnsi="Times New Roman" w:eastAsia="Times New Roman" w:cs="Times New Roman"/>
          <w:spacing w:val="13"/>
          <w:w w:val="101"/>
          <w:sz w:val="28"/>
          <w:szCs w:val="28"/>
          <w:highlight w:val="none"/>
        </w:rPr>
        <w:t xml:space="preserve"> </w:t>
      </w:r>
      <w:r>
        <w:rPr>
          <w:rFonts w:ascii="黑体" w:hAnsi="黑体" w:eastAsia="黑体" w:cs="黑体"/>
          <w:spacing w:val="-1"/>
          <w:sz w:val="28"/>
          <w:szCs w:val="28"/>
          <w:highlight w:val="none"/>
        </w:rPr>
        <w:t>施工期固体废物防治</w:t>
      </w:r>
      <w:r>
        <w:rPr>
          <w:rFonts w:hint="eastAsia" w:ascii="黑体" w:hAnsi="黑体" w:eastAsia="黑体" w:cs="黑体"/>
          <w:spacing w:val="-1"/>
          <w:sz w:val="28"/>
          <w:szCs w:val="28"/>
          <w:highlight w:val="none"/>
          <w:lang w:eastAsia="zh-CN"/>
        </w:rPr>
        <w:t>措施及其</w:t>
      </w:r>
      <w:r>
        <w:rPr>
          <w:rFonts w:ascii="黑体" w:hAnsi="黑体" w:eastAsia="黑体" w:cs="黑体"/>
          <w:spacing w:val="-1"/>
          <w:sz w:val="28"/>
          <w:szCs w:val="28"/>
          <w:highlight w:val="none"/>
        </w:rPr>
        <w:t>可行性</w:t>
      </w:r>
      <w:r>
        <w:rPr>
          <w:rFonts w:hint="eastAsia" w:ascii="黑体" w:hAnsi="黑体" w:eastAsia="黑体" w:cs="黑体"/>
          <w:spacing w:val="-1"/>
          <w:sz w:val="28"/>
          <w:szCs w:val="28"/>
          <w:highlight w:val="none"/>
          <w:lang w:eastAsia="zh-CN"/>
        </w:rPr>
        <w:t>论证</w:t>
      </w:r>
    </w:p>
    <w:p>
      <w:pPr>
        <w:bidi w:val="0"/>
        <w:rPr>
          <w:highlight w:val="none"/>
        </w:rPr>
      </w:pPr>
      <w:r>
        <w:rPr>
          <w:highlight w:val="none"/>
        </w:rPr>
        <w:t>施工期固体废弃物主要为施工渣土及损坏或废弃的各种建筑装修材料、施工人员的生活垃圾。</w:t>
      </w:r>
    </w:p>
    <w:p>
      <w:pPr>
        <w:bidi w:val="0"/>
        <w:rPr>
          <w:highlight w:val="none"/>
        </w:rPr>
      </w:pPr>
      <w:r>
        <w:rPr>
          <w:highlight w:val="none"/>
        </w:rPr>
        <w:t>为了减少固体废物对环境产生不良影响，扩建项目在施工期应严格采取如下污染控制措施：</w:t>
      </w:r>
    </w:p>
    <w:p>
      <w:pPr>
        <w:bidi w:val="0"/>
        <w:rPr>
          <w:highlight w:val="none"/>
        </w:rPr>
      </w:pPr>
      <w:r>
        <w:rPr>
          <w:highlight w:val="none"/>
        </w:rPr>
        <w:t>（1）加强施工管理，合理安排施工进度，尽可能缩短施工时间。</w:t>
      </w:r>
    </w:p>
    <w:p>
      <w:pPr>
        <w:bidi w:val="0"/>
        <w:rPr>
          <w:highlight w:val="none"/>
        </w:rPr>
      </w:pPr>
      <w:r>
        <w:rPr>
          <w:highlight w:val="none"/>
        </w:rPr>
        <w:t>（2）地基开挖产生的土石方做到随挖、随埋、随填。剩余废弃土石方要及时清运，未在48h清运的要妥善存放在施工场地内指定地点，并加盖防尘网密闭。</w:t>
      </w:r>
    </w:p>
    <w:p>
      <w:pPr>
        <w:bidi w:val="0"/>
        <w:rPr>
          <w:highlight w:val="none"/>
        </w:rPr>
      </w:pPr>
      <w:r>
        <w:rPr>
          <w:highlight w:val="none"/>
        </w:rPr>
        <w:t>（3）施工期产生的可回收建筑材料如钢筋头、废木板等应尽量由施工单位回收利用，其它施工渣土及损坏或废弃的各种建筑装修材料施工单位应按要求运至指定地点处理，严禁随处堆放。</w:t>
      </w:r>
    </w:p>
    <w:p>
      <w:pPr>
        <w:bidi w:val="0"/>
        <w:rPr>
          <w:highlight w:val="none"/>
        </w:rPr>
      </w:pPr>
      <w:r>
        <w:rPr>
          <w:highlight w:val="none"/>
        </w:rPr>
        <w:t>（4）施工道路尽可能利用永久道路，尽量减少临时施工土路，减少风沙扬尘和水土流失的影响。</w:t>
      </w:r>
    </w:p>
    <w:p>
      <w:pPr>
        <w:bidi w:val="0"/>
        <w:rPr>
          <w:highlight w:val="none"/>
        </w:rPr>
      </w:pPr>
      <w:r>
        <w:rPr>
          <w:highlight w:val="none"/>
        </w:rPr>
        <w:t>综上，施工期固体废弃物防治措施可行。</w:t>
      </w:r>
    </w:p>
    <w:p>
      <w:pPr>
        <w:pStyle w:val="5"/>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7</w:t>
      </w:r>
      <w:r>
        <w:rPr>
          <w:rFonts w:ascii="Times New Roman" w:hAnsi="Times New Roman" w:eastAsia="Times New Roman" w:cs="Times New Roman"/>
          <w:b/>
          <w:bCs/>
          <w:spacing w:val="-1"/>
          <w:sz w:val="24"/>
          <w:szCs w:val="24"/>
          <w:highlight w:val="none"/>
        </w:rPr>
        <w:t>.1.5</w:t>
      </w:r>
      <w:r>
        <w:rPr>
          <w:rFonts w:ascii="Times New Roman" w:hAnsi="Times New Roman" w:eastAsia="Times New Roman" w:cs="Times New Roman"/>
          <w:spacing w:val="7"/>
          <w:w w:val="101"/>
          <w:sz w:val="24"/>
          <w:szCs w:val="24"/>
          <w:highlight w:val="none"/>
        </w:rPr>
        <w:t xml:space="preserve">  </w:t>
      </w:r>
      <w:r>
        <w:rPr>
          <w:rFonts w:ascii="宋体" w:hAnsi="宋体" w:eastAsia="宋体" w:cs="宋体"/>
          <w:spacing w:val="-1"/>
          <w:sz w:val="24"/>
          <w:szCs w:val="24"/>
          <w:highlight w:val="none"/>
        </w:rPr>
        <w:t>施工生态</w:t>
      </w:r>
      <w:r>
        <w:rPr>
          <w:highlight w:val="none"/>
        </w:rPr>
        <w:t>环境</w:t>
      </w:r>
      <w:r>
        <w:rPr>
          <w:rFonts w:hint="eastAsia"/>
          <w:highlight w:val="none"/>
          <w:lang w:eastAsia="zh-CN"/>
        </w:rPr>
        <w:t>保护</w:t>
      </w:r>
      <w:r>
        <w:rPr>
          <w:highlight w:val="none"/>
        </w:rPr>
        <w:t>措施</w:t>
      </w:r>
      <w:r>
        <w:rPr>
          <w:rFonts w:hint="eastAsia"/>
          <w:highlight w:val="none"/>
          <w:lang w:eastAsia="zh-CN"/>
        </w:rPr>
        <w:t>及其</w:t>
      </w:r>
      <w:r>
        <w:rPr>
          <w:highlight w:val="none"/>
        </w:rPr>
        <w:t>可行性</w:t>
      </w:r>
      <w:r>
        <w:rPr>
          <w:rFonts w:hint="eastAsia"/>
          <w:highlight w:val="none"/>
          <w:lang w:eastAsia="zh-CN"/>
        </w:rPr>
        <w:t>论证</w:t>
      </w:r>
    </w:p>
    <w:p>
      <w:pPr>
        <w:bidi w:val="0"/>
        <w:rPr>
          <w:highlight w:val="none"/>
        </w:rPr>
      </w:pPr>
      <w:r>
        <w:rPr>
          <w:highlight w:val="none"/>
        </w:rPr>
        <w:t>为防止水土流失和恢复绿化，施工中应进一步采取如下措施：</w:t>
      </w:r>
    </w:p>
    <w:p>
      <w:pPr>
        <w:bidi w:val="0"/>
        <w:rPr>
          <w:highlight w:val="none"/>
        </w:rPr>
      </w:pPr>
      <w:r>
        <w:rPr>
          <w:highlight w:val="none"/>
        </w:rPr>
        <w:t>（1）项目应在场地周围设置截水沟、场地内设置排水沟等排水设施，场地 内的雨水可确保顺利外排，废水处理达标后能及时外排。</w:t>
      </w:r>
    </w:p>
    <w:p>
      <w:pPr>
        <w:bidi w:val="0"/>
        <w:rPr>
          <w:highlight w:val="none"/>
        </w:rPr>
      </w:pPr>
      <w:r>
        <w:rPr>
          <w:highlight w:val="none"/>
        </w:rPr>
        <w:t>（2）取土场地、开挖面等裸露地应尽快恢复土层和植被。在选择开采面时 不要靠近路边，减少水土流失，并选择在较隐蔽的地方，有利于保持景观。</w:t>
      </w:r>
    </w:p>
    <w:p>
      <w:pPr>
        <w:bidi w:val="0"/>
        <w:rPr>
          <w:highlight w:val="none"/>
        </w:rPr>
      </w:pPr>
      <w:r>
        <w:rPr>
          <w:highlight w:val="none"/>
        </w:rPr>
        <w:t>（3）雨季施工期易造成水土流失，要注意施工场地建筑材料堆放及施工过 程弃土的雨水冲刷问题。建筑材料不能露天堆放在路边， 弃土合理利用， 及时回 填于低洼地带。</w:t>
      </w:r>
    </w:p>
    <w:p>
      <w:pPr>
        <w:bidi w:val="0"/>
        <w:rPr>
          <w:highlight w:val="none"/>
        </w:rPr>
      </w:pPr>
      <w:r>
        <w:rPr>
          <w:highlight w:val="none"/>
        </w:rPr>
        <w:t>（4）避开暴雨期施工。</w:t>
      </w:r>
    </w:p>
    <w:p>
      <w:pPr>
        <w:bidi w:val="0"/>
        <w:rPr>
          <w:highlight w:val="none"/>
        </w:rPr>
      </w:pPr>
      <w:r>
        <w:rPr>
          <w:highlight w:val="none"/>
        </w:rPr>
        <w:t>（5）在项目建设的同时应及时搞好场址内的植树、绿化及地面硬化，工程建成后，场地内应无裸露地面，使区域水土保持功能得到加强。</w:t>
      </w:r>
    </w:p>
    <w:p>
      <w:pPr>
        <w:bidi w:val="0"/>
        <w:rPr>
          <w:highlight w:val="none"/>
        </w:rPr>
      </w:pPr>
      <w:r>
        <w:rPr>
          <w:highlight w:val="none"/>
        </w:rPr>
        <w:t>采取上述措施后，可减轻本项目施工过程中对植被的破坏，最大程度降低水土流失，措施合理。</w:t>
      </w:r>
    </w:p>
    <w:p>
      <w:pPr>
        <w:pStyle w:val="4"/>
        <w:bidi w:val="0"/>
        <w:rPr>
          <w:rFonts w:hint="eastAsia" w:ascii="宋体" w:hAnsi="宋体" w:eastAsia="宋体" w:cs="宋体"/>
          <w:sz w:val="28"/>
          <w:szCs w:val="28"/>
          <w:highlight w:val="none"/>
          <w:lang w:eastAsia="zh-CN"/>
        </w:rPr>
      </w:pPr>
      <w:bookmarkStart w:id="78" w:name="_Toc23229"/>
      <w:bookmarkStart w:id="79" w:name="_Toc4683"/>
      <w:r>
        <w:rPr>
          <w:rFonts w:hint="eastAsia" w:ascii="Times New Roman" w:hAnsi="Times New Roman" w:eastAsia="宋体" w:cs="Times New Roman"/>
          <w:b/>
          <w:bCs/>
          <w:spacing w:val="-1"/>
          <w:sz w:val="28"/>
          <w:szCs w:val="28"/>
          <w:highlight w:val="none"/>
          <w:lang w:val="en-US" w:eastAsia="zh-CN"/>
        </w:rPr>
        <w:t>7</w:t>
      </w:r>
      <w:r>
        <w:rPr>
          <w:rFonts w:ascii="Times New Roman" w:hAnsi="Times New Roman" w:eastAsia="Times New Roman" w:cs="Times New Roman"/>
          <w:b/>
          <w:bCs/>
          <w:spacing w:val="-1"/>
          <w:sz w:val="28"/>
          <w:szCs w:val="28"/>
          <w:highlight w:val="none"/>
        </w:rPr>
        <w:t>.2</w:t>
      </w:r>
      <w:r>
        <w:rPr>
          <w:rFonts w:ascii="Times New Roman" w:hAnsi="Times New Roman" w:eastAsia="Times New Roman" w:cs="Times New Roman"/>
          <w:spacing w:val="22"/>
          <w:w w:val="101"/>
          <w:sz w:val="28"/>
          <w:szCs w:val="28"/>
          <w:highlight w:val="none"/>
        </w:rPr>
        <w:t xml:space="preserve"> </w:t>
      </w:r>
      <w:r>
        <w:rPr>
          <w:rFonts w:hint="eastAsia" w:ascii="Times New Roman" w:hAnsi="Times New Roman" w:eastAsia="宋体" w:cs="Times New Roman"/>
          <w:spacing w:val="22"/>
          <w:w w:val="101"/>
          <w:sz w:val="28"/>
          <w:szCs w:val="28"/>
          <w:highlight w:val="none"/>
          <w:lang w:val="en-US" w:eastAsia="zh-CN"/>
        </w:rPr>
        <w:t xml:space="preserve"> </w:t>
      </w:r>
      <w:r>
        <w:rPr>
          <w:rFonts w:ascii="宋体" w:hAnsi="宋体" w:eastAsia="宋体" w:cs="宋体"/>
          <w:spacing w:val="-1"/>
          <w:sz w:val="28"/>
          <w:szCs w:val="28"/>
          <w:highlight w:val="none"/>
        </w:rPr>
        <w:t>营运期污染</w:t>
      </w:r>
      <w:r>
        <w:rPr>
          <w:rFonts w:hint="eastAsia" w:ascii="宋体" w:hAnsi="宋体" w:eastAsia="宋体" w:cs="宋体"/>
          <w:spacing w:val="-1"/>
          <w:sz w:val="28"/>
          <w:szCs w:val="28"/>
          <w:highlight w:val="none"/>
          <w:lang w:eastAsia="zh-CN"/>
        </w:rPr>
        <w:t>保护</w:t>
      </w:r>
      <w:r>
        <w:rPr>
          <w:rFonts w:ascii="宋体" w:hAnsi="宋体" w:eastAsia="宋体" w:cs="宋体"/>
          <w:spacing w:val="-1"/>
          <w:sz w:val="28"/>
          <w:szCs w:val="28"/>
          <w:highlight w:val="none"/>
        </w:rPr>
        <w:t>措施</w:t>
      </w:r>
      <w:r>
        <w:rPr>
          <w:rFonts w:hint="eastAsia" w:ascii="宋体" w:hAnsi="宋体" w:eastAsia="宋体" w:cs="宋体"/>
          <w:spacing w:val="-1"/>
          <w:sz w:val="28"/>
          <w:szCs w:val="28"/>
          <w:highlight w:val="none"/>
          <w:lang w:eastAsia="zh-CN"/>
        </w:rPr>
        <w:t>及其</w:t>
      </w:r>
      <w:r>
        <w:rPr>
          <w:rFonts w:ascii="宋体" w:hAnsi="宋体" w:eastAsia="宋体" w:cs="宋体"/>
          <w:spacing w:val="-1"/>
          <w:sz w:val="28"/>
          <w:szCs w:val="28"/>
          <w:highlight w:val="none"/>
        </w:rPr>
        <w:t>可行性</w:t>
      </w:r>
      <w:r>
        <w:rPr>
          <w:rFonts w:hint="eastAsia" w:ascii="宋体" w:hAnsi="宋体" w:eastAsia="宋体" w:cs="宋体"/>
          <w:spacing w:val="-1"/>
          <w:sz w:val="28"/>
          <w:szCs w:val="28"/>
          <w:highlight w:val="none"/>
          <w:lang w:eastAsia="zh-CN"/>
        </w:rPr>
        <w:t>论证</w:t>
      </w:r>
      <w:bookmarkEnd w:id="78"/>
      <w:bookmarkEnd w:id="79"/>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1"/>
          <w:sz w:val="28"/>
          <w:szCs w:val="28"/>
          <w:highlight w:val="none"/>
          <w:lang w:val="en-US" w:eastAsia="zh-CN"/>
        </w:rPr>
        <w:t>7</w:t>
      </w:r>
      <w:r>
        <w:rPr>
          <w:rFonts w:ascii="Times New Roman" w:hAnsi="Times New Roman" w:eastAsia="Times New Roman" w:cs="Times New Roman"/>
          <w:b/>
          <w:bCs/>
          <w:spacing w:val="-1"/>
          <w:sz w:val="28"/>
          <w:szCs w:val="28"/>
          <w:highlight w:val="none"/>
        </w:rPr>
        <w:t>.2.</w:t>
      </w:r>
      <w:r>
        <w:rPr>
          <w:rFonts w:hint="eastAsia" w:ascii="Times New Roman" w:hAnsi="Times New Roman" w:eastAsia="宋体" w:cs="Times New Roman"/>
          <w:b/>
          <w:bCs/>
          <w:spacing w:val="-1"/>
          <w:sz w:val="28"/>
          <w:szCs w:val="28"/>
          <w:highlight w:val="none"/>
          <w:lang w:val="en-US" w:eastAsia="zh-CN"/>
        </w:rPr>
        <w:t xml:space="preserve">1 </w:t>
      </w:r>
      <w:r>
        <w:rPr>
          <w:rFonts w:ascii="Times New Roman" w:hAnsi="Times New Roman" w:eastAsia="Times New Roman" w:cs="Times New Roman"/>
          <w:spacing w:val="6"/>
          <w:sz w:val="28"/>
          <w:szCs w:val="28"/>
          <w:highlight w:val="none"/>
        </w:rPr>
        <w:t xml:space="preserve"> </w:t>
      </w:r>
      <w:r>
        <w:rPr>
          <w:rFonts w:ascii="黑体" w:hAnsi="黑体" w:eastAsia="黑体" w:cs="黑体"/>
          <w:spacing w:val="-1"/>
          <w:sz w:val="28"/>
          <w:szCs w:val="28"/>
          <w:highlight w:val="none"/>
        </w:rPr>
        <w:t>废气防治措施可行性论证</w:t>
      </w:r>
    </w:p>
    <w:p>
      <w:pPr>
        <w:pStyle w:val="6"/>
        <w:bidi w:val="0"/>
        <w:rPr>
          <w:rFonts w:ascii="宋体" w:hAnsi="宋体" w:eastAsia="宋体" w:cs="宋体"/>
          <w:sz w:val="24"/>
          <w:szCs w:val="24"/>
          <w:highlight w:val="none"/>
          <w:u w:val="single"/>
        </w:rPr>
      </w:pPr>
      <w:r>
        <w:rPr>
          <w:rFonts w:hint="eastAsia" w:ascii="Times New Roman" w:hAnsi="Times New Roman" w:eastAsia="宋体" w:cs="Times New Roman"/>
          <w:b/>
          <w:bCs/>
          <w:spacing w:val="-1"/>
          <w:sz w:val="24"/>
          <w:szCs w:val="24"/>
          <w:highlight w:val="none"/>
          <w:u w:val="single"/>
          <w:lang w:val="en-US" w:eastAsia="zh-CN"/>
        </w:rPr>
        <w:t>7</w:t>
      </w:r>
      <w:r>
        <w:rPr>
          <w:rFonts w:ascii="Times New Roman" w:hAnsi="Times New Roman" w:eastAsia="Times New Roman" w:cs="Times New Roman"/>
          <w:b/>
          <w:bCs/>
          <w:spacing w:val="-1"/>
          <w:sz w:val="24"/>
          <w:szCs w:val="24"/>
          <w:highlight w:val="none"/>
          <w:u w:val="single"/>
        </w:rPr>
        <w:t>.2.</w:t>
      </w:r>
      <w:r>
        <w:rPr>
          <w:rFonts w:hint="eastAsia" w:ascii="Times New Roman" w:hAnsi="Times New Roman" w:eastAsia="宋体" w:cs="Times New Roman"/>
          <w:b/>
          <w:bCs/>
          <w:spacing w:val="-1"/>
          <w:sz w:val="24"/>
          <w:szCs w:val="24"/>
          <w:highlight w:val="none"/>
          <w:u w:val="single"/>
          <w:lang w:val="en-US" w:eastAsia="zh-CN"/>
        </w:rPr>
        <w:t>1</w:t>
      </w:r>
      <w:r>
        <w:rPr>
          <w:rFonts w:ascii="Times New Roman" w:hAnsi="Times New Roman" w:eastAsia="Times New Roman" w:cs="Times New Roman"/>
          <w:b/>
          <w:bCs/>
          <w:spacing w:val="-1"/>
          <w:sz w:val="24"/>
          <w:szCs w:val="24"/>
          <w:highlight w:val="none"/>
          <w:u w:val="single"/>
        </w:rPr>
        <w:t>.1</w:t>
      </w:r>
      <w:r>
        <w:rPr>
          <w:rFonts w:ascii="Times New Roman" w:hAnsi="Times New Roman" w:eastAsia="Times New Roman" w:cs="Times New Roman"/>
          <w:spacing w:val="14"/>
          <w:sz w:val="24"/>
          <w:szCs w:val="24"/>
          <w:highlight w:val="none"/>
          <w:u w:val="single"/>
        </w:rPr>
        <w:t xml:space="preserve"> </w:t>
      </w:r>
      <w:r>
        <w:rPr>
          <w:rFonts w:hint="eastAsia" w:ascii="Times New Roman" w:hAnsi="Times New Roman" w:eastAsia="宋体" w:cs="Times New Roman"/>
          <w:spacing w:val="14"/>
          <w:sz w:val="24"/>
          <w:szCs w:val="24"/>
          <w:highlight w:val="none"/>
          <w:u w:val="single"/>
          <w:lang w:val="en-US" w:eastAsia="zh-CN"/>
        </w:rPr>
        <w:t xml:space="preserve"> </w:t>
      </w:r>
      <w:r>
        <w:rPr>
          <w:rFonts w:ascii="宋体" w:hAnsi="宋体" w:eastAsia="宋体" w:cs="宋体"/>
          <w:spacing w:val="-1"/>
          <w:sz w:val="24"/>
          <w:szCs w:val="24"/>
          <w:highlight w:val="none"/>
          <w:u w:val="single"/>
        </w:rPr>
        <w:t>养殖场恶臭防治措施可行性分析</w:t>
      </w:r>
    </w:p>
    <w:p>
      <w:pPr>
        <w:bidi w:val="0"/>
        <w:rPr>
          <w:highlight w:val="none"/>
          <w:u w:val="single"/>
        </w:rPr>
      </w:pPr>
      <w:r>
        <w:rPr>
          <w:highlight w:val="none"/>
          <w:u w:val="single"/>
        </w:rPr>
        <w:t>畜禽养殖场的臭气主要来自蛋白质废弃物的厌氧分解，这些废弃物包括畜禽粪尿、毛和饲料。而大部分臭气是粪尿厌氧分解产生的。畜禽排泄物中的有机物主要由碳水化合物和含氮有机物组成，在一定的情况下，粪便发酵和含硫蛋白分解会产生大量的臭味气体，这些恶臭成分可分为挥发性脂肪酸、醇类、酚类、酸类、醛类、酮类、胺类、硫醇类，以及含氮杂环化合物等9类有机化合物和氨、硫化氢两种无机物。恶臭程度与畜禽种类、饲料、畜舍结构以及清粪工艺类型等有关。此外，畜禽养殖管理不当（诸如不及时清粪、不加强通风等）也会增加恶臭的产生和散发。</w:t>
      </w:r>
    </w:p>
    <w:p>
      <w:pPr>
        <w:bidi w:val="0"/>
        <w:rPr>
          <w:highlight w:val="none"/>
          <w:u w:val="single"/>
        </w:rPr>
      </w:pPr>
      <w:r>
        <w:rPr>
          <w:highlight w:val="none"/>
          <w:u w:val="single"/>
        </w:rPr>
        <w:t>对于本项目，其恶臭主要来源为养殖区和粪污处理区的臭气。其恶臭治理范围也包括这几个区域。恶臭气体来源复杂，属于无组织面源排放。单靠某一种除臭技术很难取得良好的治理效果，从根本上讲，最有效的控制方法是控制产生气味的源头和扩散渠道。只有采取综合除臭措施，从断绝臭气产生的源头、防止恶臭扩散等多种方法并举，才能有效地防止和减轻其危害，保证人畜健康，促进畜牧业生产的可持续发展。</w:t>
      </w:r>
    </w:p>
    <w:p>
      <w:pPr>
        <w:bidi w:val="0"/>
        <w:rPr>
          <w:highlight w:val="none"/>
          <w:u w:val="single"/>
        </w:rPr>
      </w:pPr>
      <w:r>
        <w:rPr>
          <w:highlight w:val="none"/>
          <w:u w:val="single"/>
        </w:rPr>
        <w:t>根据现场调查，为了降低恶臭污染物对周围环境空气的影响，本项目采取了以下措施：</w:t>
      </w:r>
    </w:p>
    <w:p>
      <w:pPr>
        <w:bidi w:val="0"/>
        <w:rPr>
          <w:highlight w:val="none"/>
          <w:u w:val="single"/>
        </w:rPr>
      </w:pPr>
      <w:r>
        <w:rPr>
          <w:highlight w:val="none"/>
          <w:u w:val="single"/>
        </w:rPr>
        <w:t>1、污染防治：</w:t>
      </w:r>
    </w:p>
    <w:p>
      <w:pPr>
        <w:bidi w:val="0"/>
        <w:rPr>
          <w:highlight w:val="none"/>
          <w:u w:val="single"/>
        </w:rPr>
      </w:pPr>
      <w:r>
        <w:rPr>
          <w:highlight w:val="none"/>
          <w:u w:val="single"/>
        </w:rPr>
        <w:t>（1）合理设计通风系统和养殖场</w:t>
      </w:r>
    </w:p>
    <w:p>
      <w:pPr>
        <w:bidi w:val="0"/>
        <w:rPr>
          <w:highlight w:val="none"/>
          <w:u w:val="single"/>
        </w:rPr>
      </w:pPr>
      <w:r>
        <w:rPr>
          <w:highlight w:val="none"/>
          <w:u w:val="single"/>
        </w:rPr>
        <w:t>本项目在初步设计阶段，按规模化畜禽养殖场的相关设计要求合理设计了养殖区内的猪舍的通风系统，采购阶段选择了通风性能较好的设备和设施；</w:t>
      </w:r>
    </w:p>
    <w:p>
      <w:pPr>
        <w:bidi w:val="0"/>
        <w:rPr>
          <w:highlight w:val="none"/>
          <w:u w:val="single"/>
        </w:rPr>
      </w:pPr>
      <w:r>
        <w:rPr>
          <w:highlight w:val="none"/>
          <w:u w:val="single"/>
        </w:rPr>
        <w:t>（</w:t>
      </w:r>
      <w:r>
        <w:rPr>
          <w:rFonts w:hint="eastAsia"/>
          <w:highlight w:val="none"/>
          <w:u w:val="single"/>
          <w:lang w:val="en-US" w:eastAsia="zh-CN"/>
        </w:rPr>
        <w:t>2</w:t>
      </w:r>
      <w:r>
        <w:rPr>
          <w:highlight w:val="none"/>
          <w:u w:val="single"/>
        </w:rPr>
        <w:t>）项目在场区空地进行了绿化，能有效降低恶臭气体的影响。</w:t>
      </w:r>
    </w:p>
    <w:p>
      <w:pPr>
        <w:bidi w:val="0"/>
        <w:rPr>
          <w:highlight w:val="none"/>
          <w:u w:val="single"/>
        </w:rPr>
      </w:pPr>
      <w:r>
        <w:rPr>
          <w:highlight w:val="none"/>
          <w:u w:val="single"/>
        </w:rPr>
        <w:t>（</w:t>
      </w:r>
      <w:r>
        <w:rPr>
          <w:rFonts w:hint="eastAsia"/>
          <w:highlight w:val="none"/>
          <w:u w:val="single"/>
          <w:lang w:val="en-US" w:eastAsia="zh-CN"/>
        </w:rPr>
        <w:t>3</w:t>
      </w:r>
      <w:r>
        <w:rPr>
          <w:highlight w:val="none"/>
          <w:u w:val="single"/>
        </w:rPr>
        <w:t>）定期喷洒除臭剂，场内设置绿化隔离带等。</w:t>
      </w:r>
    </w:p>
    <w:p>
      <w:pPr>
        <w:bidi w:val="0"/>
        <w:rPr>
          <w:highlight w:val="none"/>
          <w:u w:val="single"/>
        </w:rPr>
      </w:pPr>
      <w:r>
        <w:rPr>
          <w:highlight w:val="none"/>
          <w:u w:val="single"/>
        </w:rPr>
        <w:t>为了进一步减小项目恶臭气体对周围环境的影响，项目还需进一步加强恶臭防治措施，包括管理方面措施和技术方面的措施。</w:t>
      </w:r>
    </w:p>
    <w:p>
      <w:pPr>
        <w:bidi w:val="0"/>
        <w:rPr>
          <w:highlight w:val="none"/>
          <w:u w:val="single"/>
        </w:rPr>
      </w:pPr>
      <w:r>
        <w:rPr>
          <w:highlight w:val="none"/>
          <w:u w:val="single"/>
        </w:rPr>
        <w:t>2、管理措施：</w:t>
      </w:r>
    </w:p>
    <w:p>
      <w:pPr>
        <w:bidi w:val="0"/>
        <w:rPr>
          <w:highlight w:val="none"/>
          <w:u w:val="single"/>
        </w:rPr>
      </w:pPr>
      <w:r>
        <w:rPr>
          <w:highlight w:val="none"/>
          <w:u w:val="single"/>
        </w:rPr>
        <w:t>①及时清理猪舍</w:t>
      </w:r>
    </w:p>
    <w:p>
      <w:pPr>
        <w:bidi w:val="0"/>
        <w:rPr>
          <w:highlight w:val="none"/>
          <w:u w:val="single"/>
        </w:rPr>
      </w:pPr>
      <w:r>
        <w:rPr>
          <w:highlight w:val="none"/>
          <w:u w:val="single"/>
        </w:rPr>
        <w:t>有资料表明，温度高时恶臭气体浓度高，猪粪在1～2周后发酵较快，粪便暴露面积越大，发酵率越高。因此应尽快从猪舍内清走粪便，并加强猪舍内的通风效果，以加速粪便干燥，能较好的减少臭气污染。为防止蚊蝇孳生，应根据蚊蝇生活习性，采用人工、机械配合喷药的方法预防蚊蝇孳生。同时，加强猪舍与饲料堆放地的灭鼠工作，预防疾病的传播。</w:t>
      </w:r>
    </w:p>
    <w:p>
      <w:pPr>
        <w:bidi w:val="0"/>
        <w:rPr>
          <w:highlight w:val="none"/>
          <w:u w:val="single"/>
        </w:rPr>
      </w:pPr>
      <w:r>
        <w:rPr>
          <w:highlight w:val="none"/>
          <w:u w:val="single"/>
        </w:rPr>
        <w:t>②强化消毒措施</w:t>
      </w:r>
    </w:p>
    <w:p>
      <w:pPr>
        <w:bidi w:val="0"/>
        <w:rPr>
          <w:highlight w:val="none"/>
          <w:u w:val="single"/>
        </w:rPr>
      </w:pPr>
      <w:r>
        <w:rPr>
          <w:highlight w:val="none"/>
          <w:u w:val="single"/>
        </w:rPr>
        <w:t>全部猪舍必须配备地面消毒设备，并按时消毒。进入猪舍的工作人员，要有专门的工作服装、工作靴子及工具，每次进入猪舍要先进行消毒处理。进入场区的车辆也要进行消毒处理，避免外来污染源的进入。</w:t>
      </w:r>
    </w:p>
    <w:p>
      <w:pPr>
        <w:bidi w:val="0"/>
        <w:rPr>
          <w:highlight w:val="none"/>
          <w:u w:val="single"/>
        </w:rPr>
      </w:pPr>
      <w:r>
        <w:rPr>
          <w:highlight w:val="none"/>
          <w:u w:val="single"/>
        </w:rPr>
        <w:t>③科学的设计日粮，提高饲料利用率</w:t>
      </w:r>
    </w:p>
    <w:p>
      <w:pPr>
        <w:bidi w:val="0"/>
        <w:rPr>
          <w:highlight w:val="none"/>
          <w:u w:val="single"/>
        </w:rPr>
      </w:pPr>
      <w:r>
        <w:rPr>
          <w:highlight w:val="none"/>
          <w:u w:val="single"/>
        </w:rPr>
        <w:t>猪采食饲料后，饲料在消化道内消化过程中（尤其是后段肠道），因微生物腐败分解而产生臭气；同时没有消化吸收部分在体外被微生物降解，因此提高日粮的消化率、减少干物质（特别是蛋白质）排出量，既减少肠道臭气的产生，又可减少粪便排出后臭气的产生，这是减少恶臭来源的有效措施。</w:t>
      </w:r>
    </w:p>
    <w:p>
      <w:pPr>
        <w:bidi w:val="0"/>
        <w:rPr>
          <w:highlight w:val="none"/>
          <w:u w:val="single"/>
        </w:rPr>
      </w:pPr>
      <w:r>
        <w:rPr>
          <w:highlight w:val="none"/>
          <w:u w:val="single"/>
        </w:rPr>
        <w:t>采用经氨基酸平衡的低蛋白日粮：用合成氨基酸取代日粮中完整蛋白质可有效减少排泄中的氮。在低蛋白日粮中补充氨基酸可使氮的排出量减少3.2%～62%，当日粮粗蛋白降低至10g/kg体重时，氨态氮在排泄物中的含量将降低9%。</w:t>
      </w:r>
    </w:p>
    <w:p>
      <w:pPr>
        <w:bidi w:val="0"/>
        <w:rPr>
          <w:highlight w:val="none"/>
          <w:u w:val="single"/>
        </w:rPr>
      </w:pPr>
      <w:r>
        <w:rPr>
          <w:highlight w:val="none"/>
          <w:u w:val="single"/>
        </w:rPr>
        <w:t>④加强猪场绿化</w:t>
      </w:r>
    </w:p>
    <w:p>
      <w:pPr>
        <w:bidi w:val="0"/>
        <w:rPr>
          <w:highlight w:val="none"/>
          <w:u w:val="single"/>
        </w:rPr>
      </w:pPr>
      <w:r>
        <w:rPr>
          <w:highlight w:val="none"/>
          <w:u w:val="single"/>
        </w:rPr>
        <w:t>项目可根据场地布置，进一步加强场区绿化。在场界四周设置高 4～5m 的绿色隔离带，种植芳香的木本植物，能较好减少和遏制臭味。鉴于养殖行业的特殊性，在树种选择上，不仅要考虑美化效果，还必须考虑在除臭、防火、吸尘、杀菌等方面的作用。建议选用桂花树、栀子树、桑树、泡桐、夹竹桃、紫薇、广玉兰、桃树等树种；白兰、茉莉、结缕草、蜈蚣草、美人蕉、菊花、金鱼草等花草。</w:t>
      </w:r>
    </w:p>
    <w:p>
      <w:pPr>
        <w:bidi w:val="0"/>
        <w:rPr>
          <w:highlight w:val="none"/>
          <w:u w:val="single"/>
        </w:rPr>
      </w:pPr>
      <w:r>
        <w:rPr>
          <w:highlight w:val="none"/>
          <w:u w:val="single"/>
        </w:rPr>
        <w:t>在场内空地和公路边尽量植树及种植花草形成多层防护层，以最大限度地防止场区牲畜粪便臭味对周围敏感保护目标居民的影响，组成一道绿色防护屏障，以减少无组织排放对周围环境的影响。</w:t>
      </w:r>
    </w:p>
    <w:p>
      <w:pPr>
        <w:bidi w:val="0"/>
        <w:rPr>
          <w:highlight w:val="none"/>
          <w:u w:val="single"/>
        </w:rPr>
      </w:pPr>
      <w:r>
        <w:rPr>
          <w:highlight w:val="none"/>
          <w:u w:val="single"/>
        </w:rPr>
        <w:t>经合理搭配采用上述各种措施治理后，可有效减轻项目恶臭污染影响，评价预测场界臭气浓度能够满足《畜禽养殖业污染物排放标准》（GB18596-2001）中要求。</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7</w:t>
      </w:r>
      <w:r>
        <w:rPr>
          <w:rFonts w:ascii="Times New Roman" w:hAnsi="Times New Roman" w:eastAsia="Times New Roman" w:cs="Times New Roman"/>
          <w:b/>
          <w:bCs/>
          <w:spacing w:val="-1"/>
          <w:sz w:val="24"/>
          <w:szCs w:val="24"/>
          <w:highlight w:val="none"/>
        </w:rPr>
        <w:t>.2.</w:t>
      </w:r>
      <w:r>
        <w:rPr>
          <w:rFonts w:hint="eastAsia" w:ascii="Times New Roman" w:hAnsi="Times New Roman" w:eastAsia="宋体" w:cs="Times New Roman"/>
          <w:b/>
          <w:bCs/>
          <w:spacing w:val="-1"/>
          <w:sz w:val="24"/>
          <w:szCs w:val="24"/>
          <w:highlight w:val="none"/>
          <w:lang w:val="en-US" w:eastAsia="zh-CN"/>
        </w:rPr>
        <w:t>1</w:t>
      </w:r>
      <w:r>
        <w:rPr>
          <w:rFonts w:ascii="Times New Roman" w:hAnsi="Times New Roman" w:eastAsia="Times New Roman" w:cs="Times New Roman"/>
          <w:b/>
          <w:bCs/>
          <w:spacing w:val="-1"/>
          <w:sz w:val="24"/>
          <w:szCs w:val="24"/>
          <w:highlight w:val="none"/>
        </w:rPr>
        <w:t>.2</w:t>
      </w:r>
      <w:r>
        <w:rPr>
          <w:rFonts w:ascii="Times New Roman" w:hAnsi="Times New Roman" w:eastAsia="Times New Roman" w:cs="Times New Roman"/>
          <w:spacing w:val="13"/>
          <w:sz w:val="24"/>
          <w:szCs w:val="24"/>
          <w:highlight w:val="none"/>
        </w:rPr>
        <w:t xml:space="preserve"> </w:t>
      </w:r>
      <w:r>
        <w:rPr>
          <w:rFonts w:hint="eastAsia" w:ascii="Times New Roman" w:hAnsi="Times New Roman" w:eastAsia="宋体" w:cs="Times New Roman"/>
          <w:spacing w:val="13"/>
          <w:sz w:val="24"/>
          <w:szCs w:val="24"/>
          <w:highlight w:val="none"/>
          <w:lang w:val="en-US" w:eastAsia="zh-CN"/>
        </w:rPr>
        <w:t xml:space="preserve"> </w:t>
      </w:r>
      <w:r>
        <w:rPr>
          <w:rFonts w:ascii="宋体" w:hAnsi="宋体" w:eastAsia="宋体" w:cs="宋体"/>
          <w:spacing w:val="-1"/>
          <w:sz w:val="24"/>
          <w:szCs w:val="24"/>
          <w:highlight w:val="none"/>
        </w:rPr>
        <w:t>食堂油烟治理措施可行性分析</w:t>
      </w:r>
    </w:p>
    <w:p>
      <w:pPr>
        <w:bidi w:val="0"/>
        <w:rPr>
          <w:highlight w:val="none"/>
        </w:rPr>
      </w:pPr>
      <w:r>
        <w:rPr>
          <w:highlight w:val="none"/>
        </w:rPr>
        <w:t>项目饮食油烟采用安装符合国家有关要求的油烟净化系统（集气罩+油烟净化器），处理后的油烟排放浓度小于2.0mg/m</w:t>
      </w:r>
      <w:r>
        <w:rPr>
          <w:highlight w:val="none"/>
          <w:vertAlign w:val="superscript"/>
        </w:rPr>
        <w:t>3</w:t>
      </w:r>
      <w:r>
        <w:rPr>
          <w:highlight w:val="none"/>
        </w:rPr>
        <w:t>，可达到《饮食业油烟排放标准》 （GB18483-2001）要求。</w:t>
      </w:r>
    </w:p>
    <w:p>
      <w:pPr>
        <w:bidi w:val="0"/>
        <w:rPr>
          <w:highlight w:val="none"/>
        </w:rPr>
      </w:pPr>
      <w:r>
        <w:rPr>
          <w:highlight w:val="none"/>
        </w:rPr>
        <w:t>饮食业排放的大气污染物主要为气溶胶，其中含有食用油及食品在高温下的挥发物以及由食用油及食品的氧化、裂解、水解而形成的醛类、酮类、链烷类、链烯类、多环芳烃等，成份较为复杂。</w:t>
      </w:r>
    </w:p>
    <w:p>
      <w:pPr>
        <w:bidi w:val="0"/>
        <w:rPr>
          <w:highlight w:val="none"/>
        </w:rPr>
      </w:pPr>
      <w:r>
        <w:rPr>
          <w:highlight w:val="none"/>
        </w:rPr>
        <w:t>油烟净化机采用静电、荷电和滤网的联合作用来净化废气中的油烟，含油物的气体经过金属滤网时，较大颗粒的油滴被滤网阻挡、粘附、透过滤网的较小颗粒的油滴随气体进入除油电场，在高压电场的作用下，使微小颗粒的油雾荷电，在电场力的作用下向油滤网运动，并在滤网上积聚成较大的油滴，受地心引力作用，油滴流下经排油道排出 目前，我国各大中型城市均已对饮食行业外排油烟进行净化治理。市场上油烟净化设施种类亦较多，且效果较好。</w:t>
      </w:r>
    </w:p>
    <w:p>
      <w:pPr>
        <w:bidi w:val="0"/>
        <w:rPr>
          <w:highlight w:val="none"/>
        </w:rPr>
      </w:pPr>
      <w:r>
        <w:rPr>
          <w:highlight w:val="none"/>
        </w:rPr>
        <w:t>本项目食堂安装经过国家主管部门认证的油烟净化设施，能满足有关环境保护标准的限值要求，所采取的措施可行。</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val="en-US" w:eastAsia="zh-CN"/>
        </w:rPr>
        <w:t>7</w:t>
      </w:r>
      <w:r>
        <w:rPr>
          <w:rFonts w:ascii="Times New Roman" w:hAnsi="Times New Roman" w:eastAsia="Times New Roman" w:cs="Times New Roman"/>
          <w:b/>
          <w:bCs/>
          <w:spacing w:val="-1"/>
          <w:sz w:val="28"/>
          <w:szCs w:val="28"/>
          <w:highlight w:val="none"/>
        </w:rPr>
        <w:t>.2.2</w:t>
      </w:r>
      <w:r>
        <w:rPr>
          <w:rFonts w:hint="eastAsia" w:ascii="Times New Roman" w:hAnsi="Times New Roman" w:eastAsia="宋体" w:cs="Times New Roman"/>
          <w:b/>
          <w:bCs/>
          <w:spacing w:val="-1"/>
          <w:sz w:val="28"/>
          <w:szCs w:val="28"/>
          <w:highlight w:val="none"/>
          <w:lang w:val="en-US" w:eastAsia="zh-CN"/>
        </w:rPr>
        <w:t xml:space="preserve">  </w:t>
      </w:r>
      <w:r>
        <w:rPr>
          <w:rFonts w:ascii="宋体" w:hAnsi="宋体" w:eastAsia="宋体" w:cs="宋体"/>
          <w:spacing w:val="-1"/>
          <w:sz w:val="28"/>
          <w:szCs w:val="28"/>
          <w:highlight w:val="none"/>
        </w:rPr>
        <w:t>水环境保护措施</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1"/>
          <w:sz w:val="24"/>
          <w:szCs w:val="24"/>
          <w:highlight w:val="none"/>
          <w:lang w:val="en-US" w:eastAsia="zh-CN"/>
        </w:rPr>
        <w:t>7</w:t>
      </w:r>
      <w:r>
        <w:rPr>
          <w:rFonts w:ascii="Times New Roman" w:hAnsi="Times New Roman" w:eastAsia="Times New Roman" w:cs="Times New Roman"/>
          <w:b/>
          <w:bCs/>
          <w:spacing w:val="-1"/>
          <w:sz w:val="24"/>
          <w:szCs w:val="24"/>
          <w:highlight w:val="none"/>
        </w:rPr>
        <w:t>.2.2.1</w:t>
      </w:r>
      <w:r>
        <w:rPr>
          <w:rFonts w:hint="eastAsia" w:eastAsia="宋体" w:cs="Times New Roman"/>
          <w:b/>
          <w:bCs/>
          <w:spacing w:val="-1"/>
          <w:sz w:val="24"/>
          <w:szCs w:val="24"/>
          <w:highlight w:val="none"/>
          <w:lang w:val="en-US" w:eastAsia="zh-CN"/>
        </w:rPr>
        <w:t xml:space="preserve">  </w:t>
      </w:r>
      <w:r>
        <w:rPr>
          <w:rFonts w:ascii="宋体" w:hAnsi="宋体" w:eastAsia="宋体" w:cs="宋体"/>
          <w:spacing w:val="-1"/>
          <w:sz w:val="24"/>
          <w:szCs w:val="24"/>
          <w:highlight w:val="none"/>
        </w:rPr>
        <w:t>污水处理规模</w:t>
      </w:r>
    </w:p>
    <w:p>
      <w:pPr>
        <w:bidi w:val="0"/>
        <w:rPr>
          <w:highlight w:val="none"/>
        </w:rPr>
      </w:pPr>
      <w:r>
        <w:rPr>
          <w:rFonts w:hint="eastAsia"/>
          <w:highlight w:val="none"/>
          <w:lang w:val="en-US" w:eastAsia="zh-CN"/>
        </w:rPr>
        <w:t>项目运营期废水总量27435.59</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，其中猪养殖区生产废水27283.75</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、生活区生活污水151.84</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highlight w:val="none"/>
        </w:rPr>
        <w:t>，</w:t>
      </w:r>
      <w:r>
        <w:rPr>
          <w:rFonts w:hint="eastAsia"/>
          <w:highlight w:val="none"/>
          <w:lang w:val="en-US" w:eastAsia="zh-CN"/>
        </w:rPr>
        <w:t>本项目养殖废水和生活污水经化粪池处理后均通过场区污水处理站处理后，用于周边林地灌溉，不外排，最终全部实现综合利用。本项目</w:t>
      </w:r>
      <w:r>
        <w:rPr>
          <w:highlight w:val="none"/>
        </w:rPr>
        <w:t>拟建</w:t>
      </w:r>
      <w:r>
        <w:rPr>
          <w:rFonts w:hint="eastAsia"/>
          <w:highlight w:val="none"/>
          <w:lang w:val="en-US" w:eastAsia="zh-CN"/>
        </w:rPr>
        <w:t>“格栅池+收集池+固液分离+调节池+厌氧处理池+</w:t>
      </w:r>
      <w:r>
        <w:rPr>
          <w:rFonts w:hint="default" w:ascii="Times New Roman" w:hAnsi="Times New Roman" w:cs="Times New Roman"/>
          <w:highlight w:val="none"/>
          <w:u w:val="none" w:color="auto"/>
          <w:lang w:val="en-US" w:eastAsia="zh-CN"/>
        </w:rPr>
        <w:t>A</w:t>
      </w:r>
      <w:r>
        <w:rPr>
          <w:rFonts w:hint="eastAsia" w:cs="Times New Roman"/>
          <w:highlight w:val="none"/>
          <w:u w:val="none" w:color="auto"/>
          <w:vertAlign w:val="superscript"/>
          <w:lang w:val="en-US" w:eastAsia="zh-CN"/>
        </w:rPr>
        <w:t>2</w:t>
      </w:r>
      <w:r>
        <w:rPr>
          <w:rFonts w:hint="default" w:ascii="Times New Roman" w:hAnsi="Times New Roman" w:cs="Times New Roman"/>
          <w:highlight w:val="none"/>
          <w:u w:val="none" w:color="auto"/>
          <w:lang w:val="en-US" w:eastAsia="zh-CN"/>
        </w:rPr>
        <w:t>/O</w:t>
      </w:r>
      <w:r>
        <w:rPr>
          <w:rFonts w:hint="eastAsia" w:cs="Times New Roman"/>
          <w:highlight w:val="none"/>
          <w:u w:val="none" w:color="auto"/>
          <w:vertAlign w:val="superscript"/>
          <w:lang w:val="en-US" w:eastAsia="zh-CN"/>
        </w:rPr>
        <w:t>2</w:t>
      </w:r>
      <w:r>
        <w:rPr>
          <w:rFonts w:hint="eastAsia"/>
          <w:highlight w:val="none"/>
          <w:u w:val="none" w:color="auto"/>
          <w:lang w:val="en-US" w:eastAsia="zh-CN"/>
        </w:rPr>
        <w:t xml:space="preserve"> </w:t>
      </w:r>
      <w:r>
        <w:rPr>
          <w:rFonts w:hint="eastAsia"/>
          <w:highlight w:val="none"/>
          <w:lang w:val="en-US" w:eastAsia="zh-CN"/>
        </w:rPr>
        <w:t>池+沉淀池+药剂反应池+大型沉淀池+清水池+氧化塘”</w:t>
      </w:r>
      <w:r>
        <w:rPr>
          <w:highlight w:val="none"/>
        </w:rPr>
        <w:t>污水处理工艺处理废水，设计处理能力</w:t>
      </w:r>
      <w:r>
        <w:rPr>
          <w:rFonts w:hint="eastAsia"/>
          <w:highlight w:val="none"/>
          <w:lang w:val="en-US" w:eastAsia="zh-CN"/>
        </w:rPr>
        <w:t>110</w:t>
      </w:r>
      <w:r>
        <w:rPr>
          <w:highlight w:val="none"/>
        </w:rPr>
        <w:t>m</w:t>
      </w:r>
      <w:r>
        <w:rPr>
          <w:highlight w:val="none"/>
          <w:vertAlign w:val="superscript"/>
        </w:rPr>
        <w:t>3</w:t>
      </w:r>
      <w:r>
        <w:rPr>
          <w:highlight w:val="none"/>
        </w:rPr>
        <w:t>/d，建设位置位于场区</w:t>
      </w:r>
      <w:r>
        <w:rPr>
          <w:rFonts w:hint="eastAsia"/>
          <w:highlight w:val="none"/>
          <w:lang w:eastAsia="zh-CN"/>
        </w:rPr>
        <w:t>北</w:t>
      </w:r>
      <w:r>
        <w:rPr>
          <w:highlight w:val="none"/>
        </w:rPr>
        <w:t>侧。</w:t>
      </w:r>
    </w:p>
    <w:p>
      <w:pPr>
        <w:pStyle w:val="6"/>
        <w:bidi w:val="0"/>
        <w:rPr>
          <w:rFonts w:ascii="宋体" w:hAnsi="宋体" w:eastAsia="宋体" w:cs="宋体"/>
          <w:i w:val="0"/>
          <w:iCs w:val="0"/>
          <w:sz w:val="24"/>
          <w:szCs w:val="24"/>
          <w:highlight w:val="none"/>
          <w:u w:val="none" w:color="auto"/>
        </w:rPr>
      </w:pPr>
      <w:r>
        <w:rPr>
          <w:rFonts w:hint="eastAsia" w:ascii="Times New Roman" w:hAnsi="Times New Roman" w:eastAsia="宋体" w:cs="Times New Roman"/>
          <w:b/>
          <w:bCs/>
          <w:i w:val="0"/>
          <w:iCs w:val="0"/>
          <w:spacing w:val="-1"/>
          <w:sz w:val="24"/>
          <w:szCs w:val="24"/>
          <w:highlight w:val="none"/>
          <w:u w:val="none" w:color="auto"/>
          <w:lang w:val="en-US" w:eastAsia="zh-CN"/>
        </w:rPr>
        <w:t>7</w:t>
      </w:r>
      <w:r>
        <w:rPr>
          <w:rFonts w:ascii="Times New Roman" w:hAnsi="Times New Roman" w:eastAsia="Times New Roman" w:cs="Times New Roman"/>
          <w:b/>
          <w:bCs/>
          <w:i w:val="0"/>
          <w:iCs w:val="0"/>
          <w:spacing w:val="-1"/>
          <w:sz w:val="24"/>
          <w:szCs w:val="24"/>
          <w:highlight w:val="none"/>
          <w:u w:val="none" w:color="auto"/>
        </w:rPr>
        <w:t>.2.2.2</w:t>
      </w:r>
      <w:r>
        <w:rPr>
          <w:rFonts w:hint="eastAsia" w:ascii="Times New Roman" w:hAnsi="Times New Roman" w:eastAsia="宋体" w:cs="Times New Roman"/>
          <w:b/>
          <w:bCs/>
          <w:i w:val="0"/>
          <w:iCs w:val="0"/>
          <w:spacing w:val="-1"/>
          <w:sz w:val="24"/>
          <w:szCs w:val="24"/>
          <w:highlight w:val="none"/>
          <w:u w:val="none" w:color="auto"/>
          <w:lang w:val="en-US" w:eastAsia="zh-CN"/>
        </w:rPr>
        <w:t xml:space="preserve">  </w:t>
      </w:r>
      <w:r>
        <w:rPr>
          <w:rFonts w:ascii="宋体" w:hAnsi="宋体" w:eastAsia="宋体" w:cs="宋体"/>
          <w:i w:val="0"/>
          <w:iCs w:val="0"/>
          <w:spacing w:val="-1"/>
          <w:sz w:val="24"/>
          <w:szCs w:val="24"/>
          <w:highlight w:val="none"/>
          <w:u w:val="none" w:color="auto"/>
        </w:rPr>
        <w:t>污水处理工艺</w:t>
      </w:r>
    </w:p>
    <w:p>
      <w:pPr>
        <w:bidi w:val="0"/>
        <w:rPr>
          <w:i w:val="0"/>
          <w:iCs w:val="0"/>
          <w:u w:val="none" w:color="auto"/>
        </w:rPr>
      </w:pPr>
      <w:r>
        <w:rPr>
          <w:rFonts w:hint="eastAsia" w:ascii="宋体" w:hAnsi="宋体" w:eastAsia="宋体" w:cs="宋体"/>
          <w:i w:val="0"/>
          <w:iCs w:val="0"/>
          <w:color w:val="000000"/>
          <w:kern w:val="0"/>
          <w:szCs w:val="24"/>
          <w:u w:val="none" w:color="auto"/>
          <w:lang w:val="en-US" w:eastAsia="zh-CN" w:bidi="ar"/>
        </w:rPr>
        <w:t>根据《畜禽养殖业污染治理工程技术规范》（</w:t>
      </w:r>
      <w:r>
        <w:rPr>
          <w:rFonts w:hint="default" w:ascii="Times New Roman" w:hAnsi="Times New Roman" w:eastAsia="宋体" w:cs="Times New Roman"/>
          <w:i w:val="0"/>
          <w:iCs w:val="0"/>
          <w:color w:val="000000"/>
          <w:kern w:val="0"/>
          <w:szCs w:val="24"/>
          <w:u w:val="none" w:color="auto"/>
          <w:lang w:val="en-US" w:eastAsia="zh-CN" w:bidi="ar"/>
        </w:rPr>
        <w:t>HJ497-2009</w:t>
      </w:r>
      <w:r>
        <w:rPr>
          <w:rFonts w:hint="eastAsia" w:ascii="宋体" w:hAnsi="宋体" w:eastAsia="宋体" w:cs="宋体"/>
          <w:i w:val="0"/>
          <w:iCs w:val="0"/>
          <w:color w:val="000000"/>
          <w:kern w:val="0"/>
          <w:szCs w:val="24"/>
          <w:u w:val="none" w:color="auto"/>
          <w:lang w:val="en-US" w:eastAsia="zh-CN" w:bidi="ar"/>
        </w:rPr>
        <w:t>），工艺的选择原则应根据养殖场的养殖种类、养殖规模、粪污收集方式、当地的自然地理环境条件以及排水去向等因素确定工艺路线及处理目标，并充分考虑畜禽养殖废水的特</w:t>
      </w:r>
      <w:r>
        <w:rPr>
          <w:rFonts w:hint="eastAsia"/>
          <w:i w:val="0"/>
          <w:iCs w:val="0"/>
          <w:u w:val="none" w:color="auto"/>
          <w:lang w:val="en-US" w:eastAsia="zh-CN"/>
        </w:rPr>
        <w:t>殊性，在实现综合利用或达标排放的情况下，优先选择低运行成本的处理工艺。</w:t>
      </w:r>
    </w:p>
    <w:p>
      <w:pPr>
        <w:bidi w:val="0"/>
        <w:rPr>
          <w:i w:val="0"/>
          <w:iCs w:val="0"/>
          <w:u w:val="none" w:color="auto"/>
        </w:rPr>
      </w:pPr>
      <w:r>
        <w:rPr>
          <w:rFonts w:hint="eastAsia"/>
          <w:i w:val="0"/>
          <w:iCs w:val="0"/>
          <w:u w:val="none" w:color="auto"/>
          <w:lang w:val="en-US" w:eastAsia="zh-CN"/>
        </w:rPr>
        <w:t>根据《畜禽养殖业污染治理工程技术规范》（</w:t>
      </w:r>
      <w:r>
        <w:rPr>
          <w:rFonts w:hint="default"/>
          <w:i w:val="0"/>
          <w:iCs w:val="0"/>
          <w:u w:val="none" w:color="auto"/>
          <w:lang w:val="en-US" w:eastAsia="zh-CN"/>
        </w:rPr>
        <w:t>HJ497-2009</w:t>
      </w:r>
      <w:r>
        <w:rPr>
          <w:rFonts w:hint="eastAsia"/>
          <w:i w:val="0"/>
          <w:iCs w:val="0"/>
          <w:u w:val="none" w:color="auto"/>
          <w:lang w:val="en-US" w:eastAsia="zh-CN"/>
        </w:rPr>
        <w:t>）中“养殖规模在存栏（以猪计）</w:t>
      </w:r>
      <w:r>
        <w:rPr>
          <w:rFonts w:hint="default"/>
          <w:i w:val="0"/>
          <w:iCs w:val="0"/>
          <w:u w:val="none" w:color="auto"/>
          <w:lang w:val="en-US" w:eastAsia="zh-CN"/>
        </w:rPr>
        <w:t xml:space="preserve">2000 </w:t>
      </w:r>
      <w:r>
        <w:rPr>
          <w:rFonts w:hint="eastAsia"/>
          <w:i w:val="0"/>
          <w:iCs w:val="0"/>
          <w:u w:val="none" w:color="auto"/>
          <w:lang w:val="en-US" w:eastAsia="zh-CN"/>
        </w:rPr>
        <w:t>头及以下的应尽可能采用</w:t>
      </w:r>
      <w:r>
        <w:rPr>
          <w:rFonts w:hint="default"/>
          <w:i w:val="0"/>
          <w:iCs w:val="0"/>
          <w:u w:val="none" w:color="auto"/>
          <w:lang w:val="en-US" w:eastAsia="zh-CN"/>
        </w:rPr>
        <w:t>6.2.2</w:t>
      </w:r>
      <w:r>
        <w:rPr>
          <w:rFonts w:hint="eastAsia"/>
          <w:i w:val="0"/>
          <w:iCs w:val="0"/>
          <w:u w:val="none" w:color="auto"/>
          <w:lang w:val="en-US" w:eastAsia="zh-CN"/>
        </w:rPr>
        <w:t>模式Ⅰ或</w:t>
      </w:r>
      <w:r>
        <w:rPr>
          <w:rFonts w:hint="default"/>
          <w:i w:val="0"/>
          <w:iCs w:val="0"/>
          <w:u w:val="none" w:color="auto"/>
          <w:lang w:val="en-US" w:eastAsia="zh-CN"/>
        </w:rPr>
        <w:t>6.2.3</w:t>
      </w:r>
      <w:r>
        <w:rPr>
          <w:rFonts w:hint="eastAsia"/>
          <w:i w:val="0"/>
          <w:iCs w:val="0"/>
          <w:u w:val="none" w:color="auto"/>
          <w:lang w:val="en-US" w:eastAsia="zh-CN"/>
        </w:rPr>
        <w:t>模式Ⅱ处理工艺；存栏（以猪计）</w:t>
      </w:r>
      <w:r>
        <w:rPr>
          <w:rFonts w:hint="default"/>
          <w:i w:val="0"/>
          <w:iCs w:val="0"/>
          <w:u w:val="none" w:color="auto"/>
          <w:lang w:val="en-US" w:eastAsia="zh-CN"/>
        </w:rPr>
        <w:t>100000</w:t>
      </w:r>
      <w:r>
        <w:rPr>
          <w:rFonts w:hint="eastAsia"/>
          <w:i w:val="0"/>
          <w:iCs w:val="0"/>
          <w:u w:val="none" w:color="auto"/>
          <w:lang w:val="en-US" w:eastAsia="zh-CN"/>
        </w:rPr>
        <w:t>头及以上的，宜采用</w:t>
      </w:r>
      <w:r>
        <w:rPr>
          <w:rFonts w:hint="default"/>
          <w:i w:val="0"/>
          <w:iCs w:val="0"/>
          <w:u w:val="none" w:color="auto"/>
          <w:lang w:val="en-US" w:eastAsia="zh-CN"/>
        </w:rPr>
        <w:t>6.2.4</w:t>
      </w:r>
      <w:r>
        <w:rPr>
          <w:rFonts w:hint="eastAsia"/>
          <w:i w:val="0"/>
          <w:iCs w:val="0"/>
          <w:u w:val="none" w:color="auto"/>
          <w:lang w:val="en-US" w:eastAsia="zh-CN"/>
        </w:rPr>
        <w:t>模式Ⅲ处理工”。</w:t>
      </w:r>
      <w:r>
        <w:rPr>
          <w:rFonts w:hint="default"/>
          <w:i w:val="0"/>
          <w:iCs w:val="0"/>
          <w:u w:val="none" w:color="auto"/>
          <w:lang w:val="en-US" w:eastAsia="zh-CN"/>
        </w:rPr>
        <w:t>……6.2.1.4</w:t>
      </w:r>
      <w:r>
        <w:rPr>
          <w:rFonts w:hint="eastAsia"/>
          <w:i w:val="0"/>
          <w:iCs w:val="0"/>
          <w:u w:val="none" w:color="auto"/>
          <w:lang w:val="en-US" w:eastAsia="zh-CN"/>
        </w:rPr>
        <w:t>干清粪工艺的养殖场，不宜采用模式</w:t>
      </w:r>
      <w:r>
        <w:rPr>
          <w:rFonts w:hint="default"/>
          <w:i w:val="0"/>
          <w:iCs w:val="0"/>
          <w:u w:val="none" w:color="auto"/>
          <w:lang w:val="en-US" w:eastAsia="zh-CN"/>
        </w:rPr>
        <w:t>Ⅰ</w:t>
      </w:r>
      <w:r>
        <w:rPr>
          <w:rFonts w:hint="eastAsia"/>
          <w:i w:val="0"/>
          <w:iCs w:val="0"/>
          <w:u w:val="none" w:color="auto"/>
          <w:lang w:val="en-US" w:eastAsia="zh-CN"/>
        </w:rPr>
        <w:t>处理工艺。”</w:t>
      </w:r>
    </w:p>
    <w:p>
      <w:pPr>
        <w:keepNext w:val="0"/>
        <w:keepLines w:val="0"/>
        <w:widowControl/>
        <w:suppressLineNumbers w:val="0"/>
        <w:jc w:val="left"/>
        <w:rPr>
          <w:rFonts w:hint="eastAsia" w:ascii="宋体" w:hAnsi="宋体" w:eastAsia="宋体" w:cs="宋体"/>
          <w:i w:val="0"/>
          <w:iCs w:val="0"/>
          <w:color w:val="000000"/>
          <w:kern w:val="0"/>
          <w:sz w:val="24"/>
          <w:szCs w:val="24"/>
          <w:u w:val="none" w:color="auto"/>
          <w:lang w:val="en-US" w:eastAsia="zh-CN" w:bidi="ar"/>
        </w:rPr>
      </w:pPr>
      <w:r>
        <w:rPr>
          <w:rFonts w:hint="eastAsia" w:ascii="宋体" w:hAnsi="宋体" w:eastAsia="宋体" w:cs="宋体"/>
          <w:i w:val="0"/>
          <w:iCs w:val="0"/>
          <w:color w:val="000000"/>
          <w:kern w:val="0"/>
          <w:sz w:val="24"/>
          <w:szCs w:val="24"/>
          <w:u w:val="none" w:color="auto"/>
          <w:lang w:val="en-US" w:eastAsia="zh-CN" w:bidi="ar"/>
        </w:rPr>
        <w:t>本规范中推荐的粪污处理技术有：</w:t>
      </w:r>
    </w:p>
    <w:p>
      <w:pPr>
        <w:bidi w:val="0"/>
        <w:rPr>
          <w:i w:val="0"/>
          <w:iCs w:val="0"/>
          <w:u w:val="none" w:color="auto"/>
        </w:rPr>
      </w:pPr>
      <w:r>
        <w:rPr>
          <w:rFonts w:hint="eastAsia"/>
          <w:i w:val="0"/>
          <w:iCs w:val="0"/>
          <w:u w:val="none" w:color="auto"/>
          <w:lang w:eastAsia="zh-CN"/>
        </w:rPr>
        <w:t>（</w:t>
      </w:r>
      <w:r>
        <w:rPr>
          <w:rFonts w:hint="eastAsia"/>
          <w:i w:val="0"/>
          <w:iCs w:val="0"/>
          <w:u w:val="none" w:color="auto"/>
          <w:lang w:val="en-US" w:eastAsia="zh-CN"/>
        </w:rPr>
        <w:t>1</w:t>
      </w:r>
      <w:r>
        <w:rPr>
          <w:rFonts w:hint="eastAsia"/>
          <w:i w:val="0"/>
          <w:iCs w:val="0"/>
          <w:u w:val="none" w:color="auto"/>
          <w:lang w:eastAsia="zh-CN"/>
        </w:rPr>
        <w:t>）</w:t>
      </w:r>
      <w:r>
        <w:rPr>
          <w:i w:val="0"/>
          <w:iCs w:val="0"/>
          <w:u w:val="none" w:color="auto"/>
        </w:rPr>
        <w:t>模式 I</w:t>
      </w:r>
    </w:p>
    <w:p>
      <w:pPr>
        <w:bidi w:val="0"/>
        <w:rPr>
          <w:i w:val="0"/>
          <w:iCs w:val="0"/>
          <w:u w:val="none" w:color="auto"/>
        </w:rPr>
      </w:pPr>
      <w:r>
        <w:rPr>
          <w:i w:val="0"/>
          <w:iCs w:val="0"/>
          <w:u w:val="none" w:color="auto"/>
        </w:rPr>
        <w:t>粪污经格栅及沉砂池处理后进入厌氧发酵反应装置进行发酵处理， 其产生 的沼液贮存于沼液贮存池，用于农田施肥或其他用途； 沼气经净化后综合利用；</w:t>
      </w:r>
    </w:p>
    <w:p>
      <w:pPr>
        <w:bidi w:val="0"/>
        <w:rPr>
          <w:i w:val="0"/>
          <w:iCs w:val="0"/>
          <w:u w:val="none" w:color="auto"/>
        </w:rPr>
      </w:pPr>
      <w:r>
        <w:rPr>
          <w:i w:val="0"/>
          <w:iCs w:val="0"/>
          <w:u w:val="none" w:color="auto"/>
        </w:rPr>
        <w:t>沼渣堆肥处理。其推荐工艺情况见图 7.2- 1。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center"/>
        <w:rPr>
          <w:i w:val="0"/>
          <w:iCs w:val="0"/>
          <w:u w:val="none" w:color="auto"/>
        </w:rPr>
      </w:pPr>
      <w:r>
        <w:rPr>
          <w:i w:val="0"/>
          <w:iCs w:val="0"/>
          <w:u w:val="none" w:color="auto"/>
        </w:rPr>
        <w:drawing>
          <wp:inline distT="0" distB="0" distL="0" distR="0">
            <wp:extent cx="5273675" cy="1739265"/>
            <wp:effectExtent l="0" t="0" r="3175" b="13335"/>
            <wp:docPr id="201"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42"/>
                    <a:stretch>
                      <a:fillRect/>
                    </a:stretch>
                  </pic:blipFill>
                  <pic:spPr>
                    <a:xfrm>
                      <a:off x="0" y="0"/>
                      <a:ext cx="5274306" cy="1739853"/>
                    </a:xfrm>
                    <a:prstGeom prst="rect">
                      <a:avLst/>
                    </a:prstGeom>
                  </pic:spPr>
                </pic:pic>
              </a:graphicData>
            </a:graphic>
          </wp:inline>
        </w:drawing>
      </w:r>
    </w:p>
    <w:p>
      <w:pPr>
        <w:pStyle w:val="7"/>
        <w:bidi w:val="0"/>
        <w:rPr>
          <w:i w:val="0"/>
          <w:iCs w:val="0"/>
          <w:u w:val="none" w:color="auto"/>
        </w:rPr>
      </w:pPr>
      <w:r>
        <w:rPr>
          <w:i w:val="0"/>
          <w:iCs w:val="0"/>
          <w:u w:val="none" w:color="auto"/>
        </w:rPr>
        <w:t>图7.2-1  推荐工艺流程 I</w:t>
      </w:r>
    </w:p>
    <w:p>
      <w:pPr>
        <w:bidi w:val="0"/>
        <w:rPr>
          <w:i w:val="0"/>
          <w:iCs w:val="0"/>
          <w:u w:val="none" w:color="auto"/>
        </w:rPr>
      </w:pPr>
      <w:r>
        <w:rPr>
          <w:i w:val="0"/>
          <w:iCs w:val="0"/>
          <w:u w:val="none" w:color="auto"/>
        </w:rPr>
        <w:t>适用范围：该工艺以能源利用与综合利用为主要目的，适用于当地有较大 的能源需求，沼气能完全利用，同时周边有足够土地消纳沼液、沼渣，并有一倍以上的土地轮作面积，使整个养殖场(区)的畜禽排泄物在小区域范围内全部达到循环利用的情况。</w:t>
      </w:r>
    </w:p>
    <w:p>
      <w:pPr>
        <w:bidi w:val="0"/>
        <w:rPr>
          <w:i w:val="0"/>
          <w:iCs w:val="0"/>
          <w:u w:val="none" w:color="auto"/>
        </w:rPr>
      </w:pPr>
      <w:r>
        <w:rPr>
          <w:i w:val="0"/>
          <w:iCs w:val="0"/>
          <w:u w:val="none" w:color="auto"/>
        </w:rPr>
        <w:t>工艺特点：粪尿连同废水一同进入厌氧反应器；未采用干清粪工艺的，应严格控制冲洗用水，提高废水浓度，减少废水总量。</w:t>
      </w:r>
    </w:p>
    <w:p>
      <w:pPr>
        <w:bidi w:val="0"/>
        <w:rPr>
          <w:i w:val="0"/>
          <w:iCs w:val="0"/>
          <w:u w:val="none" w:color="auto"/>
        </w:rPr>
      </w:pPr>
      <w:r>
        <w:rPr>
          <w:rFonts w:hint="eastAsia"/>
          <w:i w:val="0"/>
          <w:iCs w:val="0"/>
          <w:u w:val="none" w:color="auto"/>
          <w:lang w:eastAsia="zh-CN"/>
        </w:rPr>
        <w:t>（</w:t>
      </w:r>
      <w:r>
        <w:rPr>
          <w:rFonts w:hint="eastAsia"/>
          <w:i w:val="0"/>
          <w:iCs w:val="0"/>
          <w:u w:val="none" w:color="auto"/>
          <w:lang w:val="en-US" w:eastAsia="zh-CN"/>
        </w:rPr>
        <w:t>2</w:t>
      </w:r>
      <w:r>
        <w:rPr>
          <w:rFonts w:hint="eastAsia"/>
          <w:i w:val="0"/>
          <w:iCs w:val="0"/>
          <w:u w:val="none" w:color="auto"/>
          <w:lang w:eastAsia="zh-CN"/>
        </w:rPr>
        <w:t>）</w:t>
      </w:r>
      <w:r>
        <w:rPr>
          <w:i w:val="0"/>
          <w:iCs w:val="0"/>
          <w:u w:val="none" w:color="auto"/>
        </w:rPr>
        <w:t>模式 II</w:t>
      </w:r>
    </w:p>
    <w:p>
      <w:pPr>
        <w:bidi w:val="0"/>
        <w:rPr>
          <w:i w:val="0"/>
          <w:iCs w:val="0"/>
          <w:u w:val="none" w:color="auto"/>
        </w:rPr>
      </w:pPr>
      <w:r>
        <w:rPr>
          <w:i w:val="0"/>
          <w:iCs w:val="0"/>
          <w:u w:val="none" w:color="auto"/>
        </w:rPr>
        <w:t>养殖废水经固液分离后，进入厌氧发酵反应装置进行发酵处理，其产生的沼液贮存于沼液贮存池，用于农田施肥或其他用途；沼气经净化后综合利用；沼渣及粪便堆肥处理。其推荐工艺情况见图7.2-2。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center"/>
        <w:rPr>
          <w:i w:val="0"/>
          <w:iCs w:val="0"/>
          <w:u w:val="none" w:color="auto"/>
        </w:rPr>
      </w:pPr>
      <w:r>
        <w:rPr>
          <w:i w:val="0"/>
          <w:iCs w:val="0"/>
          <w:u w:val="none" w:color="auto"/>
        </w:rPr>
        <w:drawing>
          <wp:inline distT="0" distB="0" distL="0" distR="0">
            <wp:extent cx="5273675" cy="1316355"/>
            <wp:effectExtent l="0" t="0" r="3175" b="17145"/>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43"/>
                    <a:stretch>
                      <a:fillRect/>
                    </a:stretch>
                  </pic:blipFill>
                  <pic:spPr>
                    <a:xfrm>
                      <a:off x="0" y="0"/>
                      <a:ext cx="5274264" cy="1316985"/>
                    </a:xfrm>
                    <a:prstGeom prst="rect">
                      <a:avLst/>
                    </a:prstGeom>
                  </pic:spPr>
                </pic:pic>
              </a:graphicData>
            </a:graphic>
          </wp:inline>
        </w:drawing>
      </w:r>
    </w:p>
    <w:p>
      <w:pPr>
        <w:pStyle w:val="7"/>
        <w:bidi w:val="0"/>
        <w:rPr>
          <w:rFonts w:ascii="Times New Roman" w:hAnsi="Times New Roman" w:eastAsia="宋体" w:cs="Times New Roman"/>
          <w:i w:val="0"/>
          <w:iCs w:val="0"/>
          <w:u w:val="none" w:color="auto"/>
        </w:rPr>
      </w:pPr>
      <w:r>
        <w:rPr>
          <w:rFonts w:ascii="Times New Roman" w:hAnsi="Times New Roman" w:eastAsia="宋体" w:cs="Times New Roman"/>
          <w:i w:val="0"/>
          <w:iCs w:val="0"/>
          <w:u w:val="none" w:color="auto"/>
        </w:rPr>
        <w:t xml:space="preserve">图7.2-2 </w:t>
      </w:r>
      <w:r>
        <w:rPr>
          <w:rFonts w:hint="eastAsia" w:ascii="Times New Roman" w:hAnsi="Times New Roman" w:eastAsia="宋体" w:cs="Times New Roman"/>
          <w:i w:val="0"/>
          <w:iCs w:val="0"/>
          <w:u w:val="none" w:color="auto"/>
          <w:lang w:val="en-US" w:eastAsia="zh-CN"/>
        </w:rPr>
        <w:t xml:space="preserve"> </w:t>
      </w:r>
      <w:r>
        <w:rPr>
          <w:rFonts w:ascii="Times New Roman" w:hAnsi="Times New Roman" w:eastAsia="宋体" w:cs="Times New Roman"/>
          <w:i w:val="0"/>
          <w:iCs w:val="0"/>
          <w:u w:val="none" w:color="auto"/>
        </w:rPr>
        <w:t>推荐工艺流程 II</w:t>
      </w:r>
    </w:p>
    <w:p>
      <w:pPr>
        <w:bidi w:val="0"/>
        <w:rPr>
          <w:i w:val="0"/>
          <w:iCs w:val="0"/>
          <w:u w:val="none" w:color="auto"/>
        </w:rPr>
      </w:pPr>
      <w:r>
        <w:rPr>
          <w:i w:val="0"/>
          <w:iCs w:val="0"/>
          <w:u w:val="none" w:color="auto"/>
        </w:rPr>
        <w:t>使用范围：模式Ⅱ工艺适用于能源需求不大，主要以进行污染物无害化处理、降低有机物浓度、减少沼液和沼渣消纳所需配套的土地面积为目的，且养殖场周围具有足够土地面积全部消纳低浓度沼液，并且有一定的土地轮作面积的情况。</w:t>
      </w:r>
    </w:p>
    <w:p>
      <w:pPr>
        <w:bidi w:val="0"/>
        <w:rPr>
          <w:i w:val="0"/>
          <w:iCs w:val="0"/>
          <w:u w:val="none" w:color="auto"/>
        </w:rPr>
      </w:pPr>
      <w:r>
        <w:rPr>
          <w:i w:val="0"/>
          <w:iCs w:val="0"/>
          <w:u w:val="none" w:color="auto"/>
        </w:rPr>
        <w:t>工艺特点：废水进入厌氧反应器之前应先进行固液</w:t>
      </w:r>
      <w:r>
        <w:rPr>
          <w:rFonts w:hint="eastAsia"/>
          <w:i w:val="0"/>
          <w:iCs w:val="0"/>
          <w:u w:val="none" w:color="auto"/>
          <w:lang w:eastAsia="zh-CN"/>
        </w:rPr>
        <w:t>（</w:t>
      </w:r>
      <w:r>
        <w:rPr>
          <w:i w:val="0"/>
          <w:iCs w:val="0"/>
          <w:u w:val="none" w:color="auto"/>
        </w:rPr>
        <w:t>干湿</w:t>
      </w:r>
      <w:r>
        <w:rPr>
          <w:rFonts w:hint="eastAsia"/>
          <w:i w:val="0"/>
          <w:iCs w:val="0"/>
          <w:u w:val="none" w:color="auto"/>
          <w:lang w:eastAsia="zh-CN"/>
        </w:rPr>
        <w:t>）</w:t>
      </w:r>
      <w:r>
        <w:rPr>
          <w:i w:val="0"/>
          <w:iCs w:val="0"/>
          <w:u w:val="none" w:color="auto"/>
        </w:rPr>
        <w:t>分离，然后再对固体粪渣和废水分别进行处理。</w:t>
      </w:r>
    </w:p>
    <w:p>
      <w:pPr>
        <w:bidi w:val="0"/>
        <w:rPr>
          <w:u w:val="none" w:color="auto"/>
        </w:rPr>
      </w:pPr>
      <w:r>
        <w:rPr>
          <w:rFonts w:hint="eastAsia"/>
          <w:u w:val="none" w:color="auto"/>
          <w:lang w:eastAsia="zh-CN"/>
        </w:rPr>
        <w:t>（</w:t>
      </w:r>
      <w:r>
        <w:rPr>
          <w:rFonts w:hint="eastAsia"/>
          <w:u w:val="none" w:color="auto"/>
          <w:lang w:val="en-US" w:eastAsia="zh-CN"/>
        </w:rPr>
        <w:t>3</w:t>
      </w:r>
      <w:r>
        <w:rPr>
          <w:rFonts w:hint="eastAsia"/>
          <w:u w:val="none" w:color="auto"/>
          <w:lang w:eastAsia="zh-CN"/>
        </w:rPr>
        <w:t>）</w:t>
      </w:r>
      <w:r>
        <w:rPr>
          <w:u w:val="none" w:color="auto"/>
        </w:rPr>
        <w:t>模式 III</w:t>
      </w:r>
    </w:p>
    <w:p>
      <w:pPr>
        <w:bidi w:val="0"/>
        <w:rPr>
          <w:u w:val="none" w:color="auto"/>
        </w:rPr>
      </w:pPr>
      <w:r>
        <w:rPr>
          <w:u w:val="none" w:color="auto"/>
        </w:rPr>
        <w:t>养殖废水经固液分离后，进入厌氧发酵反应装置进行发酵处理，之后进入好氧处理系统及自然处理系统处理后，废水达标排放或农田灌溉；其产生沼气经净化后综合利用；沼渣及粪便堆肥处理。其推荐工艺情况见图7.2-3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u w:val="none" w:color="auto"/>
        </w:rPr>
      </w:pPr>
      <w:r>
        <w:rPr>
          <w:u w:val="none" w:color="auto"/>
        </w:rPr>
        <w:drawing>
          <wp:inline distT="0" distB="0" distL="0" distR="0">
            <wp:extent cx="5273675" cy="1752600"/>
            <wp:effectExtent l="0" t="0" r="3175" b="0"/>
            <wp:docPr id="203" name="IM 203"/>
            <wp:cNvGraphicFramePr/>
            <a:graphic xmlns:a="http://schemas.openxmlformats.org/drawingml/2006/main">
              <a:graphicData uri="http://schemas.openxmlformats.org/drawingml/2006/picture">
                <pic:pic xmlns:pic="http://schemas.openxmlformats.org/drawingml/2006/picture">
                  <pic:nvPicPr>
                    <pic:cNvPr id="203" name="IM 203"/>
                    <pic:cNvPicPr/>
                  </pic:nvPicPr>
                  <pic:blipFill>
                    <a:blip r:embed="rId44"/>
                    <a:stretch>
                      <a:fillRect/>
                    </a:stretch>
                  </pic:blipFill>
                  <pic:spPr>
                    <a:xfrm>
                      <a:off x="0" y="0"/>
                      <a:ext cx="5274262" cy="1753163"/>
                    </a:xfrm>
                    <a:prstGeom prst="rect">
                      <a:avLst/>
                    </a:prstGeom>
                  </pic:spPr>
                </pic:pic>
              </a:graphicData>
            </a:graphic>
          </wp:inline>
        </w:drawing>
      </w:r>
    </w:p>
    <w:p>
      <w:pPr>
        <w:pStyle w:val="7"/>
        <w:bidi w:val="0"/>
        <w:rPr>
          <w:u w:val="none" w:color="auto"/>
        </w:rPr>
      </w:pPr>
      <w:r>
        <w:rPr>
          <w:u w:val="none" w:color="auto"/>
        </w:rPr>
        <w:t>图7.2-3</w:t>
      </w:r>
      <w:r>
        <w:rPr>
          <w:rFonts w:hint="eastAsia"/>
          <w:u w:val="none" w:color="auto"/>
          <w:lang w:val="en-US" w:eastAsia="zh-CN"/>
        </w:rPr>
        <w:t xml:space="preserve"> </w:t>
      </w:r>
      <w:r>
        <w:rPr>
          <w:u w:val="none" w:color="auto"/>
        </w:rPr>
        <w:t xml:space="preserve"> 推荐工艺流程 III</w:t>
      </w:r>
    </w:p>
    <w:p>
      <w:pPr>
        <w:bidi w:val="0"/>
        <w:rPr>
          <w:u w:val="none" w:color="auto"/>
        </w:rPr>
      </w:pPr>
      <w:r>
        <w:rPr>
          <w:u w:val="none" w:color="auto"/>
        </w:rPr>
        <w:t>适用范围：能源需求不高且沼液和沼渣无法进行土地消纳，废水必须经处理后达标排放或回用的，应采用模式Ⅲ处理工艺。</w:t>
      </w:r>
    </w:p>
    <w:p>
      <w:pPr>
        <w:bidi w:val="0"/>
        <w:rPr>
          <w:u w:val="none" w:color="auto"/>
        </w:rPr>
      </w:pPr>
      <w:r>
        <w:rPr>
          <w:u w:val="none" w:color="auto"/>
        </w:rPr>
        <w:t>工艺特点：废水进入厌氧反应器之前应先进行固液</w:t>
      </w:r>
      <w:r>
        <w:rPr>
          <w:rFonts w:hint="eastAsia"/>
          <w:u w:val="none" w:color="auto"/>
          <w:lang w:eastAsia="zh-CN"/>
        </w:rPr>
        <w:t>（</w:t>
      </w:r>
      <w:r>
        <w:rPr>
          <w:u w:val="none" w:color="auto"/>
        </w:rPr>
        <w:t>干湿</w:t>
      </w:r>
      <w:r>
        <w:rPr>
          <w:rFonts w:hint="eastAsia"/>
          <w:u w:val="none" w:color="auto"/>
          <w:lang w:eastAsia="zh-CN"/>
        </w:rPr>
        <w:t>）</w:t>
      </w:r>
      <w:r>
        <w:rPr>
          <w:u w:val="none" w:color="auto"/>
        </w:rPr>
        <w:t>分离，然后再对固体粪渣和废水分别进行处理。</w:t>
      </w:r>
    </w:p>
    <w:p>
      <w:pPr>
        <w:keepNext w:val="0"/>
        <w:keepLines w:val="0"/>
        <w:widowControl/>
        <w:suppressLineNumbers w:val="0"/>
        <w:jc w:val="left"/>
        <w:rPr>
          <w:rFonts w:hint="eastAsia" w:eastAsia="宋体"/>
          <w:highlight w:val="none"/>
          <w:u w:val="single" w:color="auto"/>
          <w:lang w:eastAsia="zh-CN"/>
        </w:rPr>
      </w:pPr>
      <w:r>
        <w:rPr>
          <w:rFonts w:hint="eastAsia" w:ascii="宋体" w:hAnsi="宋体" w:eastAsia="宋体" w:cs="宋体"/>
          <w:color w:val="000000"/>
          <w:kern w:val="0"/>
          <w:sz w:val="24"/>
          <w:szCs w:val="24"/>
          <w:u w:val="single" w:color="auto"/>
          <w:lang w:val="en-US" w:eastAsia="zh-CN" w:bidi="ar"/>
        </w:rPr>
        <w:t>本项目场内</w:t>
      </w:r>
      <w:r>
        <w:rPr>
          <w:rFonts w:hint="eastAsia"/>
          <w:highlight w:val="none"/>
          <w:u w:val="single" w:color="auto"/>
          <w:lang w:eastAsia="zh-CN"/>
        </w:rPr>
        <w:t>常年</w:t>
      </w:r>
      <w:r>
        <w:rPr>
          <w:highlight w:val="none"/>
          <w:u w:val="single" w:color="auto"/>
        </w:rPr>
        <w:t>存栏量</w:t>
      </w:r>
      <w:r>
        <w:rPr>
          <w:rFonts w:hint="eastAsia" w:ascii="宋体" w:hAnsi="宋体" w:eastAsia="宋体" w:cs="宋体"/>
          <w:color w:val="000000"/>
          <w:kern w:val="0"/>
          <w:sz w:val="24"/>
          <w:szCs w:val="24"/>
          <w:u w:val="single" w:color="auto"/>
          <w:lang w:val="en-US" w:eastAsia="zh-CN" w:bidi="ar"/>
        </w:rPr>
        <w:t>为</w:t>
      </w:r>
      <w:r>
        <w:rPr>
          <w:rFonts w:hint="default" w:ascii="Times New Roman" w:hAnsi="Times New Roman" w:eastAsia="宋体" w:cs="Times New Roman"/>
          <w:color w:val="000000"/>
          <w:kern w:val="0"/>
          <w:sz w:val="24"/>
          <w:szCs w:val="24"/>
          <w:u w:val="single" w:color="auto"/>
          <w:lang w:val="en-US" w:eastAsia="zh-CN" w:bidi="ar"/>
        </w:rPr>
        <w:t>5</w:t>
      </w:r>
      <w:r>
        <w:rPr>
          <w:rFonts w:hint="eastAsia" w:ascii="Times New Roman" w:hAnsi="Times New Roman" w:eastAsia="宋体" w:cs="Times New Roman"/>
          <w:color w:val="000000"/>
          <w:kern w:val="0"/>
          <w:sz w:val="24"/>
          <w:szCs w:val="24"/>
          <w:u w:val="single" w:color="auto"/>
          <w:lang w:val="en-US" w:eastAsia="zh-CN" w:bidi="ar"/>
        </w:rPr>
        <w:t>5</w:t>
      </w:r>
      <w:r>
        <w:rPr>
          <w:rFonts w:hint="default" w:ascii="Times New Roman" w:hAnsi="Times New Roman" w:eastAsia="宋体" w:cs="Times New Roman"/>
          <w:color w:val="000000"/>
          <w:kern w:val="0"/>
          <w:sz w:val="24"/>
          <w:szCs w:val="24"/>
          <w:u w:val="single" w:color="auto"/>
          <w:lang w:val="en-US" w:eastAsia="zh-CN" w:bidi="ar"/>
        </w:rPr>
        <w:t>00</w:t>
      </w:r>
      <w:r>
        <w:rPr>
          <w:rFonts w:hint="eastAsia" w:ascii="宋体" w:hAnsi="宋体" w:eastAsia="宋体" w:cs="宋体"/>
          <w:color w:val="000000"/>
          <w:kern w:val="0"/>
          <w:sz w:val="24"/>
          <w:szCs w:val="24"/>
          <w:u w:val="single" w:color="auto"/>
          <w:lang w:val="en-US" w:eastAsia="zh-CN" w:bidi="ar"/>
        </w:rPr>
        <w:t>头，</w:t>
      </w:r>
      <w:r>
        <w:rPr>
          <w:rFonts w:hint="eastAsia"/>
          <w:highlight w:val="none"/>
          <w:u w:val="single" w:color="auto"/>
        </w:rPr>
        <w:t>本项目采用的污水处理工艺与《畜禽养殖业污染治理工程技术规范》（HJ497—2009）中推荐的模式III工艺基本一致</w:t>
      </w:r>
      <w:r>
        <w:rPr>
          <w:rFonts w:hint="eastAsia"/>
          <w:highlight w:val="none"/>
          <w:u w:val="single" w:color="auto"/>
          <w:lang w:eastAsia="zh-CN"/>
        </w:rPr>
        <w:t>。</w:t>
      </w:r>
    </w:p>
    <w:p>
      <w:pPr>
        <w:bidi w:val="0"/>
        <w:rPr>
          <w:highlight w:val="none"/>
          <w:u w:val="single" w:color="auto"/>
        </w:rPr>
      </w:pPr>
      <w:r>
        <w:rPr>
          <w:highlight w:val="none"/>
          <w:u w:val="single" w:color="auto"/>
        </w:rPr>
        <w:t>污水处理工艺流程及产污环节见第</w:t>
      </w:r>
      <w:r>
        <w:rPr>
          <w:rFonts w:hint="eastAsia"/>
          <w:highlight w:val="none"/>
          <w:u w:val="single" w:color="auto"/>
          <w:lang w:val="en-US" w:eastAsia="zh-CN"/>
        </w:rPr>
        <w:t>4</w:t>
      </w:r>
      <w:r>
        <w:rPr>
          <w:highlight w:val="none"/>
          <w:u w:val="single" w:color="auto"/>
        </w:rPr>
        <w:t>章节，图</w:t>
      </w:r>
      <w:r>
        <w:rPr>
          <w:rFonts w:hint="eastAsia"/>
          <w:highlight w:val="none"/>
          <w:u w:val="single" w:color="auto"/>
          <w:lang w:val="en-US" w:eastAsia="zh-CN"/>
        </w:rPr>
        <w:t>4.1-3</w:t>
      </w:r>
      <w:r>
        <w:rPr>
          <w:highlight w:val="none"/>
          <w:u w:val="single" w:color="auto"/>
        </w:rPr>
        <w:t>。</w:t>
      </w:r>
    </w:p>
    <w:p>
      <w:pPr>
        <w:bidi w:val="0"/>
        <w:rPr>
          <w:highlight w:val="none"/>
          <w:u w:val="single" w:color="auto"/>
        </w:rPr>
      </w:pPr>
      <w:r>
        <w:rPr>
          <w:highlight w:val="none"/>
          <w:u w:val="single" w:color="auto"/>
        </w:rPr>
        <w:t>工艺说明：</w:t>
      </w:r>
      <w:r>
        <w:rPr>
          <w:rFonts w:hint="eastAsia"/>
          <w:highlight w:val="none"/>
          <w:u w:val="single" w:color="auto"/>
        </w:rPr>
        <w:t>本项目采用</w:t>
      </w:r>
      <w:r>
        <w:rPr>
          <w:rFonts w:hint="eastAsia"/>
          <w:highlight w:val="none"/>
          <w:u w:val="single" w:color="auto"/>
          <w:lang w:eastAsia="zh-CN"/>
        </w:rPr>
        <w:t>干清粪</w:t>
      </w:r>
      <w:r>
        <w:rPr>
          <w:rFonts w:hint="eastAsia"/>
          <w:highlight w:val="none"/>
          <w:u w:val="single" w:color="auto"/>
        </w:rPr>
        <w:t>处理工艺，</w:t>
      </w:r>
      <w:r>
        <w:rPr>
          <w:rFonts w:hint="eastAsia"/>
          <w:highlight w:val="none"/>
          <w:u w:val="single" w:color="auto"/>
          <w:lang w:eastAsia="zh-CN"/>
        </w:rPr>
        <w:t>采取</w:t>
      </w:r>
      <w:r>
        <w:rPr>
          <w:rFonts w:hint="eastAsia"/>
          <w:highlight w:val="none"/>
          <w:u w:val="single" w:color="auto"/>
        </w:rPr>
        <w:t>固液分离，养殖粪污分离出来的固态作为有机肥原料</w:t>
      </w:r>
      <w:r>
        <w:rPr>
          <w:rFonts w:hint="eastAsia"/>
          <w:highlight w:val="none"/>
          <w:u w:val="single" w:color="auto"/>
          <w:lang w:eastAsia="zh-CN"/>
        </w:rPr>
        <w:t>通过罐车</w:t>
      </w:r>
      <w:r>
        <w:rPr>
          <w:rFonts w:hint="eastAsia"/>
          <w:highlight w:val="none"/>
          <w:u w:val="single" w:color="auto"/>
        </w:rPr>
        <w:t>外运</w:t>
      </w:r>
      <w:r>
        <w:rPr>
          <w:rFonts w:hint="eastAsia"/>
          <w:highlight w:val="none"/>
          <w:u w:val="single" w:color="auto"/>
          <w:lang w:eastAsia="zh-CN"/>
        </w:rPr>
        <w:t>，不在厂区内堆肥</w:t>
      </w:r>
      <w:r>
        <w:rPr>
          <w:highlight w:val="none"/>
          <w:u w:val="single" w:color="auto"/>
        </w:rPr>
        <w:t>。</w:t>
      </w:r>
      <w:r>
        <w:rPr>
          <w:rFonts w:hint="eastAsia"/>
          <w:highlight w:val="none"/>
          <w:u w:val="single" w:color="auto"/>
        </w:rPr>
        <w:t>废水进入污水处理站内处理</w:t>
      </w:r>
      <w:r>
        <w:rPr>
          <w:highlight w:val="none"/>
          <w:u w:val="single" w:color="auto"/>
        </w:rPr>
        <w:t>。废水混合后经过</w:t>
      </w:r>
      <w:r>
        <w:rPr>
          <w:rFonts w:hint="eastAsia"/>
          <w:highlight w:val="none"/>
          <w:u w:val="single" w:color="auto"/>
          <w:lang w:eastAsia="zh-CN"/>
        </w:rPr>
        <w:t>“</w:t>
      </w:r>
      <w:r>
        <w:rPr>
          <w:rFonts w:hint="eastAsia"/>
          <w:highlight w:val="none"/>
          <w:u w:val="single" w:color="auto"/>
          <w:lang w:val="en-US" w:eastAsia="zh-CN"/>
        </w:rPr>
        <w:t>格栅池+收集池+固液分离+调节池+厌氧处理池+</w:t>
      </w:r>
      <w:r>
        <w:rPr>
          <w:rFonts w:hint="default" w:ascii="Times New Roman" w:hAnsi="Times New Roman" w:cs="Times New Roman"/>
          <w:highlight w:val="none"/>
          <w:u w:val="single" w:color="auto"/>
          <w:lang w:val="en-US" w:eastAsia="zh-CN"/>
        </w:rPr>
        <w:t>A</w:t>
      </w:r>
      <w:r>
        <w:rPr>
          <w:rFonts w:hint="eastAsia" w:cs="Times New Roman"/>
          <w:highlight w:val="none"/>
          <w:u w:val="single" w:color="auto"/>
          <w:vertAlign w:val="superscript"/>
          <w:lang w:val="en-US" w:eastAsia="zh-CN"/>
        </w:rPr>
        <w:t>2</w:t>
      </w:r>
      <w:r>
        <w:rPr>
          <w:rFonts w:hint="default" w:ascii="Times New Roman" w:hAnsi="Times New Roman" w:cs="Times New Roman"/>
          <w:highlight w:val="none"/>
          <w:u w:val="single" w:color="auto"/>
          <w:lang w:val="en-US" w:eastAsia="zh-CN"/>
        </w:rPr>
        <w:t>/O</w:t>
      </w:r>
      <w:r>
        <w:rPr>
          <w:rFonts w:hint="eastAsia" w:cs="Times New Roman"/>
          <w:highlight w:val="none"/>
          <w:u w:val="single" w:color="auto"/>
          <w:vertAlign w:val="superscript"/>
          <w:lang w:val="en-US" w:eastAsia="zh-CN"/>
        </w:rPr>
        <w:t>2</w:t>
      </w:r>
      <w:r>
        <w:rPr>
          <w:rFonts w:hint="eastAsia"/>
          <w:highlight w:val="none"/>
          <w:u w:val="single" w:color="auto"/>
          <w:lang w:val="en-US" w:eastAsia="zh-CN"/>
        </w:rPr>
        <w:t>池+沉淀池+药剂反应池+大型沉淀池+清水池+氧化塘”处理</w:t>
      </w:r>
      <w:r>
        <w:rPr>
          <w:highlight w:val="none"/>
          <w:u w:val="single" w:color="auto"/>
        </w:rPr>
        <w:t>，最终处理产生的废水灌溉周边</w:t>
      </w:r>
      <w:r>
        <w:rPr>
          <w:rFonts w:hint="eastAsia"/>
          <w:highlight w:val="none"/>
          <w:u w:val="single" w:color="auto"/>
          <w:lang w:eastAsia="zh-CN"/>
        </w:rPr>
        <w:t>林地</w:t>
      </w:r>
      <w:r>
        <w:rPr>
          <w:highlight w:val="none"/>
          <w:u w:val="single" w:color="auto"/>
        </w:rPr>
        <w:t>。</w:t>
      </w:r>
    </w:p>
    <w:p>
      <w:pPr>
        <w:pStyle w:val="6"/>
        <w:bidi w:val="0"/>
        <w:rPr>
          <w:highlight w:val="none"/>
          <w:u w:val="single" w:color="auto"/>
        </w:rPr>
      </w:pPr>
      <w:r>
        <w:rPr>
          <w:rFonts w:hint="eastAsia"/>
          <w:highlight w:val="none"/>
          <w:u w:val="single" w:color="auto"/>
          <w:lang w:val="en-US" w:eastAsia="zh-CN"/>
        </w:rPr>
        <w:t xml:space="preserve">7.2.2.3  </w:t>
      </w:r>
      <w:r>
        <w:rPr>
          <w:rFonts w:hint="eastAsia"/>
          <w:highlight w:val="none"/>
          <w:u w:val="single" w:color="auto"/>
        </w:rPr>
        <w:t>污水处理技术可行性分析</w:t>
      </w:r>
    </w:p>
    <w:p>
      <w:pPr>
        <w:bidi w:val="0"/>
        <w:rPr>
          <w:highlight w:val="none"/>
          <w:u w:val="single" w:color="auto"/>
        </w:rPr>
      </w:pPr>
      <w:r>
        <w:rPr>
          <w:rFonts w:hint="eastAsia"/>
          <w:highlight w:val="none"/>
          <w:u w:val="single" w:color="auto"/>
        </w:rPr>
        <w:t>本项目采用的污水处理工艺与《畜禽养殖业污染治理工程技术规范》（HJ497—2009）中推荐的模式III工艺基本一致，对COD的去除率在95%以上，出水水质达到《农田灌溉水质标准》（GB5084-2005）</w:t>
      </w:r>
      <w:r>
        <w:rPr>
          <w:rFonts w:hint="eastAsia"/>
          <w:highlight w:val="none"/>
          <w:u w:val="single" w:color="auto"/>
          <w:lang w:eastAsia="zh-CN"/>
        </w:rPr>
        <w:t>水作</w:t>
      </w:r>
      <w:r>
        <w:rPr>
          <w:rFonts w:hint="eastAsia"/>
          <w:highlight w:val="none"/>
          <w:u w:val="single" w:color="auto"/>
        </w:rPr>
        <w:t>标准后，尾水用于周边</w:t>
      </w:r>
      <w:r>
        <w:rPr>
          <w:rFonts w:hint="eastAsia"/>
          <w:highlight w:val="none"/>
          <w:u w:val="single" w:color="auto"/>
          <w:lang w:eastAsia="zh-CN"/>
        </w:rPr>
        <w:t>林地灌溉</w:t>
      </w:r>
      <w:r>
        <w:rPr>
          <w:rFonts w:hint="eastAsia"/>
          <w:highlight w:val="none"/>
          <w:u w:val="single" w:color="auto"/>
        </w:rPr>
        <w:t>，工艺技术可行</w:t>
      </w:r>
      <w:r>
        <w:rPr>
          <w:rFonts w:hint="eastAsia"/>
          <w:highlight w:val="none"/>
          <w:u w:val="single" w:color="auto"/>
          <w:lang w:eastAsia="zh-CN"/>
        </w:rPr>
        <w:t>。</w:t>
      </w:r>
    </w:p>
    <w:p>
      <w:pPr>
        <w:pStyle w:val="6"/>
        <w:bidi w:val="0"/>
        <w:rPr>
          <w:highlight w:val="none"/>
        </w:rPr>
      </w:pPr>
      <w:r>
        <w:rPr>
          <w:rFonts w:hint="eastAsia"/>
          <w:highlight w:val="none"/>
          <w:lang w:val="en-US" w:eastAsia="zh-CN"/>
        </w:rPr>
        <w:t xml:space="preserve">7.2.2.4  </w:t>
      </w:r>
      <w:r>
        <w:rPr>
          <w:highlight w:val="none"/>
        </w:rPr>
        <w:t>尾水消纳可行性分析</w:t>
      </w:r>
    </w:p>
    <w:p>
      <w:pPr>
        <w:bidi w:val="0"/>
        <w:rPr>
          <w:rFonts w:hint="eastAsia" w:eastAsia="宋体"/>
          <w:highlight w:val="none"/>
          <w:u w:val="none"/>
          <w:lang w:eastAsia="zh-CN"/>
        </w:rPr>
      </w:pPr>
      <w:r>
        <w:rPr>
          <w:rFonts w:hint="eastAsia"/>
          <w:highlight w:val="none"/>
          <w:u w:val="none"/>
          <w:lang w:eastAsia="zh-CN"/>
        </w:rPr>
        <w:t>（</w:t>
      </w:r>
      <w:r>
        <w:rPr>
          <w:rFonts w:hint="eastAsia"/>
          <w:highlight w:val="none"/>
          <w:u w:val="none"/>
          <w:lang w:val="en-US" w:eastAsia="zh-CN"/>
        </w:rPr>
        <w:t>1</w:t>
      </w:r>
      <w:r>
        <w:rPr>
          <w:rFonts w:hint="eastAsia"/>
          <w:highlight w:val="none"/>
          <w:u w:val="none"/>
          <w:lang w:eastAsia="zh-CN"/>
        </w:rPr>
        <w:t>）</w:t>
      </w:r>
      <w:r>
        <w:rPr>
          <w:highlight w:val="none"/>
          <w:u w:val="none"/>
        </w:rPr>
        <w:t>农灌时段可行性分析</w:t>
      </w:r>
    </w:p>
    <w:p>
      <w:pPr>
        <w:bidi w:val="0"/>
        <w:rPr>
          <w:highlight w:val="none"/>
          <w:u w:val="single"/>
        </w:rPr>
      </w:pPr>
      <w:r>
        <w:rPr>
          <w:highlight w:val="none"/>
          <w:u w:val="none"/>
        </w:rPr>
        <w:t>项目尾水消纳区与厂区绿化防疫带主要种植作物为桉树林。由于无桉树林用水量统计结果，项目灌区桉树林需水量参考《</w:t>
      </w:r>
      <w:r>
        <w:rPr>
          <w:rFonts w:hint="eastAsia"/>
          <w:highlight w:val="none"/>
          <w:u w:val="none"/>
          <w:lang w:eastAsia="zh-CN"/>
        </w:rPr>
        <w:t>湖南省</w:t>
      </w:r>
      <w:r>
        <w:rPr>
          <w:rFonts w:hint="eastAsia"/>
          <w:highlight w:val="none"/>
          <w:u w:val="none"/>
        </w:rPr>
        <w:t>用水定额》（DB43/T388-20</w:t>
      </w:r>
      <w:r>
        <w:rPr>
          <w:rFonts w:hint="eastAsia"/>
          <w:highlight w:val="none"/>
          <w:u w:val="none"/>
          <w:lang w:val="en-US" w:eastAsia="zh-CN"/>
        </w:rPr>
        <w:t>20</w:t>
      </w:r>
      <w:r>
        <w:rPr>
          <w:rFonts w:hint="eastAsia"/>
          <w:highlight w:val="none"/>
          <w:u w:val="none"/>
        </w:rPr>
        <w:t>）</w:t>
      </w:r>
      <w:r>
        <w:rPr>
          <w:rFonts w:hint="eastAsia"/>
          <w:highlight w:val="none"/>
          <w:u w:val="none"/>
          <w:lang w:eastAsia="zh-CN"/>
        </w:rPr>
        <w:t>表</w:t>
      </w:r>
      <w:r>
        <w:rPr>
          <w:rFonts w:hint="eastAsia"/>
          <w:highlight w:val="none"/>
          <w:u w:val="none"/>
          <w:lang w:val="en-US" w:eastAsia="zh-CN"/>
        </w:rPr>
        <w:t>1中苗木</w:t>
      </w:r>
      <w:r>
        <w:rPr>
          <w:highlight w:val="none"/>
          <w:u w:val="none"/>
        </w:rPr>
        <w:t>的需水量进行计算。</w:t>
      </w:r>
      <w:r>
        <w:rPr>
          <w:highlight w:val="none"/>
          <w:u w:val="single"/>
        </w:rPr>
        <w:t>项目位于</w:t>
      </w:r>
      <w:r>
        <w:rPr>
          <w:rFonts w:hint="eastAsia"/>
          <w:highlight w:val="none"/>
          <w:u w:val="single"/>
          <w:lang w:eastAsia="zh-CN"/>
        </w:rPr>
        <w:t>岳阳</w:t>
      </w:r>
      <w:r>
        <w:rPr>
          <w:highlight w:val="none"/>
          <w:u w:val="single"/>
        </w:rPr>
        <w:t>市</w:t>
      </w:r>
      <w:r>
        <w:rPr>
          <w:rFonts w:hint="eastAsia"/>
          <w:highlight w:val="none"/>
          <w:u w:val="single"/>
          <w:lang w:eastAsia="zh-CN"/>
        </w:rPr>
        <w:t>华容县</w:t>
      </w:r>
      <w:r>
        <w:rPr>
          <w:highlight w:val="none"/>
          <w:u w:val="single"/>
        </w:rPr>
        <w:t>区，属于</w:t>
      </w:r>
      <w:r>
        <w:rPr>
          <w:rFonts w:hint="eastAsia"/>
          <w:highlight w:val="none"/>
          <w:u w:val="single"/>
          <w:lang w:eastAsia="zh-CN"/>
        </w:rPr>
        <w:t>灌溉</w:t>
      </w:r>
      <w:r>
        <w:rPr>
          <w:rFonts w:hint="eastAsia"/>
          <w:highlight w:val="none"/>
          <w:u w:val="single"/>
        </w:rPr>
        <w:t>Ⅲ</w:t>
      </w:r>
      <w:r>
        <w:rPr>
          <w:rFonts w:hint="eastAsia"/>
          <w:highlight w:val="none"/>
          <w:u w:val="single"/>
          <w:lang w:eastAsia="zh-CN"/>
        </w:rPr>
        <w:t>区</w:t>
      </w:r>
      <w:r>
        <w:rPr>
          <w:highlight w:val="none"/>
          <w:u w:val="single"/>
        </w:rPr>
        <w:t>，建设单位配套</w:t>
      </w:r>
      <w:r>
        <w:rPr>
          <w:rFonts w:hint="eastAsia"/>
          <w:highlight w:val="none"/>
          <w:u w:val="single"/>
          <w:lang w:eastAsia="zh-CN"/>
        </w:rPr>
        <w:t>罐车，运输至周边林地，林地紧邻项目，灌溉方式为罐车浇灌</w:t>
      </w:r>
      <w:r>
        <w:rPr>
          <w:highlight w:val="none"/>
          <w:u w:val="single"/>
        </w:rPr>
        <w:t>，农灌区桉树需水量情况见表</w:t>
      </w:r>
      <w:r>
        <w:rPr>
          <w:rFonts w:hint="eastAsia"/>
          <w:highlight w:val="none"/>
          <w:u w:val="single"/>
          <w:lang w:val="en-US" w:eastAsia="zh-CN"/>
        </w:rPr>
        <w:t>7</w:t>
      </w:r>
      <w:r>
        <w:rPr>
          <w:highlight w:val="none"/>
          <w:u w:val="single"/>
        </w:rPr>
        <w:t>.2-</w:t>
      </w:r>
      <w:r>
        <w:rPr>
          <w:rFonts w:hint="eastAsia"/>
          <w:highlight w:val="none"/>
          <w:u w:val="single"/>
          <w:lang w:val="en-US" w:eastAsia="zh-CN"/>
        </w:rPr>
        <w:t>1</w:t>
      </w:r>
      <w:r>
        <w:rPr>
          <w:highlight w:val="none"/>
          <w:u w:val="single"/>
        </w:rPr>
        <w:t>。</w:t>
      </w:r>
    </w:p>
    <w:p>
      <w:pPr>
        <w:pStyle w:val="7"/>
        <w:bidi w:val="0"/>
        <w:rPr>
          <w:highlight w:val="none"/>
          <w:u w:val="single"/>
        </w:rPr>
      </w:pPr>
      <w:r>
        <w:rPr>
          <w:highlight w:val="none"/>
          <w:u w:val="single"/>
        </w:rPr>
        <w:t>表</w:t>
      </w:r>
      <w:r>
        <w:rPr>
          <w:rFonts w:hint="eastAsia"/>
          <w:highlight w:val="none"/>
          <w:u w:val="single"/>
          <w:lang w:val="en-US" w:eastAsia="zh-CN"/>
        </w:rPr>
        <w:t>7</w:t>
      </w:r>
      <w:r>
        <w:rPr>
          <w:highlight w:val="none"/>
          <w:u w:val="single"/>
        </w:rPr>
        <w:t>.2-</w:t>
      </w:r>
      <w:r>
        <w:rPr>
          <w:rFonts w:hint="eastAsia"/>
          <w:highlight w:val="none"/>
          <w:u w:val="single"/>
          <w:lang w:val="en-US" w:eastAsia="zh-CN"/>
        </w:rPr>
        <w:t>1</w:t>
      </w:r>
      <w:r>
        <w:rPr>
          <w:highlight w:val="none"/>
          <w:u w:val="single"/>
        </w:rPr>
        <w:t xml:space="preserve">  农灌区桉树需水量一栏表    单位：</w:t>
      </w:r>
      <w:r>
        <w:rPr>
          <w:rFonts w:hint="eastAsia"/>
          <w:highlight w:val="none"/>
          <w:u w:val="single"/>
          <w:lang w:val="en-US" w:eastAsia="zh-CN"/>
        </w:rPr>
        <w:t xml:space="preserve"> </w:t>
      </w:r>
      <w:r>
        <w:rPr>
          <w:highlight w:val="none"/>
          <w:u w:val="single"/>
        </w:rPr>
        <w:t>m</w:t>
      </w:r>
      <w:r>
        <w:rPr>
          <w:highlight w:val="none"/>
          <w:u w:val="single"/>
          <w:vertAlign w:val="superscript"/>
        </w:rPr>
        <w:t>3</w:t>
      </w:r>
      <w:r>
        <w:rPr>
          <w:highlight w:val="none"/>
          <w:u w:val="single"/>
        </w:rPr>
        <w:t>/667m</w:t>
      </w:r>
      <w:r>
        <w:rPr>
          <w:highlight w:val="none"/>
          <w:u w:val="single"/>
          <w:vertAlign w:val="superscript"/>
        </w:rPr>
        <w:t>2</w:t>
      </w:r>
      <w:r>
        <w:rPr>
          <w:highlight w:val="none"/>
          <w:u w:val="single"/>
        </w:rPr>
        <w:t>·a</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91"/>
        <w:gridCol w:w="1822"/>
        <w:gridCol w:w="1592"/>
        <w:gridCol w:w="1334"/>
        <w:gridCol w:w="18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15" w:type="pct"/>
            <w:vMerge w:val="restart"/>
            <w:tcBorders>
              <w:tl2br w:val="nil"/>
              <w:tr2bl w:val="nil"/>
            </w:tcBorders>
            <w:noWrap w:val="0"/>
            <w:vAlign w:val="center"/>
            <mc:AlternateContent>
              <mc:Choice Requires="wpsCustomData">
                <wpsCustomData:diagonals>
                  <wpsCustomData:diagonal from="10000" to="30000">
                    <wpsCustomData:border w:val="single" w:color="000000"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eastAsia" w:cs="Times New Roman"/>
                <w:spacing w:val="0"/>
                <w:w w:val="100"/>
                <w:position w:val="0"/>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mc:AlternateContent>
                <mc:Choice Requires="wpsCustomData">
                  <wpsCustomData:diagonalParaType/>
                </mc:Choice>
              </mc:AlternateContent>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名称</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用水定额</w:t>
            </w:r>
          </w:p>
        </w:tc>
        <w:tc>
          <w:tcPr>
            <w:tcW w:w="28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灌溉保证率</w:t>
            </w:r>
          </w:p>
        </w:tc>
        <w:tc>
          <w:tcPr>
            <w:tcW w:w="11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灌溉方式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10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50%</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75%</w:t>
            </w: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90%</w:t>
            </w:r>
          </w:p>
        </w:tc>
        <w:tc>
          <w:tcPr>
            <w:tcW w:w="11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苗木</w:t>
            </w:r>
          </w:p>
        </w:tc>
        <w:tc>
          <w:tcPr>
            <w:tcW w:w="10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62</w:t>
            </w:r>
          </w:p>
        </w:tc>
        <w:tc>
          <w:tcPr>
            <w:tcW w:w="9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81</w:t>
            </w: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116</w:t>
            </w:r>
          </w:p>
        </w:tc>
        <w:tc>
          <w:tcPr>
            <w:tcW w:w="1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eastAsia" w:cs="Times New Roman"/>
                <w:spacing w:val="0"/>
                <w:w w:val="100"/>
                <w:position w:val="0"/>
                <w:sz w:val="21"/>
                <w:szCs w:val="21"/>
                <w:highlight w:val="none"/>
                <w:u w:val="single"/>
                <w:lang w:eastAsia="zh-CN"/>
              </w:rPr>
              <w:t>罐车浇灌</w:t>
            </w:r>
          </w:p>
        </w:tc>
      </w:tr>
    </w:tbl>
    <w:p>
      <w:pPr>
        <w:bidi w:val="0"/>
        <w:rPr>
          <w:highlight w:val="none"/>
          <w:u w:val="single"/>
        </w:rPr>
      </w:pPr>
      <w:r>
        <w:rPr>
          <w:highlight w:val="none"/>
          <w:u w:val="single"/>
        </w:rPr>
        <w:t>项目在平水年保证率情况下，项目灌溉区桉树需水量见表</w:t>
      </w:r>
      <w:r>
        <w:rPr>
          <w:rFonts w:hint="eastAsia"/>
          <w:highlight w:val="none"/>
          <w:u w:val="single"/>
          <w:lang w:val="en-US" w:eastAsia="zh-CN"/>
        </w:rPr>
        <w:t>7.2-2</w:t>
      </w:r>
      <w:r>
        <w:rPr>
          <w:highlight w:val="none"/>
          <w:u w:val="single"/>
        </w:rPr>
        <w:t>。</w:t>
      </w:r>
    </w:p>
    <w:p>
      <w:pPr>
        <w:pStyle w:val="7"/>
        <w:bidi w:val="0"/>
        <w:rPr>
          <w:highlight w:val="none"/>
          <w:u w:val="single"/>
        </w:rPr>
      </w:pPr>
      <w:r>
        <w:rPr>
          <w:highlight w:val="none"/>
          <w:u w:val="single"/>
        </w:rPr>
        <w:t>表</w:t>
      </w:r>
      <w:r>
        <w:rPr>
          <w:rFonts w:hint="eastAsia"/>
          <w:highlight w:val="none"/>
          <w:u w:val="single"/>
          <w:lang w:val="en-US" w:eastAsia="zh-CN"/>
        </w:rPr>
        <w:t>7.2-2</w:t>
      </w:r>
      <w:r>
        <w:rPr>
          <w:highlight w:val="none"/>
          <w:u w:val="single"/>
        </w:rPr>
        <w:t xml:space="preserve">  项目灌溉区作物需水量一栏表</w:t>
      </w:r>
    </w:p>
    <w:p>
      <w:pPr>
        <w:spacing w:line="43" w:lineRule="exact"/>
        <w:rPr>
          <w:highlight w:val="none"/>
          <w:u w:val="single"/>
        </w:rPr>
      </w:pP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92"/>
        <w:gridCol w:w="1514"/>
        <w:gridCol w:w="1639"/>
        <w:gridCol w:w="2019"/>
        <w:gridCol w:w="17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名称</w:t>
            </w:r>
          </w:p>
        </w:tc>
        <w:tc>
          <w:tcPr>
            <w:tcW w:w="9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面积（亩）</w:t>
            </w:r>
          </w:p>
        </w:tc>
        <w:tc>
          <w:tcPr>
            <w:tcW w:w="9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生长期</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用水定额（m</w:t>
            </w:r>
            <w:r>
              <w:rPr>
                <w:rFonts w:hint="default" w:ascii="Times New Roman" w:hAnsi="Times New Roman" w:eastAsia="宋体" w:cs="Times New Roman"/>
                <w:spacing w:val="0"/>
                <w:w w:val="100"/>
                <w:position w:val="0"/>
                <w:sz w:val="21"/>
                <w:szCs w:val="21"/>
                <w:highlight w:val="none"/>
                <w:u w:val="single"/>
                <w:vertAlign w:val="superscript"/>
              </w:rPr>
              <w:t>3</w:t>
            </w:r>
            <w:r>
              <w:rPr>
                <w:rFonts w:hint="default" w:ascii="Times New Roman" w:hAnsi="Times New Roman" w:eastAsia="宋体" w:cs="Times New Roman"/>
                <w:spacing w:val="0"/>
                <w:w w:val="100"/>
                <w:position w:val="0"/>
                <w:sz w:val="21"/>
                <w:szCs w:val="21"/>
                <w:highlight w:val="none"/>
                <w:u w:val="single"/>
              </w:rPr>
              <w:t>/亩·</w:t>
            </w:r>
            <w:r>
              <w:rPr>
                <w:highlight w:val="none"/>
                <w:u w:val="single"/>
              </w:rPr>
              <w:t>a</w:t>
            </w:r>
            <w:r>
              <w:rPr>
                <w:rFonts w:hint="default" w:ascii="Times New Roman" w:hAnsi="Times New Roman" w:eastAsia="宋体" w:cs="Times New Roman"/>
                <w:spacing w:val="0"/>
                <w:w w:val="100"/>
                <w:position w:val="0"/>
                <w:sz w:val="21"/>
                <w:szCs w:val="21"/>
                <w:highlight w:val="none"/>
                <w:u w:val="single"/>
              </w:rPr>
              <w:t>）</w:t>
            </w:r>
          </w:p>
        </w:tc>
        <w:tc>
          <w:tcPr>
            <w:tcW w:w="10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需水量（m</w:t>
            </w:r>
            <w:r>
              <w:rPr>
                <w:rFonts w:hint="default" w:ascii="Times New Roman" w:hAnsi="Times New Roman" w:eastAsia="宋体" w:cs="Times New Roman"/>
                <w:spacing w:val="0"/>
                <w:w w:val="100"/>
                <w:position w:val="0"/>
                <w:sz w:val="21"/>
                <w:szCs w:val="21"/>
                <w:highlight w:val="none"/>
                <w:u w:val="single"/>
                <w:vertAlign w:val="superscript"/>
              </w:rPr>
              <w:t>3</w:t>
            </w:r>
            <w:r>
              <w:rPr>
                <w:rFonts w:hint="default" w:ascii="Times New Roman" w:hAnsi="Times New Roman" w:eastAsia="宋体" w:cs="Times New Roman"/>
                <w:spacing w:val="0"/>
                <w:w w:val="100"/>
                <w:position w:val="0"/>
                <w:sz w:val="21"/>
                <w:szCs w:val="21"/>
                <w:highlight w:val="none"/>
                <w:u w:val="single"/>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桉树</w:t>
            </w:r>
          </w:p>
        </w:tc>
        <w:tc>
          <w:tcPr>
            <w:tcW w:w="9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800</w:t>
            </w:r>
          </w:p>
        </w:tc>
        <w:tc>
          <w:tcPr>
            <w:tcW w:w="9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多年生</w:t>
            </w:r>
          </w:p>
        </w:tc>
        <w:tc>
          <w:tcPr>
            <w:tcW w:w="12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ascii="Times New Roman" w:hAnsi="Times New Roman" w:eastAsia="宋体" w:cs="Times New Roman"/>
                <w:spacing w:val="0"/>
                <w:w w:val="100"/>
                <w:position w:val="0"/>
                <w:sz w:val="21"/>
                <w:szCs w:val="21"/>
                <w:highlight w:val="none"/>
                <w:u w:val="single"/>
                <w:lang w:val="en-US" w:eastAsia="zh-CN"/>
              </w:rPr>
              <w:t>62</w:t>
            </w:r>
          </w:p>
        </w:tc>
        <w:tc>
          <w:tcPr>
            <w:tcW w:w="10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49600</w:t>
            </w:r>
          </w:p>
        </w:tc>
      </w:tr>
    </w:tbl>
    <w:p>
      <w:pPr>
        <w:bidi w:val="0"/>
        <w:rPr>
          <w:highlight w:val="none"/>
          <w:u w:val="single"/>
        </w:rPr>
      </w:pPr>
      <w:r>
        <w:rPr>
          <w:highlight w:val="none"/>
          <w:u w:val="single"/>
        </w:rPr>
        <w:t>由上表可知，项目在人工浇灌条件及50%灌溉保证率情况下，项目尾水消纳区需水量为</w:t>
      </w:r>
      <w:r>
        <w:rPr>
          <w:rFonts w:hint="eastAsia"/>
          <w:highlight w:val="none"/>
          <w:u w:val="single"/>
          <w:lang w:val="en-US" w:eastAsia="zh-CN"/>
        </w:rPr>
        <w:t>49600</w:t>
      </w:r>
      <w:r>
        <w:rPr>
          <w:highlight w:val="none"/>
          <w:u w:val="single"/>
        </w:rPr>
        <w:t>m</w:t>
      </w:r>
      <w:r>
        <w:rPr>
          <w:highlight w:val="none"/>
          <w:u w:val="single"/>
          <w:vertAlign w:val="superscript"/>
        </w:rPr>
        <w:t>3</w:t>
      </w:r>
      <w:r>
        <w:rPr>
          <w:highlight w:val="none"/>
          <w:u w:val="single"/>
        </w:rPr>
        <w:t>/a，本项目养殖尾水量为</w:t>
      </w:r>
      <w:r>
        <w:rPr>
          <w:rFonts w:hint="eastAsia"/>
          <w:highlight w:val="none"/>
          <w:u w:val="single"/>
          <w:lang w:val="en-US" w:eastAsia="zh-CN"/>
        </w:rPr>
        <w:t>2</w:t>
      </w:r>
      <w:r>
        <w:rPr>
          <w:rFonts w:hint="eastAsia"/>
          <w:highlight w:val="none"/>
          <w:u w:val="single"/>
        </w:rPr>
        <w:t>7435.59</w:t>
      </w:r>
      <w:r>
        <w:rPr>
          <w:highlight w:val="none"/>
          <w:u w:val="single"/>
        </w:rPr>
        <w:t>m</w:t>
      </w:r>
      <w:r>
        <w:rPr>
          <w:highlight w:val="none"/>
          <w:u w:val="single"/>
          <w:vertAlign w:val="superscript"/>
        </w:rPr>
        <w:t>3</w:t>
      </w:r>
      <w:r>
        <w:rPr>
          <w:highlight w:val="none"/>
          <w:u w:val="single"/>
        </w:rPr>
        <w:t>/a（</w:t>
      </w:r>
      <w:r>
        <w:rPr>
          <w:rFonts w:hint="eastAsia"/>
          <w:highlight w:val="none"/>
          <w:u w:val="single"/>
          <w:lang w:val="en-US" w:eastAsia="zh-CN"/>
        </w:rPr>
        <w:t>75.166</w:t>
      </w:r>
      <w:r>
        <w:rPr>
          <w:highlight w:val="none"/>
          <w:u w:val="single"/>
        </w:rPr>
        <w:t>m</w:t>
      </w:r>
      <w:r>
        <w:rPr>
          <w:highlight w:val="none"/>
          <w:u w:val="single"/>
          <w:vertAlign w:val="superscript"/>
        </w:rPr>
        <w:t>3</w:t>
      </w:r>
      <w:r>
        <w:rPr>
          <w:highlight w:val="none"/>
          <w:u w:val="single"/>
        </w:rPr>
        <w:t>/d），占需水总量的</w:t>
      </w:r>
      <w:r>
        <w:rPr>
          <w:rFonts w:hint="eastAsia"/>
          <w:highlight w:val="none"/>
          <w:u w:val="single"/>
          <w:lang w:val="en-US" w:eastAsia="zh-CN"/>
        </w:rPr>
        <w:t>55.31</w:t>
      </w:r>
      <w:r>
        <w:rPr>
          <w:highlight w:val="none"/>
          <w:u w:val="single"/>
        </w:rPr>
        <w:t>%，说明项目灌溉区足以消纳项目处理后的养殖尾水，且满足轮作要求，尾水消纳的保险系数较大。因此，本项目废水可在灌溉区完全消纳，实现废水产纳平衡，确保项目尾水不外排，不污染周围水环境。项目尾水用于周边桉树林地灌溉是可行的。</w:t>
      </w:r>
    </w:p>
    <w:p>
      <w:pPr>
        <w:bidi w:val="0"/>
        <w:rPr>
          <w:rFonts w:hint="eastAsia"/>
          <w:highlight w:val="none"/>
          <w:u w:val="single"/>
        </w:rPr>
      </w:pPr>
      <w:r>
        <w:rPr>
          <w:highlight w:val="none"/>
          <w:u w:val="single"/>
        </w:rPr>
        <w:t>当地雨量年内分布不均，年平均降水日数</w:t>
      </w:r>
      <w:r>
        <w:rPr>
          <w:rFonts w:hint="eastAsia"/>
          <w:highlight w:val="none"/>
          <w:u w:val="single"/>
        </w:rPr>
        <w:t>134.3</w:t>
      </w:r>
      <w:r>
        <w:rPr>
          <w:highlight w:val="none"/>
          <w:u w:val="single"/>
        </w:rPr>
        <w:t>天，主要集中在4~8月份，其中又以5月下旬至7月中旬的雨量为最多，但区域在</w:t>
      </w:r>
      <w:r>
        <w:rPr>
          <w:rFonts w:hint="eastAsia"/>
          <w:highlight w:val="none"/>
          <w:u w:val="single"/>
          <w:lang w:val="en-US" w:eastAsia="zh-CN"/>
        </w:rPr>
        <w:t>9</w:t>
      </w:r>
      <w:r>
        <w:rPr>
          <w:highlight w:val="none"/>
          <w:u w:val="single"/>
        </w:rPr>
        <w:t>月份以后蒸发量均大于降雨量，由表</w:t>
      </w:r>
      <w:r>
        <w:rPr>
          <w:rFonts w:hint="eastAsia"/>
          <w:highlight w:val="none"/>
          <w:u w:val="single"/>
          <w:lang w:val="en-US" w:eastAsia="zh-CN"/>
        </w:rPr>
        <w:t>7.2-2</w:t>
      </w:r>
      <w:r>
        <w:rPr>
          <w:highlight w:val="none"/>
          <w:u w:val="single"/>
        </w:rPr>
        <w:t>可知，消纳区林木在消耗本项目废水的基础上仍需增加较大量的新鲜用水，雨季雨水即可视为所需新鲜灌溉用水的一部分，可见当地雨季对灌区消纳本项目废水造成的</w:t>
      </w:r>
      <w:r>
        <w:rPr>
          <w:rFonts w:hint="eastAsia"/>
          <w:highlight w:val="none"/>
          <w:u w:val="single"/>
        </w:rPr>
        <w:t>影响不大。雨季污灌应根据实际情况进行合理灌溉，避免污灌后废水未经林木消纳即被大雨或暴雨冲刷的情况发生。</w:t>
      </w:r>
    </w:p>
    <w:p>
      <w:pPr>
        <w:bidi w:val="0"/>
        <w:rPr>
          <w:rFonts w:hint="eastAsia"/>
          <w:highlight w:val="none"/>
          <w:u w:val="single"/>
        </w:rPr>
      </w:pPr>
      <w:r>
        <w:rPr>
          <w:rFonts w:hint="eastAsia"/>
          <w:highlight w:val="none"/>
          <w:u w:val="single"/>
        </w:rPr>
        <w:t>综上，与项目配套的灌区面积可将项目废水全部消纳完毕，项目处理达标废水用于农灌可行。</w:t>
      </w:r>
    </w:p>
    <w:p>
      <w:pPr>
        <w:bidi w:val="0"/>
        <w:rPr>
          <w:highlight w:val="none"/>
          <w:u w:val="single"/>
        </w:rPr>
      </w:pPr>
      <w:r>
        <w:rPr>
          <w:rFonts w:hint="eastAsia"/>
          <w:highlight w:val="none"/>
          <w:u w:val="single"/>
          <w:lang w:eastAsia="zh-CN"/>
        </w:rPr>
        <w:t>（</w:t>
      </w:r>
      <w:r>
        <w:rPr>
          <w:rFonts w:hint="eastAsia"/>
          <w:highlight w:val="none"/>
          <w:u w:val="single"/>
          <w:lang w:val="en-US" w:eastAsia="zh-CN"/>
        </w:rPr>
        <w:t>2</w:t>
      </w:r>
      <w:r>
        <w:rPr>
          <w:rFonts w:hint="eastAsia"/>
          <w:highlight w:val="none"/>
          <w:u w:val="single"/>
          <w:lang w:eastAsia="zh-CN"/>
        </w:rPr>
        <w:t>）</w:t>
      </w:r>
      <w:r>
        <w:rPr>
          <w:highlight w:val="none"/>
          <w:u w:val="single"/>
        </w:rPr>
        <w:t>非农灌时段可行性分析</w:t>
      </w:r>
    </w:p>
    <w:p>
      <w:pPr>
        <w:bidi w:val="0"/>
        <w:rPr>
          <w:rFonts w:hint="eastAsia" w:eastAsia="宋体"/>
          <w:highlight w:val="none"/>
          <w:u w:val="single"/>
          <w:lang w:eastAsia="zh-CN"/>
        </w:rPr>
      </w:pPr>
      <w:r>
        <w:rPr>
          <w:rFonts w:hint="eastAsia" w:ascii="宋体" w:hAnsi="宋体" w:eastAsia="宋体" w:cs="宋体"/>
          <w:spacing w:val="1"/>
          <w:sz w:val="24"/>
          <w:szCs w:val="24"/>
          <w:u w:val="single"/>
          <w:lang w:eastAsia="zh-CN"/>
        </w:rPr>
        <w:t>根据</w:t>
      </w:r>
      <w:r>
        <w:rPr>
          <w:rFonts w:ascii="宋体" w:hAnsi="宋体" w:eastAsia="宋体" w:cs="宋体"/>
          <w:spacing w:val="1"/>
          <w:sz w:val="24"/>
          <w:szCs w:val="24"/>
          <w:u w:val="single"/>
        </w:rPr>
        <w:t>《畜禽养</w:t>
      </w:r>
      <w:r>
        <w:rPr>
          <w:rFonts w:ascii="宋体" w:hAnsi="宋体" w:eastAsia="宋体" w:cs="宋体"/>
          <w:spacing w:val="4"/>
          <w:sz w:val="24"/>
          <w:szCs w:val="24"/>
          <w:u w:val="single"/>
        </w:rPr>
        <w:t>殖业污染治理</w:t>
      </w:r>
      <w:r>
        <w:rPr>
          <w:rFonts w:ascii="宋体" w:hAnsi="宋体" w:eastAsia="宋体" w:cs="宋体"/>
          <w:spacing w:val="3"/>
          <w:sz w:val="24"/>
          <w:szCs w:val="24"/>
          <w:u w:val="single"/>
        </w:rPr>
        <w:t>工</w:t>
      </w:r>
      <w:r>
        <w:rPr>
          <w:rFonts w:ascii="宋体" w:hAnsi="宋体" w:eastAsia="宋体" w:cs="宋体"/>
          <w:spacing w:val="2"/>
          <w:sz w:val="24"/>
          <w:szCs w:val="24"/>
          <w:u w:val="single"/>
        </w:rPr>
        <w:t>程技术规范》(</w:t>
      </w:r>
      <w:r>
        <w:rPr>
          <w:rFonts w:ascii="Times New Roman" w:hAnsi="Times New Roman" w:eastAsia="Times New Roman" w:cs="Times New Roman"/>
          <w:sz w:val="24"/>
          <w:szCs w:val="24"/>
          <w:u w:val="single"/>
        </w:rPr>
        <w:t>HT</w:t>
      </w:r>
      <w:r>
        <w:rPr>
          <w:rFonts w:ascii="Times New Roman" w:hAnsi="Times New Roman" w:eastAsia="Times New Roman" w:cs="Times New Roman"/>
          <w:spacing w:val="2"/>
          <w:sz w:val="24"/>
          <w:szCs w:val="24"/>
          <w:u w:val="single"/>
        </w:rPr>
        <w:t>497-2009</w:t>
      </w:r>
      <w:r>
        <w:rPr>
          <w:rFonts w:ascii="宋体" w:hAnsi="宋体" w:eastAsia="宋体" w:cs="宋体"/>
          <w:spacing w:val="2"/>
          <w:sz w:val="24"/>
          <w:szCs w:val="24"/>
          <w:u w:val="single"/>
        </w:rPr>
        <w:t>)中“贮存池的贮存期不得低于当地农作</w:t>
      </w:r>
      <w:r>
        <w:rPr>
          <w:rFonts w:ascii="宋体" w:hAnsi="宋体" w:eastAsia="宋体" w:cs="宋体"/>
          <w:spacing w:val="-7"/>
          <w:sz w:val="24"/>
          <w:szCs w:val="24"/>
          <w:u w:val="single"/>
        </w:rPr>
        <w:t>物生产用肥的最大间隔时间和冬季封冻或雨季最长降雨期，一般不得小于</w:t>
      </w:r>
      <w:r>
        <w:rPr>
          <w:rFonts w:ascii="Times New Roman" w:hAnsi="Times New Roman" w:eastAsia="Times New Roman" w:cs="Times New Roman"/>
          <w:spacing w:val="-7"/>
          <w:sz w:val="24"/>
          <w:szCs w:val="24"/>
          <w:u w:val="single"/>
        </w:rPr>
        <w:t>30</w:t>
      </w:r>
      <w:r>
        <w:rPr>
          <w:rFonts w:ascii="宋体" w:hAnsi="宋体" w:eastAsia="宋体" w:cs="宋体"/>
          <w:spacing w:val="-7"/>
          <w:sz w:val="24"/>
          <w:szCs w:val="24"/>
          <w:u w:val="single"/>
        </w:rPr>
        <w:t>天的排</w:t>
      </w:r>
      <w:r>
        <w:rPr>
          <w:rFonts w:ascii="宋体" w:hAnsi="宋体" w:eastAsia="宋体" w:cs="宋体"/>
          <w:spacing w:val="-5"/>
          <w:sz w:val="24"/>
          <w:szCs w:val="24"/>
          <w:u w:val="single"/>
        </w:rPr>
        <w:t>放</w:t>
      </w:r>
      <w:r>
        <w:rPr>
          <w:rFonts w:ascii="宋体" w:hAnsi="宋体" w:eastAsia="宋体" w:cs="宋体"/>
          <w:spacing w:val="-4"/>
          <w:sz w:val="24"/>
          <w:szCs w:val="24"/>
          <w:u w:val="single"/>
        </w:rPr>
        <w:t>总量”</w:t>
      </w:r>
      <w:r>
        <w:rPr>
          <w:rFonts w:hint="eastAsia" w:ascii="宋体" w:hAnsi="宋体" w:eastAsia="宋体" w:cs="宋体"/>
          <w:spacing w:val="-4"/>
          <w:sz w:val="24"/>
          <w:szCs w:val="24"/>
          <w:u w:val="single"/>
          <w:lang w:eastAsia="zh-CN"/>
        </w:rPr>
        <w:t>。</w:t>
      </w:r>
      <w:r>
        <w:rPr>
          <w:highlight w:val="none"/>
          <w:u w:val="single"/>
        </w:rPr>
        <w:t>雨季时，项目处理后的养殖尾水暂存于厂区</w:t>
      </w:r>
      <w:r>
        <w:rPr>
          <w:rFonts w:hint="eastAsia"/>
          <w:highlight w:val="none"/>
          <w:u w:val="single"/>
          <w:lang w:eastAsia="zh-CN"/>
        </w:rPr>
        <w:t>氧化塘</w:t>
      </w:r>
      <w:r>
        <w:rPr>
          <w:highlight w:val="none"/>
          <w:u w:val="single"/>
        </w:rPr>
        <w:t>内，</w:t>
      </w:r>
      <w:r>
        <w:rPr>
          <w:rFonts w:hint="eastAsia"/>
          <w:highlight w:val="none"/>
          <w:u w:val="single"/>
          <w:lang w:eastAsia="zh-CN"/>
        </w:rPr>
        <w:t>氧化塘</w:t>
      </w:r>
      <w:r>
        <w:rPr>
          <w:highlight w:val="none"/>
          <w:u w:val="single"/>
        </w:rPr>
        <w:t>有效容积为</w:t>
      </w:r>
      <w:r>
        <w:rPr>
          <w:rFonts w:hint="eastAsia"/>
          <w:highlight w:val="none"/>
          <w:u w:val="single"/>
          <w:lang w:val="en-US" w:eastAsia="zh-CN"/>
        </w:rPr>
        <w:t>4</w:t>
      </w:r>
      <w:r>
        <w:rPr>
          <w:highlight w:val="none"/>
          <w:u w:val="single"/>
        </w:rPr>
        <w:t>000m</w:t>
      </w:r>
      <w:r>
        <w:rPr>
          <w:highlight w:val="none"/>
          <w:u w:val="single"/>
          <w:vertAlign w:val="superscript"/>
        </w:rPr>
        <w:t>3</w:t>
      </w:r>
      <w:r>
        <w:rPr>
          <w:highlight w:val="none"/>
          <w:u w:val="single"/>
        </w:rPr>
        <w:t>，可贮存约</w:t>
      </w:r>
      <w:r>
        <w:rPr>
          <w:rFonts w:hint="eastAsia"/>
          <w:highlight w:val="none"/>
          <w:u w:val="single"/>
          <w:lang w:val="en-US" w:eastAsia="zh-CN"/>
        </w:rPr>
        <w:t>53</w:t>
      </w:r>
      <w:r>
        <w:rPr>
          <w:highlight w:val="none"/>
          <w:u w:val="single"/>
        </w:rPr>
        <w:t>d的废水量</w:t>
      </w:r>
      <w:r>
        <w:rPr>
          <w:rFonts w:hint="eastAsia"/>
          <w:highlight w:val="none"/>
          <w:u w:val="single"/>
          <w:lang w:eastAsia="zh-CN"/>
        </w:rPr>
        <w:t>，大于</w:t>
      </w:r>
      <w:r>
        <w:rPr>
          <w:rFonts w:ascii="宋体" w:hAnsi="宋体" w:eastAsia="宋体" w:cs="宋体"/>
          <w:spacing w:val="1"/>
          <w:sz w:val="24"/>
          <w:szCs w:val="24"/>
          <w:u w:val="single"/>
        </w:rPr>
        <w:t>《畜禽养</w:t>
      </w:r>
      <w:r>
        <w:rPr>
          <w:rFonts w:ascii="宋体" w:hAnsi="宋体" w:eastAsia="宋体" w:cs="宋体"/>
          <w:spacing w:val="4"/>
          <w:sz w:val="24"/>
          <w:szCs w:val="24"/>
          <w:u w:val="single"/>
        </w:rPr>
        <w:t>殖业污染治理</w:t>
      </w:r>
      <w:r>
        <w:rPr>
          <w:rFonts w:ascii="宋体" w:hAnsi="宋体" w:eastAsia="宋体" w:cs="宋体"/>
          <w:spacing w:val="3"/>
          <w:sz w:val="24"/>
          <w:szCs w:val="24"/>
          <w:u w:val="single"/>
        </w:rPr>
        <w:t>工</w:t>
      </w:r>
      <w:r>
        <w:rPr>
          <w:rFonts w:ascii="宋体" w:hAnsi="宋体" w:eastAsia="宋体" w:cs="宋体"/>
          <w:spacing w:val="2"/>
          <w:sz w:val="24"/>
          <w:szCs w:val="24"/>
          <w:u w:val="single"/>
        </w:rPr>
        <w:t>程技术规范》(</w:t>
      </w:r>
      <w:r>
        <w:rPr>
          <w:rFonts w:ascii="Times New Roman" w:hAnsi="Times New Roman" w:eastAsia="Times New Roman" w:cs="Times New Roman"/>
          <w:sz w:val="24"/>
          <w:szCs w:val="24"/>
          <w:u w:val="single"/>
        </w:rPr>
        <w:t>HT</w:t>
      </w:r>
      <w:r>
        <w:rPr>
          <w:rFonts w:ascii="Times New Roman" w:hAnsi="Times New Roman" w:eastAsia="Times New Roman" w:cs="Times New Roman"/>
          <w:spacing w:val="2"/>
          <w:sz w:val="24"/>
          <w:szCs w:val="24"/>
          <w:u w:val="single"/>
        </w:rPr>
        <w:t>497-2009</w:t>
      </w:r>
      <w:r>
        <w:rPr>
          <w:rFonts w:ascii="宋体" w:hAnsi="宋体" w:eastAsia="宋体" w:cs="宋体"/>
          <w:spacing w:val="2"/>
          <w:sz w:val="24"/>
          <w:szCs w:val="24"/>
          <w:u w:val="single"/>
        </w:rPr>
        <w:t>)</w:t>
      </w:r>
      <w:r>
        <w:rPr>
          <w:rFonts w:hint="eastAsia" w:ascii="宋体" w:hAnsi="宋体" w:cs="宋体"/>
          <w:spacing w:val="2"/>
          <w:sz w:val="24"/>
          <w:szCs w:val="24"/>
          <w:u w:val="single"/>
          <w:lang w:eastAsia="zh-CN"/>
        </w:rPr>
        <w:t>规定的</w:t>
      </w:r>
      <w:r>
        <w:rPr>
          <w:rFonts w:hint="eastAsia" w:ascii="宋体" w:hAnsi="宋体" w:cs="宋体"/>
          <w:spacing w:val="2"/>
          <w:sz w:val="24"/>
          <w:szCs w:val="24"/>
          <w:u w:val="single"/>
          <w:lang w:val="en-US" w:eastAsia="zh-CN"/>
        </w:rPr>
        <w:t>30天</w:t>
      </w:r>
      <w:r>
        <w:rPr>
          <w:highlight w:val="none"/>
          <w:u w:val="single"/>
        </w:rPr>
        <w:t>，能够确保处理达标的废水在雨天非浇灌期内不外排。项目厂区</w:t>
      </w:r>
      <w:r>
        <w:rPr>
          <w:rFonts w:hint="eastAsia"/>
          <w:highlight w:val="none"/>
          <w:u w:val="single"/>
          <w:lang w:eastAsia="zh-CN"/>
        </w:rPr>
        <w:t>氧化塘</w:t>
      </w:r>
      <w:r>
        <w:rPr>
          <w:highlight w:val="none"/>
          <w:u w:val="single"/>
        </w:rPr>
        <w:t>容量可满足雨季与</w:t>
      </w:r>
      <w:r>
        <w:rPr>
          <w:rFonts w:hint="eastAsia"/>
          <w:highlight w:val="none"/>
          <w:u w:val="single"/>
          <w:lang w:eastAsia="zh-CN"/>
        </w:rPr>
        <w:t>非灌溉</w:t>
      </w:r>
      <w:r>
        <w:rPr>
          <w:highlight w:val="none"/>
          <w:u w:val="single"/>
        </w:rPr>
        <w:t>季节养殖废水产生量，可保障项目养殖废水不外排</w:t>
      </w:r>
      <w:r>
        <w:rPr>
          <w:rFonts w:hint="eastAsia"/>
          <w:highlight w:val="none"/>
          <w:u w:val="single"/>
          <w:lang w:eastAsia="zh-CN"/>
        </w:rPr>
        <w:t>。</w:t>
      </w:r>
    </w:p>
    <w:p>
      <w:pPr>
        <w:bidi w:val="0"/>
        <w:rPr>
          <w:highlight w:val="none"/>
          <w:u w:val="single"/>
        </w:rPr>
      </w:pPr>
      <w:r>
        <w:rPr>
          <w:rFonts w:hint="eastAsia"/>
          <w:highlight w:val="none"/>
          <w:u w:val="single"/>
          <w:lang w:eastAsia="zh-CN"/>
        </w:rPr>
        <w:t>（</w:t>
      </w:r>
      <w:r>
        <w:rPr>
          <w:rFonts w:hint="eastAsia"/>
          <w:highlight w:val="none"/>
          <w:u w:val="single"/>
          <w:lang w:val="en-US" w:eastAsia="zh-CN"/>
        </w:rPr>
        <w:t>3</w:t>
      </w:r>
      <w:r>
        <w:rPr>
          <w:rFonts w:hint="eastAsia"/>
          <w:highlight w:val="none"/>
          <w:u w:val="single"/>
          <w:lang w:eastAsia="zh-CN"/>
        </w:rPr>
        <w:t>）</w:t>
      </w:r>
      <w:r>
        <w:rPr>
          <w:highlight w:val="none"/>
          <w:u w:val="single"/>
        </w:rPr>
        <w:t>规模养殖场配套灌溉土地面积测算</w:t>
      </w:r>
    </w:p>
    <w:p>
      <w:pPr>
        <w:bidi w:val="0"/>
        <w:rPr>
          <w:highlight w:val="none"/>
          <w:u w:val="single"/>
        </w:rPr>
      </w:pPr>
      <w:r>
        <w:rPr>
          <w:highlight w:val="none"/>
          <w:u w:val="single"/>
        </w:rPr>
        <w:t>根据农业部办公厅文件《畜禽粪污土地承载力测算技术指南》的通知（农办牧〔2018〕1号），规模养殖场配套土地面积等于规模养殖场粪肥养分供给量（对外销售部分不计算在内）除以单位土地粪肥养分需求量。其中：</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pacing w:val="-20"/>
          <w:position w:val="0"/>
          <w:sz w:val="24"/>
          <w:szCs w:val="24"/>
          <w:highlight w:val="none"/>
          <w:u w:val="none"/>
          <w:lang w:eastAsia="zh-CN"/>
        </w:rPr>
      </w:pPr>
      <w:r>
        <w:rPr>
          <w:rFonts w:hint="default" w:ascii="Times New Roman" w:hAnsi="Times New Roman" w:eastAsia="宋体" w:cs="Times New Roman"/>
          <w:spacing w:val="-20"/>
          <w:position w:val="0"/>
          <w:sz w:val="24"/>
          <w:szCs w:val="24"/>
          <w:highlight w:val="none"/>
          <w:u w:val="none"/>
          <w:lang w:eastAsia="zh-CN"/>
        </w:rPr>
        <w:object>
          <v:shape id="_x0000_i1040" o:spt="75" type="#_x0000_t75" style="height:34pt;width:467.75pt;" o:ole="t" filled="f" o:preferrelative="t" stroked="f" coordsize="21600,21600">
            <v:path/>
            <v:fill on="f" focussize="0,0"/>
            <v:stroke on="f"/>
            <v:imagedata r:id="rId46" o:title=""/>
            <o:lock v:ext="edit" aspectratio="t"/>
            <w10:wrap type="none"/>
            <w10:anchorlock/>
          </v:shape>
          <o:OLEObject Type="Embed" ProgID="Equation.KSEE3" ShapeID="_x0000_i1040" DrawAspect="Content" ObjectID="_1468075740" r:id="rId45">
            <o:LockedField>false</o:LockedField>
          </o:OLEObject>
        </w:object>
      </w:r>
    </w:p>
    <w:p>
      <w:pPr>
        <w:pStyle w:val="7"/>
        <w:bidi w:val="0"/>
      </w:pPr>
      <w:r>
        <w:t>表</w:t>
      </w:r>
      <w:r>
        <w:rPr>
          <w:rFonts w:hint="eastAsia"/>
          <w:lang w:val="en-US" w:eastAsia="zh-CN"/>
        </w:rPr>
        <w:t>7.2-3</w:t>
      </w:r>
      <w:r>
        <w:t xml:space="preserve">  氮肥和磷肥消纳地土地面积计算参数</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10"/>
        <w:gridCol w:w="1019"/>
        <w:gridCol w:w="1180"/>
        <w:gridCol w:w="44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0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项目</w:t>
            </w:r>
          </w:p>
        </w:tc>
        <w:tc>
          <w:tcPr>
            <w:tcW w:w="131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桉树林</w:t>
            </w:r>
          </w:p>
        </w:tc>
        <w:tc>
          <w:tcPr>
            <w:tcW w:w="26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c>
          <w:tcPr>
            <w:tcW w:w="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氮肥</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磷肥</w:t>
            </w:r>
          </w:p>
        </w:tc>
        <w:tc>
          <w:tcPr>
            <w:tcW w:w="26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预计单位面积产量</w:t>
            </w:r>
          </w:p>
        </w:tc>
        <w:tc>
          <w:tcPr>
            <w:tcW w:w="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8m</w:t>
            </w:r>
            <w:r>
              <w:rPr>
                <w:rFonts w:hint="default" w:ascii="Times New Roman" w:hAnsi="Times New Roman" w:eastAsia="宋体" w:cs="Times New Roman"/>
                <w:spacing w:val="0"/>
                <w:w w:val="100"/>
                <w:position w:val="0"/>
                <w:sz w:val="21"/>
                <w:szCs w:val="21"/>
                <w:highlight w:val="none"/>
                <w:u w:val="single"/>
                <w:vertAlign w:val="superscript"/>
              </w:rPr>
              <w:t>3</w:t>
            </w:r>
            <w:r>
              <w:rPr>
                <w:rFonts w:hint="default" w:ascii="Times New Roman" w:hAnsi="Times New Roman" w:eastAsia="宋体" w:cs="Times New Roman"/>
                <w:spacing w:val="0"/>
                <w:w w:val="100"/>
                <w:position w:val="0"/>
                <w:sz w:val="21"/>
                <w:szCs w:val="21"/>
                <w:highlight w:val="none"/>
                <w:u w:val="single"/>
              </w:rPr>
              <w:t>/亩</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8m</w:t>
            </w:r>
            <w:r>
              <w:rPr>
                <w:rFonts w:hint="default" w:ascii="Times New Roman" w:hAnsi="Times New Roman" w:eastAsia="宋体" w:cs="Times New Roman"/>
                <w:spacing w:val="0"/>
                <w:w w:val="100"/>
                <w:position w:val="0"/>
                <w:sz w:val="21"/>
                <w:szCs w:val="21"/>
                <w:highlight w:val="none"/>
                <w:u w:val="single"/>
                <w:vertAlign w:val="superscript"/>
              </w:rPr>
              <w:t>3</w:t>
            </w:r>
            <w:r>
              <w:rPr>
                <w:rFonts w:hint="default" w:ascii="Times New Roman" w:hAnsi="Times New Roman" w:eastAsia="宋体" w:cs="Times New Roman"/>
                <w:spacing w:val="0"/>
                <w:w w:val="100"/>
                <w:position w:val="0"/>
                <w:sz w:val="21"/>
                <w:szCs w:val="21"/>
                <w:highlight w:val="none"/>
                <w:u w:val="single"/>
              </w:rPr>
              <w:t>/亩</w:t>
            </w:r>
          </w:p>
        </w:tc>
        <w:tc>
          <w:tcPr>
            <w:tcW w:w="2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产量为咨询当地农户获取数据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每形成 100kg 作物所吸收的肥量</w:t>
            </w:r>
          </w:p>
        </w:tc>
        <w:tc>
          <w:tcPr>
            <w:tcW w:w="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3.3kg/m</w:t>
            </w:r>
            <w:r>
              <w:rPr>
                <w:rFonts w:hint="default" w:ascii="Times New Roman" w:hAnsi="Times New Roman" w:eastAsia="宋体" w:cs="Times New Roman"/>
                <w:spacing w:val="0"/>
                <w:w w:val="100"/>
                <w:position w:val="0"/>
                <w:sz w:val="21"/>
                <w:szCs w:val="21"/>
                <w:highlight w:val="none"/>
                <w:u w:val="single"/>
                <w:vertAlign w:val="superscript"/>
              </w:rPr>
              <w:t>3</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3.3kg/m</w:t>
            </w:r>
            <w:r>
              <w:rPr>
                <w:rFonts w:hint="default" w:ascii="Times New Roman" w:hAnsi="Times New Roman" w:eastAsia="宋体" w:cs="Times New Roman"/>
                <w:spacing w:val="0"/>
                <w:w w:val="100"/>
                <w:position w:val="0"/>
                <w:sz w:val="21"/>
                <w:szCs w:val="21"/>
                <w:highlight w:val="none"/>
                <w:u w:val="single"/>
                <w:vertAlign w:val="superscript"/>
              </w:rPr>
              <w:t>3</w:t>
            </w:r>
          </w:p>
        </w:tc>
        <w:tc>
          <w:tcPr>
            <w:tcW w:w="2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《畜禽粪污土地承载力测算技术指南》 中表 1 推荐 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施肥供给养分占比</w:t>
            </w:r>
          </w:p>
        </w:tc>
        <w:tc>
          <w:tcPr>
            <w:tcW w:w="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eastAsia" w:cs="Times New Roman"/>
                <w:spacing w:val="0"/>
                <w:w w:val="100"/>
                <w:position w:val="0"/>
                <w:sz w:val="21"/>
                <w:szCs w:val="21"/>
                <w:highlight w:val="none"/>
                <w:u w:val="single"/>
                <w:lang w:val="en-US" w:eastAsia="zh-CN"/>
              </w:rPr>
              <w:t>4</w:t>
            </w:r>
            <w:r>
              <w:rPr>
                <w:rFonts w:hint="default" w:ascii="Times New Roman" w:hAnsi="Times New Roman" w:eastAsia="宋体" w:cs="Times New Roman"/>
                <w:spacing w:val="0"/>
                <w:w w:val="100"/>
                <w:position w:val="0"/>
                <w:sz w:val="21"/>
                <w:szCs w:val="21"/>
                <w:highlight w:val="none"/>
                <w:u w:val="single"/>
              </w:rPr>
              <w:t>5%</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eastAsia" w:cs="Times New Roman"/>
                <w:spacing w:val="0"/>
                <w:w w:val="100"/>
                <w:position w:val="0"/>
                <w:sz w:val="21"/>
                <w:szCs w:val="21"/>
                <w:highlight w:val="none"/>
                <w:u w:val="single"/>
                <w:lang w:val="en-US" w:eastAsia="zh-CN"/>
              </w:rPr>
              <w:t>4</w:t>
            </w:r>
            <w:r>
              <w:rPr>
                <w:rFonts w:hint="default" w:ascii="Times New Roman" w:hAnsi="Times New Roman" w:eastAsia="宋体" w:cs="Times New Roman"/>
                <w:spacing w:val="0"/>
                <w:w w:val="100"/>
                <w:position w:val="0"/>
                <w:sz w:val="21"/>
                <w:szCs w:val="21"/>
                <w:highlight w:val="none"/>
                <w:u w:val="single"/>
              </w:rPr>
              <w:t>5%</w:t>
            </w:r>
          </w:p>
        </w:tc>
        <w:tc>
          <w:tcPr>
            <w:tcW w:w="2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根据《畜禽粪污土地承载力测算技术指南》推荐指数。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粪肥占施肥比例</w:t>
            </w:r>
          </w:p>
        </w:tc>
        <w:tc>
          <w:tcPr>
            <w:tcW w:w="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eastAsia" w:cs="Times New Roman"/>
                <w:spacing w:val="0"/>
                <w:w w:val="100"/>
                <w:position w:val="0"/>
                <w:sz w:val="21"/>
                <w:szCs w:val="21"/>
                <w:highlight w:val="none"/>
                <w:u w:val="single"/>
                <w:lang w:val="en-US" w:eastAsia="zh-CN"/>
              </w:rPr>
              <w:t>50</w:t>
            </w:r>
            <w:r>
              <w:rPr>
                <w:rFonts w:hint="default" w:ascii="Times New Roman" w:hAnsi="Times New Roman" w:eastAsia="宋体" w:cs="Times New Roman"/>
                <w:spacing w:val="0"/>
                <w:w w:val="100"/>
                <w:position w:val="0"/>
                <w:sz w:val="21"/>
                <w:szCs w:val="21"/>
                <w:highlight w:val="none"/>
                <w:u w:val="single"/>
              </w:rPr>
              <w:t>%</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eastAsia" w:cs="Times New Roman"/>
                <w:spacing w:val="0"/>
                <w:w w:val="100"/>
                <w:position w:val="0"/>
                <w:sz w:val="21"/>
                <w:szCs w:val="21"/>
                <w:highlight w:val="none"/>
                <w:u w:val="single"/>
                <w:lang w:val="en-US" w:eastAsia="zh-CN"/>
              </w:rPr>
              <w:t>5</w:t>
            </w:r>
            <w:r>
              <w:rPr>
                <w:rFonts w:hint="default" w:ascii="Times New Roman" w:hAnsi="Times New Roman" w:eastAsia="宋体" w:cs="Times New Roman"/>
                <w:spacing w:val="0"/>
                <w:w w:val="100"/>
                <w:position w:val="0"/>
                <w:sz w:val="21"/>
                <w:szCs w:val="21"/>
                <w:highlight w:val="none"/>
                <w:u w:val="single"/>
              </w:rPr>
              <w:t>0%</w:t>
            </w:r>
          </w:p>
        </w:tc>
        <w:tc>
          <w:tcPr>
            <w:tcW w:w="2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根据《畜禽粪污土地承载力测算技术指南》推荐指数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粪肥当季利用率</w:t>
            </w:r>
          </w:p>
        </w:tc>
        <w:tc>
          <w:tcPr>
            <w:tcW w:w="6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30%</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35%</w:t>
            </w:r>
          </w:p>
        </w:tc>
        <w:tc>
          <w:tcPr>
            <w:tcW w:w="26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根据《畜禽粪污土地承载力测算技术指南》，粪肥中氮素当季利用率推荐值为25%~30%</w:t>
            </w:r>
            <w:r>
              <w:rPr>
                <w:rFonts w:hint="eastAsia" w:cs="Times New Roman"/>
                <w:spacing w:val="0"/>
                <w:w w:val="100"/>
                <w:position w:val="0"/>
                <w:sz w:val="21"/>
                <w:szCs w:val="21"/>
                <w:highlight w:val="none"/>
                <w:u w:val="single"/>
                <w:lang w:eastAsia="zh-CN"/>
              </w:rPr>
              <w:t>，</w:t>
            </w:r>
            <w:r>
              <w:rPr>
                <w:rFonts w:hint="default" w:ascii="Times New Roman" w:hAnsi="Times New Roman" w:eastAsia="宋体" w:cs="Times New Roman"/>
                <w:spacing w:val="0"/>
                <w:w w:val="100"/>
                <w:position w:val="0"/>
                <w:sz w:val="21"/>
                <w:szCs w:val="21"/>
                <w:highlight w:val="none"/>
                <w:u w:val="single"/>
              </w:rPr>
              <w:t>本次评价选取30%。磷素当季利用率推荐值为30%—35%</w:t>
            </w:r>
            <w:r>
              <w:rPr>
                <w:rFonts w:hint="eastAsia" w:cs="Times New Roman"/>
                <w:spacing w:val="0"/>
                <w:w w:val="100"/>
                <w:position w:val="0"/>
                <w:sz w:val="21"/>
                <w:szCs w:val="21"/>
                <w:highlight w:val="none"/>
                <w:u w:val="single"/>
                <w:lang w:eastAsia="zh-CN"/>
              </w:rPr>
              <w:t>，</w:t>
            </w:r>
            <w:r>
              <w:rPr>
                <w:rFonts w:hint="default" w:ascii="Times New Roman" w:hAnsi="Times New Roman" w:eastAsia="宋体" w:cs="Times New Roman"/>
                <w:spacing w:val="0"/>
                <w:w w:val="100"/>
                <w:position w:val="0"/>
                <w:sz w:val="21"/>
                <w:szCs w:val="21"/>
                <w:highlight w:val="none"/>
                <w:u w:val="single"/>
              </w:rPr>
              <w:t>本次评价选取</w:t>
            </w:r>
            <w:r>
              <w:rPr>
                <w:rFonts w:hint="eastAsia" w:cs="Times New Roman"/>
                <w:spacing w:val="0"/>
                <w:w w:val="100"/>
                <w:position w:val="0"/>
                <w:sz w:val="21"/>
                <w:szCs w:val="21"/>
                <w:highlight w:val="none"/>
                <w:u w:val="single"/>
                <w:lang w:val="en-US" w:eastAsia="zh-CN"/>
              </w:rPr>
              <w:t>35</w:t>
            </w:r>
            <w:r>
              <w:rPr>
                <w:rFonts w:hint="default" w:ascii="Times New Roman" w:hAnsi="Times New Roman" w:eastAsia="宋体" w:cs="Times New Roman"/>
                <w:spacing w:val="0"/>
                <w:w w:val="100"/>
                <w:position w:val="0"/>
                <w:sz w:val="21"/>
                <w:szCs w:val="21"/>
                <w:highlight w:val="none"/>
                <w:u w:val="single"/>
              </w:rPr>
              <w:t>%。</w:t>
            </w:r>
          </w:p>
        </w:tc>
      </w:tr>
    </w:tbl>
    <w:p>
      <w:pPr>
        <w:bidi w:val="0"/>
        <w:rPr>
          <w:highlight w:val="none"/>
          <w:u w:val="single"/>
        </w:rPr>
      </w:pPr>
      <w:r>
        <w:rPr>
          <w:highlight w:val="none"/>
          <w:u w:val="single"/>
        </w:rPr>
        <w:t>① 单位面积土地粪肥氮需求量</w:t>
      </w:r>
    </w:p>
    <w:p>
      <w:pPr>
        <w:bidi w:val="0"/>
        <w:rPr>
          <w:highlight w:val="none"/>
          <w:u w:val="single"/>
        </w:rPr>
      </w:pPr>
      <w:r>
        <w:rPr>
          <w:highlight w:val="none"/>
          <w:u w:val="single"/>
        </w:rPr>
        <w:t>经计算，项目尾水消纳区桉树林的单位面积粪肥需求量见表</w:t>
      </w:r>
      <w:r>
        <w:rPr>
          <w:rFonts w:hint="eastAsia"/>
          <w:highlight w:val="none"/>
          <w:u w:val="single"/>
          <w:lang w:val="en-US" w:eastAsia="zh-CN"/>
        </w:rPr>
        <w:t>7.2-4</w:t>
      </w:r>
      <w:r>
        <w:rPr>
          <w:highlight w:val="none"/>
          <w:u w:val="single"/>
        </w:rPr>
        <w:t>。</w:t>
      </w:r>
    </w:p>
    <w:p>
      <w:pPr>
        <w:pStyle w:val="7"/>
        <w:bidi w:val="0"/>
        <w:rPr>
          <w:highlight w:val="none"/>
          <w:u w:val="single"/>
        </w:rPr>
      </w:pPr>
      <w:r>
        <w:rPr>
          <w:highlight w:val="none"/>
          <w:u w:val="single"/>
        </w:rPr>
        <w:t>表</w:t>
      </w:r>
      <w:r>
        <w:rPr>
          <w:rFonts w:hint="eastAsia"/>
          <w:highlight w:val="none"/>
          <w:u w:val="single"/>
          <w:lang w:val="en-US" w:eastAsia="zh-CN"/>
        </w:rPr>
        <w:t>7.2-4</w:t>
      </w:r>
      <w:r>
        <w:rPr>
          <w:highlight w:val="none"/>
          <w:u w:val="single"/>
        </w:rPr>
        <w:t xml:space="preserve">  项目尾水消纳区桉树林单位面积粪肥需求计算表  单位： kg/亩</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761"/>
        <w:gridCol w:w="35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植被</w:t>
            </w:r>
          </w:p>
        </w:tc>
        <w:tc>
          <w:tcPr>
            <w:tcW w:w="2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桉树林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单位面积粪肥氮需求量</w:t>
            </w:r>
          </w:p>
        </w:tc>
        <w:tc>
          <w:tcPr>
            <w:tcW w:w="2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19.8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单位面积粪肥磷需求量</w:t>
            </w:r>
          </w:p>
        </w:tc>
        <w:tc>
          <w:tcPr>
            <w:tcW w:w="2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lang w:val="en-US" w:eastAsia="zh-CN"/>
              </w:rPr>
            </w:pPr>
            <w:r>
              <w:rPr>
                <w:rFonts w:hint="eastAsia" w:cs="Times New Roman"/>
                <w:spacing w:val="0"/>
                <w:w w:val="100"/>
                <w:position w:val="0"/>
                <w:sz w:val="21"/>
                <w:szCs w:val="21"/>
                <w:highlight w:val="none"/>
                <w:u w:val="single"/>
                <w:lang w:val="en-US" w:eastAsia="zh-CN"/>
              </w:rPr>
              <w:t>16.97</w:t>
            </w:r>
          </w:p>
        </w:tc>
      </w:tr>
    </w:tbl>
    <w:p>
      <w:pPr>
        <w:bidi w:val="0"/>
        <w:rPr>
          <w:highlight w:val="none"/>
          <w:u w:val="single"/>
        </w:rPr>
      </w:pPr>
      <w:r>
        <w:rPr>
          <w:highlight w:val="none"/>
          <w:u w:val="single"/>
        </w:rPr>
        <w:t>项目</w:t>
      </w:r>
      <w:r>
        <w:rPr>
          <w:rFonts w:hint="eastAsia"/>
          <w:highlight w:val="none"/>
          <w:u w:val="single"/>
          <w:lang w:val="en-US" w:eastAsia="zh-CN"/>
        </w:rPr>
        <w:t>800</w:t>
      </w:r>
      <w:r>
        <w:rPr>
          <w:highlight w:val="none"/>
          <w:u w:val="single"/>
        </w:rPr>
        <w:t>亩桉树林农灌区氮肥需求量为</w:t>
      </w:r>
      <w:r>
        <w:rPr>
          <w:rFonts w:hint="eastAsia"/>
          <w:highlight w:val="none"/>
          <w:u w:val="single"/>
          <w:lang w:val="en-US" w:eastAsia="zh-CN"/>
        </w:rPr>
        <w:t>15.84</w:t>
      </w:r>
      <w:r>
        <w:rPr>
          <w:highlight w:val="none"/>
          <w:u w:val="single"/>
        </w:rPr>
        <w:t>t/a、磷肥需求量为</w:t>
      </w:r>
      <w:r>
        <w:rPr>
          <w:rFonts w:hint="eastAsia"/>
          <w:highlight w:val="none"/>
          <w:u w:val="single"/>
          <w:lang w:val="en-US" w:eastAsia="zh-CN"/>
        </w:rPr>
        <w:t>13.576</w:t>
      </w:r>
      <w:r>
        <w:rPr>
          <w:highlight w:val="none"/>
          <w:u w:val="single"/>
        </w:rPr>
        <w:t>t/a。</w:t>
      </w:r>
    </w:p>
    <w:p>
      <w:pPr>
        <w:bidi w:val="0"/>
        <w:rPr>
          <w:highlight w:val="none"/>
          <w:u w:val="single"/>
        </w:rPr>
      </w:pPr>
      <w:r>
        <w:rPr>
          <w:highlight w:val="none"/>
          <w:u w:val="single"/>
        </w:rPr>
        <w:t>② 项目粪肥养分供给量</w:t>
      </w:r>
    </w:p>
    <w:p>
      <w:pPr>
        <w:bidi w:val="0"/>
        <w:rPr>
          <w:highlight w:val="none"/>
          <w:u w:val="single"/>
        </w:rPr>
      </w:pPr>
      <w:r>
        <w:rPr>
          <w:highlight w:val="none"/>
          <w:u w:val="single"/>
        </w:rPr>
        <w:t>经计算，项目尾水养分产生的粪肥氮、磷养分供给量总共分别为</w:t>
      </w:r>
      <w:r>
        <w:rPr>
          <w:rFonts w:hint="eastAsia"/>
          <w:highlight w:val="none"/>
          <w:u w:val="single"/>
          <w:lang w:val="en-US" w:eastAsia="zh-CN"/>
        </w:rPr>
        <w:t>1.010</w:t>
      </w:r>
      <w:r>
        <w:rPr>
          <w:highlight w:val="none"/>
          <w:u w:val="single"/>
        </w:rPr>
        <w:t>t/a和</w:t>
      </w:r>
      <w:r>
        <w:rPr>
          <w:rFonts w:hint="eastAsia"/>
          <w:highlight w:val="none"/>
          <w:u w:val="single"/>
          <w:lang w:val="en-US" w:eastAsia="zh-CN"/>
        </w:rPr>
        <w:t>0.084</w:t>
      </w:r>
      <w:r>
        <w:rPr>
          <w:highlight w:val="none"/>
          <w:u w:val="single"/>
        </w:rPr>
        <w:t>t/a。平均每天的粪肥氮和磷养分供给量分别为</w:t>
      </w:r>
      <w:r>
        <w:rPr>
          <w:rFonts w:hint="eastAsia"/>
          <w:highlight w:val="none"/>
          <w:u w:val="single"/>
          <w:lang w:val="en-US" w:eastAsia="zh-CN"/>
        </w:rPr>
        <w:t>2.767</w:t>
      </w:r>
      <w:r>
        <w:rPr>
          <w:highlight w:val="none"/>
          <w:u w:val="single"/>
        </w:rPr>
        <w:t>kg和</w:t>
      </w:r>
      <w:r>
        <w:rPr>
          <w:rFonts w:hint="eastAsia"/>
          <w:highlight w:val="none"/>
          <w:u w:val="single"/>
          <w:lang w:val="en-US" w:eastAsia="zh-CN"/>
        </w:rPr>
        <w:t>0.230</w:t>
      </w:r>
      <w:r>
        <w:rPr>
          <w:highlight w:val="none"/>
          <w:u w:val="single"/>
        </w:rPr>
        <w:t>kg。</w:t>
      </w:r>
    </w:p>
    <w:p>
      <w:pPr>
        <w:bidi w:val="0"/>
      </w:pPr>
      <w:r>
        <w:rPr>
          <w:highlight w:val="none"/>
          <w:u w:val="single"/>
        </w:rPr>
        <w:t>项目每天产生的粪肥氮和磷养分供单种植物施肥的最大土地面积计算结果见表</w:t>
      </w:r>
      <w:r>
        <w:rPr>
          <w:rFonts w:hint="eastAsia"/>
          <w:highlight w:val="none"/>
          <w:u w:val="single"/>
          <w:lang w:val="en-US" w:eastAsia="zh-CN"/>
        </w:rPr>
        <w:t>7.2-5</w:t>
      </w:r>
      <w:r>
        <w:rPr>
          <w:highlight w:val="none"/>
          <w:u w:val="single"/>
        </w:rPr>
        <w:t>。</w:t>
      </w:r>
    </w:p>
    <w:p>
      <w:pPr>
        <w:pStyle w:val="7"/>
        <w:bidi w:val="0"/>
        <w:rPr>
          <w:highlight w:val="none"/>
          <w:u w:val="single"/>
        </w:rPr>
      </w:pPr>
      <w:r>
        <w:rPr>
          <w:highlight w:val="none"/>
          <w:u w:val="single"/>
        </w:rPr>
        <w:t>表</w:t>
      </w:r>
      <w:r>
        <w:rPr>
          <w:rFonts w:hint="eastAsia"/>
          <w:highlight w:val="none"/>
          <w:u w:val="single"/>
          <w:lang w:val="en-US" w:eastAsia="zh-CN"/>
        </w:rPr>
        <w:t>7.2-5</w:t>
      </w:r>
      <w:r>
        <w:rPr>
          <w:highlight w:val="none"/>
          <w:u w:val="single"/>
        </w:rPr>
        <w:t xml:space="preserve"> 每天产生的粪肥氮、磷养分供单种植物施肥的最大土地面积计算结果表</w:t>
      </w:r>
    </w:p>
    <w:tbl>
      <w:tblPr>
        <w:tblStyle w:val="34"/>
        <w:tblW w:w="501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192"/>
        <w:gridCol w:w="31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项目</w:t>
            </w:r>
          </w:p>
        </w:tc>
        <w:tc>
          <w:tcPr>
            <w:tcW w:w="1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pacing w:val="0"/>
                <w:w w:val="100"/>
                <w:position w:val="0"/>
                <w:sz w:val="21"/>
                <w:szCs w:val="21"/>
                <w:highlight w:val="none"/>
                <w:u w:val="single"/>
                <w:lang w:eastAsia="zh-CN"/>
              </w:rPr>
            </w:pPr>
            <w:r>
              <w:rPr>
                <w:rFonts w:hint="eastAsia" w:cs="Times New Roman"/>
                <w:spacing w:val="0"/>
                <w:w w:val="100"/>
                <w:position w:val="0"/>
                <w:sz w:val="21"/>
                <w:szCs w:val="21"/>
                <w:highlight w:val="none"/>
                <w:u w:val="single"/>
                <w:lang w:eastAsia="zh-CN"/>
              </w:rPr>
              <w:t>面积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项目每天产生的粪肥氮养分供单个植物最大施肥面积</w:t>
            </w:r>
          </w:p>
        </w:tc>
        <w:tc>
          <w:tcPr>
            <w:tcW w:w="1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0.</w:t>
            </w:r>
            <w:r>
              <w:rPr>
                <w:rFonts w:hint="eastAsia" w:cs="Times New Roman"/>
                <w:spacing w:val="0"/>
                <w:w w:val="100"/>
                <w:position w:val="0"/>
                <w:sz w:val="21"/>
                <w:szCs w:val="21"/>
                <w:highlight w:val="none"/>
                <w:u w:val="single"/>
                <w:lang w:val="en-US" w:eastAsia="zh-CN"/>
              </w:rPr>
              <w:t>140</w:t>
            </w:r>
            <w:r>
              <w:rPr>
                <w:rFonts w:hint="default" w:ascii="Times New Roman" w:hAnsi="Times New Roman" w:eastAsia="宋体" w:cs="Times New Roman"/>
                <w:spacing w:val="0"/>
                <w:w w:val="100"/>
                <w:position w:val="0"/>
                <w:sz w:val="21"/>
                <w:szCs w:val="21"/>
                <w:highlight w:val="none"/>
                <w:u w:val="single"/>
              </w:rPr>
              <w:t>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项目每天产生的粪肥磷养分供单个植物最大施肥面积</w:t>
            </w:r>
          </w:p>
        </w:tc>
        <w:tc>
          <w:tcPr>
            <w:tcW w:w="1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0.01</w:t>
            </w:r>
            <w:r>
              <w:rPr>
                <w:rFonts w:hint="eastAsia" w:cs="Times New Roman"/>
                <w:spacing w:val="0"/>
                <w:w w:val="100"/>
                <w:position w:val="0"/>
                <w:sz w:val="21"/>
                <w:szCs w:val="21"/>
                <w:highlight w:val="none"/>
                <w:u w:val="single"/>
                <w:lang w:val="en-US" w:eastAsia="zh-CN"/>
              </w:rPr>
              <w:t>4</w:t>
            </w:r>
            <w:r>
              <w:rPr>
                <w:rFonts w:hint="default" w:ascii="Times New Roman" w:hAnsi="Times New Roman" w:eastAsia="宋体" w:cs="Times New Roman"/>
                <w:spacing w:val="0"/>
                <w:w w:val="100"/>
                <w:position w:val="0"/>
                <w:sz w:val="21"/>
                <w:szCs w:val="21"/>
                <w:highlight w:val="none"/>
                <w:u w:val="single"/>
              </w:rPr>
              <w:t>亩</w:t>
            </w:r>
          </w:p>
        </w:tc>
      </w:tr>
    </w:tbl>
    <w:p>
      <w:pPr>
        <w:bidi w:val="0"/>
        <w:rPr>
          <w:highlight w:val="none"/>
          <w:u w:val="single"/>
        </w:rPr>
      </w:pPr>
      <w:r>
        <w:rPr>
          <w:highlight w:val="none"/>
          <w:u w:val="single"/>
        </w:rPr>
        <w:t>由上述计算可知，如果将项目处理后的废水每天全部施用至桉树林，所需的桉树林土地面积最大为</w:t>
      </w:r>
      <w:r>
        <w:rPr>
          <w:rFonts w:hint="eastAsia"/>
          <w:highlight w:val="none"/>
          <w:u w:val="single"/>
          <w:lang w:val="en-US" w:eastAsia="zh-CN"/>
        </w:rPr>
        <w:t>0.140</w:t>
      </w:r>
      <w:r>
        <w:rPr>
          <w:highlight w:val="none"/>
          <w:u w:val="single"/>
        </w:rPr>
        <w:t>亩。</w:t>
      </w:r>
    </w:p>
    <w:p>
      <w:pPr>
        <w:bidi w:val="0"/>
        <w:rPr>
          <w:highlight w:val="none"/>
          <w:u w:val="single"/>
        </w:rPr>
      </w:pPr>
      <w:r>
        <w:rPr>
          <w:highlight w:val="none"/>
          <w:u w:val="single"/>
        </w:rPr>
        <w:t>因此，项目尾水消纳区实际污灌面积</w:t>
      </w:r>
      <w:r>
        <w:rPr>
          <w:rFonts w:hint="eastAsia"/>
          <w:highlight w:val="none"/>
          <w:u w:val="single"/>
          <w:lang w:val="en-US" w:eastAsia="zh-CN"/>
        </w:rPr>
        <w:t>800</w:t>
      </w:r>
      <w:r>
        <w:rPr>
          <w:highlight w:val="none"/>
          <w:u w:val="single"/>
        </w:rPr>
        <w:t>亩远大于消纳氮肥所需配套土地面积，拥有足够的轮灌面积，可每年轮灌一次，可承载项目粪便与废水灌溉产生的养分，污灌可行。</w:t>
      </w:r>
    </w:p>
    <w:p>
      <w:pPr>
        <w:bidi w:val="0"/>
        <w:rPr>
          <w:highlight w:val="none"/>
          <w:u w:val="single"/>
        </w:rPr>
      </w:pPr>
      <w:r>
        <w:rPr>
          <w:rFonts w:hint="eastAsia"/>
          <w:highlight w:val="none"/>
          <w:u w:val="single"/>
          <w:lang w:eastAsia="zh-CN"/>
        </w:rPr>
        <w:t>（</w:t>
      </w:r>
      <w:r>
        <w:rPr>
          <w:rFonts w:hint="eastAsia"/>
          <w:highlight w:val="none"/>
          <w:u w:val="single"/>
          <w:lang w:val="en-US" w:eastAsia="zh-CN"/>
        </w:rPr>
        <w:t>4</w:t>
      </w:r>
      <w:r>
        <w:rPr>
          <w:rFonts w:hint="eastAsia"/>
          <w:highlight w:val="none"/>
          <w:u w:val="single"/>
          <w:lang w:eastAsia="zh-CN"/>
        </w:rPr>
        <w:t>）</w:t>
      </w:r>
      <w:r>
        <w:rPr>
          <w:highlight w:val="none"/>
          <w:u w:val="single"/>
        </w:rPr>
        <w:t>农灌管理方案</w:t>
      </w:r>
    </w:p>
    <w:p>
      <w:pPr>
        <w:bidi w:val="0"/>
        <w:rPr>
          <w:highlight w:val="none"/>
          <w:u w:val="single"/>
        </w:rPr>
      </w:pPr>
      <w:r>
        <w:rPr>
          <w:highlight w:val="none"/>
          <w:u w:val="single"/>
        </w:rPr>
        <w:t>项目周边桉树林尾水灌溉由</w:t>
      </w:r>
      <w:r>
        <w:rPr>
          <w:rFonts w:hint="eastAsia"/>
          <w:highlight w:val="none"/>
          <w:u w:val="single"/>
          <w:lang w:eastAsia="zh-CN"/>
        </w:rPr>
        <w:t>利用</w:t>
      </w:r>
      <w:r>
        <w:rPr>
          <w:highlight w:val="none"/>
          <w:u w:val="single"/>
        </w:rPr>
        <w:t>单位负责，但建设单位需制定合理的灌溉方案，专人负责灌溉工作，溪沟、水塘周边树木不可灌溉，严禁雨天灌溉。</w:t>
      </w:r>
    </w:p>
    <w:p>
      <w:pPr>
        <w:pStyle w:val="6"/>
        <w:bidi w:val="0"/>
        <w:rPr>
          <w:rFonts w:ascii="宋体" w:hAnsi="宋体" w:eastAsia="宋体" w:cs="宋体"/>
          <w:sz w:val="24"/>
          <w:szCs w:val="24"/>
          <w:highlight w:val="none"/>
          <w:u w:val="single"/>
        </w:rPr>
      </w:pPr>
      <w:r>
        <w:rPr>
          <w:rFonts w:hint="eastAsia" w:ascii="Times New Roman" w:hAnsi="Times New Roman" w:eastAsia="宋体" w:cs="Times New Roman"/>
          <w:b/>
          <w:bCs/>
          <w:spacing w:val="-1"/>
          <w:sz w:val="24"/>
          <w:szCs w:val="24"/>
          <w:highlight w:val="none"/>
          <w:u w:val="single"/>
          <w:lang w:val="en-US" w:eastAsia="zh-CN"/>
        </w:rPr>
        <w:t>7</w:t>
      </w:r>
      <w:r>
        <w:rPr>
          <w:rFonts w:ascii="Times New Roman" w:hAnsi="Times New Roman" w:eastAsia="Times New Roman" w:cs="Times New Roman"/>
          <w:b/>
          <w:bCs/>
          <w:spacing w:val="-1"/>
          <w:sz w:val="24"/>
          <w:szCs w:val="24"/>
          <w:highlight w:val="none"/>
          <w:u w:val="single"/>
        </w:rPr>
        <w:t>.2.2.</w:t>
      </w:r>
      <w:r>
        <w:rPr>
          <w:rFonts w:hint="eastAsia" w:ascii="Times New Roman" w:hAnsi="Times New Roman" w:cs="Times New Roman"/>
          <w:b/>
          <w:bCs/>
          <w:spacing w:val="-1"/>
          <w:sz w:val="24"/>
          <w:szCs w:val="24"/>
          <w:highlight w:val="none"/>
          <w:u w:val="single"/>
          <w:lang w:val="en-US" w:eastAsia="zh-CN"/>
        </w:rPr>
        <w:t>6</w:t>
      </w:r>
      <w:r>
        <w:rPr>
          <w:rFonts w:hint="eastAsia" w:ascii="Times New Roman" w:hAnsi="Times New Roman" w:eastAsia="宋体" w:cs="Times New Roman"/>
          <w:b/>
          <w:bCs/>
          <w:spacing w:val="-1"/>
          <w:sz w:val="24"/>
          <w:szCs w:val="24"/>
          <w:highlight w:val="none"/>
          <w:u w:val="single"/>
          <w:lang w:val="en-US" w:eastAsia="zh-CN"/>
        </w:rPr>
        <w:t xml:space="preserve">  </w:t>
      </w:r>
      <w:r>
        <w:rPr>
          <w:rFonts w:ascii="宋体" w:hAnsi="宋体" w:eastAsia="宋体" w:cs="宋体"/>
          <w:spacing w:val="-1"/>
          <w:sz w:val="24"/>
          <w:szCs w:val="24"/>
          <w:highlight w:val="none"/>
          <w:u w:val="single"/>
        </w:rPr>
        <w:t>地下水分区防控措施</w:t>
      </w:r>
    </w:p>
    <w:p>
      <w:pPr>
        <w:bidi w:val="0"/>
        <w:rPr>
          <w:highlight w:val="none"/>
          <w:u w:val="single"/>
        </w:rPr>
      </w:pPr>
      <w:r>
        <w:rPr>
          <w:highlight w:val="none"/>
          <w:u w:val="single"/>
        </w:rPr>
        <w:t>本项目建成后全场分为重点防渗区和一般防渗区。重点防渗区主要包括：猪舍</w:t>
      </w:r>
      <w:r>
        <w:rPr>
          <w:rFonts w:hint="eastAsia"/>
          <w:highlight w:val="none"/>
          <w:u w:val="single"/>
          <w:lang w:eastAsia="zh-CN"/>
        </w:rPr>
        <w:t>、污水处理站、</w:t>
      </w:r>
      <w:r>
        <w:rPr>
          <w:highlight w:val="none"/>
          <w:u w:val="single"/>
        </w:rPr>
        <w:t>危险废物暂存场地等；一般防渗区主要包括：一般固废暂存区、猪舍周围地面等；简单防</w:t>
      </w:r>
      <w:r>
        <w:rPr>
          <w:rFonts w:hint="eastAsia"/>
          <w:highlight w:val="none"/>
          <w:u w:val="single"/>
          <w:lang w:eastAsia="zh-CN"/>
        </w:rPr>
        <w:t>护</w:t>
      </w:r>
      <w:r>
        <w:rPr>
          <w:highlight w:val="none"/>
          <w:u w:val="single"/>
        </w:rPr>
        <w:t>区主要包括职工宿舍区，办公区等。</w:t>
      </w:r>
    </w:p>
    <w:p>
      <w:pPr>
        <w:bidi w:val="0"/>
        <w:rPr>
          <w:highlight w:val="none"/>
          <w:u w:val="single"/>
        </w:rPr>
      </w:pPr>
      <w:r>
        <w:rPr>
          <w:highlight w:val="none"/>
          <w:u w:val="single"/>
        </w:rPr>
        <w:t>一般防渗区：评价建议对该区域采取粘土铺底，再在上层铺10-15cm的水泥进行 硬化。通过以上措施可使一般防渗区各单元防渗层渗透系数≤10</w:t>
      </w:r>
      <w:r>
        <w:rPr>
          <w:highlight w:val="none"/>
          <w:u w:val="single"/>
          <w:vertAlign w:val="superscript"/>
        </w:rPr>
        <w:t>-7</w:t>
      </w:r>
      <w:r>
        <w:rPr>
          <w:highlight w:val="none"/>
          <w:u w:val="single"/>
        </w:rPr>
        <w:t>cm/s。</w:t>
      </w:r>
    </w:p>
    <w:p>
      <w:pPr>
        <w:bidi w:val="0"/>
        <w:rPr>
          <w:highlight w:val="none"/>
          <w:u w:val="single"/>
        </w:rPr>
      </w:pPr>
      <w:r>
        <w:rPr>
          <w:highlight w:val="none"/>
          <w:u w:val="single"/>
        </w:rPr>
        <w:t>重点防渗区：重点防渗区在清场夯压的基础上生物化粪池采用铺设HDPE膜+混凝土进行防渗，养殖区圈舍</w:t>
      </w:r>
      <w:r>
        <w:rPr>
          <w:rFonts w:hint="eastAsia"/>
          <w:highlight w:val="none"/>
          <w:u w:val="single"/>
          <w:lang w:eastAsia="zh-CN"/>
        </w:rPr>
        <w:t>、污水处理站</w:t>
      </w:r>
      <w:r>
        <w:rPr>
          <w:highlight w:val="none"/>
          <w:u w:val="single"/>
        </w:rPr>
        <w:t>等用混凝土进行防渗；HDPE膜抗渗能力比较强，渗透系数能够达到10</w:t>
      </w:r>
      <w:r>
        <w:rPr>
          <w:highlight w:val="none"/>
          <w:u w:val="single"/>
          <w:vertAlign w:val="superscript"/>
        </w:rPr>
        <w:t>-10</w:t>
      </w:r>
      <w:r>
        <w:rPr>
          <w:highlight w:val="none"/>
          <w:u w:val="single"/>
        </w:rPr>
        <w:t>cm/s。底部设置排气沟，最底部排气沟设置放水管，并设置导流渠</w:t>
      </w:r>
      <w:r>
        <w:rPr>
          <w:rFonts w:hint="eastAsia"/>
          <w:highlight w:val="none"/>
          <w:u w:val="single"/>
          <w:lang w:eastAsia="zh-CN"/>
        </w:rPr>
        <w:t>，</w:t>
      </w:r>
      <w:r>
        <w:rPr>
          <w:highlight w:val="none"/>
          <w:u w:val="single"/>
        </w:rPr>
        <w:t>以防止污染地下水。</w:t>
      </w:r>
    </w:p>
    <w:p>
      <w:pPr>
        <w:bidi w:val="0"/>
        <w:rPr>
          <w:highlight w:val="none"/>
          <w:u w:val="single"/>
        </w:rPr>
      </w:pPr>
      <w:r>
        <w:rPr>
          <w:highlight w:val="none"/>
          <w:u w:val="single"/>
        </w:rPr>
        <w:t>防治地下水污染的措施有：</w:t>
      </w:r>
    </w:p>
    <w:p>
      <w:pPr>
        <w:bidi w:val="0"/>
        <w:rPr>
          <w:highlight w:val="none"/>
          <w:u w:val="single"/>
        </w:rPr>
      </w:pPr>
      <w:r>
        <w:rPr>
          <w:highlight w:val="none"/>
          <w:u w:val="single"/>
        </w:rPr>
        <w:t>（1）主动措施</w:t>
      </w:r>
    </w:p>
    <w:p>
      <w:pPr>
        <w:bidi w:val="0"/>
        <w:rPr>
          <w:highlight w:val="none"/>
          <w:u w:val="single"/>
        </w:rPr>
      </w:pPr>
      <w:r>
        <w:rPr>
          <w:highlight w:val="none"/>
          <w:u w:val="single"/>
        </w:rPr>
        <w:t>为了最大限度降低养殖生产过程中高浓度有机废水的跑冒滴漏，防止地下水污染，本工程在生产工艺、设备、建筑结构、总图等方面应考虑相应的控制措施，具体措施如下：</w:t>
      </w:r>
    </w:p>
    <w:p>
      <w:pPr>
        <w:bidi w:val="0"/>
        <w:rPr>
          <w:highlight w:val="none"/>
          <w:u w:val="single"/>
        </w:rPr>
      </w:pPr>
      <w:r>
        <w:rPr>
          <w:highlight w:val="none"/>
          <w:u w:val="single"/>
        </w:rPr>
        <w:t>本项目猪舍、</w:t>
      </w:r>
      <w:r>
        <w:rPr>
          <w:rFonts w:hint="eastAsia"/>
          <w:highlight w:val="none"/>
          <w:u w:val="single"/>
          <w:lang w:eastAsia="zh-CN"/>
        </w:rPr>
        <w:t>污水处理站、</w:t>
      </w:r>
      <w:r>
        <w:rPr>
          <w:highlight w:val="none"/>
          <w:u w:val="single"/>
        </w:rPr>
        <w:t>危险废物暂存场地等易产生泄漏的重点区域、设备尽可能按其物料性质分类处置，固液分离。场区应设置防止泄露的污染物和污水直接排出厂外的设施。</w:t>
      </w:r>
    </w:p>
    <w:p>
      <w:pPr>
        <w:bidi w:val="0"/>
        <w:rPr>
          <w:highlight w:val="none"/>
          <w:u w:val="single"/>
        </w:rPr>
      </w:pPr>
      <w:r>
        <w:rPr>
          <w:highlight w:val="none"/>
          <w:u w:val="single"/>
        </w:rPr>
        <w:t>②设备装置系统内除输送消防水、生产用水和生活用水等非污染介质的管道外，管道上所有安装后不需拆卸的螺纹连接部位均应密封焊，其它需要经常进行拆装或不允许密封焊的螺纹连接部位应有可靠的密封措施。对于含污染物的管道，除与阀门、仪表和设备等连接可采用法兰连接外，应优先采用焊接，管道应做明显的标志，按规范要求进行气密性试验。如确实需要地下敷设时，应采取必要的防渗措施。输送生产废水的压力管道宜采用地上敷设，输送含污染物的地下重力污水管道及附属构筑物，必须进行闭水试验，试验段不得有渗漏。对于所有含污染物的管道和设备日常使用的排净口应配备法兰盖。</w:t>
      </w:r>
    </w:p>
    <w:p>
      <w:pPr>
        <w:bidi w:val="0"/>
        <w:rPr>
          <w:highlight w:val="none"/>
          <w:u w:val="single"/>
        </w:rPr>
      </w:pPr>
      <w:r>
        <w:rPr>
          <w:highlight w:val="none"/>
          <w:u w:val="single"/>
        </w:rPr>
        <w:t>③场区仓库有可能发料或化学药品或含有污染物的介质泄漏的地面按污染区地面处理，地面坡向集水点的坡度须大于0.01，地面与墙、柱、设备基础等交接处须做翻边处理。</w:t>
      </w:r>
    </w:p>
    <w:p>
      <w:pPr>
        <w:bidi w:val="0"/>
        <w:rPr>
          <w:highlight w:val="none"/>
          <w:u w:val="single"/>
        </w:rPr>
      </w:pPr>
      <w:r>
        <w:rPr>
          <w:highlight w:val="none"/>
          <w:u w:val="single"/>
        </w:rPr>
        <w:t>（2）被动措施</w:t>
      </w:r>
    </w:p>
    <w:p>
      <w:pPr>
        <w:bidi w:val="0"/>
        <w:rPr>
          <w:highlight w:val="none"/>
          <w:u w:val="single"/>
        </w:rPr>
      </w:pPr>
      <w:r>
        <w:rPr>
          <w:highlight w:val="none"/>
          <w:u w:val="single"/>
        </w:rPr>
        <w:t>防止地下水污染的被动控制措施即为地面防渗工程，全厂污染区参照相应标准要求铺设防渗层。</w:t>
      </w:r>
    </w:p>
    <w:p>
      <w:pPr>
        <w:bidi w:val="0"/>
        <w:rPr>
          <w:highlight w:val="none"/>
          <w:u w:val="single"/>
        </w:rPr>
      </w:pPr>
      <w:r>
        <w:rPr>
          <w:highlight w:val="none"/>
          <w:u w:val="single"/>
        </w:rPr>
        <w:t>一般防渗层设计方案包括：项目按非污染防治区、一般污染防治区、重点污染防治区、特殊污染防治区分别采取不同等级的防渗措施。非污染防治区包括办公楼、绿化区域，采取非铺砌地坪或普通混凝土地坪，可不设置防渗层。污染防治区首先采取措施，切断泄漏粪污水流入非污染区的途径，重点防治区在清场夯压的基础上铺设HDPE膜+混凝土进行防渗，污染防治区的地面坡向排水口，最小排水坡度不得小于5‰。防渗结构型式通常有天然防渗结构、刚性防渗结构、柔性防渗结构和复合防渗结构等。</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 xml:space="preserve">7.2.3  </w:t>
      </w:r>
      <w:r>
        <w:rPr>
          <w:rFonts w:ascii="宋体" w:hAnsi="宋体" w:eastAsia="宋体" w:cs="宋体"/>
          <w:spacing w:val="-2"/>
          <w:sz w:val="28"/>
          <w:szCs w:val="28"/>
          <w:highlight w:val="none"/>
        </w:rPr>
        <w:t>噪声污染防治措施</w:t>
      </w:r>
    </w:p>
    <w:p>
      <w:pPr>
        <w:bidi w:val="0"/>
        <w:rPr>
          <w:highlight w:val="none"/>
        </w:rPr>
      </w:pPr>
      <w:r>
        <w:rPr>
          <w:highlight w:val="none"/>
        </w:rPr>
        <w:t>本项目运营期噪声主要来自猪群叫声、</w:t>
      </w:r>
      <w:r>
        <w:rPr>
          <w:rFonts w:hint="eastAsia"/>
          <w:highlight w:val="none"/>
          <w:lang w:eastAsia="zh-CN"/>
        </w:rPr>
        <w:t>固液分离机</w:t>
      </w:r>
      <w:r>
        <w:rPr>
          <w:highlight w:val="none"/>
        </w:rPr>
        <w:t>和各类水泵等，拟采取如下措施对其进行治理。</w:t>
      </w:r>
    </w:p>
    <w:p>
      <w:pPr>
        <w:bidi w:val="0"/>
        <w:rPr>
          <w:highlight w:val="none"/>
        </w:rPr>
      </w:pPr>
      <w:r>
        <w:rPr>
          <w:highlight w:val="none"/>
        </w:rPr>
        <w:t>（1）项目在平面布置上优化设计。采用“闹静分开”和合理布局的设施原则，尽量将高噪声源远离本场生活、办公区和厂界外噪声敏感区域。</w:t>
      </w:r>
    </w:p>
    <w:p>
      <w:pPr>
        <w:bidi w:val="0"/>
        <w:rPr>
          <w:highlight w:val="none"/>
        </w:rPr>
      </w:pPr>
      <w:r>
        <w:rPr>
          <w:highlight w:val="none"/>
        </w:rPr>
        <w:t>（2）为了减少猪叫声对操作工人及周围环境的影响，尽可能满足猪只饮食需要，避免因饥饿或口渴而发出叫声；同时应减少外界噪声及突发性噪声等对猪舍的干扰，避免因惊吓而产生不安，使猪只保持安定平和的气氛。并通过合理的平面布局，以降低噪声对周边环境不良影响。</w:t>
      </w:r>
    </w:p>
    <w:p>
      <w:pPr>
        <w:bidi w:val="0"/>
        <w:rPr>
          <w:highlight w:val="none"/>
        </w:rPr>
      </w:pPr>
      <w:r>
        <w:rPr>
          <w:highlight w:val="none"/>
        </w:rPr>
        <w:t>（3）对于高噪声设备，注意设备选型及安装。在安装时，高噪声设备须采取减震、隔震措施，可降低噪声源强还可减少噪声的传播。设置专门的设备用房放置生产工艺使用的机器并进行隔音处理。对机器进行定期检查，防止由于机器不正常运转时产生的噪声。选用低噪声排气扇，在订购时应提出相应的控制指标。</w:t>
      </w:r>
    </w:p>
    <w:p>
      <w:pPr>
        <w:bidi w:val="0"/>
        <w:rPr>
          <w:highlight w:val="none"/>
        </w:rPr>
      </w:pPr>
      <w:r>
        <w:rPr>
          <w:highlight w:val="none"/>
        </w:rPr>
        <w:t>（4）猪舍四周加强绿化，厂界四周保留林地作为绿化隔声带，加强对噪声的隔阻效果。</w:t>
      </w:r>
    </w:p>
    <w:p>
      <w:pPr>
        <w:bidi w:val="0"/>
        <w:rPr>
          <w:highlight w:val="none"/>
        </w:rPr>
      </w:pPr>
      <w:r>
        <w:rPr>
          <w:highlight w:val="none"/>
        </w:rPr>
        <w:t>在采取以上措施后，厂界的噪声值能满足《工业企业厂界环境噪声排放标准》 （GB12348-2008）2类标准的要求。由同项目类比可知，本建设工程所采用的各种噪声治理措施，均是成熟可靠的措施，只要严格管理，勤于维护，均可达到预期的治理效果，措施可行。</w:t>
      </w:r>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2"/>
          <w:sz w:val="28"/>
          <w:szCs w:val="28"/>
          <w:highlight w:val="none"/>
          <w:lang w:val="en-US" w:eastAsia="zh-CN"/>
        </w:rPr>
        <w:t xml:space="preserve">7.2.4  </w:t>
      </w:r>
      <w:r>
        <w:rPr>
          <w:rFonts w:ascii="黑体" w:hAnsi="黑体" w:eastAsia="黑体" w:cs="黑体"/>
          <w:spacing w:val="-2"/>
          <w:sz w:val="28"/>
          <w:szCs w:val="28"/>
          <w:highlight w:val="none"/>
        </w:rPr>
        <w:t>固体废物处理措施可行性论证</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3"/>
          <w:sz w:val="24"/>
          <w:szCs w:val="24"/>
          <w:highlight w:val="none"/>
          <w:lang w:val="en-US" w:eastAsia="zh-CN"/>
        </w:rPr>
        <w:t xml:space="preserve">7.2.4.1 </w:t>
      </w:r>
      <w:r>
        <w:rPr>
          <w:rFonts w:ascii="宋体" w:hAnsi="宋体" w:eastAsia="宋体" w:cs="宋体"/>
          <w:spacing w:val="-3"/>
          <w:sz w:val="24"/>
          <w:szCs w:val="24"/>
          <w:highlight w:val="none"/>
        </w:rPr>
        <w:t>固体废物处置措施</w:t>
      </w:r>
    </w:p>
    <w:p>
      <w:pPr>
        <w:bidi w:val="0"/>
        <w:rPr>
          <w:highlight w:val="none"/>
        </w:rPr>
      </w:pPr>
      <w:r>
        <w:rPr>
          <w:highlight w:val="none"/>
        </w:rPr>
        <w:t xml:space="preserve">本项目产生的固体废物主要包括猪粪，以及疾病防疫产生的医疗废物、养殖过程产生的少量病死猪、职工生活垃圾等。固废污染产生及防治措施见表 </w:t>
      </w:r>
      <w:r>
        <w:rPr>
          <w:rFonts w:hint="eastAsia"/>
          <w:highlight w:val="none"/>
          <w:lang w:val="en-US" w:eastAsia="zh-CN"/>
        </w:rPr>
        <w:t>7.2-6</w:t>
      </w:r>
      <w:r>
        <w:rPr>
          <w:highlight w:val="none"/>
        </w:rPr>
        <w:t>。</w:t>
      </w:r>
    </w:p>
    <w:p>
      <w:pPr>
        <w:pStyle w:val="7"/>
        <w:bidi w:val="0"/>
        <w:rPr>
          <w:highlight w:val="none"/>
        </w:rPr>
      </w:pPr>
      <w:r>
        <w:rPr>
          <w:highlight w:val="none"/>
        </w:rPr>
        <w:t>表</w:t>
      </w:r>
      <w:r>
        <w:rPr>
          <w:rFonts w:hint="eastAsia"/>
          <w:highlight w:val="none"/>
          <w:lang w:val="en-US" w:eastAsia="zh-CN"/>
        </w:rPr>
        <w:t>7.2-6</w:t>
      </w:r>
      <w:r>
        <w:rPr>
          <w:highlight w:val="none"/>
        </w:rPr>
        <w:t xml:space="preserve">  固体废物产排情况及处置措施一览表</w:t>
      </w:r>
    </w:p>
    <w:tbl>
      <w:tblPr>
        <w:tblStyle w:val="34"/>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36"/>
        <w:gridCol w:w="1188"/>
        <w:gridCol w:w="1248"/>
        <w:gridCol w:w="1426"/>
        <w:gridCol w:w="38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序号</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产生源</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产生量（t/a）</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类别</w:t>
            </w:r>
          </w:p>
        </w:tc>
        <w:tc>
          <w:tcPr>
            <w:tcW w:w="2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处理处置情况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生活垃圾</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3"/>
                <w:sz w:val="21"/>
                <w:szCs w:val="21"/>
                <w:highlight w:val="none"/>
                <w:lang w:val="en-US" w:eastAsia="zh-CN"/>
              </w:rPr>
              <w:t>0.913</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一般固废</w:t>
            </w:r>
          </w:p>
        </w:tc>
        <w:tc>
          <w:tcPr>
            <w:tcW w:w="2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环卫部门统一处理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猪粪</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4"/>
                <w:sz w:val="21"/>
                <w:szCs w:val="21"/>
                <w:highlight w:val="none"/>
                <w:lang w:val="en-US" w:eastAsia="zh-CN"/>
              </w:rPr>
              <w:t>4015</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一般固废</w:t>
            </w:r>
          </w:p>
        </w:tc>
        <w:tc>
          <w:tcPr>
            <w:tcW w:w="2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本项目采用</w:t>
            </w:r>
            <w:r>
              <w:rPr>
                <w:rFonts w:hint="eastAsia" w:cs="Times New Roman"/>
                <w:spacing w:val="0"/>
                <w:w w:val="100"/>
                <w:position w:val="0"/>
                <w:sz w:val="21"/>
                <w:szCs w:val="21"/>
                <w:highlight w:val="none"/>
                <w:lang w:eastAsia="zh-CN"/>
              </w:rPr>
              <w:t>干清粪</w:t>
            </w:r>
            <w:r>
              <w:rPr>
                <w:rFonts w:hint="default" w:ascii="Times New Roman" w:hAnsi="Times New Roman" w:eastAsia="宋体" w:cs="Times New Roman"/>
                <w:spacing w:val="0"/>
                <w:w w:val="100"/>
                <w:position w:val="0"/>
                <w:sz w:val="21"/>
                <w:szCs w:val="21"/>
                <w:highlight w:val="none"/>
              </w:rPr>
              <w:t>处理工艺，</w:t>
            </w:r>
            <w:r>
              <w:rPr>
                <w:rFonts w:hint="eastAsia" w:cs="Times New Roman"/>
                <w:spacing w:val="0"/>
                <w:w w:val="100"/>
                <w:position w:val="0"/>
                <w:sz w:val="21"/>
                <w:szCs w:val="21"/>
                <w:highlight w:val="none"/>
                <w:lang w:eastAsia="zh-CN"/>
              </w:rPr>
              <w:t>采取</w:t>
            </w:r>
            <w:r>
              <w:rPr>
                <w:rFonts w:hint="default" w:ascii="Times New Roman" w:hAnsi="Times New Roman" w:eastAsia="宋体" w:cs="Times New Roman"/>
                <w:spacing w:val="0"/>
                <w:w w:val="100"/>
                <w:position w:val="0"/>
                <w:sz w:val="21"/>
                <w:szCs w:val="21"/>
                <w:highlight w:val="none"/>
              </w:rPr>
              <w:t>固液分离，养殖粪污分离出来的固态作为有机肥原料通过罐车外运，不在厂区内堆肥。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3</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病死猪</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lang w:val="en-US"/>
              </w:rPr>
            </w:pPr>
            <w:r>
              <w:rPr>
                <w:rFonts w:hint="eastAsia" w:cs="Times New Roman"/>
                <w:sz w:val="21"/>
                <w:szCs w:val="21"/>
                <w:highlight w:val="none"/>
                <w:lang w:val="en-US" w:eastAsia="zh-CN"/>
              </w:rPr>
              <w:t>3.3</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危险废物</w:t>
            </w:r>
          </w:p>
        </w:tc>
        <w:tc>
          <w:tcPr>
            <w:tcW w:w="2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病死猪当天委托当地畜禽无害化处理中心清运和处理，不在厂内暂存；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4</w:t>
            </w:r>
          </w:p>
        </w:tc>
        <w:tc>
          <w:tcPr>
            <w:tcW w:w="7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医疗废物</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3"/>
                <w:sz w:val="21"/>
                <w:szCs w:val="21"/>
                <w:highlight w:val="none"/>
              </w:rPr>
              <w:t>0.01</w:t>
            </w:r>
            <w:r>
              <w:rPr>
                <w:rFonts w:hint="eastAsia" w:cs="Times New Roman"/>
                <w:spacing w:val="-3"/>
                <w:sz w:val="21"/>
                <w:szCs w:val="21"/>
                <w:highlight w:val="none"/>
                <w:lang w:val="en-US" w:eastAsia="zh-CN"/>
              </w:rPr>
              <w:t>1</w:t>
            </w:r>
          </w:p>
        </w:tc>
        <w:tc>
          <w:tcPr>
            <w:tcW w:w="8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危险废物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HW01</w:t>
            </w:r>
          </w:p>
        </w:tc>
        <w:tc>
          <w:tcPr>
            <w:tcW w:w="2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交有处理资质单位处置</w:t>
            </w:r>
          </w:p>
        </w:tc>
      </w:tr>
    </w:tbl>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3"/>
          <w:sz w:val="24"/>
          <w:szCs w:val="24"/>
          <w:highlight w:val="none"/>
          <w:lang w:val="en-US" w:eastAsia="zh-CN"/>
        </w:rPr>
        <w:t xml:space="preserve">7.2.4.2  </w:t>
      </w:r>
      <w:r>
        <w:rPr>
          <w:rFonts w:ascii="宋体" w:hAnsi="宋体" w:eastAsia="宋体" w:cs="宋体"/>
          <w:spacing w:val="-3"/>
          <w:sz w:val="24"/>
          <w:szCs w:val="24"/>
          <w:highlight w:val="none"/>
        </w:rPr>
        <w:t>固体废物暂存措施</w:t>
      </w:r>
    </w:p>
    <w:p>
      <w:pPr>
        <w:bidi w:val="0"/>
        <w:rPr>
          <w:highlight w:val="none"/>
        </w:rPr>
      </w:pPr>
      <w:r>
        <w:rPr>
          <w:highlight w:val="none"/>
        </w:rPr>
        <w:t>本项目产生的固体废物主要是一般固体废物和危险固体废物。固体废物的暂存措施如下：</w:t>
      </w:r>
    </w:p>
    <w:p>
      <w:pPr>
        <w:bidi w:val="0"/>
        <w:rPr>
          <w:highlight w:val="none"/>
          <w:u w:val="single"/>
        </w:rPr>
      </w:pPr>
      <w:r>
        <w:rPr>
          <w:highlight w:val="none"/>
          <w:u w:val="single"/>
        </w:rPr>
        <w:t>（1）一般固体废物</w:t>
      </w:r>
    </w:p>
    <w:p>
      <w:pPr>
        <w:bidi w:val="0"/>
        <w:rPr>
          <w:highlight w:val="none"/>
          <w:u w:val="single"/>
        </w:rPr>
      </w:pPr>
      <w:r>
        <w:rPr>
          <w:highlight w:val="none"/>
          <w:u w:val="single"/>
        </w:rPr>
        <w:t>根据《中华人民共和国固体废物污染环境防治法》要求，评价建议对一般固体废物设置规范的临时堆存场地，用以暂存一般固体废物，按照《一般工业固体废物贮存</w:t>
      </w:r>
      <w:r>
        <w:rPr>
          <w:rFonts w:hint="eastAsia"/>
          <w:highlight w:val="none"/>
          <w:u w:val="single"/>
          <w:lang w:eastAsia="zh-CN"/>
        </w:rPr>
        <w:t>和填埋</w:t>
      </w:r>
      <w:r>
        <w:rPr>
          <w:highlight w:val="none"/>
          <w:u w:val="single"/>
        </w:rPr>
        <w:t>污染控制标准》（GB18599-2020）</w:t>
      </w:r>
      <w:r>
        <w:rPr>
          <w:rFonts w:hint="eastAsia"/>
          <w:highlight w:val="none"/>
          <w:u w:val="single"/>
          <w:lang w:eastAsia="zh-CN"/>
        </w:rPr>
        <w:t>中</w:t>
      </w:r>
      <w:r>
        <w:rPr>
          <w:highlight w:val="none"/>
          <w:u w:val="single"/>
        </w:rPr>
        <w:t>相应规定，必须采取防扬撒、防流失、防渗漏等三防措施，进行地面硬化，设顶棚和围挡，避免雨水进入，地基加高10cm，达到三防要求。</w:t>
      </w:r>
    </w:p>
    <w:p>
      <w:pPr>
        <w:bidi w:val="0"/>
        <w:rPr>
          <w:rFonts w:hint="eastAsia"/>
          <w:u w:val="single"/>
          <w:lang w:eastAsia="zh-CN"/>
        </w:rPr>
      </w:pPr>
      <w:r>
        <w:rPr>
          <w:rFonts w:hint="eastAsia"/>
          <w:u w:val="single"/>
          <w:lang w:eastAsia="zh-CN"/>
        </w:rPr>
        <w:t>一般固废包括</w:t>
      </w:r>
      <w:r>
        <w:rPr>
          <w:rFonts w:hint="eastAsia"/>
          <w:u w:val="single"/>
        </w:rPr>
        <w:t>生活垃圾</w:t>
      </w:r>
      <w:r>
        <w:rPr>
          <w:rFonts w:hint="eastAsia"/>
          <w:u w:val="single"/>
          <w:lang w:eastAsia="zh-CN"/>
        </w:rPr>
        <w:t>、猪粪。</w:t>
      </w:r>
    </w:p>
    <w:p>
      <w:pPr>
        <w:bidi w:val="0"/>
        <w:rPr>
          <w:rFonts w:hint="eastAsia"/>
          <w:u w:val="single"/>
          <w:lang w:eastAsia="zh-CN"/>
        </w:rPr>
      </w:pPr>
      <w:r>
        <w:rPr>
          <w:rFonts w:hint="eastAsia"/>
          <w:u w:val="single"/>
          <w:lang w:eastAsia="zh-CN"/>
        </w:rPr>
        <w:t>牲畜的粪便是农作物天然的优质有机肥，但牲畜的粪便不能直接洒在地里，充分腐熟处理后的粪便才是农作物的好肥料。猪粪发酵其实是利用肥料发酵剂所含的好氧微生物将猪粪内不易被作用直接利用的有机物分解转化为小分子物质，并集除臭，杀中、灭病害、提升养分，杜绝一次发酵等优点干一体的发酵过程，猪粪发酵过程中会产热，可有效杀死猪粪中所含的寄生虫卵和病害菌，防止危害农作物；发酵后的猪粪由于充分腐熟，不会再进行二次发酵，杜绝了烧根烧苗现象的产生，更为安全；而且发酵过程也将猪粪中所含的大分子有机物分解转化为作物可直接利用的无机盐和矿物质，并且生成菌体代谢产物，丰富了肥料的营养；更好的一点是，发酵过程还是一个生物除臭的过程，发酵过后的猪粪肥料，没有臭味，用起来更为便利。</w:t>
      </w:r>
    </w:p>
    <w:p>
      <w:pPr>
        <w:bidi w:val="0"/>
        <w:rPr>
          <w:rFonts w:hint="eastAsia"/>
          <w:u w:val="single"/>
          <w:lang w:eastAsia="zh-CN"/>
        </w:rPr>
      </w:pPr>
      <w:r>
        <w:rPr>
          <w:rFonts w:hint="eastAsia"/>
          <w:u w:val="single"/>
          <w:lang w:eastAsia="zh-CN"/>
        </w:rPr>
        <w:t>本项目养殖粪污分离出来的固态作为有机肥原料通过罐车外运，不在厂区内发酵堆肥，转运频率一天一次，当天及时转运，避免固液分离猪粪暂存场所产生恶臭。</w:t>
      </w:r>
      <w:r>
        <w:rPr>
          <w:rFonts w:hint="eastAsia"/>
          <w:u w:val="single"/>
        </w:rPr>
        <w:t>生活垃圾</w:t>
      </w:r>
      <w:r>
        <w:rPr>
          <w:rFonts w:hint="eastAsia"/>
          <w:u w:val="single"/>
          <w:lang w:eastAsia="zh-CN"/>
        </w:rPr>
        <w:t>交由</w:t>
      </w:r>
      <w:r>
        <w:rPr>
          <w:rFonts w:hint="eastAsia"/>
          <w:u w:val="single"/>
        </w:rPr>
        <w:t>环卫部门统一处理</w:t>
      </w:r>
      <w:r>
        <w:rPr>
          <w:rFonts w:hint="eastAsia"/>
          <w:u w:val="single"/>
          <w:lang w:eastAsia="zh-CN"/>
        </w:rPr>
        <w:t>。</w:t>
      </w:r>
    </w:p>
    <w:p>
      <w:pPr>
        <w:bidi w:val="0"/>
        <w:rPr>
          <w:highlight w:val="none"/>
        </w:rPr>
      </w:pPr>
      <w:r>
        <w:rPr>
          <w:highlight w:val="none"/>
        </w:rPr>
        <w:t>（2）危险固体废物</w:t>
      </w:r>
    </w:p>
    <w:p>
      <w:pPr>
        <w:bidi w:val="0"/>
        <w:rPr>
          <w:highlight w:val="none"/>
        </w:rPr>
      </w:pPr>
      <w:r>
        <w:rPr>
          <w:highlight w:val="none"/>
        </w:rPr>
        <w:t>本项目在场区设置危险废物暂存间，用于收集、暂存养猪过程产生的医疗废物，危险废物暂存间须满足《危险废物贮存污染控制标准》（GB18597-2001）及 2013 年修改单要求：危废临时贮存间的混凝土基础做防渗处理，防渗层采用 2mm 厚的防渗材料，保证渗透系数≤10</w:t>
      </w:r>
      <w:r>
        <w:rPr>
          <w:highlight w:val="none"/>
          <w:vertAlign w:val="superscript"/>
        </w:rPr>
        <w:t>-10</w:t>
      </w:r>
      <w:r>
        <w:rPr>
          <w:highlight w:val="none"/>
        </w:rPr>
        <w:t>cm/s，并采用环氧漆做防腐防渗处理；危废的贮存场所设置明显标志；贮存场所内禁止混放不相溶危险废物；危废的转移执行国家环保总局第5号令《危险废物转移联单管理办法》。</w:t>
      </w:r>
    </w:p>
    <w:p>
      <w:pPr>
        <w:bidi w:val="0"/>
        <w:rPr>
          <w:highlight w:val="none"/>
        </w:rPr>
      </w:pPr>
      <w:r>
        <w:rPr>
          <w:highlight w:val="none"/>
        </w:rPr>
        <w:t>车辆驶离暂存、养殖等场所前，应对车轮及车厢外部进行消毒；运载车辆应尽量避免进入人口密集区；卸载后，应对运输车辆及相关工具等进行彻底清洗、消毒。</w:t>
      </w:r>
    </w:p>
    <w:p>
      <w:pPr>
        <w:bidi w:val="0"/>
        <w:rPr>
          <w:highlight w:val="none"/>
        </w:rPr>
      </w:pPr>
      <w:r>
        <w:rPr>
          <w:highlight w:val="none"/>
        </w:rPr>
        <w:t>在日常管理中，应设置专人加强对危险废物暂存间的管理，出现问题及时解决，避免形成二次污染，对工作人员应进行专业培训，熟知各项固废知识。</w:t>
      </w:r>
    </w:p>
    <w:p>
      <w:pPr>
        <w:bidi w:val="0"/>
        <w:rPr>
          <w:highlight w:val="none"/>
        </w:rPr>
      </w:pPr>
      <w:r>
        <w:rPr>
          <w:highlight w:val="none"/>
        </w:rPr>
        <w:t>经采取上述措施，固体废物均得到合理处置，不会对环境造成二次污染，措施可行。</w:t>
      </w:r>
    </w:p>
    <w:p>
      <w:pPr>
        <w:pStyle w:val="6"/>
        <w:bidi w:val="0"/>
        <w:rPr>
          <w:rFonts w:ascii="宋体" w:hAnsi="宋体" w:eastAsia="宋体" w:cs="宋体"/>
          <w:sz w:val="24"/>
          <w:szCs w:val="24"/>
          <w:highlight w:val="none"/>
        </w:rPr>
      </w:pPr>
      <w:r>
        <w:rPr>
          <w:rFonts w:hint="eastAsia" w:ascii="Times New Roman" w:hAnsi="Times New Roman" w:eastAsia="宋体" w:cs="Times New Roman"/>
          <w:b/>
          <w:bCs/>
          <w:spacing w:val="-2"/>
          <w:sz w:val="24"/>
          <w:szCs w:val="24"/>
          <w:highlight w:val="none"/>
          <w:lang w:val="en-US" w:eastAsia="zh-CN"/>
        </w:rPr>
        <w:t xml:space="preserve">7.2.4.3  </w:t>
      </w:r>
      <w:r>
        <w:rPr>
          <w:rFonts w:ascii="宋体" w:hAnsi="宋体" w:eastAsia="宋体" w:cs="宋体"/>
          <w:spacing w:val="-2"/>
          <w:sz w:val="24"/>
          <w:szCs w:val="24"/>
          <w:highlight w:val="none"/>
        </w:rPr>
        <w:t>医疗废物的处理与处置</w:t>
      </w:r>
    </w:p>
    <w:p>
      <w:pPr>
        <w:bidi w:val="0"/>
        <w:rPr>
          <w:highlight w:val="none"/>
        </w:rPr>
      </w:pPr>
      <w:r>
        <w:rPr>
          <w:highlight w:val="none"/>
        </w:rPr>
        <w:t>猪只在生长过程接种免疫或发病期接受治疗产生的少量医疗废物，定期交由有处理资质的单位进行处置。</w:t>
      </w:r>
    </w:p>
    <w:p>
      <w:pPr>
        <w:pStyle w:val="6"/>
        <w:bidi w:val="0"/>
        <w:rPr>
          <w:rFonts w:ascii="宋体" w:hAnsi="宋体" w:eastAsia="宋体" w:cs="宋体"/>
          <w:sz w:val="24"/>
          <w:szCs w:val="24"/>
          <w:highlight w:val="none"/>
          <w:u w:val="single"/>
        </w:rPr>
      </w:pPr>
      <w:r>
        <w:rPr>
          <w:rFonts w:hint="eastAsia" w:ascii="Times New Roman" w:hAnsi="Times New Roman" w:eastAsia="宋体" w:cs="Times New Roman"/>
          <w:b/>
          <w:bCs/>
          <w:spacing w:val="-1"/>
          <w:sz w:val="24"/>
          <w:szCs w:val="24"/>
          <w:highlight w:val="none"/>
          <w:u w:val="single"/>
          <w:lang w:val="en-US" w:eastAsia="zh-CN"/>
        </w:rPr>
        <w:t xml:space="preserve">7.2.4.4  </w:t>
      </w:r>
      <w:r>
        <w:rPr>
          <w:rFonts w:ascii="宋体" w:hAnsi="宋体" w:eastAsia="宋体" w:cs="宋体"/>
          <w:spacing w:val="-1"/>
          <w:sz w:val="24"/>
          <w:szCs w:val="24"/>
          <w:highlight w:val="none"/>
          <w:u w:val="single"/>
        </w:rPr>
        <w:t>病死畜禽尸体的处理与处置</w:t>
      </w:r>
    </w:p>
    <w:p>
      <w:pPr>
        <w:bidi w:val="0"/>
        <w:rPr>
          <w:highlight w:val="none"/>
          <w:u w:val="single"/>
        </w:rPr>
      </w:pPr>
      <w:r>
        <w:rPr>
          <w:highlight w:val="none"/>
          <w:u w:val="single"/>
        </w:rPr>
        <w:t>病死猪：</w:t>
      </w:r>
      <w:r>
        <w:rPr>
          <w:rFonts w:hint="eastAsia"/>
          <w:highlight w:val="none"/>
          <w:u w:val="single"/>
        </w:rPr>
        <w:t>病死猪当天委托当地畜禽无害化处理中心清运和处理，不在厂内暂存</w:t>
      </w:r>
      <w:r>
        <w:rPr>
          <w:rFonts w:hint="eastAsia"/>
          <w:highlight w:val="none"/>
          <w:u w:val="single"/>
          <w:lang w:eastAsia="zh-CN"/>
        </w:rPr>
        <w:t>，</w:t>
      </w:r>
      <w:r>
        <w:rPr>
          <w:highlight w:val="none"/>
          <w:u w:val="single"/>
        </w:rPr>
        <w:t>并第一时间对病死猪及所在猪舍进行隔离，并向场内防疫人员及</w:t>
      </w:r>
      <w:r>
        <w:rPr>
          <w:rFonts w:hint="eastAsia"/>
          <w:highlight w:val="none"/>
          <w:u w:val="single"/>
          <w:lang w:eastAsia="zh-CN"/>
        </w:rPr>
        <w:t>华容县</w:t>
      </w:r>
      <w:r>
        <w:rPr>
          <w:highlight w:val="none"/>
          <w:u w:val="single"/>
        </w:rPr>
        <w:t>动物防疫站进行汇报，在防疫工作人员指导下进行无害化处理。一旦怀疑病死猪含有高致病性禽流感病毒，立即按照《高致病性禽流感疫情处理技术规范》要求逐级上报兽医行政管理部门及人民政府，配合相关部门和人民政府安排的检查、隔离、封锁、捕杀、无害化及消毒工作。</w:t>
      </w:r>
    </w:p>
    <w:p>
      <w:pPr>
        <w:bidi w:val="0"/>
        <w:rPr>
          <w:highlight w:val="none"/>
          <w:u w:val="single"/>
        </w:rPr>
      </w:pPr>
      <w:r>
        <w:rPr>
          <w:highlight w:val="none"/>
          <w:u w:val="single"/>
        </w:rPr>
        <w:t>根据《病死动物无害化处理技术规范》（农医发〔2013〕34 号），病死动物无害化处理主要有焚烧法、化制法、掩埋法、发酵法四种处理方式。本项目病死猪委托当地有资质单位进行处理。</w:t>
      </w:r>
    </w:p>
    <w:p>
      <w:pPr>
        <w:bidi w:val="0"/>
        <w:rPr>
          <w:highlight w:val="none"/>
        </w:rPr>
      </w:pPr>
      <w:r>
        <w:rPr>
          <w:highlight w:val="none"/>
        </w:rPr>
        <w:t>综上所述，本项目固体废物均得到合理处置，固体废物处置措施可行。</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 xml:space="preserve">7.2.5  </w:t>
      </w:r>
      <w:r>
        <w:rPr>
          <w:rFonts w:ascii="宋体" w:hAnsi="宋体" w:eastAsia="宋体" w:cs="宋体"/>
          <w:spacing w:val="-2"/>
          <w:sz w:val="28"/>
          <w:szCs w:val="28"/>
          <w:highlight w:val="none"/>
        </w:rPr>
        <w:t>生态污染防治措施</w:t>
      </w:r>
    </w:p>
    <w:p>
      <w:pPr>
        <w:bidi w:val="0"/>
        <w:rPr>
          <w:highlight w:val="none"/>
        </w:rPr>
      </w:pPr>
      <w:r>
        <w:rPr>
          <w:highlight w:val="none"/>
        </w:rPr>
        <w:t>①维护</w:t>
      </w:r>
      <w:r>
        <w:rPr>
          <w:rFonts w:hint="eastAsia"/>
          <w:highlight w:val="none"/>
          <w:lang w:eastAsia="zh-CN"/>
        </w:rPr>
        <w:t>场区</w:t>
      </w:r>
      <w:r>
        <w:rPr>
          <w:highlight w:val="none"/>
        </w:rPr>
        <w:t>内绿化，加强管理。</w:t>
      </w:r>
    </w:p>
    <w:p>
      <w:pPr>
        <w:bidi w:val="0"/>
        <w:rPr>
          <w:highlight w:val="none"/>
        </w:rPr>
      </w:pPr>
      <w:r>
        <w:rPr>
          <w:highlight w:val="none"/>
        </w:rPr>
        <w:t>②维护好三废治理设施，确保设施的正常运行，污染物做到稳定达标排放，如治理设施出现故障应立即停产检修；对事故废水和废液进行收集，杜绝废水未 经处理直接外排，以避免对生态环境产生影响。</w:t>
      </w:r>
    </w:p>
    <w:p>
      <w:pPr>
        <w:pStyle w:val="24"/>
        <w:rPr>
          <w:highlight w:val="none"/>
        </w:rPr>
      </w:pPr>
    </w:p>
    <w:p>
      <w:pPr>
        <w:pStyle w:val="26"/>
        <w:rPr>
          <w:highlight w:val="none"/>
        </w:rPr>
      </w:pPr>
    </w:p>
    <w:p>
      <w:pPr>
        <w:pStyle w:val="27"/>
        <w:rPr>
          <w:highlight w:val="none"/>
        </w:rPr>
      </w:pPr>
    </w:p>
    <w:p>
      <w:pPr>
        <w:pStyle w:val="27"/>
        <w:rPr>
          <w:highlight w:val="none"/>
        </w:rPr>
      </w:pPr>
    </w:p>
    <w:p>
      <w:pPr>
        <w:pStyle w:val="15"/>
        <w:rPr>
          <w:highlight w:val="none"/>
        </w:rPr>
      </w:pPr>
    </w:p>
    <w:p>
      <w:pPr>
        <w:rPr>
          <w:highlight w:val="none"/>
        </w:rPr>
      </w:pPr>
    </w:p>
    <w:p>
      <w:pPr>
        <w:pStyle w:val="3"/>
        <w:bidi w:val="0"/>
        <w:rPr>
          <w:rFonts w:ascii="宋体" w:hAnsi="宋体" w:eastAsia="宋体" w:cs="宋体"/>
          <w:sz w:val="32"/>
          <w:szCs w:val="32"/>
          <w:highlight w:val="none"/>
        </w:rPr>
      </w:pPr>
      <w:bookmarkStart w:id="80" w:name="_Toc24756"/>
      <w:bookmarkStart w:id="81" w:name="_Toc28369"/>
      <w:r>
        <w:rPr>
          <w:rFonts w:hint="eastAsia" w:ascii="Times New Roman" w:hAnsi="Times New Roman" w:eastAsia="宋体" w:cs="Times New Roman"/>
          <w:b/>
          <w:bCs/>
          <w:spacing w:val="-4"/>
          <w:sz w:val="32"/>
          <w:szCs w:val="32"/>
          <w:highlight w:val="none"/>
          <w:lang w:val="en-US" w:eastAsia="zh-CN"/>
        </w:rPr>
        <w:t xml:space="preserve">8  </w:t>
      </w:r>
      <w:r>
        <w:rPr>
          <w:rFonts w:ascii="宋体" w:hAnsi="宋体" w:eastAsia="宋体" w:cs="宋体"/>
          <w:spacing w:val="-4"/>
          <w:sz w:val="32"/>
          <w:szCs w:val="32"/>
          <w:highlight w:val="none"/>
        </w:rPr>
        <w:t>环境风险</w:t>
      </w:r>
      <w:bookmarkEnd w:id="80"/>
      <w:bookmarkEnd w:id="81"/>
    </w:p>
    <w:p>
      <w:pPr>
        <w:pStyle w:val="4"/>
        <w:bidi w:val="0"/>
        <w:rPr>
          <w:rFonts w:ascii="宋体" w:hAnsi="宋体" w:eastAsia="宋体" w:cs="宋体"/>
          <w:sz w:val="28"/>
          <w:szCs w:val="28"/>
          <w:highlight w:val="none"/>
        </w:rPr>
      </w:pPr>
      <w:bookmarkStart w:id="82" w:name="_bookmark19"/>
      <w:bookmarkEnd w:id="82"/>
      <w:bookmarkStart w:id="83" w:name="_Toc26651"/>
      <w:bookmarkStart w:id="84" w:name="_Toc27609"/>
      <w:r>
        <w:rPr>
          <w:rFonts w:hint="eastAsia" w:ascii="Times New Roman" w:hAnsi="Times New Roman" w:eastAsia="宋体" w:cs="Times New Roman"/>
          <w:b/>
          <w:bCs/>
          <w:spacing w:val="-2"/>
          <w:sz w:val="28"/>
          <w:szCs w:val="28"/>
          <w:highlight w:val="none"/>
          <w:lang w:val="en-US" w:eastAsia="zh-CN"/>
        </w:rPr>
        <w:t xml:space="preserve">8.1  </w:t>
      </w:r>
      <w:r>
        <w:rPr>
          <w:rFonts w:ascii="宋体" w:hAnsi="宋体" w:eastAsia="宋体" w:cs="宋体"/>
          <w:spacing w:val="-2"/>
          <w:sz w:val="28"/>
          <w:szCs w:val="28"/>
          <w:highlight w:val="none"/>
        </w:rPr>
        <w:t>评价目的和重点</w:t>
      </w:r>
      <w:bookmarkEnd w:id="83"/>
      <w:bookmarkEnd w:id="84"/>
    </w:p>
    <w:p>
      <w:pPr>
        <w:bidi w:val="0"/>
        <w:rPr>
          <w:highlight w:val="none"/>
        </w:rPr>
      </w:pPr>
      <w:r>
        <w:rPr>
          <w:highlight w:val="none"/>
        </w:rPr>
        <w:t>环境风险评价是分析和预测建设项目潜在危险、有害因素，项目建设和运行期间可能发生的突发性事件或事故（不包括人为破坏及自然灾害），引起有毒有害和易燃易爆等物质泄漏，造成人身安全与环境影响和损害程度，提出防范、应急与减缓措施，使项目事故率、损失和环境影响达到可接受水平。</w:t>
      </w:r>
    </w:p>
    <w:p>
      <w:pPr>
        <w:bidi w:val="0"/>
        <w:rPr>
          <w:highlight w:val="none"/>
        </w:rPr>
      </w:pPr>
      <w:r>
        <w:rPr>
          <w:highlight w:val="none"/>
        </w:rPr>
        <w:t>为全面落实《关于进一步加强环境影响评价管理防范环境风险的通知》（环发[2012]77号）的要求，查找建设项目存在的环境风险隐患，使得企业在生产正常运转的基础上，确保场界外的环境质量，确保职工及周边影响区内人群生物的健康和生命安全。</w:t>
      </w:r>
    </w:p>
    <w:p>
      <w:pPr>
        <w:bidi w:val="0"/>
        <w:rPr>
          <w:highlight w:val="none"/>
        </w:rPr>
      </w:pPr>
      <w:r>
        <w:rPr>
          <w:highlight w:val="none"/>
        </w:rPr>
        <w:t>通过分析该工程项目中主要物料的危险性和毒性，识别其潜在危险源并提出防治措施，达到降低风险性、危害程度，保护环境之目的。</w:t>
      </w:r>
    </w:p>
    <w:p>
      <w:pPr>
        <w:pStyle w:val="4"/>
        <w:bidi w:val="0"/>
        <w:rPr>
          <w:rFonts w:ascii="宋体" w:hAnsi="宋体" w:eastAsia="宋体" w:cs="宋体"/>
          <w:sz w:val="28"/>
          <w:szCs w:val="28"/>
          <w:highlight w:val="none"/>
        </w:rPr>
      </w:pPr>
      <w:bookmarkStart w:id="85" w:name="_bookmark20"/>
      <w:bookmarkEnd w:id="85"/>
      <w:bookmarkStart w:id="86" w:name="_Toc15040"/>
      <w:bookmarkStart w:id="87" w:name="_Toc31584"/>
      <w:r>
        <w:rPr>
          <w:rFonts w:hint="eastAsia" w:ascii="Times New Roman" w:hAnsi="Times New Roman" w:eastAsia="宋体" w:cs="Times New Roman"/>
          <w:b/>
          <w:bCs/>
          <w:spacing w:val="-2"/>
          <w:sz w:val="28"/>
          <w:szCs w:val="28"/>
          <w:highlight w:val="none"/>
          <w:lang w:val="en-US" w:eastAsia="zh-CN"/>
        </w:rPr>
        <w:t xml:space="preserve">8.2  </w:t>
      </w:r>
      <w:r>
        <w:rPr>
          <w:rFonts w:ascii="宋体" w:hAnsi="宋体" w:eastAsia="宋体" w:cs="宋体"/>
          <w:spacing w:val="-2"/>
          <w:sz w:val="28"/>
          <w:szCs w:val="28"/>
          <w:highlight w:val="none"/>
        </w:rPr>
        <w:t>环境风险识别</w:t>
      </w:r>
      <w:bookmarkEnd w:id="86"/>
      <w:bookmarkEnd w:id="87"/>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8</w:t>
      </w:r>
      <w:r>
        <w:rPr>
          <w:rFonts w:ascii="Times New Roman" w:hAnsi="Times New Roman" w:eastAsia="Times New Roman" w:cs="Times New Roman"/>
          <w:b/>
          <w:bCs/>
          <w:spacing w:val="-2"/>
          <w:sz w:val="28"/>
          <w:szCs w:val="28"/>
          <w:highlight w:val="none"/>
        </w:rPr>
        <w:t>.2.1</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2"/>
          <w:sz w:val="28"/>
          <w:szCs w:val="28"/>
          <w:highlight w:val="none"/>
        </w:rPr>
        <w:t>风险物质识别</w:t>
      </w:r>
    </w:p>
    <w:p>
      <w:pPr>
        <w:bidi w:val="0"/>
        <w:rPr>
          <w:highlight w:val="none"/>
        </w:rPr>
      </w:pPr>
      <w:r>
        <w:rPr>
          <w:highlight w:val="none"/>
        </w:rPr>
        <w:t>根据《重大危险源辨别》(GB18218-2009)的相关规定，本项目涉及的危险性物质为生产过程中产生的有毒有害物质：</w:t>
      </w:r>
      <w:r>
        <w:rPr>
          <w:rFonts w:hint="default" w:ascii="Times New Roman" w:hAnsi="Times New Roman" w:eastAsia="宋体" w:cs="Times New Roman"/>
          <w:spacing w:val="0"/>
          <w:w w:val="100"/>
          <w:position w:val="0"/>
          <w:sz w:val="24"/>
          <w:szCs w:val="24"/>
          <w:highlight w:val="none"/>
        </w:rPr>
        <w:t>CH</w:t>
      </w:r>
      <w:r>
        <w:rPr>
          <w:rFonts w:hint="default" w:ascii="Times New Roman" w:hAnsi="Times New Roman" w:eastAsia="宋体" w:cs="Times New Roman"/>
          <w:spacing w:val="0"/>
          <w:w w:val="100"/>
          <w:position w:val="0"/>
          <w:sz w:val="24"/>
          <w:szCs w:val="24"/>
          <w:highlight w:val="none"/>
          <w:vertAlign w:val="subscript"/>
        </w:rPr>
        <w:t>4</w:t>
      </w:r>
      <w:r>
        <w:rPr>
          <w:rFonts w:hint="eastAsia"/>
          <w:sz w:val="24"/>
          <w:szCs w:val="24"/>
          <w:highlight w:val="none"/>
          <w:lang w:eastAsia="zh-CN"/>
        </w:rPr>
        <w:t>、</w:t>
      </w:r>
      <w:r>
        <w:rPr>
          <w:highlight w:val="none"/>
        </w:rPr>
        <w:t>H</w:t>
      </w:r>
      <w:r>
        <w:rPr>
          <w:highlight w:val="none"/>
          <w:vertAlign w:val="subscript"/>
        </w:rPr>
        <w:t>2</w:t>
      </w:r>
      <w:r>
        <w:rPr>
          <w:highlight w:val="none"/>
        </w:rPr>
        <w:t>S，其理化特性如下：</w:t>
      </w:r>
    </w:p>
    <w:p>
      <w:pPr>
        <w:pStyle w:val="7"/>
        <w:bidi w:val="0"/>
        <w:rPr>
          <w:highlight w:val="none"/>
        </w:rPr>
      </w:pPr>
      <w:r>
        <w:rPr>
          <w:highlight w:val="none"/>
        </w:rPr>
        <w:t>表</w:t>
      </w:r>
      <w:r>
        <w:rPr>
          <w:rFonts w:hint="eastAsia"/>
          <w:highlight w:val="none"/>
          <w:lang w:val="en-US" w:eastAsia="zh-CN"/>
        </w:rPr>
        <w:t>8.</w:t>
      </w:r>
      <w:r>
        <w:rPr>
          <w:highlight w:val="none"/>
        </w:rPr>
        <w:t>2-1  化学品危险特性一览表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7"/>
        <w:gridCol w:w="1287"/>
        <w:gridCol w:w="2581"/>
        <w:gridCol w:w="36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名称</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危险性类别</w:t>
            </w:r>
          </w:p>
        </w:tc>
        <w:tc>
          <w:tcPr>
            <w:tcW w:w="1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物化性质</w:t>
            </w: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危险特性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CH</w:t>
            </w:r>
            <w:r>
              <w:rPr>
                <w:rFonts w:hint="default" w:ascii="Times New Roman" w:hAnsi="Times New Roman" w:eastAsia="宋体" w:cs="Times New Roman"/>
                <w:spacing w:val="0"/>
                <w:w w:val="100"/>
                <w:position w:val="0"/>
                <w:sz w:val="21"/>
                <w:szCs w:val="21"/>
                <w:highlight w:val="none"/>
                <w:vertAlign w:val="subscript"/>
              </w:rPr>
              <w:t>4</w:t>
            </w:r>
          </w:p>
        </w:tc>
        <w:tc>
          <w:tcPr>
            <w:tcW w:w="1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易燃气体</w:t>
            </w:r>
          </w:p>
        </w:tc>
        <w:tc>
          <w:tcPr>
            <w:tcW w:w="258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分子量16.04。熔点－182.47℃，沸点－161.45℃。 闪点-187.7℃</w:t>
            </w:r>
            <w:r>
              <w:rPr>
                <w:rFonts w:hint="eastAsia"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是最简单的 有机化合物。无色无味、难 溶于水的可燃性气体，和空 气组成适当比例时，遇火花 会发生爆炸。</w:t>
            </w:r>
          </w:p>
        </w:tc>
        <w:tc>
          <w:tcPr>
            <w:tcW w:w="361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甲烷对人基本无毒，但浓度过高时，使 空气中氧含量明显降低，使人窒息。当 空气中甲烷达 25％～30％时，可引起头 痛、头晕、乏力、注意力不集中、呼吸和心跳加速、共济失调。若不及时脱离， 可致窒息死亡。皮肤接触液化本品，可 致冻伤。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H</w:t>
            </w:r>
            <w:r>
              <w:rPr>
                <w:rFonts w:hint="default" w:ascii="Times New Roman" w:hAnsi="Times New Roman" w:eastAsia="宋体" w:cs="Times New Roman"/>
                <w:spacing w:val="0"/>
                <w:w w:val="100"/>
                <w:position w:val="0"/>
                <w:sz w:val="21"/>
                <w:szCs w:val="21"/>
                <w:highlight w:val="none"/>
                <w:vertAlign w:val="subscript"/>
              </w:rPr>
              <w:t>2</w:t>
            </w:r>
            <w:r>
              <w:rPr>
                <w:rFonts w:hint="default" w:ascii="Times New Roman" w:hAnsi="Times New Roman" w:eastAsia="宋体" w:cs="Times New Roman"/>
                <w:spacing w:val="0"/>
                <w:w w:val="100"/>
                <w:position w:val="0"/>
                <w:sz w:val="21"/>
                <w:szCs w:val="21"/>
                <w:highlight w:val="none"/>
              </w:rPr>
              <w:t>S</w:t>
            </w:r>
          </w:p>
        </w:tc>
        <w:tc>
          <w:tcPr>
            <w:tcW w:w="7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易燃、有毒气体</w:t>
            </w:r>
          </w:p>
        </w:tc>
        <w:tc>
          <w:tcPr>
            <w:tcW w:w="1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分子量34.08，有腐卵臭味的无色气体，有毒。分子结构与水相似，呈V形，有极性。密度1.539克/升，熔点-85.5℃，沸点-60.7℃。能溶于水，水溶液叫氢硫酸，还能溶于乙醇和甘油。完全干燥的硫化氢常温下不与空气中氧气反应，点火时可燃烧、有蓝色火焰。有较强的还原性。</w:t>
            </w: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本品是强烈的神经毒物，对粘膜有强烈刺激作用。急性中毒：短期内吸入高浓度硫化氢后出现流泪、眼痛、眼内异物感、畏光、视物模糊、流涕、咽喉部灼热感、咳嗽、胸闷、头痛、头晕、乏力、意识模糊等。部分患者可有心肌损害。重者可出现脑水肿、肺水肿。极高浓度</w:t>
            </w:r>
            <w:r>
              <w:rPr>
                <w:rFonts w:hint="eastAsia" w:ascii="Times New Roman" w:hAnsi="Times New Roman" w:eastAsia="宋体"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1000mg/m</w:t>
            </w:r>
            <w:r>
              <w:rPr>
                <w:rFonts w:hint="default" w:ascii="Times New Roman" w:hAnsi="Times New Roman" w:eastAsia="宋体" w:cs="Times New Roman"/>
                <w:spacing w:val="0"/>
                <w:w w:val="100"/>
                <w:position w:val="0"/>
                <w:sz w:val="21"/>
                <w:szCs w:val="21"/>
                <w:highlight w:val="none"/>
                <w:vertAlign w:val="superscript"/>
              </w:rPr>
              <w:t>3</w:t>
            </w:r>
            <w:r>
              <w:rPr>
                <w:rFonts w:hint="default" w:ascii="Times New Roman" w:hAnsi="Times New Roman" w:eastAsia="宋体" w:cs="Times New Roman"/>
                <w:spacing w:val="0"/>
                <w:w w:val="100"/>
                <w:position w:val="0"/>
                <w:sz w:val="21"/>
                <w:szCs w:val="21"/>
                <w:highlight w:val="none"/>
              </w:rPr>
              <w:t>以上</w:t>
            </w:r>
            <w:r>
              <w:rPr>
                <w:rFonts w:hint="eastAsia" w:ascii="Times New Roman" w:hAnsi="Times New Roman" w:eastAsia="宋体" w:cs="Times New Roman"/>
                <w:spacing w:val="0"/>
                <w:w w:val="100"/>
                <w:position w:val="0"/>
                <w:sz w:val="21"/>
                <w:szCs w:val="21"/>
                <w:highlight w:val="none"/>
                <w:lang w:eastAsia="zh-CN"/>
              </w:rPr>
              <w:t>）</w:t>
            </w:r>
            <w:r>
              <w:rPr>
                <w:rFonts w:hint="default" w:ascii="Times New Roman" w:hAnsi="Times New Roman" w:eastAsia="宋体" w:cs="Times New Roman"/>
                <w:spacing w:val="0"/>
                <w:w w:val="100"/>
                <w:position w:val="0"/>
                <w:sz w:val="21"/>
                <w:szCs w:val="21"/>
                <w:highlight w:val="none"/>
              </w:rPr>
              <w:t>时可在数秒钟内突然昏迷，呼吸和心跳骤停，发生闪电型死亡。高浓度接触眼结膜发生水肿和角膜溃疡。长期低浓度接触，引起神经衰弱综合征和植物神经功能紊乱。</w:t>
            </w:r>
          </w:p>
        </w:tc>
      </w:tr>
    </w:tbl>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8</w:t>
      </w:r>
      <w:r>
        <w:rPr>
          <w:rFonts w:ascii="Times New Roman" w:hAnsi="Times New Roman" w:eastAsia="Times New Roman" w:cs="Times New Roman"/>
          <w:b/>
          <w:bCs/>
          <w:spacing w:val="-2"/>
          <w:sz w:val="28"/>
          <w:szCs w:val="28"/>
          <w:highlight w:val="none"/>
        </w:rPr>
        <w:t>.2.2</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2"/>
          <w:sz w:val="28"/>
          <w:szCs w:val="28"/>
          <w:highlight w:val="none"/>
        </w:rPr>
        <w:t>风险诱因识别</w:t>
      </w:r>
    </w:p>
    <w:p>
      <w:pPr>
        <w:bidi w:val="0"/>
        <w:rPr>
          <w:highlight w:val="none"/>
        </w:rPr>
      </w:pPr>
      <w:r>
        <w:rPr>
          <w:highlight w:val="none"/>
        </w:rPr>
        <w:t>本项目发生事故风险的过程主要为项目粪污处理过程及牲猪病疫，其风险类型识别如下：</w:t>
      </w:r>
    </w:p>
    <w:p>
      <w:pPr>
        <w:bidi w:val="0"/>
        <w:rPr>
          <w:highlight w:val="none"/>
        </w:rPr>
      </w:pPr>
      <w:r>
        <w:rPr>
          <w:highlight w:val="none"/>
        </w:rPr>
        <w:t>（1）污水处理过程</w:t>
      </w:r>
    </w:p>
    <w:p>
      <w:pPr>
        <w:bidi w:val="0"/>
        <w:rPr>
          <w:highlight w:val="none"/>
        </w:rPr>
      </w:pPr>
      <w:r>
        <w:rPr>
          <w:highlight w:val="none"/>
        </w:rPr>
        <w:t>本项目粪污处理系统事故主要是因暴雨、水池损坏等因素不能正常处理产生的粪污，导致粪污外排。</w:t>
      </w:r>
    </w:p>
    <w:p>
      <w:pPr>
        <w:bidi w:val="0"/>
        <w:rPr>
          <w:highlight w:val="none"/>
        </w:rPr>
      </w:pPr>
      <w:r>
        <w:rPr>
          <w:highlight w:val="none"/>
        </w:rPr>
        <w:t>（2）牲猪病疫污染生态</w:t>
      </w:r>
    </w:p>
    <w:p>
      <w:pPr>
        <w:bidi w:val="0"/>
        <w:rPr>
          <w:highlight w:val="none"/>
        </w:rPr>
      </w:pPr>
      <w:r>
        <w:rPr>
          <w:highlight w:val="none"/>
        </w:rPr>
        <w:t>牲猪发生病疫，如果处理不当，对当地野生和家养动物感染，造成野生和家养动物死亡。</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1"/>
          <w:sz w:val="28"/>
          <w:szCs w:val="28"/>
          <w:highlight w:val="none"/>
          <w:lang w:val="en-US" w:eastAsia="zh-CN"/>
        </w:rPr>
        <w:t>8</w:t>
      </w:r>
      <w:r>
        <w:rPr>
          <w:rFonts w:ascii="Times New Roman" w:hAnsi="Times New Roman" w:eastAsia="Times New Roman" w:cs="Times New Roman"/>
          <w:b/>
          <w:bCs/>
          <w:spacing w:val="-1"/>
          <w:sz w:val="28"/>
          <w:szCs w:val="28"/>
          <w:highlight w:val="none"/>
        </w:rPr>
        <w:t>.2.3</w:t>
      </w:r>
      <w:r>
        <w:rPr>
          <w:rFonts w:ascii="Times New Roman" w:hAnsi="Times New Roman" w:eastAsia="Times New Roman" w:cs="Times New Roman"/>
          <w:spacing w:val="11"/>
          <w:sz w:val="28"/>
          <w:szCs w:val="28"/>
          <w:highlight w:val="none"/>
        </w:rPr>
        <w:t xml:space="preserve">  </w:t>
      </w:r>
      <w:r>
        <w:rPr>
          <w:rFonts w:ascii="宋体" w:hAnsi="宋体" w:eastAsia="宋体" w:cs="宋体"/>
          <w:spacing w:val="-1"/>
          <w:sz w:val="28"/>
          <w:szCs w:val="28"/>
          <w:highlight w:val="none"/>
        </w:rPr>
        <w:t>危险化学品重大危险源辨识</w:t>
      </w:r>
    </w:p>
    <w:p>
      <w:pPr>
        <w:bidi w:val="0"/>
        <w:rPr>
          <w:highlight w:val="none"/>
        </w:rPr>
      </w:pPr>
      <w:r>
        <w:rPr>
          <w:highlight w:val="none"/>
        </w:rPr>
        <w:t>根据危险化学品《重大危险源辨识》（GB18218-2009），涉及本项目的危险物质为废气中H</w:t>
      </w:r>
      <w:r>
        <w:rPr>
          <w:highlight w:val="none"/>
          <w:vertAlign w:val="subscript"/>
        </w:rPr>
        <w:t>2</w:t>
      </w:r>
      <w:r>
        <w:rPr>
          <w:highlight w:val="none"/>
        </w:rPr>
        <w:t>S</w:t>
      </w:r>
      <w:r>
        <w:rPr>
          <w:rFonts w:ascii="宋体" w:hAnsi="宋体" w:eastAsia="宋体" w:cs="宋体"/>
          <w:spacing w:val="-1"/>
          <w:sz w:val="24"/>
          <w:szCs w:val="24"/>
          <w:highlight w:val="none"/>
        </w:rPr>
        <w:t>及甲烷气体</w:t>
      </w:r>
      <w:r>
        <w:rPr>
          <w:highlight w:val="none"/>
        </w:rPr>
        <w:t>，但无法计算即最大存储量，但总体存在量较小，Q＜1，不构成重大危险源。</w:t>
      </w:r>
    </w:p>
    <w:p>
      <w:pPr>
        <w:pStyle w:val="5"/>
        <w:bidi w:val="0"/>
        <w:rPr>
          <w:rFonts w:ascii="宋体" w:hAnsi="宋体" w:eastAsia="宋体" w:cs="宋体"/>
          <w:sz w:val="28"/>
          <w:szCs w:val="28"/>
          <w:highlight w:val="none"/>
        </w:rPr>
      </w:pPr>
      <w:r>
        <w:rPr>
          <w:rFonts w:hint="eastAsia" w:ascii="Times New Roman" w:hAnsi="Times New Roman" w:eastAsia="宋体" w:cs="Times New Roman"/>
          <w:b/>
          <w:bCs/>
          <w:spacing w:val="-2"/>
          <w:sz w:val="28"/>
          <w:szCs w:val="28"/>
          <w:highlight w:val="none"/>
          <w:lang w:val="en-US" w:eastAsia="zh-CN"/>
        </w:rPr>
        <w:t>8</w:t>
      </w:r>
      <w:r>
        <w:rPr>
          <w:rFonts w:ascii="Times New Roman" w:hAnsi="Times New Roman" w:eastAsia="Times New Roman" w:cs="Times New Roman"/>
          <w:b/>
          <w:bCs/>
          <w:spacing w:val="-2"/>
          <w:sz w:val="28"/>
          <w:szCs w:val="28"/>
          <w:highlight w:val="none"/>
        </w:rPr>
        <w:t>.2.4</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2"/>
          <w:sz w:val="28"/>
          <w:szCs w:val="28"/>
          <w:highlight w:val="none"/>
        </w:rPr>
        <w:t>风险等级判定</w:t>
      </w:r>
    </w:p>
    <w:p>
      <w:pPr>
        <w:bidi w:val="0"/>
        <w:rPr>
          <w:highlight w:val="none"/>
        </w:rPr>
      </w:pPr>
      <w:r>
        <w:rPr>
          <w:highlight w:val="none"/>
        </w:rPr>
        <w:t>根据《建设项目环境风险评价技术导则》（HJ169-2018），当Q＜1时，该项目环境风险潜势为Ⅰ类，环境风险等级为简单分析。评价等级划分见表</w:t>
      </w:r>
      <w:r>
        <w:rPr>
          <w:rFonts w:hint="eastAsia"/>
          <w:highlight w:val="none"/>
          <w:lang w:val="en-US" w:eastAsia="zh-CN"/>
        </w:rPr>
        <w:t>8</w:t>
      </w:r>
      <w:r>
        <w:rPr>
          <w:highlight w:val="none"/>
        </w:rPr>
        <w:t>.2-2。</w:t>
      </w:r>
    </w:p>
    <w:p>
      <w:pPr>
        <w:pStyle w:val="7"/>
        <w:bidi w:val="0"/>
        <w:rPr>
          <w:highlight w:val="none"/>
        </w:rPr>
      </w:pPr>
      <w:r>
        <w:rPr>
          <w:highlight w:val="none"/>
        </w:rPr>
        <w:t>表</w:t>
      </w:r>
      <w:r>
        <w:rPr>
          <w:rFonts w:hint="eastAsia"/>
          <w:highlight w:val="none"/>
          <w:lang w:val="en-US" w:eastAsia="zh-CN"/>
        </w:rPr>
        <w:t>8</w:t>
      </w:r>
      <w:r>
        <w:rPr>
          <w:highlight w:val="none"/>
        </w:rPr>
        <w:t>.2-2  环境风险评价分级判据</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892"/>
        <w:gridCol w:w="1787"/>
        <w:gridCol w:w="808"/>
        <w:gridCol w:w="808"/>
        <w:gridCol w:w="20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环境风险潜势</w:t>
            </w:r>
          </w:p>
        </w:tc>
        <w:tc>
          <w:tcPr>
            <w:tcW w:w="10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IV 、IV+</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III</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II</w:t>
            </w:r>
          </w:p>
        </w:tc>
        <w:tc>
          <w:tcPr>
            <w:tcW w:w="12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I</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评价工作等级</w:t>
            </w:r>
          </w:p>
        </w:tc>
        <w:tc>
          <w:tcPr>
            <w:tcW w:w="10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一</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二</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三</w:t>
            </w:r>
          </w:p>
        </w:tc>
        <w:tc>
          <w:tcPr>
            <w:tcW w:w="12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简单分析</w:t>
            </w:r>
          </w:p>
        </w:tc>
      </w:tr>
    </w:tbl>
    <w:p>
      <w:pPr>
        <w:pStyle w:val="4"/>
        <w:bidi w:val="0"/>
        <w:rPr>
          <w:rFonts w:ascii="宋体" w:hAnsi="宋体" w:eastAsia="宋体" w:cs="宋体"/>
          <w:sz w:val="28"/>
          <w:szCs w:val="28"/>
          <w:highlight w:val="none"/>
          <w:u w:val="single"/>
        </w:rPr>
      </w:pPr>
      <w:bookmarkStart w:id="88" w:name="_bookmark21"/>
      <w:bookmarkEnd w:id="88"/>
      <w:bookmarkStart w:id="89" w:name="_Toc17082"/>
      <w:bookmarkStart w:id="90" w:name="_Toc9494"/>
      <w:r>
        <w:rPr>
          <w:rFonts w:hint="eastAsia" w:ascii="Times New Roman" w:hAnsi="Times New Roman" w:eastAsia="宋体" w:cs="Times New Roman"/>
          <w:b/>
          <w:bCs/>
          <w:spacing w:val="-2"/>
          <w:sz w:val="28"/>
          <w:szCs w:val="28"/>
          <w:highlight w:val="none"/>
          <w:u w:val="single"/>
          <w:lang w:val="en-US" w:eastAsia="zh-CN"/>
        </w:rPr>
        <w:t>8</w:t>
      </w:r>
      <w:r>
        <w:rPr>
          <w:rFonts w:ascii="Times New Roman" w:hAnsi="Times New Roman" w:eastAsia="Times New Roman" w:cs="Times New Roman"/>
          <w:b/>
          <w:bCs/>
          <w:spacing w:val="-2"/>
          <w:sz w:val="28"/>
          <w:szCs w:val="28"/>
          <w:highlight w:val="none"/>
          <w:u w:val="single"/>
        </w:rPr>
        <w:t>.</w:t>
      </w:r>
      <w:r>
        <w:rPr>
          <w:rFonts w:hint="eastAsia" w:ascii="Times New Roman" w:hAnsi="Times New Roman" w:eastAsia="宋体" w:cs="Times New Roman"/>
          <w:b/>
          <w:bCs/>
          <w:spacing w:val="-2"/>
          <w:sz w:val="28"/>
          <w:szCs w:val="28"/>
          <w:highlight w:val="none"/>
          <w:u w:val="single"/>
          <w:lang w:val="en-US" w:eastAsia="zh-CN"/>
        </w:rPr>
        <w:t>3</w:t>
      </w:r>
      <w:r>
        <w:rPr>
          <w:rFonts w:ascii="Times New Roman" w:hAnsi="Times New Roman" w:eastAsia="Times New Roman" w:cs="Times New Roman"/>
          <w:spacing w:val="8"/>
          <w:sz w:val="28"/>
          <w:szCs w:val="28"/>
          <w:highlight w:val="none"/>
          <w:u w:val="single"/>
        </w:rPr>
        <w:t xml:space="preserve">  </w:t>
      </w:r>
      <w:r>
        <w:rPr>
          <w:rFonts w:ascii="宋体" w:hAnsi="宋体" w:eastAsia="宋体" w:cs="宋体"/>
          <w:spacing w:val="-2"/>
          <w:sz w:val="28"/>
          <w:szCs w:val="28"/>
          <w:highlight w:val="none"/>
          <w:u w:val="single"/>
        </w:rPr>
        <w:t>事故后果分析</w:t>
      </w:r>
      <w:bookmarkEnd w:id="89"/>
      <w:bookmarkEnd w:id="90"/>
    </w:p>
    <w:p>
      <w:pPr>
        <w:pStyle w:val="5"/>
        <w:bidi w:val="0"/>
        <w:rPr>
          <w:rFonts w:ascii="宋体" w:hAnsi="宋体" w:eastAsia="宋体" w:cs="宋体"/>
          <w:sz w:val="28"/>
          <w:szCs w:val="28"/>
          <w:highlight w:val="none"/>
          <w:u w:val="single"/>
        </w:rPr>
      </w:pPr>
      <w:r>
        <w:rPr>
          <w:rFonts w:hint="eastAsia" w:ascii="Times New Roman" w:hAnsi="Times New Roman" w:eastAsia="宋体" w:cs="Times New Roman"/>
          <w:b/>
          <w:bCs/>
          <w:spacing w:val="-2"/>
          <w:sz w:val="28"/>
          <w:szCs w:val="28"/>
          <w:highlight w:val="none"/>
          <w:u w:val="single"/>
          <w:lang w:val="en-US" w:eastAsia="zh-CN"/>
        </w:rPr>
        <w:t>8.3</w:t>
      </w:r>
      <w:r>
        <w:rPr>
          <w:rFonts w:ascii="Times New Roman" w:hAnsi="Times New Roman" w:eastAsia="Times New Roman" w:cs="Times New Roman"/>
          <w:b/>
          <w:bCs/>
          <w:spacing w:val="-2"/>
          <w:sz w:val="28"/>
          <w:szCs w:val="28"/>
          <w:highlight w:val="none"/>
          <w:u w:val="single"/>
        </w:rPr>
        <w:t>.1</w:t>
      </w:r>
      <w:r>
        <w:rPr>
          <w:rFonts w:ascii="Times New Roman" w:hAnsi="Times New Roman" w:eastAsia="Times New Roman" w:cs="Times New Roman"/>
          <w:spacing w:val="10"/>
          <w:sz w:val="28"/>
          <w:szCs w:val="28"/>
          <w:highlight w:val="none"/>
          <w:u w:val="single"/>
        </w:rPr>
        <w:t xml:space="preserve">  </w:t>
      </w:r>
      <w:r>
        <w:rPr>
          <w:rFonts w:ascii="宋体" w:hAnsi="宋体" w:eastAsia="宋体" w:cs="宋体"/>
          <w:spacing w:val="-2"/>
          <w:sz w:val="28"/>
          <w:szCs w:val="28"/>
          <w:highlight w:val="none"/>
          <w:u w:val="single"/>
        </w:rPr>
        <w:t>污水事故排放</w:t>
      </w:r>
    </w:p>
    <w:p>
      <w:pPr>
        <w:bidi w:val="0"/>
        <w:rPr>
          <w:highlight w:val="none"/>
          <w:u w:val="single"/>
        </w:rPr>
      </w:pPr>
      <w:r>
        <w:rPr>
          <w:highlight w:val="none"/>
          <w:u w:val="single"/>
        </w:rPr>
        <w:t>本项目产生的污水的污染物浓度很高，其中COD排水浓度高达</w:t>
      </w:r>
      <w:r>
        <w:rPr>
          <w:rFonts w:hint="eastAsia"/>
          <w:highlight w:val="none"/>
          <w:u w:val="single"/>
          <w:lang w:val="en-US" w:eastAsia="zh-CN"/>
        </w:rPr>
        <w:t>2627</w:t>
      </w:r>
      <w:r>
        <w:rPr>
          <w:highlight w:val="none"/>
          <w:u w:val="single"/>
        </w:rPr>
        <w:t>mg/L，事故排放对区域地表水造成较大影响。使区域内地表水水质发黑发臭，水中的鱼类因短时缺氧死亡。</w:t>
      </w:r>
    </w:p>
    <w:p>
      <w:pPr>
        <w:bidi w:val="0"/>
        <w:rPr>
          <w:highlight w:val="none"/>
          <w:u w:val="single"/>
        </w:rPr>
      </w:pPr>
      <w:r>
        <w:rPr>
          <w:highlight w:val="none"/>
          <w:u w:val="single"/>
        </w:rPr>
        <w:t>如果建设方违规将污水直接排入附近水体，将会对地表水造成较大影响。项目最近水体为项目</w:t>
      </w:r>
      <w:r>
        <w:rPr>
          <w:rFonts w:hint="eastAsia"/>
          <w:highlight w:val="none"/>
          <w:u w:val="single"/>
          <w:lang w:eastAsia="zh-CN"/>
        </w:rPr>
        <w:t>北</w:t>
      </w:r>
      <w:r>
        <w:rPr>
          <w:highlight w:val="none"/>
          <w:u w:val="single"/>
        </w:rPr>
        <w:t>面 20m 处的农灌渠，其水质环境容量较小，水量很小，污水排入其中对水质冲击较大，将会影响以该农灌渠作为水源的农田中农作物的生长，甚至造成农作物减产，对生态环境带来严重的危害。</w:t>
      </w:r>
    </w:p>
    <w:p>
      <w:pPr>
        <w:pStyle w:val="5"/>
        <w:bidi w:val="0"/>
        <w:rPr>
          <w:rFonts w:ascii="宋体" w:hAnsi="宋体" w:eastAsia="宋体" w:cs="宋体"/>
          <w:sz w:val="28"/>
          <w:szCs w:val="28"/>
          <w:highlight w:val="none"/>
          <w:u w:val="single"/>
        </w:rPr>
      </w:pPr>
      <w:r>
        <w:rPr>
          <w:rFonts w:hint="eastAsia" w:ascii="Times New Roman" w:hAnsi="Times New Roman" w:eastAsia="宋体" w:cs="Times New Roman"/>
          <w:b/>
          <w:bCs/>
          <w:spacing w:val="-1"/>
          <w:sz w:val="28"/>
          <w:szCs w:val="28"/>
          <w:highlight w:val="none"/>
          <w:u w:val="single"/>
          <w:lang w:val="en-US" w:eastAsia="zh-CN"/>
        </w:rPr>
        <w:t>8.3</w:t>
      </w:r>
      <w:r>
        <w:rPr>
          <w:rFonts w:ascii="Times New Roman" w:hAnsi="Times New Roman" w:eastAsia="Times New Roman" w:cs="Times New Roman"/>
          <w:b/>
          <w:bCs/>
          <w:spacing w:val="-1"/>
          <w:sz w:val="28"/>
          <w:szCs w:val="28"/>
          <w:highlight w:val="none"/>
          <w:u w:val="single"/>
        </w:rPr>
        <w:t>.2</w:t>
      </w:r>
      <w:r>
        <w:rPr>
          <w:rFonts w:ascii="Times New Roman" w:hAnsi="Times New Roman" w:eastAsia="Times New Roman" w:cs="Times New Roman"/>
          <w:spacing w:val="13"/>
          <w:sz w:val="28"/>
          <w:szCs w:val="28"/>
          <w:highlight w:val="none"/>
          <w:u w:val="single"/>
        </w:rPr>
        <w:t xml:space="preserve">  </w:t>
      </w:r>
      <w:r>
        <w:rPr>
          <w:rFonts w:ascii="宋体" w:hAnsi="宋体" w:eastAsia="宋体" w:cs="宋体"/>
          <w:spacing w:val="-1"/>
          <w:sz w:val="28"/>
          <w:szCs w:val="28"/>
          <w:highlight w:val="none"/>
          <w:u w:val="single"/>
        </w:rPr>
        <w:t>废气事故排放风险环境影响分析</w:t>
      </w:r>
    </w:p>
    <w:p>
      <w:pPr>
        <w:bidi w:val="0"/>
        <w:rPr>
          <w:highlight w:val="none"/>
          <w:u w:val="single"/>
        </w:rPr>
      </w:pPr>
      <w:r>
        <w:rPr>
          <w:highlight w:val="none"/>
          <w:u w:val="single"/>
        </w:rPr>
        <w:t>本项目废气主要为恶臭气体等，造成废气处理设施器故障的原因有停电、风机故障等，一旦出现风机损坏就会发生废气</w:t>
      </w:r>
      <w:r>
        <w:rPr>
          <w:rFonts w:hint="eastAsia" w:ascii="宋体" w:hAnsi="宋体" w:eastAsia="宋体" w:cs="宋体"/>
          <w:highlight w:val="none"/>
          <w:u w:val="single"/>
        </w:rPr>
        <w:t>“短路”</w:t>
      </w:r>
      <w:r>
        <w:rPr>
          <w:highlight w:val="none"/>
          <w:u w:val="single"/>
        </w:rPr>
        <w:t>，未经过处理的废气进入大气中，影响区域环境大气质量。</w:t>
      </w:r>
    </w:p>
    <w:p>
      <w:pPr>
        <w:pStyle w:val="5"/>
        <w:bidi w:val="0"/>
        <w:rPr>
          <w:rFonts w:ascii="宋体" w:hAnsi="宋体" w:eastAsia="宋体" w:cs="宋体"/>
          <w:sz w:val="28"/>
          <w:szCs w:val="28"/>
          <w:highlight w:val="none"/>
          <w:u w:val="single"/>
        </w:rPr>
      </w:pPr>
      <w:r>
        <w:rPr>
          <w:rFonts w:hint="eastAsia" w:ascii="Times New Roman" w:hAnsi="Times New Roman" w:eastAsia="宋体" w:cs="Times New Roman"/>
          <w:b/>
          <w:bCs/>
          <w:spacing w:val="-1"/>
          <w:sz w:val="28"/>
          <w:szCs w:val="28"/>
          <w:highlight w:val="none"/>
          <w:u w:val="single"/>
          <w:lang w:val="en-US" w:eastAsia="zh-CN"/>
        </w:rPr>
        <w:t>8.3</w:t>
      </w:r>
      <w:r>
        <w:rPr>
          <w:rFonts w:ascii="Times New Roman" w:hAnsi="Times New Roman" w:eastAsia="Times New Roman" w:cs="Times New Roman"/>
          <w:b/>
          <w:bCs/>
          <w:spacing w:val="-1"/>
          <w:sz w:val="28"/>
          <w:szCs w:val="28"/>
          <w:highlight w:val="none"/>
          <w:u w:val="single"/>
        </w:rPr>
        <w:t>.3</w:t>
      </w:r>
      <w:r>
        <w:rPr>
          <w:rFonts w:ascii="Times New Roman" w:hAnsi="Times New Roman" w:eastAsia="Times New Roman" w:cs="Times New Roman"/>
          <w:spacing w:val="7"/>
          <w:sz w:val="28"/>
          <w:szCs w:val="28"/>
          <w:highlight w:val="none"/>
          <w:u w:val="single"/>
        </w:rPr>
        <w:t xml:space="preserve">  </w:t>
      </w:r>
      <w:r>
        <w:rPr>
          <w:rFonts w:ascii="宋体" w:hAnsi="宋体" w:eastAsia="宋体" w:cs="宋体"/>
          <w:spacing w:val="-1"/>
          <w:sz w:val="28"/>
          <w:szCs w:val="28"/>
          <w:highlight w:val="none"/>
          <w:u w:val="single"/>
        </w:rPr>
        <w:t>病死猪风险影响分析</w:t>
      </w:r>
    </w:p>
    <w:p>
      <w:pPr>
        <w:bidi w:val="0"/>
        <w:rPr>
          <w:highlight w:val="none"/>
          <w:u w:val="single"/>
        </w:rPr>
      </w:pPr>
      <w:r>
        <w:rPr>
          <w:highlight w:val="none"/>
          <w:u w:val="single"/>
        </w:rPr>
        <w:t>猪病包括传染病、寄生虫病、内科病、外科病及产科病等，这些疾病的发生，都给养猪生产造成重大损失。这些病中，尤以传染病的危害最为严重，会引发猪只大批死亡，造成巨大经济损失。病死猪处理不当，极易引起病原扩散，带有病菌、病毒和寄生虫虫卵的畜禽、皮毛、血液、粪便、骨骼、肉尸、污水等会使环境中病源种类增多、菌量增大，出现病原菌和寄生虫的大量繁殖，首先对养殖场及其周围地区的其他畜禽产生危害，导致育雏死亡率和育成死亡，造成更大经济 损失。</w:t>
      </w:r>
    </w:p>
    <w:p>
      <w:pPr>
        <w:bidi w:val="0"/>
        <w:rPr>
          <w:highlight w:val="none"/>
          <w:u w:val="single"/>
        </w:rPr>
      </w:pPr>
      <w:r>
        <w:rPr>
          <w:rFonts w:hint="eastAsia" w:ascii="宋体" w:hAnsi="宋体" w:eastAsia="宋体" w:cs="宋体"/>
          <w:highlight w:val="none"/>
          <w:u w:val="single"/>
        </w:rPr>
        <w:t>“人畜共患疾病”</w:t>
      </w:r>
      <w:r>
        <w:rPr>
          <w:highlight w:val="none"/>
          <w:u w:val="single"/>
        </w:rPr>
        <w:t>是指那些由共同病原体引起的人类与脊椎动物之间相互传染的疾病，其传染渠道主要是患病动物的粪尿、分泌物、污染的废水、饲料等。有一些病源属于人畜共患病，包括病毒、细菌、支原体、螺旋体、立克次氏体、衣原体、真菌、寄生虫等。主要疾病种类有：高致病性禽流感、炭疽、鼠疫、猪丹毒、猪水疱病、狂犬病、布氏杆菌病、结核病、李氏杆菌病、链球菌病、钩端 螺旋体病、旋毛虫病、肝片吸虫等。人畜共患病可以通过接触传染，也可以通过吃肉或其他方式传染。如果对这些病死猪处理不当，没有采取有效的预防和控制 措施，或使病死猪流入市场，则各种带有病菌、病毒和寄生虫虫卵的畜禽、皮毛、血液、粪便、骨骼、肉尸、污水等会使环境中病源种类增多、菌量增大，出现病原菌和寄生虫的大量繁殖，造成人、畜传染病的蔓延，会对人畜健康产生极大的威胁，严重影响了公众卫生安全，给人类健康和生命带来灾难性危害。</w:t>
      </w:r>
    </w:p>
    <w:p>
      <w:pPr>
        <w:bidi w:val="0"/>
        <w:rPr>
          <w:highlight w:val="none"/>
          <w:u w:val="single"/>
        </w:rPr>
      </w:pPr>
      <w:r>
        <w:rPr>
          <w:highlight w:val="none"/>
          <w:u w:val="single"/>
        </w:rPr>
        <w:t>对因一般传染病而死的病</w:t>
      </w:r>
      <w:r>
        <w:rPr>
          <w:rFonts w:hint="eastAsia"/>
          <w:highlight w:val="none"/>
          <w:u w:val="single"/>
          <w:lang w:eastAsia="zh-CN"/>
        </w:rPr>
        <w:t>死</w:t>
      </w:r>
      <w:r>
        <w:rPr>
          <w:highlight w:val="none"/>
          <w:u w:val="single"/>
        </w:rPr>
        <w:t>猪，建设单位应立即对病死猪进行消毒处理</w:t>
      </w:r>
      <w:r>
        <w:rPr>
          <w:rFonts w:hint="eastAsia"/>
          <w:highlight w:val="none"/>
          <w:u w:val="single"/>
          <w:lang w:eastAsia="zh-CN"/>
        </w:rPr>
        <w:t>，</w:t>
      </w:r>
      <w:r>
        <w:rPr>
          <w:rFonts w:hint="eastAsia"/>
          <w:highlight w:val="none"/>
          <w:u w:val="single"/>
        </w:rPr>
        <w:t>病死猪当天委托当地畜禽无害化处理中心清运和处理，不在厂内暂存；</w:t>
      </w:r>
      <w:r>
        <w:rPr>
          <w:highlight w:val="none"/>
          <w:u w:val="single"/>
        </w:rPr>
        <w:t>本项目猪场应设完善的卫生防疫控制措施和疫情应急处置方案，只要建设单位严格按照相应规章进行操作，正确而及时地处理病死猪只尸体，则可减小病死猪的风险影响。</w:t>
      </w:r>
    </w:p>
    <w:p>
      <w:pPr>
        <w:pStyle w:val="4"/>
        <w:bidi w:val="0"/>
        <w:rPr>
          <w:rFonts w:ascii="宋体" w:hAnsi="宋体" w:eastAsia="宋体" w:cs="宋体"/>
          <w:sz w:val="28"/>
          <w:szCs w:val="28"/>
          <w:highlight w:val="none"/>
          <w:u w:val="single" w:color="auto"/>
        </w:rPr>
      </w:pPr>
      <w:bookmarkStart w:id="91" w:name="_bookmark22"/>
      <w:bookmarkEnd w:id="91"/>
      <w:bookmarkStart w:id="92" w:name="_Toc15279"/>
      <w:bookmarkStart w:id="93" w:name="_Toc6803"/>
      <w:r>
        <w:rPr>
          <w:rFonts w:hint="eastAsia" w:ascii="Times New Roman" w:hAnsi="Times New Roman" w:eastAsia="宋体" w:cs="Times New Roman"/>
          <w:b/>
          <w:bCs/>
          <w:spacing w:val="-2"/>
          <w:sz w:val="28"/>
          <w:szCs w:val="28"/>
          <w:highlight w:val="none"/>
          <w:u w:val="single" w:color="auto"/>
          <w:lang w:val="en-US" w:eastAsia="zh-CN"/>
        </w:rPr>
        <w:t>8</w:t>
      </w:r>
      <w:r>
        <w:rPr>
          <w:rFonts w:ascii="Times New Roman" w:hAnsi="Times New Roman" w:eastAsia="Times New Roman" w:cs="Times New Roman"/>
          <w:b/>
          <w:bCs/>
          <w:spacing w:val="-2"/>
          <w:sz w:val="28"/>
          <w:szCs w:val="28"/>
          <w:highlight w:val="none"/>
          <w:u w:val="single" w:color="auto"/>
        </w:rPr>
        <w:t>.</w:t>
      </w:r>
      <w:r>
        <w:rPr>
          <w:rFonts w:hint="eastAsia" w:ascii="Times New Roman" w:hAnsi="Times New Roman" w:eastAsia="宋体" w:cs="Times New Roman"/>
          <w:b/>
          <w:bCs/>
          <w:spacing w:val="-2"/>
          <w:sz w:val="28"/>
          <w:szCs w:val="28"/>
          <w:highlight w:val="none"/>
          <w:u w:val="single" w:color="auto"/>
          <w:lang w:val="en-US" w:eastAsia="zh-CN"/>
        </w:rPr>
        <w:t>4</w:t>
      </w:r>
      <w:r>
        <w:rPr>
          <w:rFonts w:ascii="Times New Roman" w:hAnsi="Times New Roman" w:eastAsia="Times New Roman" w:cs="Times New Roman"/>
          <w:spacing w:val="8"/>
          <w:sz w:val="28"/>
          <w:szCs w:val="28"/>
          <w:highlight w:val="none"/>
          <w:u w:val="single" w:color="auto"/>
        </w:rPr>
        <w:t xml:space="preserve">  </w:t>
      </w:r>
      <w:r>
        <w:rPr>
          <w:rFonts w:ascii="宋体" w:hAnsi="宋体" w:eastAsia="宋体" w:cs="宋体"/>
          <w:spacing w:val="-2"/>
          <w:sz w:val="28"/>
          <w:szCs w:val="28"/>
          <w:highlight w:val="none"/>
          <w:u w:val="single" w:color="auto"/>
        </w:rPr>
        <w:t>事故防范措施</w:t>
      </w:r>
      <w:bookmarkEnd w:id="92"/>
      <w:bookmarkEnd w:id="93"/>
    </w:p>
    <w:p>
      <w:pPr>
        <w:pStyle w:val="5"/>
        <w:bidi w:val="0"/>
        <w:rPr>
          <w:rFonts w:ascii="宋体" w:hAnsi="宋体" w:eastAsia="宋体" w:cs="宋体"/>
          <w:sz w:val="28"/>
          <w:szCs w:val="28"/>
          <w:highlight w:val="none"/>
          <w:u w:val="single" w:color="auto"/>
        </w:rPr>
      </w:pPr>
      <w:r>
        <w:rPr>
          <w:rFonts w:hint="eastAsia" w:ascii="Times New Roman" w:hAnsi="Times New Roman" w:eastAsia="宋体" w:cs="Times New Roman"/>
          <w:b/>
          <w:bCs/>
          <w:spacing w:val="-2"/>
          <w:sz w:val="28"/>
          <w:szCs w:val="28"/>
          <w:highlight w:val="none"/>
          <w:u w:val="single" w:color="auto"/>
          <w:lang w:val="en-US" w:eastAsia="zh-CN"/>
        </w:rPr>
        <w:t>8.4.1</w:t>
      </w:r>
      <w:r>
        <w:rPr>
          <w:rFonts w:ascii="Times New Roman" w:hAnsi="Times New Roman" w:eastAsia="Times New Roman" w:cs="Times New Roman"/>
          <w:spacing w:val="13"/>
          <w:sz w:val="28"/>
          <w:szCs w:val="28"/>
          <w:highlight w:val="none"/>
          <w:u w:val="single" w:color="auto"/>
        </w:rPr>
        <w:t xml:space="preserve">  </w:t>
      </w:r>
      <w:r>
        <w:rPr>
          <w:rFonts w:ascii="宋体" w:hAnsi="宋体" w:eastAsia="宋体" w:cs="宋体"/>
          <w:spacing w:val="-2"/>
          <w:sz w:val="28"/>
          <w:szCs w:val="28"/>
          <w:highlight w:val="none"/>
          <w:u w:val="single" w:color="auto"/>
        </w:rPr>
        <w:t>污水直排防范措施</w:t>
      </w:r>
    </w:p>
    <w:p>
      <w:pPr>
        <w:bidi w:val="0"/>
        <w:rPr>
          <w:highlight w:val="none"/>
          <w:u w:val="single" w:color="auto"/>
        </w:rPr>
      </w:pPr>
      <w:r>
        <w:rPr>
          <w:highlight w:val="none"/>
          <w:u w:val="single" w:color="auto"/>
        </w:rPr>
        <w:t>（1）本项目</w:t>
      </w:r>
      <w:r>
        <w:rPr>
          <w:rFonts w:hint="eastAsia"/>
          <w:highlight w:val="none"/>
          <w:u w:val="single" w:color="auto"/>
          <w:lang w:eastAsia="zh-CN"/>
        </w:rPr>
        <w:t>拟</w:t>
      </w:r>
      <w:r>
        <w:rPr>
          <w:highlight w:val="none"/>
          <w:u w:val="single" w:color="auto"/>
        </w:rPr>
        <w:t>建设 1 座事故应急池</w:t>
      </w:r>
      <w:r>
        <w:rPr>
          <w:rFonts w:hint="eastAsia"/>
          <w:highlight w:val="none"/>
          <w:u w:val="single" w:color="auto"/>
          <w:lang w:eastAsia="zh-CN"/>
        </w:rPr>
        <w:t>，建设</w:t>
      </w:r>
      <w:r>
        <w:rPr>
          <w:highlight w:val="none"/>
          <w:u w:val="single" w:color="auto"/>
        </w:rPr>
        <w:t>容积</w:t>
      </w:r>
      <w:r>
        <w:rPr>
          <w:rFonts w:hint="eastAsia"/>
          <w:highlight w:val="none"/>
          <w:u w:val="single" w:color="auto"/>
          <w:lang w:val="en-US" w:eastAsia="zh-CN"/>
        </w:rPr>
        <w:t>550</w:t>
      </w:r>
      <w:r>
        <w:rPr>
          <w:highlight w:val="none"/>
          <w:u w:val="single" w:color="auto"/>
        </w:rPr>
        <w:t xml:space="preserve"> m</w:t>
      </w:r>
      <w:r>
        <w:rPr>
          <w:highlight w:val="none"/>
          <w:u w:val="single" w:color="auto"/>
          <w:vertAlign w:val="superscript"/>
        </w:rPr>
        <w:t>3</w:t>
      </w:r>
      <w:r>
        <w:rPr>
          <w:highlight w:val="none"/>
          <w:u w:val="single" w:color="auto"/>
        </w:rPr>
        <w:t>。当粪污处理系统失效、系统检修调试时可将废水排入事故应急池，严禁直接排入周边水体。</w:t>
      </w:r>
    </w:p>
    <w:p>
      <w:pPr>
        <w:bidi w:val="0"/>
        <w:rPr>
          <w:highlight w:val="none"/>
          <w:u w:val="single" w:color="auto"/>
        </w:rPr>
      </w:pPr>
      <w:r>
        <w:rPr>
          <w:highlight w:val="none"/>
          <w:u w:val="single" w:color="auto"/>
        </w:rPr>
        <w:t>（2）为确保事故应急池事故防范效果，日常生产中应确保事故应急池空置，且有足够的剩余容量。根据污水处理设施工程设计单位提供的经验数据，系统检修调试时间一般为7天，因此事故应急池容积应大于项目7天的污水处理量。本</w:t>
      </w:r>
      <w:r>
        <w:rPr>
          <w:rFonts w:hint="eastAsia"/>
          <w:highlight w:val="none"/>
          <w:u w:val="single" w:color="auto"/>
          <w:lang w:eastAsia="zh-CN"/>
        </w:rPr>
        <w:t>项目</w:t>
      </w:r>
      <w:r>
        <w:rPr>
          <w:highlight w:val="none"/>
          <w:u w:val="single" w:color="auto"/>
        </w:rPr>
        <w:t>事故应急池容积为</w:t>
      </w:r>
      <w:r>
        <w:rPr>
          <w:rFonts w:hint="eastAsia"/>
          <w:highlight w:val="none"/>
          <w:u w:val="single" w:color="auto"/>
          <w:lang w:val="en-US" w:eastAsia="zh-CN"/>
        </w:rPr>
        <w:t>550</w:t>
      </w:r>
      <w:r>
        <w:rPr>
          <w:highlight w:val="none"/>
          <w:u w:val="single" w:color="auto"/>
        </w:rPr>
        <w:t xml:space="preserve"> m</w:t>
      </w:r>
      <w:r>
        <w:rPr>
          <w:highlight w:val="none"/>
          <w:u w:val="single" w:color="auto"/>
          <w:vertAlign w:val="superscript"/>
        </w:rPr>
        <w:t>3</w:t>
      </w:r>
      <w:r>
        <w:rPr>
          <w:highlight w:val="none"/>
          <w:u w:val="single" w:color="auto"/>
        </w:rPr>
        <w:t>，建设单位应保证事故应急池长期未空置状况，确保至少有</w:t>
      </w:r>
      <w:r>
        <w:rPr>
          <w:rFonts w:hint="eastAsia"/>
          <w:highlight w:val="none"/>
          <w:u w:val="single" w:color="auto"/>
          <w:lang w:val="en-US" w:eastAsia="zh-CN"/>
        </w:rPr>
        <w:t>526.162</w:t>
      </w:r>
      <w:r>
        <w:rPr>
          <w:highlight w:val="none"/>
          <w:u w:val="single" w:color="auto"/>
        </w:rPr>
        <w:t>m</w:t>
      </w:r>
      <w:r>
        <w:rPr>
          <w:highlight w:val="none"/>
          <w:u w:val="single" w:color="auto"/>
          <w:vertAlign w:val="superscript"/>
        </w:rPr>
        <w:t>3</w:t>
      </w:r>
      <w:r>
        <w:rPr>
          <w:highlight w:val="none"/>
          <w:u w:val="single" w:color="auto"/>
        </w:rPr>
        <w:t>的剩余容量。</w:t>
      </w:r>
    </w:p>
    <w:p>
      <w:pPr>
        <w:bidi w:val="0"/>
        <w:rPr>
          <w:highlight w:val="none"/>
          <w:u w:val="single" w:color="auto"/>
        </w:rPr>
      </w:pPr>
      <w:r>
        <w:rPr>
          <w:highlight w:val="none"/>
          <w:u w:val="single" w:color="auto"/>
        </w:rPr>
        <w:t>（3）加强</w:t>
      </w:r>
      <w:r>
        <w:rPr>
          <w:rFonts w:hint="eastAsia"/>
          <w:highlight w:val="none"/>
          <w:u w:val="single" w:color="auto"/>
          <w:lang w:eastAsia="zh-CN"/>
        </w:rPr>
        <w:t>污水处理、猪</w:t>
      </w:r>
      <w:r>
        <w:rPr>
          <w:highlight w:val="none"/>
          <w:u w:val="single" w:color="auto"/>
        </w:rPr>
        <w:t>粪处理设施的维护和管理，保证设施的完好率，对于关键设备及配件应确保有足够的备件，电源应采用双回路供电。</w:t>
      </w:r>
    </w:p>
    <w:p>
      <w:pPr>
        <w:bidi w:val="0"/>
        <w:rPr>
          <w:highlight w:val="none"/>
          <w:u w:val="single" w:color="auto"/>
        </w:rPr>
      </w:pPr>
      <w:r>
        <w:rPr>
          <w:highlight w:val="none"/>
          <w:u w:val="single" w:color="auto"/>
        </w:rPr>
        <w:t>（4）要认真建立、完善并严格执行有关污水处理设施运行管理制度和操作规程规范，严格责任追究制度，根本杜绝各责任事故发生的隐患。</w:t>
      </w:r>
    </w:p>
    <w:p>
      <w:pPr>
        <w:bidi w:val="0"/>
        <w:rPr>
          <w:highlight w:val="none"/>
          <w:u w:val="single" w:color="auto"/>
        </w:rPr>
      </w:pPr>
      <w:r>
        <w:rPr>
          <w:highlight w:val="none"/>
          <w:u w:val="single" w:color="auto"/>
        </w:rPr>
        <w:t>（5）制定事故处理应急预案，落实各工作人员的责任， 并在平时加强演练，以及时处理事故。</w:t>
      </w:r>
    </w:p>
    <w:p>
      <w:pPr>
        <w:bidi w:val="0"/>
        <w:rPr>
          <w:rFonts w:ascii="宋体" w:hAnsi="宋体" w:eastAsia="宋体" w:cs="宋体"/>
          <w:sz w:val="24"/>
          <w:szCs w:val="24"/>
          <w:highlight w:val="none"/>
          <w:u w:val="single" w:color="auto"/>
        </w:rPr>
      </w:pPr>
      <w:r>
        <w:rPr>
          <w:highlight w:val="none"/>
          <w:u w:val="single" w:color="auto"/>
        </w:rPr>
        <w:t>（6）本项目室外最大消防流量</w:t>
      </w:r>
      <w:r>
        <w:rPr>
          <w:rFonts w:hint="eastAsia"/>
          <w:highlight w:val="none"/>
          <w:u w:val="single" w:color="auto"/>
          <w:lang w:val="en-US" w:eastAsia="zh-CN"/>
        </w:rPr>
        <w:t>1</w:t>
      </w:r>
      <w:r>
        <w:rPr>
          <w:highlight w:val="none"/>
          <w:u w:val="single" w:color="auto"/>
        </w:rPr>
        <w:t>5L/s，消防水源为地下水水，消防灭火时间</w:t>
      </w:r>
      <w:r>
        <w:rPr>
          <w:rFonts w:ascii="宋体" w:hAnsi="宋体" w:eastAsia="宋体" w:cs="宋体"/>
          <w:spacing w:val="-4"/>
          <w:sz w:val="24"/>
          <w:szCs w:val="24"/>
          <w:highlight w:val="none"/>
          <w:u w:val="single" w:color="auto"/>
        </w:rPr>
        <w:t>按</w:t>
      </w:r>
      <w:r>
        <w:rPr>
          <w:rFonts w:ascii="Times New Roman" w:hAnsi="Times New Roman" w:eastAsia="Times New Roman" w:cs="Times New Roman"/>
          <w:spacing w:val="-4"/>
          <w:sz w:val="24"/>
          <w:szCs w:val="24"/>
          <w:highlight w:val="none"/>
          <w:u w:val="single" w:color="auto"/>
        </w:rPr>
        <w:t>2h</w:t>
      </w:r>
      <w:r>
        <w:rPr>
          <w:rFonts w:ascii="宋体" w:hAnsi="宋体" w:eastAsia="宋体" w:cs="宋体"/>
          <w:spacing w:val="-4"/>
          <w:sz w:val="24"/>
          <w:szCs w:val="24"/>
          <w:highlight w:val="none"/>
          <w:u w:val="single" w:color="auto"/>
        </w:rPr>
        <w:t>，则项目最大消防用水量为</w:t>
      </w:r>
      <w:r>
        <w:rPr>
          <w:rFonts w:ascii="宋体" w:hAnsi="宋体" w:eastAsia="宋体" w:cs="宋体"/>
          <w:spacing w:val="-55"/>
          <w:sz w:val="24"/>
          <w:szCs w:val="24"/>
          <w:highlight w:val="none"/>
          <w:u w:val="single" w:color="auto"/>
        </w:rPr>
        <w:t xml:space="preserve"> </w:t>
      </w:r>
      <w:r>
        <w:rPr>
          <w:rFonts w:hint="eastAsia" w:eastAsia="宋体" w:cs="Times New Roman"/>
          <w:spacing w:val="-4"/>
          <w:sz w:val="24"/>
          <w:szCs w:val="24"/>
          <w:highlight w:val="none"/>
          <w:u w:val="single" w:color="auto"/>
          <w:lang w:val="en-US" w:eastAsia="zh-CN"/>
        </w:rPr>
        <w:t>108</w:t>
      </w:r>
      <w:r>
        <w:rPr>
          <w:rFonts w:ascii="Times New Roman" w:hAnsi="Times New Roman" w:eastAsia="Times New Roman" w:cs="Times New Roman"/>
          <w:spacing w:val="-4"/>
          <w:sz w:val="24"/>
          <w:szCs w:val="24"/>
          <w:highlight w:val="none"/>
          <w:u w:val="single" w:color="auto"/>
        </w:rPr>
        <w:t>m</w:t>
      </w:r>
      <w:r>
        <w:rPr>
          <w:rFonts w:ascii="Times New Roman" w:hAnsi="Times New Roman" w:eastAsia="Times New Roman" w:cs="Times New Roman"/>
          <w:spacing w:val="-4"/>
          <w:position w:val="9"/>
          <w:sz w:val="16"/>
          <w:szCs w:val="16"/>
          <w:highlight w:val="none"/>
          <w:u w:val="single" w:color="auto"/>
        </w:rPr>
        <w:t>3</w:t>
      </w:r>
      <w:r>
        <w:rPr>
          <w:rFonts w:ascii="宋体" w:hAnsi="宋体" w:eastAsia="宋体" w:cs="宋体"/>
          <w:spacing w:val="-4"/>
          <w:sz w:val="24"/>
          <w:szCs w:val="24"/>
          <w:highlight w:val="none"/>
          <w:u w:val="single" w:color="auto"/>
        </w:rPr>
        <w:t>，消防废水由场区消防管网收集后进入事</w:t>
      </w:r>
      <w:r>
        <w:rPr>
          <w:rFonts w:ascii="宋体" w:hAnsi="宋体" w:eastAsia="宋体" w:cs="宋体"/>
          <w:spacing w:val="-3"/>
          <w:sz w:val="24"/>
          <w:szCs w:val="24"/>
          <w:highlight w:val="none"/>
          <w:u w:val="single" w:color="auto"/>
        </w:rPr>
        <w:t>故应急池。</w:t>
      </w:r>
    </w:p>
    <w:p>
      <w:pPr>
        <w:pStyle w:val="5"/>
        <w:bidi w:val="0"/>
        <w:rPr>
          <w:rFonts w:ascii="宋体" w:hAnsi="宋体" w:eastAsia="宋体" w:cs="宋体"/>
          <w:sz w:val="28"/>
          <w:szCs w:val="28"/>
          <w:highlight w:val="none"/>
          <w:u w:val="single" w:color="auto"/>
        </w:rPr>
      </w:pPr>
      <w:r>
        <w:rPr>
          <w:rFonts w:hint="eastAsia" w:ascii="Times New Roman" w:hAnsi="Times New Roman" w:eastAsia="宋体" w:cs="Times New Roman"/>
          <w:b/>
          <w:bCs/>
          <w:sz w:val="28"/>
          <w:szCs w:val="28"/>
          <w:highlight w:val="none"/>
          <w:u w:val="single" w:color="auto"/>
          <w:lang w:val="en-US" w:eastAsia="zh-CN"/>
        </w:rPr>
        <w:t>8.4</w:t>
      </w:r>
      <w:r>
        <w:rPr>
          <w:rFonts w:ascii="Times New Roman" w:hAnsi="Times New Roman" w:eastAsia="Times New Roman" w:cs="Times New Roman"/>
          <w:b/>
          <w:bCs/>
          <w:sz w:val="28"/>
          <w:szCs w:val="28"/>
          <w:highlight w:val="none"/>
          <w:u w:val="single" w:color="auto"/>
        </w:rPr>
        <w:t>.2</w:t>
      </w:r>
      <w:r>
        <w:rPr>
          <w:rFonts w:hint="eastAsia" w:ascii="Times New Roman" w:hAnsi="Times New Roman" w:eastAsia="宋体" w:cs="Times New Roman"/>
          <w:b/>
          <w:bCs/>
          <w:sz w:val="28"/>
          <w:szCs w:val="28"/>
          <w:highlight w:val="none"/>
          <w:u w:val="single" w:color="auto"/>
          <w:lang w:val="en-US" w:eastAsia="zh-CN"/>
        </w:rPr>
        <w:t xml:space="preserve">  </w:t>
      </w:r>
      <w:r>
        <w:rPr>
          <w:rFonts w:ascii="宋体" w:hAnsi="宋体" w:eastAsia="宋体" w:cs="宋体"/>
          <w:sz w:val="28"/>
          <w:szCs w:val="28"/>
          <w:highlight w:val="none"/>
          <w:u w:val="single" w:color="auto"/>
        </w:rPr>
        <w:t>废气事故排放防范措施</w:t>
      </w:r>
    </w:p>
    <w:p>
      <w:pPr>
        <w:bidi w:val="0"/>
        <w:rPr>
          <w:highlight w:val="none"/>
          <w:u w:val="single" w:color="auto"/>
        </w:rPr>
      </w:pPr>
      <w:r>
        <w:rPr>
          <w:highlight w:val="none"/>
          <w:u w:val="single" w:color="auto"/>
        </w:rPr>
        <w:t>①为避免项目废气事故排放时对周围环境空气质量造成严重影响，对废气处理装置净化系统应定期检修、保养；</w:t>
      </w:r>
    </w:p>
    <w:p>
      <w:pPr>
        <w:bidi w:val="0"/>
        <w:rPr>
          <w:highlight w:val="none"/>
          <w:u w:val="single" w:color="auto"/>
        </w:rPr>
      </w:pPr>
      <w:r>
        <w:rPr>
          <w:highlight w:val="none"/>
          <w:u w:val="single" w:color="auto"/>
        </w:rPr>
        <w:t>②废气处理设施中，应设相应的备用设备，主要是风机；</w:t>
      </w:r>
    </w:p>
    <w:p>
      <w:pPr>
        <w:bidi w:val="0"/>
        <w:rPr>
          <w:highlight w:val="none"/>
          <w:u w:val="single" w:color="auto"/>
        </w:rPr>
      </w:pPr>
      <w:r>
        <w:rPr>
          <w:highlight w:val="none"/>
          <w:u w:val="single" w:color="auto"/>
        </w:rPr>
        <w:t>③废气处理设施一旦发生故障，并应及时检修，尽快使其恢复运行。</w:t>
      </w:r>
    </w:p>
    <w:p>
      <w:pPr>
        <w:bidi w:val="0"/>
        <w:rPr>
          <w:highlight w:val="none"/>
          <w:u w:val="single" w:color="auto"/>
        </w:rPr>
      </w:pPr>
      <w:r>
        <w:rPr>
          <w:highlight w:val="none"/>
          <w:u w:val="single" w:color="auto"/>
        </w:rPr>
        <w:t>经过妥善的风险防范措施，本项目废气事故排放环境风险在可接受的范围内。</w:t>
      </w:r>
    </w:p>
    <w:p>
      <w:pPr>
        <w:pStyle w:val="5"/>
        <w:bidi w:val="0"/>
        <w:rPr>
          <w:rFonts w:ascii="宋体" w:hAnsi="宋体" w:eastAsia="宋体" w:cs="宋体"/>
          <w:sz w:val="28"/>
          <w:szCs w:val="28"/>
          <w:highlight w:val="none"/>
          <w:u w:val="single" w:color="auto"/>
        </w:rPr>
      </w:pPr>
      <w:r>
        <w:rPr>
          <w:rFonts w:hint="eastAsia" w:ascii="Times New Roman" w:hAnsi="Times New Roman" w:eastAsia="宋体" w:cs="Times New Roman"/>
          <w:b/>
          <w:bCs/>
          <w:spacing w:val="-1"/>
          <w:sz w:val="28"/>
          <w:szCs w:val="28"/>
          <w:highlight w:val="none"/>
          <w:u w:val="single" w:color="auto"/>
          <w:lang w:val="en-US" w:eastAsia="zh-CN"/>
        </w:rPr>
        <w:t>8.4</w:t>
      </w:r>
      <w:r>
        <w:rPr>
          <w:rFonts w:ascii="Times New Roman" w:hAnsi="Times New Roman" w:eastAsia="Times New Roman" w:cs="Times New Roman"/>
          <w:b/>
          <w:bCs/>
          <w:spacing w:val="-1"/>
          <w:sz w:val="28"/>
          <w:szCs w:val="28"/>
          <w:highlight w:val="none"/>
          <w:u w:val="single" w:color="auto"/>
        </w:rPr>
        <w:t>.3</w:t>
      </w:r>
      <w:r>
        <w:rPr>
          <w:rFonts w:ascii="Times New Roman" w:hAnsi="Times New Roman" w:eastAsia="Times New Roman" w:cs="Times New Roman"/>
          <w:spacing w:val="11"/>
          <w:sz w:val="28"/>
          <w:szCs w:val="28"/>
          <w:highlight w:val="none"/>
          <w:u w:val="single" w:color="auto"/>
        </w:rPr>
        <w:t xml:space="preserve">  </w:t>
      </w:r>
      <w:r>
        <w:rPr>
          <w:rFonts w:ascii="宋体" w:hAnsi="宋体" w:eastAsia="宋体" w:cs="宋体"/>
          <w:spacing w:val="-1"/>
          <w:sz w:val="28"/>
          <w:szCs w:val="28"/>
          <w:highlight w:val="none"/>
          <w:u w:val="single" w:color="auto"/>
        </w:rPr>
        <w:t>环境卫生风险事故防范措施</w:t>
      </w:r>
    </w:p>
    <w:p>
      <w:pPr>
        <w:bidi w:val="0"/>
        <w:rPr>
          <w:highlight w:val="none"/>
          <w:u w:val="single" w:color="auto"/>
        </w:rPr>
      </w:pPr>
      <w:r>
        <w:rPr>
          <w:highlight w:val="none"/>
          <w:u w:val="single" w:color="auto"/>
        </w:rPr>
        <w:t>建立严格的卫生防疫制度是工厂化养猪场正常生产的保证，要认真贯</w:t>
      </w:r>
      <w:r>
        <w:rPr>
          <w:rFonts w:hint="eastAsia" w:ascii="宋体" w:hAnsi="宋体" w:eastAsia="宋体" w:cs="宋体"/>
          <w:highlight w:val="none"/>
          <w:u w:val="single" w:color="auto"/>
        </w:rPr>
        <w:t>彻“防重于治”</w:t>
      </w:r>
      <w:r>
        <w:rPr>
          <w:highlight w:val="none"/>
          <w:u w:val="single" w:color="auto"/>
        </w:rPr>
        <w:t>的方针，必须建立严格的卫生防疫制度、健全卫生防疫设施，以确保猪场安全生产。采取的措施有：</w:t>
      </w:r>
    </w:p>
    <w:p>
      <w:pPr>
        <w:bidi w:val="0"/>
        <w:rPr>
          <w:highlight w:val="none"/>
          <w:u w:val="single" w:color="auto"/>
        </w:rPr>
      </w:pPr>
      <w:r>
        <w:rPr>
          <w:highlight w:val="none"/>
          <w:u w:val="single" w:color="auto"/>
        </w:rPr>
        <w:t>（1）设计中考虑猪场布局合理，采取分离的布置方法，按猪的不同饲养阶段设置猪舍，并按一定规模进行分区饲养。非生产人员不得随意进入生产区。生产区封闭隔离，工程设计和工艺流程符合动物防疫要求；生产区周围应有防护设施，进入生产区必须消毒。</w:t>
      </w:r>
    </w:p>
    <w:p>
      <w:pPr>
        <w:bidi w:val="0"/>
        <w:rPr>
          <w:highlight w:val="none"/>
          <w:u w:val="single" w:color="auto"/>
        </w:rPr>
      </w:pPr>
      <w:r>
        <w:rPr>
          <w:highlight w:val="none"/>
          <w:u w:val="single" w:color="auto"/>
        </w:rPr>
        <w:t>（2）建立正常的卫生防疫制度，按计划对猪舍进行清扫、消毒按计划对猪群实施免疫程序，建立免疫档案。</w:t>
      </w:r>
    </w:p>
    <w:p>
      <w:pPr>
        <w:bidi w:val="0"/>
        <w:rPr>
          <w:highlight w:val="none"/>
          <w:u w:val="single" w:color="auto"/>
        </w:rPr>
      </w:pPr>
      <w:r>
        <w:rPr>
          <w:highlight w:val="none"/>
          <w:u w:val="single" w:color="auto"/>
        </w:rPr>
        <w:t>（3）健全检验、检疫制度，强化检验、检疫手段，场部设技术科、实验室，配备兽医，加强对疾病的预防和医治。出售市场的产品不允许有病，病死猪须委托无害化处理单位进行定点处置，不得乱扔污染环境，同时建立病死猪处理台账。</w:t>
      </w:r>
    </w:p>
    <w:p>
      <w:pPr>
        <w:bidi w:val="0"/>
        <w:rPr>
          <w:highlight w:val="none"/>
          <w:u w:val="single" w:color="auto"/>
        </w:rPr>
      </w:pPr>
      <w:r>
        <w:rPr>
          <w:highlight w:val="none"/>
          <w:u w:val="single" w:color="auto"/>
        </w:rPr>
        <w:t>（4）猪只饲养采用全进全出制度，为各阶段猪舍的清洗、消毒、阻断疫病传播创造条件，能有效控制和消灭场内已有病源。</w:t>
      </w:r>
    </w:p>
    <w:p>
      <w:pPr>
        <w:pStyle w:val="4"/>
        <w:bidi w:val="0"/>
        <w:rPr>
          <w:rFonts w:ascii="宋体" w:hAnsi="宋体" w:eastAsia="宋体" w:cs="宋体"/>
          <w:sz w:val="28"/>
          <w:szCs w:val="28"/>
          <w:highlight w:val="none"/>
          <w:u w:val="single" w:color="auto"/>
        </w:rPr>
      </w:pPr>
      <w:bookmarkStart w:id="94" w:name="_bookmark23"/>
      <w:bookmarkEnd w:id="94"/>
      <w:bookmarkStart w:id="95" w:name="_Toc4438"/>
      <w:bookmarkStart w:id="96" w:name="_Toc19117"/>
      <w:r>
        <w:rPr>
          <w:rFonts w:hint="eastAsia" w:ascii="Times New Roman" w:hAnsi="Times New Roman" w:eastAsia="宋体" w:cs="Times New Roman"/>
          <w:b/>
          <w:bCs/>
          <w:spacing w:val="-2"/>
          <w:sz w:val="28"/>
          <w:szCs w:val="28"/>
          <w:highlight w:val="none"/>
          <w:u w:val="single" w:color="auto"/>
          <w:lang w:val="en-US" w:eastAsia="zh-CN"/>
        </w:rPr>
        <w:t>8.5</w:t>
      </w:r>
      <w:r>
        <w:rPr>
          <w:rFonts w:ascii="Times New Roman" w:hAnsi="Times New Roman" w:eastAsia="Times New Roman" w:cs="Times New Roman"/>
          <w:spacing w:val="8"/>
          <w:sz w:val="28"/>
          <w:szCs w:val="28"/>
          <w:highlight w:val="none"/>
          <w:u w:val="single" w:color="auto"/>
        </w:rPr>
        <w:t xml:space="preserve">  </w:t>
      </w:r>
      <w:r>
        <w:rPr>
          <w:rFonts w:ascii="宋体" w:hAnsi="宋体" w:eastAsia="宋体" w:cs="宋体"/>
          <w:spacing w:val="-2"/>
          <w:sz w:val="28"/>
          <w:szCs w:val="28"/>
          <w:highlight w:val="none"/>
          <w:u w:val="single" w:color="auto"/>
        </w:rPr>
        <w:t>事故应急预案</w:t>
      </w:r>
      <w:bookmarkEnd w:id="95"/>
      <w:bookmarkEnd w:id="96"/>
    </w:p>
    <w:p>
      <w:pPr>
        <w:bidi w:val="0"/>
        <w:rPr>
          <w:highlight w:val="none"/>
          <w:u w:val="single" w:color="auto"/>
        </w:rPr>
      </w:pPr>
      <w:r>
        <w:rPr>
          <w:highlight w:val="none"/>
          <w:u w:val="single" w:color="auto"/>
        </w:rPr>
        <w:t>根据国家环保总局环发【2005】152号文的要求，通过对污染事故的风险评价，各有关企业应指定重大环境污染事故发生时的工作计划、消除事故隐患的实施及突发性事故应急办法等。重大事故应急预案是企业为加强对重大事故的处理能力，而预先指定的事故应急对策，目的是将突发事故或紧急事件局部化，如可能并予以消除；尽量降低事故对周围环境、人员和财产的影响。</w:t>
      </w:r>
    </w:p>
    <w:p>
      <w:pPr>
        <w:bidi w:val="0"/>
        <w:rPr>
          <w:highlight w:val="none"/>
          <w:u w:val="single" w:color="auto"/>
        </w:rPr>
      </w:pPr>
      <w:r>
        <w:rPr>
          <w:rFonts w:hint="eastAsia"/>
          <w:highlight w:val="none"/>
          <w:u w:val="single" w:color="auto"/>
          <w:lang w:eastAsia="zh-CN"/>
        </w:rPr>
        <w:t>湖南双宏养殖有限公司</w:t>
      </w:r>
      <w:r>
        <w:rPr>
          <w:highlight w:val="none"/>
          <w:u w:val="single" w:color="auto"/>
        </w:rPr>
        <w:t>应按环境保护部《突发环境事件应急预案管理暂行办法》、《湖南省突发事件应急预案管理办法》等规范制定其</w:t>
      </w:r>
      <w:r>
        <w:rPr>
          <w:rFonts w:hint="eastAsia"/>
          <w:highlight w:val="none"/>
          <w:u w:val="single" w:color="auto"/>
          <w:lang w:eastAsia="zh-CN"/>
        </w:rPr>
        <w:t>场区</w:t>
      </w:r>
      <w:r>
        <w:rPr>
          <w:highlight w:val="none"/>
          <w:u w:val="single" w:color="auto"/>
        </w:rPr>
        <w:t>的</w:t>
      </w:r>
      <w:r>
        <w:rPr>
          <w:rFonts w:hint="eastAsia" w:ascii="宋体" w:hAnsi="宋体" w:eastAsia="宋体" w:cs="宋体"/>
          <w:highlight w:val="none"/>
          <w:u w:val="single" w:color="auto"/>
        </w:rPr>
        <w:t>“环境突发事故应急预案”</w:t>
      </w:r>
      <w:r>
        <w:rPr>
          <w:highlight w:val="none"/>
          <w:u w:val="single" w:color="auto"/>
        </w:rPr>
        <w:t>，因此，建设单位应尽快编制环境风险应急预案，应急预案主要内容应根据《建设项目环境风险评价技术导则》（HJ169-2018）详细编制，应急预案基本内容见表</w:t>
      </w:r>
      <w:r>
        <w:rPr>
          <w:rFonts w:hint="eastAsia"/>
          <w:highlight w:val="none"/>
          <w:u w:val="single" w:color="auto"/>
          <w:lang w:val="en-US" w:eastAsia="zh-CN"/>
        </w:rPr>
        <w:t>8.5</w:t>
      </w:r>
      <w:r>
        <w:rPr>
          <w:highlight w:val="none"/>
          <w:u w:val="single" w:color="auto"/>
        </w:rPr>
        <w:t>-1。</w:t>
      </w:r>
    </w:p>
    <w:p>
      <w:pPr>
        <w:pStyle w:val="7"/>
        <w:bidi w:val="0"/>
        <w:rPr>
          <w:rFonts w:ascii="宋体" w:hAnsi="宋体" w:eastAsia="宋体" w:cs="宋体"/>
          <w:sz w:val="24"/>
          <w:szCs w:val="24"/>
          <w:highlight w:val="none"/>
          <w:u w:val="single" w:color="auto"/>
        </w:rPr>
      </w:pPr>
      <w:r>
        <w:rPr>
          <w:rFonts w:ascii="宋体" w:hAnsi="宋体" w:eastAsia="宋体" w:cs="宋体"/>
          <w:spacing w:val="-2"/>
          <w:sz w:val="24"/>
          <w:szCs w:val="24"/>
          <w:highlight w:val="none"/>
          <w:u w:val="single" w:color="auto"/>
        </w:rPr>
        <w:t>表</w:t>
      </w:r>
      <w:r>
        <w:rPr>
          <w:rFonts w:hint="eastAsia" w:ascii="Times New Roman" w:hAnsi="Times New Roman" w:eastAsia="宋体" w:cs="Times New Roman"/>
          <w:b/>
          <w:bCs/>
          <w:spacing w:val="-2"/>
          <w:sz w:val="24"/>
          <w:szCs w:val="24"/>
          <w:highlight w:val="none"/>
          <w:u w:val="single" w:color="auto"/>
          <w:lang w:val="en-US" w:eastAsia="zh-CN"/>
        </w:rPr>
        <w:t>8.5</w:t>
      </w:r>
      <w:r>
        <w:rPr>
          <w:rFonts w:ascii="Times New Roman" w:hAnsi="Times New Roman" w:eastAsia="Times New Roman" w:cs="Times New Roman"/>
          <w:b/>
          <w:bCs/>
          <w:spacing w:val="-2"/>
          <w:sz w:val="24"/>
          <w:szCs w:val="24"/>
          <w:highlight w:val="none"/>
          <w:u w:val="single" w:color="auto"/>
        </w:rPr>
        <w:t>-1</w:t>
      </w:r>
      <w:r>
        <w:rPr>
          <w:rFonts w:ascii="Times New Roman" w:hAnsi="Times New Roman" w:eastAsia="Times New Roman" w:cs="Times New Roman"/>
          <w:spacing w:val="2"/>
          <w:sz w:val="24"/>
          <w:szCs w:val="24"/>
          <w:highlight w:val="none"/>
          <w:u w:val="single" w:color="auto"/>
        </w:rPr>
        <w:t xml:space="preserve">  </w:t>
      </w:r>
      <w:r>
        <w:rPr>
          <w:rFonts w:ascii="宋体" w:hAnsi="宋体" w:eastAsia="宋体" w:cs="宋体"/>
          <w:spacing w:val="-2"/>
          <w:sz w:val="24"/>
          <w:szCs w:val="24"/>
          <w:highlight w:val="none"/>
          <w:u w:val="single" w:color="auto"/>
        </w:rPr>
        <w:t>应急预案基本内容</w:t>
      </w:r>
    </w:p>
    <w:tbl>
      <w:tblPr>
        <w:tblStyle w:val="34"/>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2"/>
        <w:gridCol w:w="2384"/>
        <w:gridCol w:w="53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序号</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项目</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内容及要求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1</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应急计划区</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危险目标、装置区、环境保护目标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2</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应急组织机构、人员</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场区、地区应急组织机构、人员。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3</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预案分级影响条件</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规定预案的级别和分级影响程序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4</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应急救援保障</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应急设施，设备与器材等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5</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报警、通讯联络方式</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规定应急状态下的报警通讯方式、通知方式和交通保障、管制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6</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应急环境监测、抢救、救援及控制措施</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由专业队伍负责对事故现场进行侦察监测，对事故性质、参数后果进行评估，为指挥部门提供决策依据。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7</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应急监测、防护措施、清除泄漏措施和器材</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事故现场、邻近区域、控制防火区域、控制清除污染措施及相设施。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8</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人员紧急撤离、疏散，应急剂量控制、撤离组</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织计划</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事故现场、场区邻近区、受事故影响的区域人员及公众对毒物应急剂量控制规定，撤离组织计划及救护，中毒人员医疗救护与公众健康。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9</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事故应急救援关闭程序与恢复措施</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规定应急状态终止程序</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事故现场善后处理，恢复措施</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邻近区域解除事故警戒及善后恢复措施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10</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应急培训计划</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应急计划制定后，平时安排人员培训与演练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3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11</w:t>
            </w: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公众教育和信息</w:t>
            </w:r>
          </w:p>
        </w:tc>
        <w:tc>
          <w:tcPr>
            <w:tcW w:w="32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sz w:val="21"/>
                <w:szCs w:val="21"/>
                <w:highlight w:val="none"/>
                <w:u w:val="single" w:color="auto"/>
              </w:rPr>
            </w:pPr>
            <w:r>
              <w:rPr>
                <w:rFonts w:hint="default" w:ascii="Times New Roman" w:hAnsi="Times New Roman" w:eastAsia="宋体" w:cs="Times New Roman"/>
                <w:spacing w:val="0"/>
                <w:sz w:val="21"/>
                <w:szCs w:val="21"/>
                <w:highlight w:val="none"/>
                <w:u w:val="single" w:color="auto"/>
              </w:rPr>
              <w:t>对场区邻近地区开展公众教育，培训和发布有关信息</w:t>
            </w:r>
          </w:p>
        </w:tc>
      </w:tr>
    </w:tbl>
    <w:p>
      <w:pPr>
        <w:pStyle w:val="5"/>
        <w:bidi w:val="0"/>
        <w:rPr>
          <w:rFonts w:ascii="宋体" w:hAnsi="宋体" w:eastAsia="宋体" w:cs="宋体"/>
          <w:sz w:val="28"/>
          <w:szCs w:val="28"/>
          <w:highlight w:val="none"/>
          <w:u w:val="single" w:color="auto"/>
        </w:rPr>
      </w:pPr>
      <w:r>
        <w:rPr>
          <w:rFonts w:hint="eastAsia" w:ascii="Times New Roman" w:hAnsi="Times New Roman" w:eastAsia="宋体" w:cs="Times New Roman"/>
          <w:b/>
          <w:bCs/>
          <w:spacing w:val="-1"/>
          <w:sz w:val="28"/>
          <w:szCs w:val="28"/>
          <w:highlight w:val="none"/>
          <w:u w:val="single" w:color="auto"/>
          <w:lang w:val="en-US" w:eastAsia="zh-CN"/>
        </w:rPr>
        <w:t>8.5</w:t>
      </w:r>
      <w:r>
        <w:rPr>
          <w:rFonts w:ascii="Times New Roman" w:hAnsi="Times New Roman" w:eastAsia="Times New Roman" w:cs="Times New Roman"/>
          <w:b/>
          <w:bCs/>
          <w:spacing w:val="-1"/>
          <w:sz w:val="28"/>
          <w:szCs w:val="28"/>
          <w:highlight w:val="none"/>
          <w:u w:val="single" w:color="auto"/>
        </w:rPr>
        <w:t>.1</w:t>
      </w:r>
      <w:r>
        <w:rPr>
          <w:rFonts w:hint="eastAsia" w:ascii="Times New Roman" w:hAnsi="Times New Roman" w:eastAsia="宋体" w:cs="Times New Roman"/>
          <w:b/>
          <w:bCs/>
          <w:spacing w:val="-1"/>
          <w:sz w:val="28"/>
          <w:szCs w:val="28"/>
          <w:highlight w:val="none"/>
          <w:u w:val="single" w:color="auto"/>
          <w:lang w:val="en-US" w:eastAsia="zh-CN"/>
        </w:rPr>
        <w:t xml:space="preserve">  </w:t>
      </w:r>
      <w:r>
        <w:rPr>
          <w:rFonts w:ascii="宋体" w:hAnsi="宋体" w:eastAsia="宋体" w:cs="宋体"/>
          <w:spacing w:val="-1"/>
          <w:sz w:val="28"/>
          <w:szCs w:val="28"/>
          <w:highlight w:val="none"/>
          <w:u w:val="single" w:color="auto"/>
        </w:rPr>
        <w:t>污水排放应急预案</w:t>
      </w:r>
    </w:p>
    <w:p>
      <w:pPr>
        <w:bidi w:val="0"/>
        <w:rPr>
          <w:highlight w:val="none"/>
          <w:u w:val="single" w:color="auto"/>
        </w:rPr>
      </w:pPr>
      <w:r>
        <w:rPr>
          <w:highlight w:val="none"/>
          <w:u w:val="single" w:color="auto"/>
        </w:rPr>
        <w:t>（1）严格执行环保事故报告制度，一经发现环保事故，应立即向</w:t>
      </w:r>
      <w:r>
        <w:rPr>
          <w:rFonts w:hint="eastAsia"/>
          <w:highlight w:val="none"/>
          <w:u w:val="single" w:color="auto"/>
          <w:lang w:eastAsia="zh-CN"/>
        </w:rPr>
        <w:t>华容县</w:t>
      </w:r>
      <w:r>
        <w:rPr>
          <w:highlight w:val="none"/>
          <w:u w:val="single" w:color="auto"/>
        </w:rPr>
        <w:t>区政府和上级有关部门报告，不得瞒报，漏报；</w:t>
      </w:r>
    </w:p>
    <w:p>
      <w:pPr>
        <w:bidi w:val="0"/>
        <w:rPr>
          <w:highlight w:val="none"/>
          <w:u w:val="single" w:color="auto"/>
        </w:rPr>
      </w:pPr>
      <w:r>
        <w:rPr>
          <w:highlight w:val="none"/>
          <w:u w:val="single" w:color="auto"/>
        </w:rPr>
        <w:t>（2）切实落实环保救援措施，在报告的基础上，由领导小组成员统一指挥</w:t>
      </w:r>
    </w:p>
    <w:p>
      <w:pPr>
        <w:bidi w:val="0"/>
        <w:rPr>
          <w:highlight w:val="none"/>
          <w:u w:val="single" w:color="auto"/>
        </w:rPr>
      </w:pPr>
      <w:r>
        <w:rPr>
          <w:highlight w:val="none"/>
          <w:u w:val="single" w:color="auto"/>
        </w:rPr>
        <w:t>对事故现场的应急救援，并立即查明原因，提出抢险救援和应急处理对策，及时组织指挥各方面力量处理污染事故，控制事故的蔓延和扩大。</w:t>
      </w:r>
    </w:p>
    <w:p>
      <w:pPr>
        <w:bidi w:val="0"/>
        <w:rPr>
          <w:highlight w:val="none"/>
          <w:u w:val="single" w:color="auto"/>
        </w:rPr>
      </w:pPr>
      <w:r>
        <w:rPr>
          <w:highlight w:val="none"/>
          <w:u w:val="single" w:color="auto"/>
        </w:rPr>
        <w:t>（3）若</w:t>
      </w:r>
      <w:r>
        <w:rPr>
          <w:rFonts w:hint="eastAsia"/>
          <w:highlight w:val="none"/>
          <w:u w:val="single" w:color="auto"/>
          <w:lang w:eastAsia="zh-CN"/>
        </w:rPr>
        <w:t>污水</w:t>
      </w:r>
      <w:r>
        <w:rPr>
          <w:highlight w:val="none"/>
          <w:u w:val="single" w:color="auto"/>
        </w:rPr>
        <w:t>处理设施发生故障，应将污水切换至事故应急池，待污水处理设施抢修完毕后，再将事故应急池内污水逐步纳入污水处理系统。</w:t>
      </w:r>
    </w:p>
    <w:p>
      <w:pPr>
        <w:bidi w:val="0"/>
        <w:rPr>
          <w:highlight w:val="none"/>
          <w:u w:val="single" w:color="auto"/>
        </w:rPr>
      </w:pPr>
      <w:r>
        <w:rPr>
          <w:highlight w:val="none"/>
          <w:u w:val="single" w:color="auto"/>
        </w:rPr>
        <w:t>（4）配备必要的应急处理药剂及其他应急物资，如絮凝沉淀剂、应急水泵等，若</w:t>
      </w:r>
      <w:r>
        <w:rPr>
          <w:rFonts w:hint="eastAsia"/>
          <w:highlight w:val="none"/>
          <w:u w:val="single" w:color="auto"/>
          <w:lang w:eastAsia="zh-CN"/>
        </w:rPr>
        <w:t>污水</w:t>
      </w:r>
      <w:r>
        <w:rPr>
          <w:highlight w:val="none"/>
          <w:u w:val="single" w:color="auto"/>
        </w:rPr>
        <w:t>处理设施发生故障时，可往应急池内投加絮凝沉淀剂，尽量降低废水污染物浓度。</w:t>
      </w:r>
    </w:p>
    <w:p>
      <w:pPr>
        <w:bidi w:val="0"/>
        <w:rPr>
          <w:highlight w:val="none"/>
          <w:u w:val="single" w:color="auto"/>
        </w:rPr>
      </w:pPr>
      <w:r>
        <w:rPr>
          <w:highlight w:val="none"/>
          <w:u w:val="single" w:color="auto"/>
        </w:rPr>
        <w:t>（5）建设单位应制定事故应急计划，安排事故处理人员进行相关知识培训并进行事故应急处理演习，对工人进行安全卫生教育，并对周围地区公众开展环境风险事故预防教育、应急知识培训并定期发布相关信息。</w:t>
      </w:r>
    </w:p>
    <w:p>
      <w:pPr>
        <w:bidi w:val="0"/>
        <w:rPr>
          <w:highlight w:val="none"/>
          <w:u w:val="single" w:color="auto"/>
        </w:rPr>
      </w:pPr>
      <w:r>
        <w:rPr>
          <w:highlight w:val="none"/>
          <w:u w:val="single" w:color="auto"/>
        </w:rPr>
        <w:t>（6）设立应急事故专门记录， 建立档案和报告制度，由专门部门负责管理。</w:t>
      </w:r>
    </w:p>
    <w:p>
      <w:pPr>
        <w:pStyle w:val="5"/>
        <w:bidi w:val="0"/>
        <w:rPr>
          <w:rFonts w:ascii="宋体" w:hAnsi="宋体" w:eastAsia="宋体" w:cs="宋体"/>
          <w:sz w:val="28"/>
          <w:szCs w:val="28"/>
          <w:highlight w:val="none"/>
          <w:u w:val="single" w:color="auto"/>
        </w:rPr>
      </w:pPr>
      <w:r>
        <w:rPr>
          <w:rFonts w:hint="eastAsia" w:ascii="Times New Roman" w:hAnsi="Times New Roman" w:eastAsia="宋体" w:cs="Times New Roman"/>
          <w:b/>
          <w:bCs/>
          <w:spacing w:val="-1"/>
          <w:sz w:val="28"/>
          <w:szCs w:val="28"/>
          <w:highlight w:val="none"/>
          <w:u w:val="single" w:color="auto"/>
          <w:lang w:val="en-US" w:eastAsia="zh-CN"/>
        </w:rPr>
        <w:t>8.5</w:t>
      </w:r>
      <w:r>
        <w:rPr>
          <w:rFonts w:ascii="Times New Roman" w:hAnsi="Times New Roman" w:eastAsia="Times New Roman" w:cs="Times New Roman"/>
          <w:b/>
          <w:bCs/>
          <w:spacing w:val="-1"/>
          <w:sz w:val="28"/>
          <w:szCs w:val="28"/>
          <w:highlight w:val="none"/>
          <w:u w:val="single" w:color="auto"/>
        </w:rPr>
        <w:t>.2</w:t>
      </w:r>
      <w:r>
        <w:rPr>
          <w:rFonts w:ascii="Times New Roman" w:hAnsi="Times New Roman" w:eastAsia="Times New Roman" w:cs="Times New Roman"/>
          <w:spacing w:val="6"/>
          <w:sz w:val="28"/>
          <w:szCs w:val="28"/>
          <w:highlight w:val="none"/>
          <w:u w:val="single" w:color="auto"/>
        </w:rPr>
        <w:t xml:space="preserve">  </w:t>
      </w:r>
      <w:r>
        <w:rPr>
          <w:rFonts w:ascii="宋体" w:hAnsi="宋体" w:eastAsia="宋体" w:cs="宋体"/>
          <w:spacing w:val="-1"/>
          <w:sz w:val="28"/>
          <w:szCs w:val="28"/>
          <w:highlight w:val="none"/>
          <w:u w:val="single" w:color="auto"/>
        </w:rPr>
        <w:t>疫情应急处置方案</w:t>
      </w:r>
    </w:p>
    <w:p>
      <w:pPr>
        <w:pStyle w:val="6"/>
        <w:bidi w:val="0"/>
        <w:rPr>
          <w:rFonts w:ascii="宋体" w:hAnsi="宋体" w:eastAsia="宋体" w:cs="宋体"/>
          <w:sz w:val="24"/>
          <w:szCs w:val="24"/>
          <w:highlight w:val="none"/>
          <w:u w:val="single" w:color="auto"/>
        </w:rPr>
      </w:pPr>
      <w:r>
        <w:rPr>
          <w:rFonts w:hint="eastAsia" w:ascii="Times New Roman" w:hAnsi="Times New Roman" w:eastAsia="宋体" w:cs="Times New Roman"/>
          <w:b/>
          <w:bCs/>
          <w:spacing w:val="-2"/>
          <w:sz w:val="24"/>
          <w:szCs w:val="24"/>
          <w:highlight w:val="none"/>
          <w:u w:val="single" w:color="auto"/>
          <w:lang w:val="en-US" w:eastAsia="zh-CN"/>
        </w:rPr>
        <w:t>8.5.</w:t>
      </w:r>
      <w:r>
        <w:rPr>
          <w:rFonts w:ascii="Times New Roman" w:hAnsi="Times New Roman" w:eastAsia="Times New Roman" w:cs="Times New Roman"/>
          <w:b/>
          <w:bCs/>
          <w:spacing w:val="-2"/>
          <w:sz w:val="24"/>
          <w:szCs w:val="24"/>
          <w:highlight w:val="none"/>
          <w:u w:val="single" w:color="auto"/>
        </w:rPr>
        <w:t>2.1</w:t>
      </w:r>
      <w:r>
        <w:rPr>
          <w:rFonts w:ascii="Times New Roman" w:hAnsi="Times New Roman" w:eastAsia="Times New Roman" w:cs="Times New Roman"/>
          <w:spacing w:val="9"/>
          <w:sz w:val="24"/>
          <w:szCs w:val="24"/>
          <w:highlight w:val="none"/>
          <w:u w:val="single" w:color="auto"/>
        </w:rPr>
        <w:t xml:space="preserve">  </w:t>
      </w:r>
      <w:r>
        <w:rPr>
          <w:rFonts w:ascii="宋体" w:hAnsi="宋体" w:eastAsia="宋体" w:cs="宋体"/>
          <w:spacing w:val="-2"/>
          <w:sz w:val="24"/>
          <w:szCs w:val="24"/>
          <w:highlight w:val="none"/>
          <w:u w:val="single" w:color="auto"/>
        </w:rPr>
        <w:t>疫病简介</w:t>
      </w:r>
    </w:p>
    <w:p>
      <w:pPr>
        <w:bidi w:val="0"/>
        <w:rPr>
          <w:highlight w:val="none"/>
          <w:u w:val="single" w:color="auto"/>
        </w:rPr>
      </w:pPr>
      <w:r>
        <w:rPr>
          <w:highlight w:val="none"/>
          <w:u w:val="single" w:color="auto"/>
        </w:rPr>
        <w:t>猪场易发的传染病主要有猪瘟、猪传染性胃肠炎、猪流行性感冒、仔猪副伤寒等。《动物防疫法》规定，根据动物疫病对养殖业生产和人体健康的危害程度，猪只疫病分为下列三类：</w:t>
      </w:r>
    </w:p>
    <w:p>
      <w:pPr>
        <w:bidi w:val="0"/>
        <w:rPr>
          <w:highlight w:val="none"/>
          <w:u w:val="single" w:color="auto"/>
        </w:rPr>
      </w:pPr>
      <w:r>
        <w:rPr>
          <w:highlight w:val="none"/>
          <w:u w:val="single" w:color="auto"/>
        </w:rPr>
        <w:t>一类疫病，是指对人畜危害严重、需要采取紧急、严厉的强制预防、控制、扑灭措施的疫病，主要有口蹄疫、猪水泡病、猪瘟、非洲猪瘟等。</w:t>
      </w:r>
    </w:p>
    <w:p>
      <w:pPr>
        <w:bidi w:val="0"/>
        <w:rPr>
          <w:highlight w:val="none"/>
          <w:u w:val="single" w:color="auto"/>
        </w:rPr>
      </w:pPr>
      <w:r>
        <w:rPr>
          <w:highlight w:val="none"/>
          <w:u w:val="single" w:color="auto"/>
        </w:rPr>
        <w:t>二类疫病，是指可造成重大经济损失、需要采取严格控制、扑灭措施，防止扩散的疫病，主要指猪乙型脑炎、猪细小病毒病、猪繁殖与呼吸综合症、猪丹毒、猪肺疫、猪链球菌病、猪传染性萎缩性鼻炎、猪支原体肺炎、旋毛虫病、猪囊尾 蚴病等。</w:t>
      </w:r>
    </w:p>
    <w:p>
      <w:pPr>
        <w:bidi w:val="0"/>
        <w:rPr>
          <w:highlight w:val="none"/>
          <w:u w:val="single" w:color="auto"/>
        </w:rPr>
      </w:pPr>
      <w:r>
        <w:rPr>
          <w:highlight w:val="none"/>
          <w:u w:val="single" w:color="auto"/>
        </w:rPr>
        <w:t>三类疫病，是指常见多发、可能造成重大经济损失、需要控制和净化的疫病，主要指猪传染性胃肠炎、猪副伤寒、猪密螺旋体痢疾等。三类疫病的具体病种名录由国务院畜牧兽医行政管理部门规定并公布。</w:t>
      </w:r>
    </w:p>
    <w:p>
      <w:pPr>
        <w:bidi w:val="0"/>
        <w:rPr>
          <w:highlight w:val="none"/>
          <w:u w:val="single" w:color="auto"/>
        </w:rPr>
      </w:pPr>
      <w:r>
        <w:rPr>
          <w:highlight w:val="none"/>
          <w:u w:val="single" w:color="auto"/>
        </w:rPr>
        <w:t>而且新的猪病正在还在不断增加，据南京农业大学研究，大中型猪场约有32种传染病，蔡宝祥等介绍有40种传染病。新增加的猪病主要有传染性萎缩性鼻炎、乙型脑炎、细小病毒病、伪狂犬病、猪痢疾、猪传染性胸膜炎、猪繁殖和呼吸综合症、母乳无乳综合症等。</w:t>
      </w:r>
    </w:p>
    <w:p>
      <w:pPr>
        <w:pStyle w:val="6"/>
        <w:bidi w:val="0"/>
        <w:rPr>
          <w:rFonts w:ascii="宋体"/>
          <w:sz w:val="21"/>
          <w:highlight w:val="none"/>
          <w:u w:val="single" w:color="auto"/>
        </w:rPr>
      </w:pPr>
      <w:r>
        <w:rPr>
          <w:rFonts w:hint="eastAsia" w:ascii="Times New Roman" w:hAnsi="Times New Roman" w:eastAsia="宋体" w:cs="Times New Roman"/>
          <w:b/>
          <w:bCs/>
          <w:spacing w:val="-1"/>
          <w:sz w:val="24"/>
          <w:szCs w:val="24"/>
          <w:highlight w:val="none"/>
          <w:u w:val="single" w:color="auto"/>
          <w:lang w:val="en-US" w:eastAsia="zh-CN"/>
        </w:rPr>
        <w:t>8.5</w:t>
      </w:r>
      <w:r>
        <w:rPr>
          <w:rFonts w:ascii="Times New Roman" w:hAnsi="Times New Roman" w:eastAsia="Times New Roman" w:cs="Times New Roman"/>
          <w:b/>
          <w:bCs/>
          <w:spacing w:val="-1"/>
          <w:sz w:val="24"/>
          <w:szCs w:val="24"/>
          <w:highlight w:val="none"/>
          <w:u w:val="single" w:color="auto"/>
        </w:rPr>
        <w:t>.2.2</w:t>
      </w:r>
      <w:r>
        <w:rPr>
          <w:rFonts w:ascii="Times New Roman" w:hAnsi="Times New Roman" w:eastAsia="Times New Roman" w:cs="Times New Roman"/>
          <w:spacing w:val="6"/>
          <w:sz w:val="24"/>
          <w:szCs w:val="24"/>
          <w:highlight w:val="none"/>
          <w:u w:val="single" w:color="auto"/>
        </w:rPr>
        <w:t xml:space="preserve">  </w:t>
      </w:r>
      <w:r>
        <w:rPr>
          <w:rFonts w:ascii="宋体" w:hAnsi="宋体" w:eastAsia="宋体" w:cs="宋体"/>
          <w:spacing w:val="-1"/>
          <w:sz w:val="24"/>
          <w:szCs w:val="24"/>
          <w:highlight w:val="none"/>
          <w:u w:val="single" w:color="auto"/>
        </w:rPr>
        <w:t>疫情控制方案</w:t>
      </w:r>
    </w:p>
    <w:p>
      <w:pPr>
        <w:bidi w:val="0"/>
        <w:rPr>
          <w:highlight w:val="none"/>
          <w:u w:val="single" w:color="auto"/>
        </w:rPr>
      </w:pPr>
      <w:r>
        <w:rPr>
          <w:highlight w:val="none"/>
          <w:u w:val="single" w:color="auto"/>
        </w:rPr>
        <w:t>参照《中华人民共和国动物防疫法》、《重大动物疫情应急条例》、《国家突发重大动物疫情应急预案》执行，根据发生疫情的类别，应分别采取相应的控制方案，具体如下：</w:t>
      </w:r>
    </w:p>
    <w:p>
      <w:pPr>
        <w:bidi w:val="0"/>
        <w:rPr>
          <w:highlight w:val="none"/>
          <w:u w:val="single" w:color="auto"/>
        </w:rPr>
      </w:pPr>
      <w:r>
        <w:rPr>
          <w:highlight w:val="none"/>
          <w:u w:val="single" w:color="auto"/>
        </w:rPr>
        <w:t>发生一类疫病时，应当及时报告</w:t>
      </w:r>
      <w:r>
        <w:rPr>
          <w:rFonts w:hint="eastAsia"/>
          <w:highlight w:val="none"/>
          <w:u w:val="single" w:color="auto"/>
          <w:lang w:eastAsia="zh-CN"/>
        </w:rPr>
        <w:t>华容县</w:t>
      </w:r>
      <w:r>
        <w:rPr>
          <w:highlight w:val="none"/>
          <w:u w:val="single" w:color="auto"/>
        </w:rPr>
        <w:t>畜牧兽医行政管理部门，由其派专人到现场，划定疫点、疫区、受威胁区，采集病料，调查疫源，并及时报请</w:t>
      </w:r>
      <w:r>
        <w:rPr>
          <w:rFonts w:hint="eastAsia"/>
          <w:highlight w:val="none"/>
          <w:u w:val="single" w:color="auto"/>
          <w:lang w:eastAsia="zh-CN"/>
        </w:rPr>
        <w:t>华容县</w:t>
      </w:r>
      <w:r>
        <w:rPr>
          <w:highlight w:val="none"/>
          <w:u w:val="single" w:color="auto"/>
        </w:rPr>
        <w:t>人民政府决定对场区实行封锁，将疫情等情况逐级上报国务院畜牧兽医行政管理部门。区政府应当立即组织有关部门和单位采取隔离、扑杀、销毁、消毒、紧急免疫接种等强制性控制、扑灭措施，迅速扑灭疫病，并通报毗邻地区。在封锁期间，禁止染疫和疑似染疫的猪只流出场区，禁止非疫区的猪只进入场区，并根据扑灭动物疫病的需要对出入封锁区的人员、运输工具及有关物品采取消毒和其他限制性措施。封锁的解除，必须由区人民政府宣布。</w:t>
      </w:r>
    </w:p>
    <w:p>
      <w:pPr>
        <w:bidi w:val="0"/>
        <w:rPr>
          <w:highlight w:val="none"/>
          <w:u w:val="single" w:color="auto"/>
        </w:rPr>
      </w:pPr>
      <w:r>
        <w:rPr>
          <w:highlight w:val="none"/>
          <w:u w:val="single" w:color="auto"/>
        </w:rPr>
        <w:t>发生二类动物疫病时，县畜牧兽医行政管理部门应当根据需要组织有关部门和单位采取隔离、扑杀、销毁、消毒、紧急免疫接种、限制易感染的动物、动物产品及有关物品出入等控制、扑灭措施。</w:t>
      </w:r>
    </w:p>
    <w:p>
      <w:pPr>
        <w:bidi w:val="0"/>
        <w:rPr>
          <w:highlight w:val="none"/>
          <w:u w:val="single" w:color="auto"/>
        </w:rPr>
      </w:pPr>
      <w:r>
        <w:rPr>
          <w:highlight w:val="none"/>
          <w:u w:val="single" w:color="auto"/>
        </w:rPr>
        <w:t>发生三类动物疫病时，应由县政府按照动物疫病预防计划和国务院畜牧兽医行政管理部门的有关规定，组织防治和净化。</w:t>
      </w:r>
    </w:p>
    <w:p>
      <w:pPr>
        <w:bidi w:val="0"/>
        <w:rPr>
          <w:highlight w:val="none"/>
          <w:u w:val="single" w:color="auto"/>
        </w:rPr>
      </w:pPr>
      <w:r>
        <w:rPr>
          <w:highlight w:val="none"/>
          <w:u w:val="single" w:color="auto"/>
        </w:rPr>
        <w:t>疫情的控制要贯彻以防为主的方针，切实做好防疫工作，确保养殖场的健康发展。</w:t>
      </w:r>
    </w:p>
    <w:p>
      <w:pPr>
        <w:pStyle w:val="4"/>
        <w:bidi w:val="0"/>
        <w:rPr>
          <w:rFonts w:ascii="宋体" w:hAnsi="宋体" w:eastAsia="宋体" w:cs="宋体"/>
          <w:sz w:val="28"/>
          <w:szCs w:val="28"/>
          <w:highlight w:val="none"/>
        </w:rPr>
      </w:pPr>
      <w:bookmarkStart w:id="97" w:name="_bookmark24"/>
      <w:bookmarkEnd w:id="97"/>
      <w:bookmarkStart w:id="98" w:name="_Toc3929"/>
      <w:bookmarkStart w:id="99" w:name="_Toc13629"/>
      <w:r>
        <w:rPr>
          <w:rFonts w:hint="eastAsia" w:ascii="Times New Roman" w:hAnsi="Times New Roman" w:eastAsia="宋体" w:cs="Times New Roman"/>
          <w:b/>
          <w:bCs/>
          <w:spacing w:val="-2"/>
          <w:sz w:val="28"/>
          <w:szCs w:val="28"/>
          <w:highlight w:val="none"/>
          <w:lang w:val="en-US" w:eastAsia="zh-CN"/>
        </w:rPr>
        <w:t>8.6</w:t>
      </w:r>
      <w:r>
        <w:rPr>
          <w:rFonts w:ascii="Times New Roman" w:hAnsi="Times New Roman" w:eastAsia="Times New Roman" w:cs="Times New Roman"/>
          <w:spacing w:val="9"/>
          <w:sz w:val="28"/>
          <w:szCs w:val="28"/>
          <w:highlight w:val="none"/>
        </w:rPr>
        <w:t xml:space="preserve">  </w:t>
      </w:r>
      <w:r>
        <w:rPr>
          <w:rFonts w:ascii="宋体" w:hAnsi="宋体" w:eastAsia="宋体" w:cs="宋体"/>
          <w:spacing w:val="-2"/>
          <w:sz w:val="28"/>
          <w:szCs w:val="28"/>
          <w:highlight w:val="none"/>
        </w:rPr>
        <w:t>风险分析总结论</w:t>
      </w:r>
      <w:bookmarkEnd w:id="98"/>
      <w:bookmarkEnd w:id="99"/>
    </w:p>
    <w:p>
      <w:pPr>
        <w:bidi w:val="0"/>
        <w:rPr>
          <w:highlight w:val="none"/>
        </w:rPr>
      </w:pPr>
      <w:r>
        <w:rPr>
          <w:highlight w:val="none"/>
        </w:rPr>
        <w:t>通过风险评价的结果表明，本项目环境风险潜势为I，环境风险等级低于三级，在落实各项环保措施和采取本报告书提出有关建议、落实</w:t>
      </w:r>
      <w:r>
        <w:rPr>
          <w:rFonts w:hint="eastAsia"/>
          <w:highlight w:val="none"/>
          <w:lang w:eastAsia="zh-CN"/>
        </w:rPr>
        <w:t>场区</w:t>
      </w:r>
      <w:r>
        <w:rPr>
          <w:highlight w:val="none"/>
        </w:rPr>
        <w:t>项目防范粪污泄漏的设计、疫情控制方案及事故水池的设计与执行完整的前提下，发生不大于本报告设定的最大可信事故的情况下，本项目从环境风险的角度考虑是可行的。</w:t>
      </w:r>
    </w:p>
    <w:p>
      <w:pPr>
        <w:pStyle w:val="7"/>
        <w:bidi w:val="0"/>
        <w:rPr>
          <w:highlight w:val="none"/>
        </w:rPr>
      </w:pPr>
      <w:r>
        <w:rPr>
          <w:highlight w:val="none"/>
        </w:rPr>
        <w:t>表</w:t>
      </w:r>
      <w:r>
        <w:rPr>
          <w:rFonts w:hint="eastAsia"/>
          <w:highlight w:val="none"/>
          <w:lang w:val="en-US" w:eastAsia="zh-CN"/>
        </w:rPr>
        <w:t>8</w:t>
      </w:r>
      <w:r>
        <w:rPr>
          <w:highlight w:val="none"/>
        </w:rPr>
        <w:t>.6-</w:t>
      </w:r>
      <w:r>
        <w:rPr>
          <w:rFonts w:hint="eastAsia"/>
          <w:highlight w:val="none"/>
          <w:lang w:val="en-US" w:eastAsia="zh-CN"/>
        </w:rPr>
        <w:t>1</w:t>
      </w:r>
      <w:r>
        <w:rPr>
          <w:highlight w:val="none"/>
        </w:rPr>
        <w:t xml:space="preserve">  项目环境风险简单分析内容表</w:t>
      </w:r>
    </w:p>
    <w:tbl>
      <w:tblPr>
        <w:tblStyle w:val="34"/>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09"/>
        <w:gridCol w:w="1261"/>
        <w:gridCol w:w="2215"/>
        <w:gridCol w:w="1143"/>
        <w:gridCol w:w="1363"/>
        <w:gridCol w:w="97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建设项目名 称</w:t>
            </w:r>
          </w:p>
        </w:tc>
        <w:tc>
          <w:tcPr>
            <w:tcW w:w="415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ascii="Times New Roman" w:hAnsi="Times New Roman" w:eastAsia="宋体" w:cs="Times New Roman"/>
                <w:spacing w:val="0"/>
                <w:w w:val="100"/>
                <w:position w:val="0"/>
                <w:sz w:val="21"/>
                <w:szCs w:val="21"/>
                <w:highlight w:val="none"/>
                <w:lang w:eastAsia="zh-CN"/>
              </w:rPr>
              <w:t>湖南双宏</w:t>
            </w:r>
            <w:r>
              <w:rPr>
                <w:rFonts w:hint="default" w:ascii="Times New Roman" w:hAnsi="Times New Roman" w:eastAsia="宋体" w:cs="Times New Roman"/>
                <w:spacing w:val="0"/>
                <w:w w:val="100"/>
                <w:position w:val="0"/>
                <w:sz w:val="21"/>
                <w:szCs w:val="21"/>
                <w:highlight w:val="none"/>
              </w:rPr>
              <w:t>养殖有限公司年出栏</w:t>
            </w:r>
            <w:r>
              <w:rPr>
                <w:rFonts w:hint="eastAsia" w:ascii="Times New Roman" w:hAnsi="Times New Roman" w:eastAsia="宋体" w:cs="Times New Roman"/>
                <w:spacing w:val="0"/>
                <w:w w:val="100"/>
                <w:position w:val="0"/>
                <w:sz w:val="21"/>
                <w:szCs w:val="21"/>
                <w:highlight w:val="none"/>
                <w:lang w:val="en-US" w:eastAsia="zh-CN"/>
              </w:rPr>
              <w:t>11</w:t>
            </w:r>
            <w:r>
              <w:rPr>
                <w:rFonts w:hint="default" w:ascii="Times New Roman" w:hAnsi="Times New Roman" w:eastAsia="宋体" w:cs="Times New Roman"/>
                <w:spacing w:val="0"/>
                <w:w w:val="100"/>
                <w:position w:val="0"/>
                <w:sz w:val="21"/>
                <w:szCs w:val="21"/>
                <w:highlight w:val="none"/>
              </w:rPr>
              <w:t>000 头生猪养殖项目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建设地点</w:t>
            </w:r>
          </w:p>
        </w:tc>
        <w:tc>
          <w:tcPr>
            <w:tcW w:w="7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（湖南） 省</w:t>
            </w:r>
          </w:p>
        </w:tc>
        <w:tc>
          <w:tcPr>
            <w:tcW w:w="13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（岳阳）市</w:t>
            </w:r>
          </w:p>
        </w:tc>
        <w:tc>
          <w:tcPr>
            <w:tcW w:w="6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w:t>
            </w:r>
            <w:r>
              <w:rPr>
                <w:rFonts w:hint="eastAsia" w:ascii="Times New Roman" w:hAnsi="Times New Roman" w:eastAsia="宋体" w:cs="Times New Roman"/>
                <w:spacing w:val="0"/>
                <w:w w:val="100"/>
                <w:position w:val="0"/>
                <w:sz w:val="21"/>
                <w:szCs w:val="21"/>
                <w:highlight w:val="none"/>
                <w:lang w:val="en-US" w:eastAsia="zh-CN"/>
              </w:rPr>
              <w:t>/</w:t>
            </w:r>
            <w:r>
              <w:rPr>
                <w:rFonts w:hint="default" w:ascii="Times New Roman" w:hAnsi="Times New Roman" w:eastAsia="宋体" w:cs="Times New Roman"/>
                <w:spacing w:val="0"/>
                <w:w w:val="100"/>
                <w:position w:val="0"/>
                <w:sz w:val="21"/>
                <w:szCs w:val="21"/>
                <w:highlight w:val="none"/>
              </w:rPr>
              <w:t>）区</w:t>
            </w:r>
          </w:p>
        </w:tc>
        <w:tc>
          <w:tcPr>
            <w:tcW w:w="8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w:t>
            </w:r>
            <w:r>
              <w:rPr>
                <w:rFonts w:hint="eastAsia" w:ascii="Times New Roman" w:hAnsi="Times New Roman" w:eastAsia="宋体" w:cs="Times New Roman"/>
                <w:spacing w:val="0"/>
                <w:w w:val="100"/>
                <w:position w:val="0"/>
                <w:sz w:val="21"/>
                <w:szCs w:val="21"/>
                <w:highlight w:val="none"/>
                <w:lang w:eastAsia="zh-CN"/>
              </w:rPr>
              <w:t>华容</w:t>
            </w:r>
            <w:r>
              <w:rPr>
                <w:rFonts w:hint="default" w:ascii="Times New Roman" w:hAnsi="Times New Roman" w:eastAsia="宋体" w:cs="Times New Roman"/>
                <w:spacing w:val="0"/>
                <w:w w:val="100"/>
                <w:position w:val="0"/>
                <w:sz w:val="21"/>
                <w:szCs w:val="21"/>
                <w:highlight w:val="none"/>
              </w:rPr>
              <w:t>）县</w:t>
            </w:r>
          </w:p>
        </w:tc>
        <w:tc>
          <w:tcPr>
            <w:tcW w:w="5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地理坐标</w:t>
            </w:r>
          </w:p>
        </w:tc>
        <w:tc>
          <w:tcPr>
            <w:tcW w:w="7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经度</w:t>
            </w:r>
          </w:p>
        </w:tc>
        <w:tc>
          <w:tcPr>
            <w:tcW w:w="13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112°45′0.98″E</w:t>
            </w:r>
          </w:p>
        </w:tc>
        <w:tc>
          <w:tcPr>
            <w:tcW w:w="6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纬度</w:t>
            </w:r>
          </w:p>
        </w:tc>
        <w:tc>
          <w:tcPr>
            <w:tcW w:w="139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29°34′29.64″N</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default" w:ascii="Times New Roman" w:hAnsi="Times New Roman" w:eastAsia="宋体" w:cs="Times New Roman"/>
                <w:spacing w:val="0"/>
                <w:w w:val="100"/>
                <w:position w:val="0"/>
                <w:sz w:val="21"/>
                <w:szCs w:val="21"/>
                <w:highlight w:val="none"/>
              </w:rPr>
              <w:t>主要危险物</w:t>
            </w:r>
            <w:r>
              <w:rPr>
                <w:rFonts w:hint="default" w:ascii="Times New Roman" w:hAnsi="Times New Roman" w:eastAsia="宋体" w:cs="Times New Roman"/>
                <w:spacing w:val="0"/>
                <w:w w:val="100"/>
                <w:sz w:val="21"/>
                <w:szCs w:val="21"/>
                <w:highlight w:val="none"/>
              </w:rPr>
              <w:t>质分布</w:t>
            </w:r>
          </w:p>
        </w:tc>
        <w:tc>
          <w:tcPr>
            <w:tcW w:w="415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position w:val="0"/>
                <w:sz w:val="21"/>
                <w:szCs w:val="21"/>
                <w:highlight w:val="none"/>
              </w:rPr>
            </w:pPr>
            <w:r>
              <w:rPr>
                <w:rFonts w:hint="eastAsia" w:cs="Times New Roman"/>
                <w:spacing w:val="0"/>
                <w:w w:val="100"/>
                <w:position w:val="0"/>
                <w:sz w:val="21"/>
                <w:szCs w:val="21"/>
                <w:highlight w:val="none"/>
                <w:lang w:val="en-US" w:eastAsia="zh-CN"/>
              </w:rPr>
              <w:t>CH</w:t>
            </w:r>
            <w:r>
              <w:rPr>
                <w:rFonts w:hint="eastAsia" w:cs="Times New Roman"/>
                <w:spacing w:val="0"/>
                <w:w w:val="100"/>
                <w:position w:val="0"/>
                <w:sz w:val="21"/>
                <w:szCs w:val="21"/>
                <w:highlight w:val="none"/>
                <w:vertAlign w:val="subscript"/>
                <w:lang w:val="en-US" w:eastAsia="zh-CN"/>
              </w:rPr>
              <w:t>4</w:t>
            </w:r>
            <w:r>
              <w:rPr>
                <w:rFonts w:hint="eastAsia" w:cs="Times New Roman"/>
                <w:spacing w:val="0"/>
                <w:w w:val="100"/>
                <w:position w:val="0"/>
                <w:sz w:val="21"/>
                <w:szCs w:val="21"/>
                <w:highlight w:val="none"/>
                <w:vertAlign w:val="baseline"/>
                <w:lang w:val="en-US" w:eastAsia="zh-CN"/>
              </w:rPr>
              <w:t>、</w:t>
            </w:r>
            <w:r>
              <w:rPr>
                <w:rFonts w:hint="default" w:ascii="Times New Roman" w:hAnsi="Times New Roman" w:eastAsia="宋体" w:cs="Times New Roman"/>
                <w:spacing w:val="0"/>
                <w:w w:val="100"/>
                <w:position w:val="0"/>
                <w:sz w:val="21"/>
                <w:szCs w:val="21"/>
                <w:highlight w:val="none"/>
              </w:rPr>
              <w:t>H</w:t>
            </w:r>
            <w:r>
              <w:rPr>
                <w:rFonts w:hint="default" w:ascii="Times New Roman" w:hAnsi="Times New Roman" w:eastAsia="宋体" w:cs="Times New Roman"/>
                <w:spacing w:val="0"/>
                <w:w w:val="100"/>
                <w:position w:val="0"/>
                <w:sz w:val="21"/>
                <w:szCs w:val="21"/>
                <w:highlight w:val="none"/>
                <w:vertAlign w:val="subscript"/>
              </w:rPr>
              <w:t>2</w:t>
            </w:r>
            <w:r>
              <w:rPr>
                <w:rFonts w:hint="default" w:ascii="Times New Roman" w:hAnsi="Times New Roman" w:eastAsia="宋体" w:cs="Times New Roman"/>
                <w:spacing w:val="0"/>
                <w:w w:val="100"/>
                <w:position w:val="0"/>
                <w:sz w:val="21"/>
                <w:szCs w:val="21"/>
                <w:highlight w:val="none"/>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sz w:val="21"/>
                <w:szCs w:val="21"/>
                <w:highlight w:val="none"/>
              </w:rPr>
              <w:t>环境影响途径及危害后果（大气、地表水、地 下水等）</w:t>
            </w:r>
          </w:p>
        </w:tc>
        <w:tc>
          <w:tcPr>
            <w:tcW w:w="4157"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sz w:val="21"/>
                <w:szCs w:val="21"/>
                <w:highlight w:val="none"/>
              </w:rPr>
              <w:t>（1）生产废水事故排放可能污染地表水和地下水。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风险防范措施要求</w:t>
            </w:r>
          </w:p>
        </w:tc>
        <w:tc>
          <w:tcPr>
            <w:tcW w:w="693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（1）制定严格的生产操作规程，加强作业工人的安全教育，杜绝工作失误造成的事故。</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（2）建设事故应急池，确保事故应急池有足够的剩余容量。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4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填表说明（列出项目相关信息及评价说明）</w:t>
            </w:r>
          </w:p>
        </w:tc>
        <w:tc>
          <w:tcPr>
            <w:tcW w:w="693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spacing w:val="0"/>
                <w:w w:val="100"/>
                <w:sz w:val="21"/>
                <w:szCs w:val="21"/>
                <w:highlight w:val="none"/>
              </w:rPr>
            </w:pPr>
            <w:r>
              <w:rPr>
                <w:rFonts w:hint="default" w:ascii="Times New Roman" w:hAnsi="Times New Roman" w:eastAsia="宋体" w:cs="Times New Roman"/>
                <w:spacing w:val="0"/>
                <w:w w:val="100"/>
                <w:sz w:val="21"/>
                <w:szCs w:val="21"/>
                <w:highlight w:val="none"/>
              </w:rPr>
              <w:t>本项目环境风险潜势为I，通过采取相应的风险防范措施，项目的环境风险可控。一旦发生事故，建设单位应立即执行事故应急预案，采取合理 的事故应急处理措施，将事故影响降到最低限度。</w:t>
            </w:r>
          </w:p>
        </w:tc>
      </w:tr>
    </w:tbl>
    <w:p>
      <w:pPr>
        <w:spacing w:line="41" w:lineRule="exact"/>
        <w:rPr>
          <w:highlight w:val="none"/>
        </w:rPr>
      </w:pPr>
    </w:p>
    <w:p>
      <w:pPr>
        <w:bidi w:val="0"/>
        <w:rPr>
          <w:highlight w:val="none"/>
        </w:rPr>
      </w:pPr>
    </w:p>
    <w:p>
      <w:pPr>
        <w:pStyle w:val="24"/>
        <w:rPr>
          <w:highlight w:val="none"/>
        </w:rPr>
      </w:pPr>
    </w:p>
    <w:p>
      <w:pPr>
        <w:pStyle w:val="26"/>
        <w:rPr>
          <w:highlight w:val="none"/>
        </w:rPr>
      </w:pPr>
    </w:p>
    <w:p>
      <w:pPr>
        <w:pStyle w:val="27"/>
      </w:pPr>
    </w:p>
    <w:p>
      <w:pPr>
        <w:pStyle w:val="27"/>
        <w:rPr>
          <w:highlight w:val="none"/>
        </w:rPr>
      </w:pPr>
    </w:p>
    <w:p>
      <w:pPr>
        <w:pStyle w:val="26"/>
        <w:rPr>
          <w:highlight w:val="none"/>
        </w:rPr>
      </w:pPr>
    </w:p>
    <w:p>
      <w:pPr>
        <w:pStyle w:val="3"/>
        <w:bidi w:val="0"/>
        <w:rPr>
          <w:highlight w:val="none"/>
        </w:rPr>
      </w:pPr>
      <w:bookmarkStart w:id="100" w:name="_Toc26533"/>
      <w:bookmarkStart w:id="101" w:name="_Toc28247"/>
      <w:r>
        <w:rPr>
          <w:rFonts w:hint="eastAsia"/>
          <w:highlight w:val="none"/>
          <w:lang w:val="en-US" w:eastAsia="zh-CN"/>
        </w:rPr>
        <w:t>9</w:t>
      </w:r>
      <w:r>
        <w:rPr>
          <w:highlight w:val="none"/>
        </w:rPr>
        <w:t xml:space="preserve">  总量控制、达标排放与环境经济损益分析</w:t>
      </w:r>
      <w:bookmarkEnd w:id="100"/>
      <w:bookmarkEnd w:id="101"/>
    </w:p>
    <w:p>
      <w:pPr>
        <w:pStyle w:val="4"/>
        <w:bidi w:val="0"/>
        <w:rPr>
          <w:rFonts w:ascii="宋体" w:hAnsi="宋体" w:eastAsia="宋体" w:cs="宋体"/>
          <w:sz w:val="28"/>
          <w:szCs w:val="28"/>
          <w:highlight w:val="none"/>
        </w:rPr>
      </w:pPr>
      <w:bookmarkStart w:id="102" w:name="_Toc4099"/>
      <w:bookmarkStart w:id="103" w:name="_Toc1674"/>
      <w:r>
        <w:rPr>
          <w:rFonts w:hint="eastAsia" w:ascii="Times New Roman" w:hAnsi="Times New Roman" w:eastAsia="宋体" w:cs="Times New Roman"/>
          <w:b/>
          <w:bCs/>
          <w:spacing w:val="-3"/>
          <w:sz w:val="28"/>
          <w:szCs w:val="28"/>
          <w:highlight w:val="none"/>
          <w:lang w:val="en-US" w:eastAsia="zh-CN"/>
        </w:rPr>
        <w:t>9</w:t>
      </w:r>
      <w:r>
        <w:rPr>
          <w:rFonts w:ascii="Times New Roman" w:hAnsi="Times New Roman" w:eastAsia="Times New Roman" w:cs="Times New Roman"/>
          <w:b/>
          <w:bCs/>
          <w:spacing w:val="-3"/>
          <w:sz w:val="28"/>
          <w:szCs w:val="28"/>
          <w:highlight w:val="none"/>
        </w:rPr>
        <w:t>.1</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3"/>
          <w:sz w:val="28"/>
          <w:szCs w:val="28"/>
          <w:highlight w:val="none"/>
        </w:rPr>
        <w:t>总量控制</w:t>
      </w:r>
      <w:bookmarkEnd w:id="102"/>
      <w:bookmarkEnd w:id="103"/>
    </w:p>
    <w:p>
      <w:pPr>
        <w:bidi w:val="0"/>
        <w:rPr>
          <w:highlight w:val="none"/>
        </w:rPr>
      </w:pPr>
      <w:r>
        <w:rPr>
          <w:highlight w:val="none"/>
        </w:rPr>
        <w:t>本项目自建</w:t>
      </w:r>
      <w:r>
        <w:rPr>
          <w:rFonts w:hint="eastAsia"/>
          <w:highlight w:val="none"/>
          <w:lang w:eastAsia="zh-CN"/>
        </w:rPr>
        <w:t>污水处理站</w:t>
      </w:r>
      <w:r>
        <w:rPr>
          <w:highlight w:val="none"/>
        </w:rPr>
        <w:t>，</w:t>
      </w:r>
      <w:r>
        <w:rPr>
          <w:rFonts w:hint="eastAsia"/>
          <w:highlight w:val="none"/>
        </w:rPr>
        <w:t>本项目采用</w:t>
      </w:r>
      <w:r>
        <w:rPr>
          <w:rFonts w:hint="eastAsia"/>
          <w:highlight w:val="none"/>
          <w:lang w:eastAsia="zh-CN"/>
        </w:rPr>
        <w:t>干清粪</w:t>
      </w:r>
      <w:r>
        <w:rPr>
          <w:rFonts w:hint="eastAsia"/>
          <w:highlight w:val="none"/>
        </w:rPr>
        <w:t>处理工艺，</w:t>
      </w:r>
      <w:r>
        <w:rPr>
          <w:rFonts w:hint="eastAsia"/>
          <w:highlight w:val="none"/>
          <w:lang w:eastAsia="zh-CN"/>
        </w:rPr>
        <w:t>采取</w:t>
      </w:r>
      <w:r>
        <w:rPr>
          <w:rFonts w:hint="eastAsia"/>
          <w:highlight w:val="none"/>
        </w:rPr>
        <w:t>固液分离，养殖粪污分离出来的固态作为有机肥原料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w:t>
      </w:r>
      <w:r>
        <w:rPr>
          <w:rFonts w:hint="eastAsia"/>
          <w:highlight w:val="none"/>
          <w:lang w:val="en-US" w:eastAsia="zh-CN"/>
        </w:rPr>
        <w:t>养殖废水和生活污水经化粪池处理后均通过场区污水处理站处理后，用于周边林地灌溉，不外排，最终全部实现综合利用</w:t>
      </w:r>
      <w:r>
        <w:rPr>
          <w:rFonts w:hint="eastAsia"/>
          <w:highlight w:val="none"/>
        </w:rPr>
        <w:t>。</w:t>
      </w:r>
      <w:r>
        <w:rPr>
          <w:highlight w:val="none"/>
        </w:rPr>
        <w:t>因此无需申请废水总量控制指标。</w:t>
      </w:r>
    </w:p>
    <w:p>
      <w:pPr>
        <w:bidi w:val="0"/>
        <w:rPr>
          <w:highlight w:val="none"/>
        </w:rPr>
      </w:pPr>
      <w:r>
        <w:rPr>
          <w:highlight w:val="none"/>
        </w:rPr>
        <w:t>项目排放的废气主要为恶臭气体（NH</w:t>
      </w:r>
      <w:r>
        <w:rPr>
          <w:highlight w:val="none"/>
          <w:vertAlign w:val="subscript"/>
        </w:rPr>
        <w:t>3</w:t>
      </w:r>
      <w:r>
        <w:rPr>
          <w:highlight w:val="none"/>
        </w:rPr>
        <w:t>、H</w:t>
      </w:r>
      <w:r>
        <w:rPr>
          <w:highlight w:val="none"/>
          <w:vertAlign w:val="subscript"/>
        </w:rPr>
        <w:t>2</w:t>
      </w:r>
      <w:r>
        <w:rPr>
          <w:highlight w:val="none"/>
        </w:rPr>
        <w:t>S），无总量控制污染物，因此无需申请废气总量控制指标。</w:t>
      </w:r>
    </w:p>
    <w:p>
      <w:pPr>
        <w:pStyle w:val="4"/>
        <w:bidi w:val="0"/>
        <w:rPr>
          <w:rFonts w:ascii="宋体" w:hAnsi="宋体" w:eastAsia="宋体" w:cs="宋体"/>
          <w:snapToGrid w:val="0"/>
          <w:color w:val="000000"/>
          <w:kern w:val="0"/>
          <w:sz w:val="28"/>
          <w:szCs w:val="28"/>
          <w:highlight w:val="none"/>
        </w:rPr>
      </w:pPr>
      <w:bookmarkStart w:id="104" w:name="_Toc10717"/>
      <w:bookmarkStart w:id="105" w:name="_Toc19030"/>
      <w:r>
        <w:rPr>
          <w:rFonts w:hint="eastAsia" w:ascii="Times New Roman" w:hAnsi="Times New Roman" w:eastAsia="宋体" w:cs="Times New Roman"/>
          <w:b/>
          <w:bCs/>
          <w:snapToGrid w:val="0"/>
          <w:color w:val="000000"/>
          <w:spacing w:val="-2"/>
          <w:kern w:val="0"/>
          <w:sz w:val="28"/>
          <w:szCs w:val="28"/>
          <w:highlight w:val="none"/>
          <w:lang w:val="en-US" w:eastAsia="zh-CN"/>
        </w:rPr>
        <w:t>9</w:t>
      </w:r>
      <w:r>
        <w:rPr>
          <w:rFonts w:ascii="Times New Roman" w:hAnsi="Times New Roman" w:eastAsia="Times New Roman" w:cs="Times New Roman"/>
          <w:b/>
          <w:bCs/>
          <w:snapToGrid w:val="0"/>
          <w:color w:val="000000"/>
          <w:spacing w:val="-2"/>
          <w:kern w:val="0"/>
          <w:sz w:val="28"/>
          <w:szCs w:val="28"/>
          <w:highlight w:val="none"/>
        </w:rPr>
        <w:t>.</w:t>
      </w:r>
      <w:r>
        <w:rPr>
          <w:rFonts w:hint="eastAsia" w:ascii="Times New Roman" w:hAnsi="Times New Roman" w:eastAsia="宋体" w:cs="Times New Roman"/>
          <w:b/>
          <w:bCs/>
          <w:snapToGrid w:val="0"/>
          <w:color w:val="000000"/>
          <w:spacing w:val="-2"/>
          <w:kern w:val="0"/>
          <w:sz w:val="28"/>
          <w:szCs w:val="28"/>
          <w:highlight w:val="none"/>
          <w:lang w:val="en-US" w:eastAsia="zh-CN"/>
        </w:rPr>
        <w:t>2</w:t>
      </w:r>
      <w:r>
        <w:rPr>
          <w:rFonts w:ascii="Times New Roman" w:hAnsi="Times New Roman" w:eastAsia="Times New Roman" w:cs="Times New Roman"/>
          <w:snapToGrid w:val="0"/>
          <w:color w:val="000000"/>
          <w:spacing w:val="10"/>
          <w:kern w:val="0"/>
          <w:sz w:val="28"/>
          <w:szCs w:val="28"/>
          <w:highlight w:val="none"/>
        </w:rPr>
        <w:t xml:space="preserve">  </w:t>
      </w:r>
      <w:r>
        <w:rPr>
          <w:rFonts w:ascii="宋体" w:hAnsi="宋体" w:eastAsia="宋体" w:cs="宋体"/>
          <w:snapToGrid w:val="0"/>
          <w:color w:val="000000"/>
          <w:spacing w:val="-2"/>
          <w:kern w:val="0"/>
          <w:sz w:val="28"/>
          <w:szCs w:val="28"/>
          <w:highlight w:val="none"/>
        </w:rPr>
        <w:t>环境经济损益分析</w:t>
      </w:r>
      <w:bookmarkEnd w:id="104"/>
      <w:bookmarkEnd w:id="105"/>
    </w:p>
    <w:p>
      <w:pPr>
        <w:bidi w:val="0"/>
        <w:rPr>
          <w:highlight w:val="none"/>
        </w:rPr>
      </w:pPr>
      <w:r>
        <w:rPr>
          <w:highlight w:val="none"/>
        </w:rPr>
        <w:t>环境经济损益分析的主要任务是衡量建设项目要投入的环境投资所能收到的环境保护效果，本评价环境经济损益分析主要研究工程环境经济损益情况，除需计算用于控制污染所需投资和费用外，还要同时核算可能收到的环境与经济实效。</w:t>
      </w:r>
    </w:p>
    <w:p>
      <w:pPr>
        <w:pStyle w:val="5"/>
        <w:bidi w:val="0"/>
        <w:rPr>
          <w:rFonts w:ascii="宋体" w:hAnsi="宋体" w:eastAsia="宋体" w:cs="宋体"/>
          <w:snapToGrid w:val="0"/>
          <w:color w:val="000000"/>
          <w:kern w:val="0"/>
          <w:sz w:val="28"/>
          <w:szCs w:val="28"/>
          <w:highlight w:val="none"/>
          <w:u w:val="single"/>
        </w:rPr>
      </w:pPr>
      <w:r>
        <w:rPr>
          <w:rFonts w:hint="eastAsia" w:ascii="Times New Roman" w:hAnsi="Times New Roman" w:eastAsia="宋体" w:cs="Times New Roman"/>
          <w:b/>
          <w:bCs/>
          <w:snapToGrid w:val="0"/>
          <w:color w:val="000000"/>
          <w:spacing w:val="-2"/>
          <w:kern w:val="0"/>
          <w:sz w:val="28"/>
          <w:szCs w:val="28"/>
          <w:highlight w:val="none"/>
          <w:u w:val="single"/>
          <w:lang w:val="en-US" w:eastAsia="zh-CN"/>
        </w:rPr>
        <w:t>9</w:t>
      </w:r>
      <w:r>
        <w:rPr>
          <w:rFonts w:ascii="Times New Roman" w:hAnsi="Times New Roman" w:eastAsia="Times New Roman" w:cs="Times New Roman"/>
          <w:b/>
          <w:bCs/>
          <w:snapToGrid w:val="0"/>
          <w:color w:val="000000"/>
          <w:spacing w:val="-2"/>
          <w:kern w:val="0"/>
          <w:sz w:val="28"/>
          <w:szCs w:val="28"/>
          <w:highlight w:val="none"/>
          <w:u w:val="single"/>
        </w:rPr>
        <w:t>.</w:t>
      </w:r>
      <w:r>
        <w:rPr>
          <w:rFonts w:hint="eastAsia" w:ascii="Times New Roman" w:hAnsi="Times New Roman" w:eastAsia="宋体" w:cs="Times New Roman"/>
          <w:b/>
          <w:bCs/>
          <w:snapToGrid w:val="0"/>
          <w:color w:val="000000"/>
          <w:spacing w:val="-2"/>
          <w:kern w:val="0"/>
          <w:sz w:val="28"/>
          <w:szCs w:val="28"/>
          <w:highlight w:val="none"/>
          <w:u w:val="single"/>
          <w:lang w:val="en-US" w:eastAsia="zh-CN"/>
        </w:rPr>
        <w:t>2</w:t>
      </w:r>
      <w:r>
        <w:rPr>
          <w:rFonts w:ascii="Times New Roman" w:hAnsi="Times New Roman" w:eastAsia="Times New Roman" w:cs="Times New Roman"/>
          <w:b/>
          <w:bCs/>
          <w:snapToGrid w:val="0"/>
          <w:color w:val="000000"/>
          <w:spacing w:val="-2"/>
          <w:kern w:val="0"/>
          <w:sz w:val="28"/>
          <w:szCs w:val="28"/>
          <w:highlight w:val="none"/>
          <w:u w:val="single"/>
        </w:rPr>
        <w:t>.1</w:t>
      </w:r>
      <w:r>
        <w:rPr>
          <w:rFonts w:ascii="Times New Roman" w:hAnsi="Times New Roman" w:eastAsia="Times New Roman" w:cs="Times New Roman"/>
          <w:snapToGrid w:val="0"/>
          <w:color w:val="000000"/>
          <w:spacing w:val="10"/>
          <w:kern w:val="0"/>
          <w:sz w:val="28"/>
          <w:szCs w:val="28"/>
          <w:highlight w:val="none"/>
          <w:u w:val="single"/>
        </w:rPr>
        <w:t xml:space="preserve">  </w:t>
      </w:r>
      <w:r>
        <w:rPr>
          <w:rFonts w:ascii="宋体" w:hAnsi="宋体" w:eastAsia="宋体" w:cs="宋体"/>
          <w:snapToGrid w:val="0"/>
          <w:color w:val="000000"/>
          <w:spacing w:val="-2"/>
          <w:kern w:val="0"/>
          <w:sz w:val="28"/>
          <w:szCs w:val="28"/>
          <w:highlight w:val="none"/>
          <w:u w:val="single"/>
        </w:rPr>
        <w:t>环保投资估算</w:t>
      </w:r>
    </w:p>
    <w:p>
      <w:pPr>
        <w:bidi w:val="0"/>
        <w:rPr>
          <w:highlight w:val="none"/>
          <w:u w:val="single"/>
        </w:rPr>
      </w:pPr>
      <w:r>
        <w:rPr>
          <w:highlight w:val="none"/>
          <w:u w:val="single"/>
        </w:rPr>
        <w:t>《建设项目环境保护设计规定》第六十三条指出：</w:t>
      </w:r>
      <w:r>
        <w:rPr>
          <w:rFonts w:hint="eastAsia" w:ascii="宋体" w:hAnsi="宋体" w:eastAsia="宋体" w:cs="宋体"/>
          <w:highlight w:val="none"/>
          <w:u w:val="single"/>
        </w:rPr>
        <w:t>“</w:t>
      </w:r>
      <w:r>
        <w:rPr>
          <w:highlight w:val="none"/>
          <w:u w:val="single"/>
        </w:rPr>
        <w:t>凡属于污染治理和保护环境所需的装置、设备、监测手段和工程设施等属于环境保护设施</w:t>
      </w:r>
      <w:r>
        <w:rPr>
          <w:rFonts w:hint="eastAsia" w:ascii="宋体" w:hAnsi="宋体" w:eastAsia="宋体" w:cs="宋体"/>
          <w:highlight w:val="none"/>
          <w:u w:val="single"/>
        </w:rPr>
        <w:t>”、“</w:t>
      </w:r>
      <w:r>
        <w:rPr>
          <w:highlight w:val="none"/>
          <w:u w:val="single"/>
        </w:rPr>
        <w:t>凡有环境保护设施的建设项目均应列入环境保护设施的投资概算</w:t>
      </w:r>
      <w:r>
        <w:rPr>
          <w:rFonts w:hint="eastAsia" w:ascii="宋体" w:hAnsi="宋体" w:eastAsia="宋体" w:cs="宋体"/>
          <w:highlight w:val="none"/>
          <w:u w:val="single"/>
        </w:rPr>
        <w:t>”</w:t>
      </w:r>
      <w:r>
        <w:rPr>
          <w:highlight w:val="none"/>
          <w:u w:val="single"/>
        </w:rPr>
        <w:t>，根据此规定，该</w:t>
      </w:r>
      <w:r>
        <w:rPr>
          <w:rFonts w:hint="eastAsia"/>
          <w:highlight w:val="none"/>
          <w:u w:val="single"/>
          <w:lang w:eastAsia="zh-CN"/>
        </w:rPr>
        <w:t>项目</w:t>
      </w:r>
      <w:r>
        <w:rPr>
          <w:highlight w:val="none"/>
          <w:u w:val="single"/>
        </w:rPr>
        <w:t>环保投资见下表</w:t>
      </w:r>
      <w:r>
        <w:rPr>
          <w:rFonts w:hint="eastAsia"/>
          <w:highlight w:val="none"/>
          <w:u w:val="single"/>
          <w:lang w:val="en-US" w:eastAsia="zh-CN"/>
        </w:rPr>
        <w:t>9</w:t>
      </w:r>
      <w:r>
        <w:rPr>
          <w:highlight w:val="none"/>
          <w:u w:val="single"/>
        </w:rPr>
        <w:t>.</w:t>
      </w:r>
      <w:r>
        <w:rPr>
          <w:rFonts w:hint="eastAsia"/>
          <w:highlight w:val="none"/>
          <w:u w:val="single"/>
          <w:lang w:val="en-US" w:eastAsia="zh-CN"/>
        </w:rPr>
        <w:t>2</w:t>
      </w:r>
      <w:r>
        <w:rPr>
          <w:highlight w:val="none"/>
          <w:u w:val="single"/>
        </w:rPr>
        <w:t>-1</w:t>
      </w:r>
    </w:p>
    <w:p>
      <w:pPr>
        <w:pStyle w:val="7"/>
        <w:bidi w:val="0"/>
        <w:rPr>
          <w:highlight w:val="none"/>
          <w:u w:val="single"/>
        </w:rPr>
      </w:pPr>
      <w:r>
        <w:rPr>
          <w:highlight w:val="none"/>
          <w:u w:val="single"/>
        </w:rPr>
        <w:t>表</w:t>
      </w:r>
      <w:r>
        <w:rPr>
          <w:rFonts w:hint="eastAsia"/>
          <w:highlight w:val="none"/>
          <w:u w:val="single"/>
          <w:lang w:val="en-US" w:eastAsia="zh-CN"/>
        </w:rPr>
        <w:t>9</w:t>
      </w:r>
      <w:r>
        <w:rPr>
          <w:highlight w:val="none"/>
          <w:u w:val="single"/>
        </w:rPr>
        <w:t>.</w:t>
      </w:r>
      <w:r>
        <w:rPr>
          <w:rFonts w:hint="eastAsia"/>
          <w:highlight w:val="none"/>
          <w:u w:val="single"/>
          <w:lang w:val="en-US" w:eastAsia="zh-CN"/>
        </w:rPr>
        <w:t>2</w:t>
      </w:r>
      <w:r>
        <w:rPr>
          <w:highlight w:val="none"/>
          <w:u w:val="single"/>
        </w:rPr>
        <w:t>-1  本项目环境保护投资估算表</w:t>
      </w:r>
    </w:p>
    <w:tbl>
      <w:tblPr>
        <w:tblStyle w:val="34"/>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69"/>
        <w:gridCol w:w="883"/>
        <w:gridCol w:w="1787"/>
        <w:gridCol w:w="3758"/>
        <w:gridCol w:w="12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序号</w:t>
            </w:r>
          </w:p>
        </w:tc>
        <w:tc>
          <w:tcPr>
            <w:tcW w:w="1596" w:type="pct"/>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环保治理</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环保项目</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投资（万元）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00"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1</w:t>
            </w:r>
          </w:p>
        </w:tc>
        <w:tc>
          <w:tcPr>
            <w:tcW w:w="52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废气</w:t>
            </w: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无组织恶臭</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强制通风，饲料添加活菌剂、喷洒除臭剂、除臭剂等</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cs="Times New Roman"/>
                <w:snapToGrid w:val="0"/>
                <w:color w:val="000000"/>
                <w:spacing w:val="0"/>
                <w:w w:val="100"/>
                <w:kern w:val="0"/>
                <w:position w:val="0"/>
                <w:sz w:val="21"/>
                <w:szCs w:val="21"/>
                <w:highlight w:val="none"/>
                <w:u w:val="singl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0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52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油烟</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安装油烟净化器</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2</w:t>
            </w:r>
          </w:p>
        </w:tc>
        <w:tc>
          <w:tcPr>
            <w:tcW w:w="52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污水</w:t>
            </w: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雨污分流</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厂内排水管道，雨水明沟等</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52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bidi="ar-SA"/>
              </w:rPr>
            </w:pPr>
            <w:r>
              <w:rPr>
                <w:rFonts w:hint="default" w:ascii="Times New Roman" w:hAnsi="Times New Roman" w:eastAsia="宋体" w:cs="Times New Roman"/>
                <w:snapToGrid w:val="0"/>
                <w:color w:val="000000"/>
                <w:spacing w:val="0"/>
                <w:w w:val="100"/>
                <w:kern w:val="0"/>
                <w:position w:val="0"/>
                <w:sz w:val="21"/>
                <w:szCs w:val="21"/>
                <w:highlight w:val="none"/>
                <w:u w:val="single"/>
              </w:rPr>
              <w:t>污水处理</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bidi="ar-SA"/>
              </w:rPr>
            </w:pPr>
            <w:r>
              <w:rPr>
                <w:rFonts w:hint="eastAsia" w:cs="Times New Roman"/>
                <w:snapToGrid w:val="0"/>
                <w:color w:val="000000"/>
                <w:spacing w:val="0"/>
                <w:w w:val="100"/>
                <w:kern w:val="0"/>
                <w:position w:val="0"/>
                <w:sz w:val="21"/>
                <w:szCs w:val="21"/>
                <w:highlight w:val="none"/>
                <w:u w:val="single"/>
                <w:lang w:eastAsia="zh-CN"/>
              </w:rPr>
              <w:t>污水处理站</w:t>
            </w:r>
            <w:r>
              <w:rPr>
                <w:rFonts w:hint="eastAsia" w:cs="Times New Roman"/>
                <w:snapToGrid w:val="0"/>
                <w:color w:val="000000"/>
                <w:spacing w:val="0"/>
                <w:w w:val="100"/>
                <w:kern w:val="0"/>
                <w:position w:val="0"/>
                <w:sz w:val="21"/>
                <w:szCs w:val="21"/>
                <w:highlight w:val="none"/>
                <w:u w:val="single"/>
                <w:lang w:val="en-US" w:eastAsia="zh-CN"/>
              </w:rPr>
              <w:t>+氧化塘</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52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事故应急池</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1个，容积约</w:t>
            </w:r>
            <w:r>
              <w:rPr>
                <w:rFonts w:hint="eastAsia" w:cs="Times New Roman"/>
                <w:snapToGrid w:val="0"/>
                <w:color w:val="000000"/>
                <w:spacing w:val="0"/>
                <w:w w:val="100"/>
                <w:kern w:val="0"/>
                <w:position w:val="0"/>
                <w:sz w:val="21"/>
                <w:szCs w:val="21"/>
                <w:highlight w:val="none"/>
                <w:u w:val="single"/>
                <w:lang w:val="en-US" w:eastAsia="zh-CN"/>
              </w:rPr>
              <w:t>550</w:t>
            </w:r>
            <w:r>
              <w:rPr>
                <w:rFonts w:hint="default" w:ascii="Times New Roman" w:hAnsi="Times New Roman" w:eastAsia="宋体" w:cs="Times New Roman"/>
                <w:snapToGrid w:val="0"/>
                <w:color w:val="000000"/>
                <w:spacing w:val="0"/>
                <w:w w:val="100"/>
                <w:kern w:val="0"/>
                <w:position w:val="0"/>
                <w:sz w:val="21"/>
                <w:szCs w:val="21"/>
                <w:highlight w:val="none"/>
                <w:u w:val="single"/>
              </w:rPr>
              <w:t>m</w:t>
            </w:r>
            <w:r>
              <w:rPr>
                <w:rFonts w:hint="default" w:ascii="Times New Roman" w:hAnsi="Times New Roman" w:eastAsia="宋体" w:cs="Times New Roman"/>
                <w:snapToGrid w:val="0"/>
                <w:color w:val="000000"/>
                <w:spacing w:val="0"/>
                <w:w w:val="100"/>
                <w:kern w:val="0"/>
                <w:position w:val="0"/>
                <w:sz w:val="21"/>
                <w:szCs w:val="21"/>
                <w:highlight w:val="none"/>
                <w:u w:val="single"/>
                <w:vertAlign w:val="superscript"/>
              </w:rPr>
              <w:t>3</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3</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噪声</w:t>
            </w: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噪声治理</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消声、减震、隔声措施</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cs="Times New Roman"/>
                <w:snapToGrid w:val="0"/>
                <w:color w:val="000000"/>
                <w:spacing w:val="0"/>
                <w:w w:val="100"/>
                <w:kern w:val="0"/>
                <w:position w:val="0"/>
                <w:sz w:val="21"/>
                <w:szCs w:val="21"/>
                <w:highlight w:val="none"/>
                <w:u w:val="singl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4</w:t>
            </w:r>
          </w:p>
        </w:tc>
        <w:tc>
          <w:tcPr>
            <w:tcW w:w="528"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固废</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生活垃圾</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ascii="宋体" w:hAnsi="宋体" w:eastAsia="宋体" w:cs="宋体"/>
                <w:snapToGrid w:val="0"/>
                <w:color w:val="000000"/>
                <w:spacing w:val="-2"/>
                <w:kern w:val="0"/>
                <w:sz w:val="21"/>
                <w:szCs w:val="21"/>
                <w:highlight w:val="none"/>
                <w:u w:val="single"/>
              </w:rPr>
              <w:t>收集、临时存储</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52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病死猪</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委托处置</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528"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医疗废物</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委托处置</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cs="Times New Roman"/>
                <w:snapToGrid w:val="0"/>
                <w:color w:val="000000"/>
                <w:spacing w:val="0"/>
                <w:w w:val="100"/>
                <w:kern w:val="0"/>
                <w:position w:val="0"/>
                <w:sz w:val="21"/>
                <w:szCs w:val="21"/>
                <w:highlight w:val="none"/>
                <w:u w:val="single"/>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val="en-US" w:eastAsia="zh-CN"/>
              </w:rPr>
              <w:t>5</w:t>
            </w:r>
          </w:p>
        </w:tc>
        <w:tc>
          <w:tcPr>
            <w:tcW w:w="52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t>地下水</w:t>
            </w:r>
          </w:p>
        </w:tc>
        <w:tc>
          <w:tcPr>
            <w:tcW w:w="1068"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rPr>
            </w:pPr>
            <w:r>
              <w:rPr>
                <w:rFonts w:ascii="宋体" w:hAnsi="宋体" w:eastAsia="宋体" w:cs="宋体"/>
                <w:snapToGrid w:val="0"/>
                <w:color w:val="000000"/>
                <w:spacing w:val="-2"/>
                <w:kern w:val="0"/>
                <w:sz w:val="21"/>
                <w:szCs w:val="21"/>
                <w:highlight w:val="none"/>
                <w:u w:val="single"/>
              </w:rPr>
              <w:t>分区防渗</w:t>
            </w:r>
          </w:p>
        </w:tc>
        <w:tc>
          <w:tcPr>
            <w:tcW w:w="224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ascii="宋体" w:hAnsi="宋体" w:eastAsia="宋体" w:cs="宋体"/>
                <w:snapToGrid w:val="0"/>
                <w:color w:val="000000"/>
                <w:spacing w:val="-1"/>
                <w:kern w:val="0"/>
                <w:sz w:val="21"/>
                <w:szCs w:val="21"/>
                <w:highlight w:val="none"/>
                <w:u w:val="single"/>
              </w:rPr>
              <w:t>重点防渗区、一般防渗区、简单防渗</w:t>
            </w:r>
            <w:r>
              <w:rPr>
                <w:rFonts w:ascii="宋体" w:hAnsi="宋体" w:eastAsia="宋体" w:cs="宋体"/>
                <w:snapToGrid w:val="0"/>
                <w:color w:val="000000"/>
                <w:spacing w:val="11"/>
                <w:kern w:val="0"/>
                <w:sz w:val="21"/>
                <w:szCs w:val="21"/>
                <w:highlight w:val="none"/>
                <w:u w:val="single"/>
              </w:rPr>
              <w:t xml:space="preserve"> </w:t>
            </w:r>
            <w:r>
              <w:rPr>
                <w:rFonts w:ascii="宋体" w:hAnsi="宋体" w:eastAsia="宋体" w:cs="宋体"/>
                <w:snapToGrid w:val="0"/>
                <w:color w:val="000000"/>
                <w:spacing w:val="-5"/>
                <w:kern w:val="0"/>
                <w:sz w:val="21"/>
                <w:szCs w:val="21"/>
                <w:highlight w:val="none"/>
                <w:u w:val="single"/>
              </w:rPr>
              <w:t>区分区防渗</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cs="Times New Roman"/>
                <w:snapToGrid w:val="0"/>
                <w:color w:val="000000"/>
                <w:spacing w:val="0"/>
                <w:w w:val="100"/>
                <w:kern w:val="0"/>
                <w:position w:val="0"/>
                <w:sz w:val="21"/>
                <w:szCs w:val="21"/>
                <w:highlight w:val="none"/>
                <w:u w:val="single"/>
                <w:lang w:val="en-US" w:eastAsia="zh-CN"/>
              </w:rPr>
            </w:pPr>
            <w:r>
              <w:rPr>
                <w:rFonts w:ascii="Times New Roman" w:hAnsi="Times New Roman" w:eastAsia="Times New Roman" w:cs="Times New Roman"/>
                <w:snapToGrid w:val="0"/>
                <w:color w:val="000000"/>
                <w:spacing w:val="-10"/>
                <w:w w:val="98"/>
                <w:kern w:val="0"/>
                <w:sz w:val="21"/>
                <w:szCs w:val="21"/>
                <w:highlight w:val="none"/>
                <w:u w:val="single"/>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4242" w:type="pct"/>
            <w:gridSpan w:val="4"/>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1"/>
                <w:kern w:val="0"/>
                <w:sz w:val="21"/>
                <w:szCs w:val="21"/>
                <w:highlight w:val="none"/>
                <w:u w:val="single"/>
                <w:lang w:eastAsia="zh-CN"/>
              </w:rPr>
            </w:pPr>
            <w:r>
              <w:rPr>
                <w:rFonts w:hint="eastAsia" w:ascii="宋体" w:hAnsi="宋体" w:cs="宋体"/>
                <w:snapToGrid w:val="0"/>
                <w:color w:val="000000"/>
                <w:spacing w:val="-1"/>
                <w:kern w:val="0"/>
                <w:sz w:val="21"/>
                <w:szCs w:val="21"/>
                <w:highlight w:val="none"/>
                <w:u w:val="single"/>
                <w:lang w:eastAsia="zh-CN"/>
              </w:rPr>
              <w:t>合计</w:t>
            </w:r>
          </w:p>
        </w:tc>
        <w:tc>
          <w:tcPr>
            <w:tcW w:w="75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10"/>
                <w:w w:val="98"/>
                <w:kern w:val="0"/>
                <w:sz w:val="21"/>
                <w:szCs w:val="21"/>
                <w:highlight w:val="none"/>
                <w:u w:val="single"/>
                <w:lang w:val="en-US" w:eastAsia="zh-CN"/>
              </w:rPr>
            </w:pPr>
            <w:r>
              <w:rPr>
                <w:rFonts w:hint="eastAsia" w:eastAsia="宋体" w:cs="Times New Roman"/>
                <w:snapToGrid w:val="0"/>
                <w:color w:val="000000"/>
                <w:spacing w:val="-10"/>
                <w:w w:val="98"/>
                <w:kern w:val="0"/>
                <w:sz w:val="21"/>
                <w:szCs w:val="21"/>
                <w:highlight w:val="none"/>
                <w:u w:val="single"/>
                <w:lang w:val="en-US" w:eastAsia="zh-CN"/>
              </w:rPr>
              <w:t>110.5</w:t>
            </w:r>
          </w:p>
        </w:tc>
      </w:tr>
    </w:tbl>
    <w:p>
      <w:pPr>
        <w:widowControl/>
        <w:kinsoku w:val="0"/>
        <w:autoSpaceDE w:val="0"/>
        <w:autoSpaceDN w:val="0"/>
        <w:adjustRightInd w:val="0"/>
        <w:snapToGrid w:val="0"/>
        <w:spacing w:line="41" w:lineRule="exact"/>
        <w:ind w:firstLine="0" w:firstLineChars="0"/>
        <w:jc w:val="left"/>
        <w:textAlignment w:val="baseline"/>
        <w:rPr>
          <w:rFonts w:ascii="Arial" w:hAnsi="Arial" w:eastAsia="Arial" w:cs="Arial"/>
          <w:snapToGrid w:val="0"/>
          <w:color w:val="000000"/>
          <w:kern w:val="0"/>
          <w:sz w:val="21"/>
          <w:szCs w:val="21"/>
          <w:highlight w:val="none"/>
          <w:u w:val="single"/>
        </w:rPr>
      </w:pPr>
    </w:p>
    <w:p>
      <w:pPr>
        <w:bidi w:val="0"/>
        <w:rPr>
          <w:highlight w:val="none"/>
          <w:u w:val="single"/>
        </w:rPr>
      </w:pPr>
      <w:r>
        <w:rPr>
          <w:highlight w:val="none"/>
          <w:u w:val="single"/>
        </w:rPr>
        <w:t>由上表</w:t>
      </w:r>
      <w:r>
        <w:rPr>
          <w:rFonts w:hint="eastAsia"/>
          <w:highlight w:val="none"/>
          <w:u w:val="single"/>
          <w:lang w:val="en-US" w:eastAsia="zh-CN"/>
        </w:rPr>
        <w:t>9</w:t>
      </w:r>
      <w:r>
        <w:rPr>
          <w:highlight w:val="none"/>
          <w:u w:val="single"/>
        </w:rPr>
        <w:t>.</w:t>
      </w:r>
      <w:r>
        <w:rPr>
          <w:rFonts w:hint="eastAsia"/>
          <w:highlight w:val="none"/>
          <w:u w:val="single"/>
          <w:lang w:val="en-US" w:eastAsia="zh-CN"/>
        </w:rPr>
        <w:t>2</w:t>
      </w:r>
      <w:r>
        <w:rPr>
          <w:highlight w:val="none"/>
          <w:u w:val="single"/>
        </w:rPr>
        <w:t xml:space="preserve">-1 可知，该项目环保总投资 </w:t>
      </w:r>
      <w:r>
        <w:rPr>
          <w:rFonts w:hint="eastAsia"/>
          <w:highlight w:val="none"/>
          <w:u w:val="single"/>
          <w:lang w:val="en-US" w:eastAsia="zh-CN"/>
        </w:rPr>
        <w:t>110.5</w:t>
      </w:r>
      <w:r>
        <w:rPr>
          <w:highlight w:val="none"/>
          <w:u w:val="single"/>
        </w:rPr>
        <w:t xml:space="preserve"> </w:t>
      </w:r>
      <w:r>
        <w:rPr>
          <w:rFonts w:hint="eastAsia"/>
          <w:highlight w:val="none"/>
          <w:u w:val="single"/>
        </w:rPr>
        <w:t>万</w:t>
      </w:r>
      <w:r>
        <w:rPr>
          <w:highlight w:val="none"/>
          <w:u w:val="single"/>
        </w:rPr>
        <w:t>元，占建设总投资（</w:t>
      </w:r>
      <w:r>
        <w:rPr>
          <w:rFonts w:hint="eastAsia"/>
          <w:highlight w:val="none"/>
          <w:u w:val="single"/>
          <w:lang w:val="en-US" w:eastAsia="zh-CN"/>
        </w:rPr>
        <w:t>1</w:t>
      </w:r>
      <w:r>
        <w:rPr>
          <w:highlight w:val="none"/>
          <w:u w:val="single"/>
        </w:rPr>
        <w:t>000万元） 的</w:t>
      </w:r>
      <w:r>
        <w:rPr>
          <w:rFonts w:hint="eastAsia"/>
          <w:highlight w:val="none"/>
          <w:u w:val="single"/>
          <w:lang w:val="en-US" w:eastAsia="zh-CN"/>
        </w:rPr>
        <w:t>11.05</w:t>
      </w:r>
      <w:r>
        <w:rPr>
          <w:highlight w:val="none"/>
          <w:u w:val="single"/>
        </w:rPr>
        <w:t>%；其中用于养殖粪污处理的投资最大，共</w:t>
      </w:r>
      <w:r>
        <w:rPr>
          <w:rFonts w:hint="eastAsia"/>
          <w:highlight w:val="none"/>
          <w:u w:val="single"/>
          <w:lang w:val="en-US" w:eastAsia="zh-CN"/>
        </w:rPr>
        <w:t>85</w:t>
      </w:r>
      <w:r>
        <w:rPr>
          <w:highlight w:val="none"/>
          <w:u w:val="single"/>
        </w:rPr>
        <w:t>万元，占环保投资的</w:t>
      </w:r>
      <w:r>
        <w:rPr>
          <w:rFonts w:hint="eastAsia"/>
          <w:highlight w:val="none"/>
          <w:u w:val="single"/>
          <w:lang w:val="en-US" w:eastAsia="zh-CN"/>
        </w:rPr>
        <w:t>76.92</w:t>
      </w:r>
      <w:r>
        <w:rPr>
          <w:highlight w:val="none"/>
          <w:u w:val="single"/>
        </w:rPr>
        <w:t>%；其次为地下水防渗防治措施投资10万元，占环保投资的</w:t>
      </w:r>
      <w:r>
        <w:rPr>
          <w:rFonts w:hint="eastAsia"/>
          <w:highlight w:val="none"/>
          <w:u w:val="single"/>
          <w:lang w:val="en-US" w:eastAsia="zh-CN"/>
        </w:rPr>
        <w:t>9.05</w:t>
      </w:r>
      <w:r>
        <w:rPr>
          <w:highlight w:val="none"/>
          <w:u w:val="single"/>
        </w:rPr>
        <w:t>%；；固废污染治理</w:t>
      </w:r>
      <w:r>
        <w:rPr>
          <w:rFonts w:hint="eastAsia"/>
          <w:highlight w:val="none"/>
          <w:u w:val="single"/>
          <w:lang w:val="en-US" w:eastAsia="zh-CN"/>
        </w:rPr>
        <w:t>7</w:t>
      </w:r>
      <w:r>
        <w:rPr>
          <w:highlight w:val="none"/>
          <w:u w:val="single"/>
        </w:rPr>
        <w:t>万元，占环保投资的</w:t>
      </w:r>
      <w:r>
        <w:rPr>
          <w:rFonts w:hint="eastAsia"/>
          <w:highlight w:val="none"/>
          <w:u w:val="single"/>
          <w:lang w:val="en-US" w:eastAsia="zh-CN"/>
        </w:rPr>
        <w:t>6.33</w:t>
      </w:r>
      <w:r>
        <w:rPr>
          <w:highlight w:val="none"/>
          <w:u w:val="single"/>
        </w:rPr>
        <w:t>%；废气处理措施投资</w:t>
      </w:r>
      <w:r>
        <w:rPr>
          <w:rFonts w:hint="eastAsia"/>
          <w:highlight w:val="none"/>
          <w:u w:val="single"/>
          <w:lang w:val="en-US" w:eastAsia="zh-CN"/>
        </w:rPr>
        <w:t>4.</w:t>
      </w:r>
      <w:r>
        <w:rPr>
          <w:highlight w:val="none"/>
          <w:u w:val="single"/>
        </w:rPr>
        <w:t>5万元，占环保投资的</w:t>
      </w:r>
      <w:r>
        <w:rPr>
          <w:rFonts w:hint="eastAsia"/>
          <w:highlight w:val="none"/>
          <w:u w:val="single"/>
          <w:lang w:val="en-US" w:eastAsia="zh-CN"/>
        </w:rPr>
        <w:t>4.07</w:t>
      </w:r>
      <w:r>
        <w:rPr>
          <w:highlight w:val="none"/>
          <w:u w:val="single"/>
        </w:rPr>
        <w:t>%；</w:t>
      </w:r>
      <w:r>
        <w:rPr>
          <w:rFonts w:hint="eastAsia"/>
          <w:highlight w:val="none"/>
          <w:u w:val="single"/>
          <w:lang w:eastAsia="zh-CN"/>
        </w:rPr>
        <w:t>噪声</w:t>
      </w:r>
      <w:r>
        <w:rPr>
          <w:highlight w:val="none"/>
          <w:u w:val="single"/>
        </w:rPr>
        <w:t>处理措施投资</w:t>
      </w:r>
      <w:r>
        <w:rPr>
          <w:rFonts w:hint="eastAsia"/>
          <w:highlight w:val="none"/>
          <w:u w:val="single"/>
          <w:lang w:val="en-US" w:eastAsia="zh-CN"/>
        </w:rPr>
        <w:t>4</w:t>
      </w:r>
      <w:r>
        <w:rPr>
          <w:highlight w:val="none"/>
          <w:u w:val="single"/>
        </w:rPr>
        <w:t>万元，占环保投资的</w:t>
      </w:r>
      <w:r>
        <w:rPr>
          <w:rFonts w:hint="eastAsia"/>
          <w:highlight w:val="none"/>
          <w:u w:val="single"/>
          <w:lang w:val="en-US" w:eastAsia="zh-CN"/>
        </w:rPr>
        <w:t>3.62</w:t>
      </w:r>
      <w:r>
        <w:rPr>
          <w:highlight w:val="none"/>
          <w:u w:val="single"/>
        </w:rPr>
        <w:t>%；从环保投资比例来看，抓住了工程的污水污染治理、臭气治理、地下水防渗防治及固废处理的主要特征。因此，环保投资比例适当，分配较为合理。</w:t>
      </w:r>
    </w:p>
    <w:p>
      <w:pPr>
        <w:pStyle w:val="5"/>
        <w:bidi w:val="0"/>
        <w:rPr>
          <w:rFonts w:ascii="宋体" w:hAnsi="宋体" w:eastAsia="宋体" w:cs="宋体"/>
          <w:snapToGrid w:val="0"/>
          <w:color w:val="000000"/>
          <w:kern w:val="0"/>
          <w:sz w:val="28"/>
          <w:szCs w:val="28"/>
          <w:highlight w:val="none"/>
        </w:rPr>
      </w:pPr>
      <w:r>
        <w:rPr>
          <w:rFonts w:hint="eastAsia" w:ascii="Times New Roman" w:hAnsi="Times New Roman" w:eastAsia="宋体" w:cs="Times New Roman"/>
          <w:b/>
          <w:bCs/>
          <w:snapToGrid w:val="0"/>
          <w:color w:val="000000"/>
          <w:spacing w:val="-2"/>
          <w:kern w:val="0"/>
          <w:sz w:val="28"/>
          <w:szCs w:val="28"/>
          <w:highlight w:val="none"/>
          <w:lang w:val="en-US" w:eastAsia="zh-CN"/>
        </w:rPr>
        <w:t>9</w:t>
      </w:r>
      <w:r>
        <w:rPr>
          <w:rFonts w:ascii="Times New Roman" w:hAnsi="Times New Roman" w:eastAsia="Times New Roman" w:cs="Times New Roman"/>
          <w:b/>
          <w:bCs/>
          <w:snapToGrid w:val="0"/>
          <w:color w:val="000000"/>
          <w:spacing w:val="-2"/>
          <w:kern w:val="0"/>
          <w:sz w:val="28"/>
          <w:szCs w:val="28"/>
          <w:highlight w:val="none"/>
        </w:rPr>
        <w:t>.</w:t>
      </w:r>
      <w:r>
        <w:rPr>
          <w:rFonts w:hint="eastAsia" w:ascii="Times New Roman" w:hAnsi="Times New Roman" w:eastAsia="宋体" w:cs="Times New Roman"/>
          <w:b/>
          <w:bCs/>
          <w:snapToGrid w:val="0"/>
          <w:color w:val="000000"/>
          <w:spacing w:val="-2"/>
          <w:kern w:val="0"/>
          <w:sz w:val="28"/>
          <w:szCs w:val="28"/>
          <w:highlight w:val="none"/>
          <w:lang w:val="en-US" w:eastAsia="zh-CN"/>
        </w:rPr>
        <w:t>2</w:t>
      </w:r>
      <w:r>
        <w:rPr>
          <w:rFonts w:ascii="Times New Roman" w:hAnsi="Times New Roman" w:eastAsia="Times New Roman" w:cs="Times New Roman"/>
          <w:b/>
          <w:bCs/>
          <w:snapToGrid w:val="0"/>
          <w:color w:val="000000"/>
          <w:spacing w:val="-2"/>
          <w:kern w:val="0"/>
          <w:sz w:val="28"/>
          <w:szCs w:val="28"/>
          <w:highlight w:val="none"/>
        </w:rPr>
        <w:t>.2</w:t>
      </w:r>
      <w:r>
        <w:rPr>
          <w:rFonts w:ascii="Times New Roman" w:hAnsi="Times New Roman" w:eastAsia="Times New Roman" w:cs="Times New Roman"/>
          <w:snapToGrid w:val="0"/>
          <w:color w:val="000000"/>
          <w:spacing w:val="10"/>
          <w:kern w:val="0"/>
          <w:sz w:val="28"/>
          <w:szCs w:val="28"/>
          <w:highlight w:val="none"/>
        </w:rPr>
        <w:t xml:space="preserve">  </w:t>
      </w:r>
      <w:r>
        <w:rPr>
          <w:rFonts w:ascii="宋体" w:hAnsi="宋体" w:eastAsia="宋体" w:cs="宋体"/>
          <w:snapToGrid w:val="0"/>
          <w:color w:val="000000"/>
          <w:spacing w:val="-2"/>
          <w:kern w:val="0"/>
          <w:sz w:val="28"/>
          <w:szCs w:val="28"/>
          <w:highlight w:val="none"/>
        </w:rPr>
        <w:t>经济效益分析</w:t>
      </w:r>
    </w:p>
    <w:p>
      <w:pPr>
        <w:pStyle w:val="6"/>
        <w:bidi w:val="0"/>
        <w:rPr>
          <w:highlight w:val="none"/>
        </w:rPr>
      </w:pPr>
      <w:r>
        <w:rPr>
          <w:rFonts w:hint="eastAsia"/>
          <w:highlight w:val="none"/>
          <w:lang w:val="en-US" w:eastAsia="zh-CN"/>
        </w:rPr>
        <w:t>9</w:t>
      </w:r>
      <w:r>
        <w:rPr>
          <w:highlight w:val="none"/>
        </w:rPr>
        <w:t>.</w:t>
      </w:r>
      <w:r>
        <w:rPr>
          <w:rFonts w:hint="eastAsia"/>
          <w:highlight w:val="none"/>
          <w:lang w:val="en-US" w:eastAsia="zh-CN"/>
        </w:rPr>
        <w:t>2</w:t>
      </w:r>
      <w:r>
        <w:rPr>
          <w:highlight w:val="none"/>
        </w:rPr>
        <w:t>.2.1  直接经济效益</w:t>
      </w:r>
    </w:p>
    <w:p>
      <w:pPr>
        <w:bidi w:val="0"/>
        <w:rPr>
          <w:highlight w:val="none"/>
        </w:rPr>
      </w:pPr>
      <w:r>
        <w:rPr>
          <w:highlight w:val="none"/>
        </w:rPr>
        <w:t>该项目总资产投资</w:t>
      </w:r>
      <w:r>
        <w:rPr>
          <w:rFonts w:hint="eastAsia"/>
          <w:highlight w:val="none"/>
          <w:lang w:val="en-US" w:eastAsia="zh-CN"/>
        </w:rPr>
        <w:t>1000</w:t>
      </w:r>
      <w:r>
        <w:rPr>
          <w:highlight w:val="none"/>
        </w:rPr>
        <w:t>万元。项目建成达到稳定生产后，年出栏商品育肥猪约</w:t>
      </w:r>
      <w:r>
        <w:rPr>
          <w:rFonts w:hint="eastAsia"/>
          <w:highlight w:val="none"/>
          <w:lang w:val="en-US" w:eastAsia="zh-CN"/>
        </w:rPr>
        <w:t>11</w:t>
      </w:r>
      <w:r>
        <w:rPr>
          <w:highlight w:val="none"/>
        </w:rPr>
        <w:t>000头，按平均行情每头产值3000元，平均总成本每头</w:t>
      </w:r>
      <w:r>
        <w:rPr>
          <w:rFonts w:hint="eastAsia"/>
          <w:highlight w:val="none"/>
          <w:lang w:val="en-US" w:eastAsia="zh-CN"/>
        </w:rPr>
        <w:t>2550</w:t>
      </w:r>
      <w:r>
        <w:rPr>
          <w:highlight w:val="none"/>
        </w:rPr>
        <w:t>元，则每头猪苗纯利500元；年净利润总额</w:t>
      </w:r>
      <w:r>
        <w:rPr>
          <w:rFonts w:hint="eastAsia"/>
          <w:highlight w:val="none"/>
          <w:lang w:val="en-US" w:eastAsia="zh-CN"/>
        </w:rPr>
        <w:t>550</w:t>
      </w:r>
      <w:r>
        <w:rPr>
          <w:highlight w:val="none"/>
        </w:rPr>
        <w:t>万元。因此，</w:t>
      </w:r>
      <w:r>
        <w:rPr>
          <w:rFonts w:ascii="宋体" w:hAnsi="宋体" w:eastAsia="宋体" w:cs="宋体"/>
          <w:spacing w:val="-4"/>
          <w:sz w:val="24"/>
          <w:szCs w:val="24"/>
          <w:highlight w:val="none"/>
        </w:rPr>
        <w:t>本项目经济</w:t>
      </w:r>
      <w:r>
        <w:rPr>
          <w:rFonts w:ascii="宋体" w:hAnsi="宋体" w:eastAsia="宋体" w:cs="宋体"/>
          <w:spacing w:val="-2"/>
          <w:sz w:val="24"/>
          <w:szCs w:val="24"/>
          <w:highlight w:val="none"/>
        </w:rPr>
        <w:t>效益较好</w:t>
      </w:r>
      <w:r>
        <w:rPr>
          <w:highlight w:val="none"/>
        </w:rPr>
        <w:t>。</w:t>
      </w:r>
    </w:p>
    <w:p>
      <w:pPr>
        <w:pStyle w:val="6"/>
        <w:bidi w:val="0"/>
        <w:rPr>
          <w:highlight w:val="none"/>
        </w:rPr>
      </w:pPr>
      <w:r>
        <w:rPr>
          <w:rFonts w:hint="eastAsia"/>
          <w:highlight w:val="none"/>
          <w:lang w:val="en-US" w:eastAsia="zh-CN"/>
        </w:rPr>
        <w:t>9</w:t>
      </w:r>
      <w:r>
        <w:rPr>
          <w:highlight w:val="none"/>
        </w:rPr>
        <w:t>.</w:t>
      </w:r>
      <w:r>
        <w:rPr>
          <w:rFonts w:hint="eastAsia"/>
          <w:highlight w:val="none"/>
          <w:lang w:val="en-US" w:eastAsia="zh-CN"/>
        </w:rPr>
        <w:t>2</w:t>
      </w:r>
      <w:r>
        <w:rPr>
          <w:highlight w:val="none"/>
        </w:rPr>
        <w:t>.2.2  间接经济效益</w:t>
      </w:r>
    </w:p>
    <w:p>
      <w:pPr>
        <w:bidi w:val="0"/>
        <w:rPr>
          <w:highlight w:val="none"/>
        </w:rPr>
      </w:pPr>
      <w:r>
        <w:rPr>
          <w:highlight w:val="none"/>
        </w:rPr>
        <w:t>该项目建设有利于调整区域农业结构，带动</w:t>
      </w:r>
      <w:r>
        <w:rPr>
          <w:rFonts w:hint="eastAsia"/>
          <w:highlight w:val="none"/>
          <w:lang w:eastAsia="zh-CN"/>
        </w:rPr>
        <w:t>华容县</w:t>
      </w:r>
      <w:r>
        <w:rPr>
          <w:highlight w:val="none"/>
        </w:rPr>
        <w:t>及周边地区种植业、运输业及相关产业的发展，形成生猪养殖产业链，加快农业产业化进程，有效解决</w:t>
      </w:r>
      <w:r>
        <w:rPr>
          <w:rFonts w:hint="eastAsia" w:ascii="宋体" w:hAnsi="宋体" w:eastAsia="宋体" w:cs="宋体"/>
          <w:highlight w:val="none"/>
        </w:rPr>
        <w:t>“三农”问</w:t>
      </w:r>
      <w:r>
        <w:rPr>
          <w:highlight w:val="none"/>
        </w:rPr>
        <w:t>题，增加当地农民的收入。</w:t>
      </w:r>
    </w:p>
    <w:p>
      <w:pPr>
        <w:pStyle w:val="5"/>
        <w:bidi w:val="0"/>
        <w:rPr>
          <w:rFonts w:ascii="宋体" w:hAnsi="宋体" w:eastAsia="宋体" w:cs="宋体"/>
          <w:snapToGrid w:val="0"/>
          <w:color w:val="000000"/>
          <w:kern w:val="0"/>
          <w:sz w:val="28"/>
          <w:szCs w:val="28"/>
          <w:highlight w:val="none"/>
        </w:rPr>
      </w:pPr>
      <w:r>
        <w:rPr>
          <w:rFonts w:hint="eastAsia" w:ascii="Times New Roman" w:hAnsi="Times New Roman" w:eastAsia="宋体" w:cs="Times New Roman"/>
          <w:b/>
          <w:bCs/>
          <w:snapToGrid w:val="0"/>
          <w:color w:val="000000"/>
          <w:spacing w:val="-2"/>
          <w:kern w:val="0"/>
          <w:sz w:val="28"/>
          <w:szCs w:val="28"/>
          <w:highlight w:val="none"/>
          <w:lang w:val="en-US" w:eastAsia="zh-CN"/>
        </w:rPr>
        <w:t>9</w:t>
      </w:r>
      <w:r>
        <w:rPr>
          <w:rFonts w:ascii="Times New Roman" w:hAnsi="Times New Roman" w:eastAsia="Times New Roman" w:cs="Times New Roman"/>
          <w:b/>
          <w:bCs/>
          <w:snapToGrid w:val="0"/>
          <w:color w:val="000000"/>
          <w:spacing w:val="-2"/>
          <w:kern w:val="0"/>
          <w:sz w:val="28"/>
          <w:szCs w:val="28"/>
          <w:highlight w:val="none"/>
        </w:rPr>
        <w:t>.</w:t>
      </w:r>
      <w:r>
        <w:rPr>
          <w:rFonts w:hint="eastAsia" w:ascii="Times New Roman" w:hAnsi="Times New Roman" w:eastAsia="宋体" w:cs="Times New Roman"/>
          <w:b/>
          <w:bCs/>
          <w:snapToGrid w:val="0"/>
          <w:color w:val="000000"/>
          <w:spacing w:val="-2"/>
          <w:kern w:val="0"/>
          <w:sz w:val="28"/>
          <w:szCs w:val="28"/>
          <w:highlight w:val="none"/>
          <w:lang w:val="en-US" w:eastAsia="zh-CN"/>
        </w:rPr>
        <w:t>2</w:t>
      </w:r>
      <w:r>
        <w:rPr>
          <w:rFonts w:ascii="Times New Roman" w:hAnsi="Times New Roman" w:eastAsia="Times New Roman" w:cs="Times New Roman"/>
          <w:b/>
          <w:bCs/>
          <w:snapToGrid w:val="0"/>
          <w:color w:val="000000"/>
          <w:spacing w:val="-2"/>
          <w:kern w:val="0"/>
          <w:sz w:val="28"/>
          <w:szCs w:val="28"/>
          <w:highlight w:val="none"/>
        </w:rPr>
        <w:t>.3</w:t>
      </w:r>
      <w:r>
        <w:rPr>
          <w:rFonts w:ascii="Times New Roman" w:hAnsi="Times New Roman" w:eastAsia="Times New Roman" w:cs="Times New Roman"/>
          <w:snapToGrid w:val="0"/>
          <w:color w:val="000000"/>
          <w:spacing w:val="10"/>
          <w:kern w:val="0"/>
          <w:sz w:val="28"/>
          <w:szCs w:val="28"/>
          <w:highlight w:val="none"/>
        </w:rPr>
        <w:t xml:space="preserve">  </w:t>
      </w:r>
      <w:r>
        <w:rPr>
          <w:rFonts w:ascii="宋体" w:hAnsi="宋体" w:eastAsia="宋体" w:cs="宋体"/>
          <w:snapToGrid w:val="0"/>
          <w:color w:val="000000"/>
          <w:spacing w:val="-2"/>
          <w:kern w:val="0"/>
          <w:sz w:val="28"/>
          <w:szCs w:val="28"/>
          <w:highlight w:val="none"/>
        </w:rPr>
        <w:t>环境效益分析</w:t>
      </w:r>
    </w:p>
    <w:p>
      <w:pPr>
        <w:bidi w:val="0"/>
        <w:rPr>
          <w:highlight w:val="none"/>
        </w:rPr>
      </w:pPr>
      <w:r>
        <w:rPr>
          <w:rFonts w:hint="eastAsia"/>
          <w:highlight w:val="none"/>
        </w:rPr>
        <w:t>项目采用</w:t>
      </w:r>
      <w:r>
        <w:rPr>
          <w:rFonts w:hint="eastAsia"/>
          <w:highlight w:val="none"/>
          <w:lang w:eastAsia="zh-CN"/>
        </w:rPr>
        <w:t>干清粪</w:t>
      </w:r>
      <w:r>
        <w:rPr>
          <w:rFonts w:hint="eastAsia"/>
          <w:highlight w:val="none"/>
        </w:rPr>
        <w:t>处理工艺，</w:t>
      </w:r>
      <w:r>
        <w:rPr>
          <w:rFonts w:hint="eastAsia"/>
          <w:highlight w:val="none"/>
          <w:lang w:eastAsia="zh-CN"/>
        </w:rPr>
        <w:t>采取</w:t>
      </w:r>
      <w:r>
        <w:rPr>
          <w:rFonts w:hint="eastAsia"/>
          <w:highlight w:val="none"/>
        </w:rPr>
        <w:t>固液分离，养殖粪污分离出来的固态作为有机肥原料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。可避免粪便对环境造成污染，同时将其作为再生资源利用，可以变废为宝。</w:t>
      </w:r>
    </w:p>
    <w:p>
      <w:pPr>
        <w:bidi w:val="0"/>
        <w:rPr>
          <w:highlight w:val="none"/>
        </w:rPr>
      </w:pPr>
      <w:r>
        <w:rPr>
          <w:highlight w:val="none"/>
        </w:rPr>
        <w:t>因此，本项目在确保环保资金和污染治理设施到位前提下，项目产生的</w:t>
      </w:r>
      <w:r>
        <w:rPr>
          <w:rFonts w:hint="eastAsia" w:ascii="宋体" w:hAnsi="宋体" w:eastAsia="宋体" w:cs="宋体"/>
          <w:highlight w:val="none"/>
        </w:rPr>
        <w:t>“三废”在</w:t>
      </w:r>
      <w:r>
        <w:rPr>
          <w:highlight w:val="none"/>
        </w:rPr>
        <w:t>采取合理的处理处置措施后，可明显减低其对环境的危害，并取得一定的社会效益和经济效益。由此可见，本项目环保投资具有较好的环境经济效益。</w:t>
      </w:r>
    </w:p>
    <w:p>
      <w:pPr>
        <w:pStyle w:val="5"/>
        <w:bidi w:val="0"/>
        <w:rPr>
          <w:rFonts w:ascii="宋体" w:hAnsi="宋体" w:eastAsia="宋体" w:cs="宋体"/>
          <w:snapToGrid w:val="0"/>
          <w:color w:val="000000"/>
          <w:kern w:val="0"/>
          <w:sz w:val="28"/>
          <w:szCs w:val="28"/>
          <w:highlight w:val="none"/>
        </w:rPr>
      </w:pPr>
      <w:r>
        <w:rPr>
          <w:rFonts w:hint="eastAsia" w:ascii="Times New Roman" w:hAnsi="Times New Roman" w:eastAsia="宋体" w:cs="Times New Roman"/>
          <w:b/>
          <w:bCs/>
          <w:snapToGrid w:val="0"/>
          <w:color w:val="000000"/>
          <w:spacing w:val="-2"/>
          <w:kern w:val="0"/>
          <w:sz w:val="28"/>
          <w:szCs w:val="28"/>
          <w:highlight w:val="none"/>
          <w:lang w:val="en-US" w:eastAsia="zh-CN"/>
        </w:rPr>
        <w:t>9</w:t>
      </w:r>
      <w:r>
        <w:rPr>
          <w:rFonts w:ascii="Times New Roman" w:hAnsi="Times New Roman" w:eastAsia="Times New Roman" w:cs="Times New Roman"/>
          <w:b/>
          <w:bCs/>
          <w:snapToGrid w:val="0"/>
          <w:color w:val="000000"/>
          <w:spacing w:val="-2"/>
          <w:kern w:val="0"/>
          <w:sz w:val="28"/>
          <w:szCs w:val="28"/>
          <w:highlight w:val="none"/>
        </w:rPr>
        <w:t>.</w:t>
      </w:r>
      <w:r>
        <w:rPr>
          <w:rFonts w:hint="eastAsia" w:ascii="Times New Roman" w:hAnsi="Times New Roman" w:eastAsia="宋体" w:cs="Times New Roman"/>
          <w:b/>
          <w:bCs/>
          <w:snapToGrid w:val="0"/>
          <w:color w:val="000000"/>
          <w:spacing w:val="-2"/>
          <w:kern w:val="0"/>
          <w:sz w:val="28"/>
          <w:szCs w:val="28"/>
          <w:highlight w:val="none"/>
          <w:lang w:val="en-US" w:eastAsia="zh-CN"/>
        </w:rPr>
        <w:t>2</w:t>
      </w:r>
      <w:r>
        <w:rPr>
          <w:rFonts w:ascii="Times New Roman" w:hAnsi="Times New Roman" w:eastAsia="Times New Roman" w:cs="Times New Roman"/>
          <w:b/>
          <w:bCs/>
          <w:snapToGrid w:val="0"/>
          <w:color w:val="000000"/>
          <w:spacing w:val="-2"/>
          <w:kern w:val="0"/>
          <w:sz w:val="28"/>
          <w:szCs w:val="28"/>
          <w:highlight w:val="none"/>
        </w:rPr>
        <w:t>.4</w:t>
      </w:r>
      <w:r>
        <w:rPr>
          <w:rFonts w:ascii="Times New Roman" w:hAnsi="Times New Roman" w:eastAsia="Times New Roman" w:cs="Times New Roman"/>
          <w:snapToGrid w:val="0"/>
          <w:color w:val="000000"/>
          <w:spacing w:val="10"/>
          <w:kern w:val="0"/>
          <w:sz w:val="28"/>
          <w:szCs w:val="28"/>
          <w:highlight w:val="none"/>
        </w:rPr>
        <w:t xml:space="preserve">  </w:t>
      </w:r>
      <w:r>
        <w:rPr>
          <w:rFonts w:ascii="宋体" w:hAnsi="宋体" w:eastAsia="宋体" w:cs="宋体"/>
          <w:snapToGrid w:val="0"/>
          <w:color w:val="000000"/>
          <w:spacing w:val="-2"/>
          <w:kern w:val="0"/>
          <w:sz w:val="28"/>
          <w:szCs w:val="28"/>
          <w:highlight w:val="none"/>
        </w:rPr>
        <w:t>社会效益分析</w:t>
      </w:r>
    </w:p>
    <w:p>
      <w:pPr>
        <w:bidi w:val="0"/>
        <w:rPr>
          <w:highlight w:val="none"/>
        </w:rPr>
      </w:pPr>
      <w:r>
        <w:rPr>
          <w:highlight w:val="none"/>
        </w:rPr>
        <w:t>（1）该生猪养殖项目的建设，不仅将提高</w:t>
      </w:r>
      <w:r>
        <w:rPr>
          <w:rFonts w:hint="eastAsia"/>
          <w:highlight w:val="none"/>
          <w:lang w:eastAsia="zh-CN"/>
        </w:rPr>
        <w:t>华容县</w:t>
      </w:r>
      <w:r>
        <w:rPr>
          <w:highlight w:val="none"/>
        </w:rPr>
        <w:t>生猪养殖的科技含量和生猪产品质量，还可带动当地广大农民尽快尽早脱贫致富。该项目的建设将有效解决</w:t>
      </w:r>
      <w:r>
        <w:rPr>
          <w:rFonts w:hint="eastAsia" w:ascii="宋体" w:hAnsi="宋体" w:eastAsia="宋体" w:cs="宋体"/>
          <w:highlight w:val="none"/>
        </w:rPr>
        <w:t>“三农”</w:t>
      </w:r>
      <w:r>
        <w:rPr>
          <w:highlight w:val="none"/>
        </w:rPr>
        <w:t>问题，有利于经济收入，加快农民脱贫致富奔小康的步伐；有利于促进农业生产结构的调整，繁荣农村养殖经济；有利于增加当地劳动就业机会，扩大农村剩余劳动力的转移；有利于提高生猪产品质量，提高市场竞争力。</w:t>
      </w:r>
    </w:p>
    <w:p>
      <w:pPr>
        <w:bidi w:val="0"/>
        <w:rPr>
          <w:highlight w:val="none"/>
        </w:rPr>
      </w:pPr>
      <w:r>
        <w:rPr>
          <w:highlight w:val="none"/>
        </w:rPr>
        <w:t>（2）该项目的实施可带动当地其他种植业、运输业等行业的发展，形成养殖产业链，对于繁荣区域经济起到积极的作用。</w:t>
      </w:r>
    </w:p>
    <w:p>
      <w:pPr>
        <w:bidi w:val="0"/>
        <w:rPr>
          <w:highlight w:val="none"/>
        </w:rPr>
      </w:pPr>
      <w:r>
        <w:rPr>
          <w:highlight w:val="none"/>
        </w:rPr>
        <w:t>综上所述，本项目全部投产后</w:t>
      </w:r>
      <w:r>
        <w:rPr>
          <w:rFonts w:hint="eastAsia" w:ascii="宋体" w:hAnsi="宋体" w:eastAsia="宋体" w:cs="宋体"/>
          <w:highlight w:val="none"/>
        </w:rPr>
        <w:t>，“三废”</w:t>
      </w:r>
      <w:r>
        <w:rPr>
          <w:highlight w:val="none"/>
        </w:rPr>
        <w:t>排放量较小，可做到经济效益、社会效益和环境效益的三者统一。</w:t>
      </w:r>
    </w:p>
    <w:p>
      <w:pPr>
        <w:pStyle w:val="24"/>
        <w:rPr>
          <w:highlight w:val="none"/>
        </w:rPr>
      </w:pPr>
    </w:p>
    <w:p>
      <w:pPr>
        <w:pStyle w:val="26"/>
        <w:rPr>
          <w:highlight w:val="none"/>
        </w:rPr>
      </w:pPr>
    </w:p>
    <w:p>
      <w:pPr>
        <w:pStyle w:val="27"/>
        <w:rPr>
          <w:highlight w:val="none"/>
        </w:rPr>
      </w:pPr>
    </w:p>
    <w:p>
      <w:pPr>
        <w:pStyle w:val="15"/>
        <w:rPr>
          <w:highlight w:val="none"/>
        </w:rPr>
      </w:pPr>
    </w:p>
    <w:p>
      <w:pPr>
        <w:rPr>
          <w:highlight w:val="none"/>
        </w:rPr>
      </w:pPr>
    </w:p>
    <w:p>
      <w:pPr>
        <w:pStyle w:val="24"/>
        <w:rPr>
          <w:highlight w:val="none"/>
        </w:rPr>
      </w:pPr>
    </w:p>
    <w:p>
      <w:pPr>
        <w:pStyle w:val="26"/>
        <w:rPr>
          <w:highlight w:val="none"/>
        </w:rPr>
      </w:pPr>
    </w:p>
    <w:p>
      <w:pPr>
        <w:pStyle w:val="27"/>
        <w:rPr>
          <w:highlight w:val="none"/>
        </w:rPr>
      </w:pPr>
    </w:p>
    <w:p>
      <w:pPr>
        <w:pStyle w:val="15"/>
        <w:rPr>
          <w:highlight w:val="none"/>
        </w:rPr>
      </w:pPr>
    </w:p>
    <w:p>
      <w:pPr>
        <w:rPr>
          <w:highlight w:val="none"/>
        </w:rPr>
      </w:pPr>
    </w:p>
    <w:p>
      <w:pPr>
        <w:pStyle w:val="24"/>
        <w:rPr>
          <w:highlight w:val="none"/>
        </w:rPr>
      </w:pPr>
    </w:p>
    <w:p>
      <w:pPr>
        <w:pStyle w:val="26"/>
        <w:rPr>
          <w:highlight w:val="none"/>
        </w:rPr>
      </w:pPr>
    </w:p>
    <w:p>
      <w:pPr>
        <w:pStyle w:val="27"/>
        <w:rPr>
          <w:highlight w:val="none"/>
        </w:rPr>
      </w:pPr>
    </w:p>
    <w:p>
      <w:pPr>
        <w:pStyle w:val="15"/>
        <w:rPr>
          <w:highlight w:val="none"/>
        </w:rPr>
      </w:pPr>
    </w:p>
    <w:p>
      <w:pPr>
        <w:rPr>
          <w:highlight w:val="none"/>
        </w:rPr>
      </w:pPr>
    </w:p>
    <w:p>
      <w:pPr>
        <w:pStyle w:val="24"/>
        <w:rPr>
          <w:highlight w:val="none"/>
        </w:rPr>
      </w:pPr>
    </w:p>
    <w:p>
      <w:pPr>
        <w:pStyle w:val="26"/>
        <w:rPr>
          <w:highlight w:val="none"/>
        </w:rPr>
      </w:pPr>
    </w:p>
    <w:p>
      <w:pPr>
        <w:pStyle w:val="27"/>
        <w:rPr>
          <w:highlight w:val="none"/>
        </w:rPr>
      </w:pPr>
    </w:p>
    <w:p>
      <w:pPr>
        <w:pStyle w:val="3"/>
        <w:bidi w:val="0"/>
        <w:rPr>
          <w:rFonts w:ascii="黑体" w:hAnsi="黑体" w:eastAsia="黑体" w:cs="黑体"/>
          <w:sz w:val="28"/>
          <w:szCs w:val="28"/>
          <w:highlight w:val="none"/>
        </w:rPr>
      </w:pPr>
      <w:bookmarkStart w:id="106" w:name="_Toc6608"/>
      <w:bookmarkStart w:id="107" w:name="_Toc27272"/>
      <w:r>
        <w:rPr>
          <w:rFonts w:hint="eastAsia" w:ascii="Times New Roman" w:hAnsi="Times New Roman" w:eastAsia="宋体" w:cs="Times New Roman"/>
          <w:spacing w:val="9"/>
          <w:sz w:val="28"/>
          <w:szCs w:val="28"/>
          <w:highlight w:val="none"/>
          <w:lang w:val="en-US" w:eastAsia="zh-CN"/>
        </w:rPr>
        <w:t xml:space="preserve">10 </w:t>
      </w:r>
      <w:r>
        <w:rPr>
          <w:rFonts w:ascii="Times New Roman" w:hAnsi="Times New Roman" w:eastAsia="Times New Roman" w:cs="Times New Roman"/>
          <w:spacing w:val="9"/>
          <w:sz w:val="28"/>
          <w:szCs w:val="28"/>
          <w:highlight w:val="none"/>
        </w:rPr>
        <w:t xml:space="preserve"> </w:t>
      </w:r>
      <w:r>
        <w:rPr>
          <w:rFonts w:ascii="黑体" w:hAnsi="黑体" w:eastAsia="黑体" w:cs="黑体"/>
          <w:spacing w:val="-2"/>
          <w:sz w:val="28"/>
          <w:szCs w:val="28"/>
          <w:highlight w:val="none"/>
        </w:rPr>
        <w:t>环境管理和监测计划</w:t>
      </w:r>
      <w:bookmarkEnd w:id="106"/>
      <w:bookmarkEnd w:id="107"/>
    </w:p>
    <w:p>
      <w:pPr>
        <w:bidi w:val="0"/>
        <w:rPr>
          <w:highlight w:val="none"/>
        </w:rPr>
      </w:pPr>
      <w:r>
        <w:rPr>
          <w:highlight w:val="none"/>
        </w:rPr>
        <w:t>为加强项目的环境管理，加大环境监测的力度，必须严格控制污染物的排放总量，有效的保护生态环境，执行建设项</w:t>
      </w:r>
      <w:r>
        <w:rPr>
          <w:rFonts w:hint="eastAsia" w:ascii="宋体" w:hAnsi="宋体" w:eastAsia="宋体" w:cs="宋体"/>
          <w:highlight w:val="none"/>
        </w:rPr>
        <w:t>目“三同时”制</w:t>
      </w:r>
      <w:r>
        <w:rPr>
          <w:highlight w:val="none"/>
        </w:rPr>
        <w:t>度。为了既发展生产又保护环境，实现建设项目的经济效益、社会效益和环境效益的统一，更好地监控工程环保设施的运行，及时掌握和了解污染治理措施的效果，必须设置相应的环保机构，制定新建工程环境管理和环境监测计划。</w:t>
      </w:r>
    </w:p>
    <w:p>
      <w:pPr>
        <w:bidi w:val="0"/>
        <w:rPr>
          <w:highlight w:val="none"/>
        </w:rPr>
      </w:pPr>
      <w:r>
        <w:rPr>
          <w:highlight w:val="none"/>
        </w:rPr>
        <w:t>环境管理体系与监测机构的建立能够帮助企业及早发现问题，使企业在发展生产的同时节约能源、降低原材料的消耗，控制污染物排放量，减轻污染物排放对环境产生的影响，为企业创造更好的经济效益和环境效益，树立良好的社会形象。</w:t>
      </w:r>
    </w:p>
    <w:p>
      <w:pPr>
        <w:pStyle w:val="4"/>
        <w:bidi w:val="0"/>
        <w:rPr>
          <w:rFonts w:ascii="宋体" w:hAnsi="宋体" w:eastAsia="宋体" w:cs="宋体"/>
          <w:sz w:val="28"/>
          <w:szCs w:val="28"/>
          <w:highlight w:val="none"/>
        </w:rPr>
      </w:pPr>
      <w:bookmarkStart w:id="108" w:name="_bookmark41"/>
      <w:bookmarkEnd w:id="108"/>
      <w:bookmarkStart w:id="109" w:name="_Toc8992"/>
      <w:bookmarkStart w:id="110" w:name="_Toc8219"/>
      <w:r>
        <w:rPr>
          <w:rFonts w:hint="eastAsia" w:ascii="Times New Roman" w:hAnsi="Times New Roman" w:eastAsia="宋体" w:cs="Times New Roman"/>
          <w:b/>
          <w:bCs/>
          <w:spacing w:val="-3"/>
          <w:sz w:val="28"/>
          <w:szCs w:val="28"/>
          <w:highlight w:val="none"/>
          <w:lang w:val="en-US" w:eastAsia="zh-CN"/>
        </w:rPr>
        <w:t>10</w:t>
      </w:r>
      <w:r>
        <w:rPr>
          <w:rFonts w:ascii="Times New Roman" w:hAnsi="Times New Roman" w:eastAsia="Times New Roman" w:cs="Times New Roman"/>
          <w:b/>
          <w:bCs/>
          <w:spacing w:val="-3"/>
          <w:sz w:val="28"/>
          <w:szCs w:val="28"/>
          <w:highlight w:val="none"/>
        </w:rPr>
        <w:t>.1</w:t>
      </w:r>
      <w:r>
        <w:rPr>
          <w:rFonts w:ascii="Times New Roman" w:hAnsi="Times New Roman" w:eastAsia="Times New Roman" w:cs="Times New Roman"/>
          <w:spacing w:val="2"/>
          <w:sz w:val="28"/>
          <w:szCs w:val="28"/>
          <w:highlight w:val="none"/>
        </w:rPr>
        <w:t xml:space="preserve"> </w:t>
      </w:r>
      <w:r>
        <w:rPr>
          <w:rFonts w:hint="eastAsia" w:ascii="Times New Roman" w:hAnsi="Times New Roman" w:eastAsia="宋体" w:cs="Times New Roman"/>
          <w:spacing w:val="2"/>
          <w:sz w:val="28"/>
          <w:szCs w:val="28"/>
          <w:highlight w:val="none"/>
          <w:lang w:val="en-US" w:eastAsia="zh-CN"/>
        </w:rPr>
        <w:t xml:space="preserve"> </w:t>
      </w:r>
      <w:r>
        <w:rPr>
          <w:rFonts w:ascii="宋体" w:hAnsi="宋体" w:eastAsia="宋体" w:cs="宋体"/>
          <w:spacing w:val="-3"/>
          <w:sz w:val="28"/>
          <w:szCs w:val="28"/>
          <w:highlight w:val="none"/>
        </w:rPr>
        <w:t>环境管理</w:t>
      </w:r>
      <w:bookmarkEnd w:id="109"/>
      <w:bookmarkEnd w:id="110"/>
    </w:p>
    <w:p>
      <w:pPr>
        <w:bidi w:val="0"/>
        <w:rPr>
          <w:highlight w:val="none"/>
        </w:rPr>
      </w:pPr>
      <w:r>
        <w:rPr>
          <w:highlight w:val="none"/>
        </w:rPr>
        <w:t>建设项目环境管理计划是指工程在施工期、运营期执行和遵守国家、省、市的有关环保法律、法规、政策和标准，对企业的日常运行实行有效监控，及时掌握和了解污染治理与控制措施的执行效果，以及周围地区环境质量变化，及时调整工程运行方式和环境保护措施，并接受地方环境主管部门的环境监督，最终达到保护环境的目的，取得更好的综合环境效益。</w:t>
      </w:r>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1"/>
          <w:sz w:val="28"/>
          <w:szCs w:val="28"/>
          <w:highlight w:val="none"/>
          <w:lang w:val="en-US" w:eastAsia="zh-CN"/>
        </w:rPr>
        <w:t>10</w:t>
      </w:r>
      <w:r>
        <w:rPr>
          <w:rFonts w:ascii="Times New Roman" w:hAnsi="Times New Roman" w:eastAsia="Times New Roman" w:cs="Times New Roman"/>
          <w:b/>
          <w:bCs/>
          <w:spacing w:val="-1"/>
          <w:sz w:val="28"/>
          <w:szCs w:val="28"/>
          <w:highlight w:val="none"/>
        </w:rPr>
        <w:t>.1.1</w:t>
      </w:r>
      <w:r>
        <w:rPr>
          <w:rFonts w:ascii="Times New Roman" w:hAnsi="Times New Roman" w:eastAsia="Times New Roman" w:cs="Times New Roman"/>
          <w:spacing w:val="1"/>
          <w:sz w:val="28"/>
          <w:szCs w:val="28"/>
          <w:highlight w:val="none"/>
        </w:rPr>
        <w:t xml:space="preserve"> </w:t>
      </w:r>
      <w:r>
        <w:rPr>
          <w:rFonts w:hint="eastAsia" w:ascii="Times New Roman" w:hAnsi="Times New Roman" w:eastAsia="宋体" w:cs="Times New Roman"/>
          <w:spacing w:val="1"/>
          <w:sz w:val="28"/>
          <w:szCs w:val="28"/>
          <w:highlight w:val="none"/>
          <w:lang w:val="en-US" w:eastAsia="zh-CN"/>
        </w:rPr>
        <w:t xml:space="preserve"> </w:t>
      </w:r>
      <w:r>
        <w:rPr>
          <w:rFonts w:ascii="黑体" w:hAnsi="黑体" w:eastAsia="黑体" w:cs="黑体"/>
          <w:spacing w:val="-1"/>
          <w:sz w:val="28"/>
          <w:szCs w:val="28"/>
          <w:highlight w:val="none"/>
        </w:rPr>
        <w:t>环境管理机构设置</w:t>
      </w:r>
    </w:p>
    <w:p>
      <w:pPr>
        <w:bidi w:val="0"/>
        <w:rPr>
          <w:rFonts w:ascii="宋体" w:hAnsi="宋体" w:eastAsia="宋体" w:cs="宋体"/>
          <w:szCs w:val="24"/>
          <w:highlight w:val="none"/>
        </w:rPr>
      </w:pPr>
      <w:r>
        <w:rPr>
          <w:highlight w:val="none"/>
        </w:rPr>
        <w:t>为及时落实环保主管部门提出的各项管理要求，加强企业内部污染排放监督控制，本工程应将环境保护纳入企业管理和生产计划，制定合理的污染控制指标，使企业排污符合国家和地方有关排放标准，实现总量控制。为此，企业内部必须建立行之有效的环境管理机构。该项目管理部门设立安环部，负责项目各区的环境保护和卫生工作。管理部门设管理人员1人，服务人员1人。设一名副总主管环保和安全生产，统管公司安全环保工作，机构中设置主抓环保工作的主任一名，并设专职环保技术管理员。</w:t>
      </w:r>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1"/>
          <w:sz w:val="28"/>
          <w:szCs w:val="28"/>
          <w:highlight w:val="none"/>
          <w:lang w:val="en-US" w:eastAsia="zh-CN"/>
        </w:rPr>
        <w:t>10</w:t>
      </w:r>
      <w:r>
        <w:rPr>
          <w:rFonts w:ascii="Times New Roman" w:hAnsi="Times New Roman" w:eastAsia="Times New Roman" w:cs="Times New Roman"/>
          <w:b/>
          <w:bCs/>
          <w:spacing w:val="-1"/>
          <w:sz w:val="28"/>
          <w:szCs w:val="28"/>
          <w:highlight w:val="none"/>
        </w:rPr>
        <w:t>.1.2</w:t>
      </w:r>
      <w:r>
        <w:rPr>
          <w:rFonts w:hint="eastAsia" w:ascii="Times New Roman" w:hAnsi="Times New Roman" w:eastAsia="宋体" w:cs="Times New Roman"/>
          <w:b/>
          <w:bCs/>
          <w:spacing w:val="-1"/>
          <w:sz w:val="28"/>
          <w:szCs w:val="28"/>
          <w:highlight w:val="none"/>
          <w:lang w:val="en-US" w:eastAsia="zh-CN"/>
        </w:rPr>
        <w:t xml:space="preserve"> </w:t>
      </w:r>
      <w:r>
        <w:rPr>
          <w:rFonts w:ascii="Times New Roman" w:hAnsi="Times New Roman" w:eastAsia="Times New Roman" w:cs="Times New Roman"/>
          <w:spacing w:val="1"/>
          <w:sz w:val="28"/>
          <w:szCs w:val="28"/>
          <w:highlight w:val="none"/>
        </w:rPr>
        <w:t xml:space="preserve"> </w:t>
      </w:r>
      <w:r>
        <w:rPr>
          <w:rFonts w:ascii="黑体" w:hAnsi="黑体" w:eastAsia="黑体" w:cs="黑体"/>
          <w:spacing w:val="-1"/>
          <w:sz w:val="28"/>
          <w:szCs w:val="28"/>
          <w:highlight w:val="none"/>
        </w:rPr>
        <w:t>环境管理机构职责</w:t>
      </w:r>
    </w:p>
    <w:p>
      <w:pPr>
        <w:bidi w:val="0"/>
        <w:rPr>
          <w:highlight w:val="none"/>
        </w:rPr>
      </w:pPr>
      <w:r>
        <w:rPr>
          <w:highlight w:val="none"/>
        </w:rPr>
        <w:t>环境管理机构负责工程建设期与运营期的环境管理与环境监测工作，主要职责：</w:t>
      </w:r>
    </w:p>
    <w:p>
      <w:pPr>
        <w:bidi w:val="0"/>
        <w:rPr>
          <w:highlight w:val="none"/>
        </w:rPr>
      </w:pPr>
      <w:r>
        <w:rPr>
          <w:highlight w:val="none"/>
        </w:rPr>
        <w:t>◆全面贯彻落实各项环保法规和环保政策，做好工程项目的环境污染治理和环境保护工作。</w:t>
      </w:r>
    </w:p>
    <w:p>
      <w:pPr>
        <w:bidi w:val="0"/>
        <w:rPr>
          <w:highlight w:val="none"/>
        </w:rPr>
      </w:pPr>
      <w:r>
        <w:rPr>
          <w:highlight w:val="none"/>
        </w:rPr>
        <w:t>◆制定本企业环境保护的远、近期发展规划和年度工作计划，制定并检查各项 环境保护管理制度及其执行情况。</w:t>
      </w:r>
    </w:p>
    <w:p>
      <w:pPr>
        <w:bidi w:val="0"/>
        <w:rPr>
          <w:highlight w:val="none"/>
        </w:rPr>
      </w:pPr>
      <w:r>
        <w:rPr>
          <w:highlight w:val="none"/>
        </w:rPr>
        <w:t>◆根据当地政府下达给本企业的环境保护目标和本企业的具体情况，制定本企业的环境保护目标和实施措施，负责建立企业内部环境保护责任制度和考核制度，协助企业完成围绕环境保护的各项考核指标。</w:t>
      </w:r>
    </w:p>
    <w:p>
      <w:pPr>
        <w:bidi w:val="0"/>
        <w:rPr>
          <w:highlight w:val="none"/>
        </w:rPr>
      </w:pPr>
      <w:r>
        <w:rPr>
          <w:highlight w:val="none"/>
        </w:rPr>
        <w:t>◆执行国家有关建设项目的环境保护管理规定，做好环保设施管理和维护工作，建立并管理好环保设施档案，保证环保设施按照设计要求运行，杜绝擅自拆除和闲置不用现象发生。</w:t>
      </w:r>
    </w:p>
    <w:p>
      <w:pPr>
        <w:bidi w:val="0"/>
        <w:rPr>
          <w:highlight w:val="none"/>
        </w:rPr>
      </w:pPr>
      <w:r>
        <w:rPr>
          <w:highlight w:val="none"/>
        </w:rPr>
        <w:t>◆清除污染、改善环境，认真保护和合理利用自然资源，加强本企业的绿化工作。</w:t>
      </w:r>
    </w:p>
    <w:p>
      <w:pPr>
        <w:bidi w:val="0"/>
        <w:rPr>
          <w:highlight w:val="none"/>
        </w:rPr>
      </w:pPr>
      <w:r>
        <w:rPr>
          <w:highlight w:val="none"/>
        </w:rPr>
        <w:t>◆负责全场环境保护的宣传教育工作，在全场普及环境科学知识，使职工树立起环保法制观念。</w:t>
      </w:r>
    </w:p>
    <w:p>
      <w:pPr>
        <w:bidi w:val="0"/>
        <w:rPr>
          <w:highlight w:val="none"/>
        </w:rPr>
      </w:pPr>
      <w:r>
        <w:rPr>
          <w:highlight w:val="none"/>
        </w:rPr>
        <w:t>◆负责与各级环保部门的联系，接受省、市、区各级环保部门的检查、监督，按要求上报各项环保报表，并定时向上级主管部门汇报环保工作情况。</w:t>
      </w:r>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1"/>
          <w:sz w:val="28"/>
          <w:szCs w:val="28"/>
          <w:highlight w:val="none"/>
          <w:lang w:val="en-US" w:eastAsia="zh-CN"/>
        </w:rPr>
        <w:t>10</w:t>
      </w:r>
      <w:r>
        <w:rPr>
          <w:rFonts w:ascii="Times New Roman" w:hAnsi="Times New Roman" w:eastAsia="Times New Roman" w:cs="Times New Roman"/>
          <w:b/>
          <w:bCs/>
          <w:spacing w:val="-1"/>
          <w:sz w:val="28"/>
          <w:szCs w:val="28"/>
          <w:highlight w:val="none"/>
        </w:rPr>
        <w:t>.1.3</w:t>
      </w:r>
      <w:r>
        <w:rPr>
          <w:rFonts w:ascii="Times New Roman" w:hAnsi="Times New Roman" w:eastAsia="Times New Roman" w:cs="Times New Roman"/>
          <w:spacing w:val="8"/>
          <w:sz w:val="28"/>
          <w:szCs w:val="28"/>
          <w:highlight w:val="none"/>
        </w:rPr>
        <w:t xml:space="preserve"> </w:t>
      </w:r>
      <w:r>
        <w:rPr>
          <w:rFonts w:hint="eastAsia" w:ascii="Times New Roman" w:hAnsi="Times New Roman" w:eastAsia="宋体" w:cs="Times New Roman"/>
          <w:spacing w:val="8"/>
          <w:sz w:val="28"/>
          <w:szCs w:val="28"/>
          <w:highlight w:val="none"/>
          <w:lang w:val="en-US" w:eastAsia="zh-CN"/>
        </w:rPr>
        <w:t xml:space="preserve"> </w:t>
      </w:r>
      <w:r>
        <w:rPr>
          <w:rFonts w:ascii="黑体" w:hAnsi="黑体" w:eastAsia="黑体" w:cs="黑体"/>
          <w:spacing w:val="-1"/>
          <w:sz w:val="28"/>
          <w:szCs w:val="28"/>
          <w:highlight w:val="none"/>
        </w:rPr>
        <w:t>项目运行期的环境保护管理</w:t>
      </w:r>
    </w:p>
    <w:p>
      <w:pPr>
        <w:bidi w:val="0"/>
        <w:rPr>
          <w:highlight w:val="none"/>
        </w:rPr>
      </w:pPr>
      <w:r>
        <w:rPr>
          <w:highlight w:val="none"/>
        </w:rPr>
        <w:t>1、根据国家环保政策、标准及环境监测要求，制定该项目运行期环保管理规章制度、各种污染物排放控制指标；</w:t>
      </w:r>
    </w:p>
    <w:p>
      <w:pPr>
        <w:bidi w:val="0"/>
        <w:rPr>
          <w:highlight w:val="none"/>
        </w:rPr>
      </w:pPr>
      <w:r>
        <w:rPr>
          <w:highlight w:val="none"/>
        </w:rPr>
        <w:t>2、负责该项目内所有环保设施的日常运行管理，保障各环保设施的正常运行，并对环保设施的改进提出积极的建议；</w:t>
      </w:r>
    </w:p>
    <w:p>
      <w:pPr>
        <w:bidi w:val="0"/>
        <w:rPr>
          <w:highlight w:val="none"/>
        </w:rPr>
      </w:pPr>
      <w:r>
        <w:rPr>
          <w:highlight w:val="none"/>
        </w:rPr>
        <w:t>3、负责该项目运行期环境监测工作，及时掌握该项目污染状况，整理监测数据，建立污染源档案；</w:t>
      </w:r>
    </w:p>
    <w:p>
      <w:pPr>
        <w:bidi w:val="0"/>
        <w:rPr>
          <w:highlight w:val="none"/>
        </w:rPr>
      </w:pPr>
      <w:r>
        <w:rPr>
          <w:highlight w:val="none"/>
        </w:rPr>
        <w:t>4、该项目运行期的环境管理由安全生产环保科承担；负责该项目内所有环保设施的日常运行管理，保障各环保设施的正常运行，并对环保设施的改进提出积极的建议；</w:t>
      </w:r>
    </w:p>
    <w:p>
      <w:pPr>
        <w:bidi w:val="0"/>
        <w:rPr>
          <w:highlight w:val="none"/>
        </w:rPr>
      </w:pPr>
      <w:r>
        <w:rPr>
          <w:highlight w:val="none"/>
        </w:rPr>
        <w:t>5、负责对职工进行环保宣传教育工作，以及检查、监督各单位环保制度的执行情况；</w:t>
      </w:r>
    </w:p>
    <w:p>
      <w:pPr>
        <w:bidi w:val="0"/>
        <w:rPr>
          <w:highlight w:val="none"/>
        </w:rPr>
      </w:pPr>
      <w:r>
        <w:rPr>
          <w:highlight w:val="none"/>
        </w:rPr>
        <w:t>6、建立健全环境档案管理与保密制度、污染防治设施设计技术改进及运行资料、</w:t>
      </w:r>
      <w:r>
        <w:rPr>
          <w:rFonts w:hint="eastAsia"/>
          <w:highlight w:val="none"/>
        </w:rPr>
        <w:t>污染源调查技术档案、环境监测及评价资料、项目平面图和给排水管网图等。</w:t>
      </w:r>
    </w:p>
    <w:p>
      <w:pPr>
        <w:pStyle w:val="5"/>
        <w:bidi w:val="0"/>
        <w:rPr>
          <w:rFonts w:ascii="黑体" w:hAnsi="黑体" w:eastAsia="黑体" w:cs="黑体"/>
          <w:sz w:val="28"/>
          <w:szCs w:val="28"/>
          <w:highlight w:val="none"/>
        </w:rPr>
      </w:pPr>
      <w:r>
        <w:rPr>
          <w:rFonts w:hint="eastAsia" w:ascii="Times New Roman" w:hAnsi="Times New Roman" w:eastAsia="宋体" w:cs="Times New Roman"/>
          <w:b/>
          <w:bCs/>
          <w:spacing w:val="-2"/>
          <w:sz w:val="28"/>
          <w:szCs w:val="28"/>
          <w:highlight w:val="none"/>
          <w:lang w:val="en-US" w:eastAsia="zh-CN"/>
        </w:rPr>
        <w:t>10</w:t>
      </w:r>
      <w:r>
        <w:rPr>
          <w:rFonts w:ascii="Times New Roman" w:hAnsi="Times New Roman" w:eastAsia="Times New Roman" w:cs="Times New Roman"/>
          <w:b/>
          <w:bCs/>
          <w:spacing w:val="-2"/>
          <w:sz w:val="28"/>
          <w:szCs w:val="28"/>
          <w:highlight w:val="none"/>
        </w:rPr>
        <w:t>.1.4</w:t>
      </w:r>
      <w:r>
        <w:rPr>
          <w:rFonts w:ascii="Times New Roman" w:hAnsi="Times New Roman" w:eastAsia="Times New Roman" w:cs="Times New Roman"/>
          <w:spacing w:val="18"/>
          <w:sz w:val="28"/>
          <w:szCs w:val="28"/>
          <w:highlight w:val="none"/>
        </w:rPr>
        <w:t xml:space="preserve"> </w:t>
      </w:r>
      <w:r>
        <w:rPr>
          <w:rFonts w:hint="eastAsia" w:ascii="Times New Roman" w:hAnsi="Times New Roman" w:eastAsia="宋体" w:cs="Times New Roman"/>
          <w:spacing w:val="18"/>
          <w:sz w:val="28"/>
          <w:szCs w:val="28"/>
          <w:highlight w:val="none"/>
          <w:lang w:val="en-US" w:eastAsia="zh-CN"/>
        </w:rPr>
        <w:t xml:space="preserve"> </w:t>
      </w:r>
      <w:r>
        <w:rPr>
          <w:rFonts w:ascii="黑体" w:hAnsi="黑体" w:eastAsia="黑体" w:cs="黑体"/>
          <w:spacing w:val="-2"/>
          <w:sz w:val="28"/>
          <w:szCs w:val="28"/>
          <w:highlight w:val="none"/>
        </w:rPr>
        <w:t>环境管理措施</w:t>
      </w:r>
    </w:p>
    <w:p>
      <w:pPr>
        <w:bidi w:val="0"/>
        <w:rPr>
          <w:highlight w:val="none"/>
        </w:rPr>
      </w:pPr>
      <w:r>
        <w:rPr>
          <w:highlight w:val="none"/>
        </w:rPr>
        <w:t>1、对各环保设施应加强管理和监控，确保其正常运行，达到设计的治理效率；对装置进行定期的维护、检修，确保各工艺流程正常运转，达到设计要求，保证清洁生产措施的实施，严禁在有故障或失效时运行。</w:t>
      </w:r>
    </w:p>
    <w:p>
      <w:pPr>
        <w:bidi w:val="0"/>
        <w:rPr>
          <w:highlight w:val="none"/>
        </w:rPr>
      </w:pPr>
      <w:r>
        <w:rPr>
          <w:highlight w:val="none"/>
        </w:rPr>
        <w:t>2、项目建成运营期要制定严格的管理制度，强化环境管理，提高环保意识；应设专职环境管理人员，与当地环保部门配合，按计划开展环保工作。</w:t>
      </w:r>
    </w:p>
    <w:p>
      <w:pPr>
        <w:bidi w:val="0"/>
        <w:rPr>
          <w:highlight w:val="none"/>
        </w:rPr>
      </w:pPr>
      <w:r>
        <w:rPr>
          <w:highlight w:val="none"/>
        </w:rPr>
        <w:t>3、绿化是美化环境和减轻污染的有效措施，应当按照有关新建场区内外绿地面积的规定，做好场区及周围绿化工作。</w:t>
      </w:r>
    </w:p>
    <w:p>
      <w:pPr>
        <w:bidi w:val="0"/>
        <w:rPr>
          <w:highlight w:val="none"/>
        </w:rPr>
      </w:pPr>
      <w:r>
        <w:rPr>
          <w:highlight w:val="none"/>
        </w:rPr>
        <w:t>4、对于固体废物应妥善保管，及时清运，在储运过程中应加强管理。不允许开放式存放，避免二次污染。</w:t>
      </w:r>
    </w:p>
    <w:p>
      <w:pPr>
        <w:bidi w:val="0"/>
        <w:rPr>
          <w:highlight w:val="none"/>
        </w:rPr>
      </w:pPr>
      <w:r>
        <w:rPr>
          <w:highlight w:val="none"/>
        </w:rPr>
        <w:t>5、加强管理和清洁生产培训，鼓励开展节能降耗方面的研究和落实工作。</w:t>
      </w:r>
    </w:p>
    <w:p>
      <w:pPr>
        <w:bidi w:val="0"/>
        <w:rPr>
          <w:highlight w:val="none"/>
        </w:rPr>
      </w:pPr>
      <w:r>
        <w:rPr>
          <w:highlight w:val="none"/>
        </w:rPr>
        <w:t>6、另外，还应规范排污口：在场</w:t>
      </w:r>
      <w:r>
        <w:rPr>
          <w:rFonts w:hint="eastAsia" w:ascii="宋体" w:hAnsi="宋体" w:eastAsia="宋体" w:cs="宋体"/>
          <w:highlight w:val="none"/>
        </w:rPr>
        <w:t>区“三废”及</w:t>
      </w:r>
      <w:r>
        <w:rPr>
          <w:highlight w:val="none"/>
        </w:rPr>
        <w:t>噪声排放点，设置明显标志，标志的设置应执行《环境保护图形标志排放口》（GB15562.1-1995）及《环境保护图形标志固体废物贮存（处置）场》（GB15562.2-1995）中有关规定。</w:t>
      </w:r>
    </w:p>
    <w:p>
      <w:pPr>
        <w:pStyle w:val="4"/>
        <w:bidi w:val="0"/>
        <w:rPr>
          <w:rFonts w:ascii="宋体" w:hAnsi="宋体" w:eastAsia="宋体" w:cs="宋体"/>
          <w:sz w:val="28"/>
          <w:szCs w:val="28"/>
          <w:highlight w:val="none"/>
          <w:u w:val="single" w:color="auto"/>
        </w:rPr>
      </w:pPr>
      <w:bookmarkStart w:id="111" w:name="_Toc29147"/>
      <w:bookmarkStart w:id="112" w:name="_Toc1767"/>
      <w:r>
        <w:rPr>
          <w:rFonts w:hint="eastAsia" w:ascii="Times New Roman" w:hAnsi="Times New Roman" w:eastAsia="宋体" w:cs="Times New Roman"/>
          <w:b/>
          <w:bCs/>
          <w:spacing w:val="-2"/>
          <w:sz w:val="28"/>
          <w:szCs w:val="28"/>
          <w:highlight w:val="none"/>
          <w:u w:val="single" w:color="auto"/>
          <w:lang w:val="en-US" w:eastAsia="zh-CN"/>
        </w:rPr>
        <w:t>10</w:t>
      </w:r>
      <w:r>
        <w:rPr>
          <w:rFonts w:ascii="Times New Roman" w:hAnsi="Times New Roman" w:eastAsia="Times New Roman" w:cs="Times New Roman"/>
          <w:b/>
          <w:bCs/>
          <w:spacing w:val="-2"/>
          <w:sz w:val="28"/>
          <w:szCs w:val="28"/>
          <w:highlight w:val="none"/>
          <w:u w:val="single" w:color="auto"/>
        </w:rPr>
        <w:t>.2</w:t>
      </w:r>
      <w:r>
        <w:rPr>
          <w:rFonts w:ascii="Times New Roman" w:hAnsi="Times New Roman" w:eastAsia="Times New Roman" w:cs="Times New Roman"/>
          <w:spacing w:val="3"/>
          <w:sz w:val="28"/>
          <w:szCs w:val="28"/>
          <w:highlight w:val="none"/>
          <w:u w:val="single" w:color="auto"/>
        </w:rPr>
        <w:t xml:space="preserve"> </w:t>
      </w:r>
      <w:r>
        <w:rPr>
          <w:rFonts w:hint="eastAsia" w:ascii="Times New Roman" w:hAnsi="Times New Roman" w:eastAsia="宋体" w:cs="Times New Roman"/>
          <w:spacing w:val="3"/>
          <w:sz w:val="28"/>
          <w:szCs w:val="28"/>
          <w:highlight w:val="none"/>
          <w:u w:val="single" w:color="auto"/>
          <w:lang w:val="en-US" w:eastAsia="zh-CN"/>
        </w:rPr>
        <w:t xml:space="preserve"> </w:t>
      </w:r>
      <w:r>
        <w:rPr>
          <w:rFonts w:ascii="宋体" w:hAnsi="宋体" w:eastAsia="宋体" w:cs="宋体"/>
          <w:spacing w:val="-2"/>
          <w:sz w:val="28"/>
          <w:szCs w:val="28"/>
          <w:highlight w:val="none"/>
          <w:u w:val="single" w:color="auto"/>
        </w:rPr>
        <w:t>环境监测计划</w:t>
      </w:r>
      <w:bookmarkEnd w:id="111"/>
      <w:bookmarkEnd w:id="112"/>
    </w:p>
    <w:p>
      <w:pPr>
        <w:bidi w:val="0"/>
        <w:rPr>
          <w:highlight w:val="none"/>
          <w:u w:val="single" w:color="auto"/>
        </w:rPr>
      </w:pPr>
      <w:r>
        <w:rPr>
          <w:highlight w:val="none"/>
          <w:u w:val="single" w:color="auto"/>
        </w:rPr>
        <w:t>根据《排污许可证申请与核发技术规范 畜禽养殖行业》(HJ 1029—2019)、《排污单位自行监测技术指南 总则》（HJ819-2017），本项目营运期污染源监测包括废气、废水和噪声监测，正常运营情况的环境监测计划表见表</w:t>
      </w:r>
      <w:r>
        <w:rPr>
          <w:rFonts w:hint="eastAsia"/>
          <w:highlight w:val="none"/>
          <w:u w:val="single" w:color="auto"/>
          <w:lang w:val="en-US" w:eastAsia="zh-CN"/>
        </w:rPr>
        <w:t>10</w:t>
      </w:r>
      <w:r>
        <w:rPr>
          <w:highlight w:val="none"/>
          <w:u w:val="single" w:color="auto"/>
        </w:rPr>
        <w:t>.2-1。当发生污染事故时，应根据具体情况相应增加监测频次，并进行追踪监测。</w:t>
      </w:r>
    </w:p>
    <w:p>
      <w:pPr>
        <w:pStyle w:val="7"/>
        <w:bidi w:val="0"/>
        <w:rPr>
          <w:highlight w:val="none"/>
          <w:u w:val="single" w:color="auto"/>
        </w:rPr>
      </w:pPr>
      <w:r>
        <w:rPr>
          <w:highlight w:val="none"/>
          <w:u w:val="single" w:color="auto"/>
        </w:rPr>
        <w:t>表</w:t>
      </w:r>
      <w:r>
        <w:rPr>
          <w:rFonts w:hint="eastAsia"/>
          <w:highlight w:val="none"/>
          <w:u w:val="single" w:color="auto"/>
          <w:lang w:val="en-US" w:eastAsia="zh-CN"/>
        </w:rPr>
        <w:t>10</w:t>
      </w:r>
      <w:r>
        <w:rPr>
          <w:highlight w:val="none"/>
          <w:u w:val="single" w:color="auto"/>
        </w:rPr>
        <w:t>.2-1  污染源监测计划</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23"/>
        <w:gridCol w:w="1100"/>
        <w:gridCol w:w="1334"/>
        <w:gridCol w:w="3282"/>
        <w:gridCol w:w="19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t>时期</w:t>
            </w:r>
          </w:p>
        </w:tc>
        <w:tc>
          <w:tcPr>
            <w:tcW w:w="6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项目</w:t>
            </w:r>
          </w:p>
        </w:tc>
        <w:tc>
          <w:tcPr>
            <w:tcW w:w="8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监测点位</w:t>
            </w:r>
          </w:p>
        </w:tc>
        <w:tc>
          <w:tcPr>
            <w:tcW w:w="19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监测项目</w:t>
            </w:r>
          </w:p>
        </w:tc>
        <w:tc>
          <w:tcPr>
            <w:tcW w:w="119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监测频率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pPr>
            <w:r>
              <w:rPr>
                <w:rFonts w:hint="eastAsia" w:ascii="Times New Roman" w:hAnsi="Times New Roman" w:eastAsia="宋体" w:cs="Times New Roman"/>
                <w:snapToGrid w:val="0"/>
                <w:color w:val="000000"/>
                <w:spacing w:val="0"/>
                <w:w w:val="100"/>
                <w:kern w:val="0"/>
                <w:position w:val="0"/>
                <w:sz w:val="21"/>
                <w:szCs w:val="21"/>
                <w:highlight w:val="none"/>
                <w:u w:val="single" w:color="auto"/>
                <w:lang w:eastAsia="zh-CN"/>
              </w:rPr>
              <w:t>运营期</w:t>
            </w:r>
          </w:p>
        </w:tc>
        <w:tc>
          <w:tcPr>
            <w:tcW w:w="6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污水</w:t>
            </w:r>
          </w:p>
        </w:tc>
        <w:tc>
          <w:tcPr>
            <w:tcW w:w="3965" w:type="pct"/>
            <w:gridSpan w:val="3"/>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废水不外排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废气</w:t>
            </w:r>
          </w:p>
        </w:tc>
        <w:tc>
          <w:tcPr>
            <w:tcW w:w="8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厂界</w:t>
            </w:r>
          </w:p>
        </w:tc>
        <w:tc>
          <w:tcPr>
            <w:tcW w:w="19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臭气浓度</w:t>
            </w:r>
          </w:p>
        </w:tc>
        <w:tc>
          <w:tcPr>
            <w:tcW w:w="119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每年一次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噪声</w:t>
            </w:r>
          </w:p>
        </w:tc>
        <w:tc>
          <w:tcPr>
            <w:tcW w:w="8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场界</w:t>
            </w:r>
          </w:p>
        </w:tc>
        <w:tc>
          <w:tcPr>
            <w:tcW w:w="19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Leq(A)</w:t>
            </w:r>
          </w:p>
        </w:tc>
        <w:tc>
          <w:tcPr>
            <w:tcW w:w="119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每季度一次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p>
        </w:tc>
        <w:tc>
          <w:tcPr>
            <w:tcW w:w="66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固体废物</w:t>
            </w:r>
          </w:p>
        </w:tc>
        <w:tc>
          <w:tcPr>
            <w:tcW w:w="80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垃圾存储区域</w:t>
            </w:r>
          </w:p>
        </w:tc>
        <w:tc>
          <w:tcPr>
            <w:tcW w:w="1969"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统计产生量、处理量/处理方式、贮存量</w:t>
            </w:r>
          </w:p>
        </w:tc>
        <w:tc>
          <w:tcPr>
            <w:tcW w:w="1195"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color="auto"/>
              </w:rPr>
            </w:pPr>
            <w:r>
              <w:rPr>
                <w:rFonts w:hint="default" w:ascii="Times New Roman" w:hAnsi="Times New Roman" w:eastAsia="宋体" w:cs="Times New Roman"/>
                <w:snapToGrid w:val="0"/>
                <w:color w:val="000000"/>
                <w:spacing w:val="0"/>
                <w:w w:val="100"/>
                <w:kern w:val="0"/>
                <w:position w:val="0"/>
                <w:sz w:val="21"/>
                <w:szCs w:val="21"/>
                <w:highlight w:val="none"/>
                <w:u w:val="single" w:color="auto"/>
              </w:rPr>
              <w:t>台帐统计、年报一次</w:t>
            </w:r>
          </w:p>
        </w:tc>
      </w:tr>
    </w:tbl>
    <w:p>
      <w:pPr>
        <w:widowControl/>
        <w:kinsoku w:val="0"/>
        <w:autoSpaceDE w:val="0"/>
        <w:autoSpaceDN w:val="0"/>
        <w:adjustRightInd w:val="0"/>
        <w:snapToGrid w:val="0"/>
        <w:spacing w:line="41" w:lineRule="exact"/>
        <w:ind w:firstLine="0" w:firstLineChars="0"/>
        <w:jc w:val="left"/>
        <w:textAlignment w:val="baseline"/>
        <w:rPr>
          <w:rFonts w:ascii="Arial" w:hAnsi="Arial" w:eastAsia="Arial" w:cs="Arial"/>
          <w:snapToGrid w:val="0"/>
          <w:color w:val="000000"/>
          <w:kern w:val="0"/>
          <w:sz w:val="21"/>
          <w:szCs w:val="21"/>
          <w:highlight w:val="none"/>
        </w:rPr>
      </w:pPr>
    </w:p>
    <w:p>
      <w:pPr>
        <w:pStyle w:val="4"/>
        <w:bidi w:val="0"/>
        <w:rPr>
          <w:highlight w:val="none"/>
        </w:rPr>
      </w:pPr>
      <w:bookmarkStart w:id="113" w:name="_Toc31459"/>
      <w:r>
        <w:rPr>
          <w:rFonts w:hint="eastAsia"/>
          <w:highlight w:val="none"/>
          <w:lang w:val="en-US" w:eastAsia="zh-CN"/>
        </w:rPr>
        <w:t>10</w:t>
      </w:r>
      <w:r>
        <w:rPr>
          <w:highlight w:val="none"/>
        </w:rPr>
        <w:t>.3  排污口规范化</w:t>
      </w:r>
      <w:bookmarkEnd w:id="113"/>
    </w:p>
    <w:p>
      <w:pPr>
        <w:bidi w:val="0"/>
        <w:rPr>
          <w:highlight w:val="none"/>
        </w:rPr>
      </w:pPr>
      <w:r>
        <w:rPr>
          <w:highlight w:val="none"/>
        </w:rPr>
        <w:t>排污口是企业污染物进入受纳环境的通道，做好排污口管理是实施污染物总量控制和达标排放的基础工作之一，必须实行规范化管理。建设项目所有排放口，包括水、气、声、固体废物，必须按</w:t>
      </w:r>
      <w:r>
        <w:rPr>
          <w:rFonts w:hint="eastAsia" w:ascii="宋体" w:hAnsi="宋体" w:eastAsia="宋体" w:cs="宋体"/>
          <w:highlight w:val="none"/>
        </w:rPr>
        <w:t>照“便于计量监测、便于日常现场监督检查”</w:t>
      </w:r>
      <w:r>
        <w:rPr>
          <w:highlight w:val="none"/>
        </w:rPr>
        <w:t>的原则和规范化要求，设置与之相适应得环境保护图形标志牌，标明排污口分布图。</w:t>
      </w:r>
    </w:p>
    <w:p>
      <w:pPr>
        <w:bidi w:val="0"/>
        <w:rPr>
          <w:highlight w:val="none"/>
        </w:rPr>
      </w:pPr>
      <w:r>
        <w:rPr>
          <w:highlight w:val="none"/>
        </w:rPr>
        <w:t>（1）废气排放口要求</w:t>
      </w:r>
    </w:p>
    <w:p>
      <w:pPr>
        <w:bidi w:val="0"/>
        <w:rPr>
          <w:highlight w:val="none"/>
        </w:rPr>
      </w:pPr>
      <w:r>
        <w:rPr>
          <w:highlight w:val="none"/>
        </w:rPr>
        <w:t>项目废气采样点应符合《固定污染源废气监测技术规范》</w:t>
      </w:r>
      <w:r>
        <w:rPr>
          <w:rFonts w:hint="eastAsia"/>
          <w:highlight w:val="none"/>
          <w:lang w:eastAsia="zh-CN"/>
        </w:rPr>
        <w:t>（</w:t>
      </w:r>
      <w:r>
        <w:rPr>
          <w:highlight w:val="none"/>
        </w:rPr>
        <w:t>HJ/T397-2007</w:t>
      </w:r>
      <w:r>
        <w:rPr>
          <w:rFonts w:hint="eastAsia"/>
          <w:highlight w:val="none"/>
          <w:lang w:eastAsia="zh-CN"/>
        </w:rPr>
        <w:t>）</w:t>
      </w:r>
      <w:r>
        <w:rPr>
          <w:highlight w:val="none"/>
        </w:rPr>
        <w:t>相关要求，排气筒要设置便于采样、监测，安全可靠的采样口，采样点的气流要稳定，采样孔设置为圆形，直径一般不小于80mm，采样口平时应用活动式盖子盖上，防止气流涌出。</w:t>
      </w:r>
    </w:p>
    <w:p>
      <w:pPr>
        <w:bidi w:val="0"/>
        <w:rPr>
          <w:highlight w:val="none"/>
        </w:rPr>
      </w:pPr>
      <w:r>
        <w:rPr>
          <w:highlight w:val="none"/>
        </w:rPr>
        <w:t>本项目不设置废气排放口。</w:t>
      </w:r>
    </w:p>
    <w:p>
      <w:pPr>
        <w:bidi w:val="0"/>
        <w:rPr>
          <w:highlight w:val="none"/>
        </w:rPr>
      </w:pPr>
      <w:r>
        <w:rPr>
          <w:highlight w:val="none"/>
        </w:rPr>
        <w:t>（2）废水排放口要求</w:t>
      </w:r>
    </w:p>
    <w:p>
      <w:pPr>
        <w:bidi w:val="0"/>
        <w:rPr>
          <w:highlight w:val="none"/>
        </w:rPr>
      </w:pPr>
      <w:r>
        <w:rPr>
          <w:rFonts w:hint="eastAsia"/>
          <w:highlight w:val="none"/>
        </w:rPr>
        <w:t>项目养殖废水和生活污水经化粪池处理后均通过场区污水处理站处理后，用于周边林地灌溉，不外排，最终全部实现综合利用。</w:t>
      </w:r>
      <w:r>
        <w:rPr>
          <w:highlight w:val="none"/>
        </w:rPr>
        <w:t>本项目不设置废水排污口。</w:t>
      </w:r>
    </w:p>
    <w:p>
      <w:pPr>
        <w:pStyle w:val="4"/>
        <w:bidi w:val="0"/>
        <w:rPr>
          <w:rFonts w:ascii="宋体" w:hAnsi="宋体" w:eastAsia="宋体" w:cs="宋体"/>
          <w:sz w:val="28"/>
          <w:szCs w:val="28"/>
          <w:highlight w:val="none"/>
          <w:u w:val="single"/>
        </w:rPr>
      </w:pPr>
      <w:bookmarkStart w:id="114" w:name="_Toc9641"/>
      <w:bookmarkStart w:id="115" w:name="_Toc18023"/>
      <w:r>
        <w:rPr>
          <w:rFonts w:hint="eastAsia" w:ascii="Times New Roman" w:hAnsi="Times New Roman" w:eastAsia="宋体" w:cs="Times New Roman"/>
          <w:b/>
          <w:bCs/>
          <w:spacing w:val="-1"/>
          <w:sz w:val="28"/>
          <w:szCs w:val="28"/>
          <w:highlight w:val="none"/>
          <w:u w:val="single"/>
          <w:lang w:val="en-US" w:eastAsia="zh-CN"/>
        </w:rPr>
        <w:t>10</w:t>
      </w:r>
      <w:r>
        <w:rPr>
          <w:rFonts w:ascii="Times New Roman" w:hAnsi="Times New Roman" w:eastAsia="Times New Roman" w:cs="Times New Roman"/>
          <w:b/>
          <w:bCs/>
          <w:spacing w:val="-1"/>
          <w:sz w:val="28"/>
          <w:szCs w:val="28"/>
          <w:highlight w:val="none"/>
          <w:u w:val="single"/>
        </w:rPr>
        <w:t>.4</w:t>
      </w:r>
      <w:r>
        <w:rPr>
          <w:rFonts w:ascii="Times New Roman" w:hAnsi="Times New Roman" w:eastAsia="Times New Roman" w:cs="Times New Roman"/>
          <w:spacing w:val="8"/>
          <w:sz w:val="28"/>
          <w:szCs w:val="28"/>
          <w:highlight w:val="none"/>
          <w:u w:val="single"/>
        </w:rPr>
        <w:t xml:space="preserve">  </w:t>
      </w:r>
      <w:r>
        <w:rPr>
          <w:rFonts w:ascii="宋体" w:hAnsi="宋体" w:eastAsia="宋体" w:cs="宋体"/>
          <w:spacing w:val="-1"/>
          <w:sz w:val="28"/>
          <w:szCs w:val="28"/>
          <w:highlight w:val="none"/>
          <w:u w:val="single"/>
        </w:rPr>
        <w:t>建设项目竣工环保验收</w:t>
      </w:r>
      <w:bookmarkEnd w:id="114"/>
      <w:bookmarkEnd w:id="115"/>
    </w:p>
    <w:p>
      <w:pPr>
        <w:bidi w:val="0"/>
        <w:rPr>
          <w:highlight w:val="none"/>
          <w:u w:val="single"/>
        </w:rPr>
      </w:pPr>
      <w:r>
        <w:rPr>
          <w:highlight w:val="none"/>
          <w:u w:val="single"/>
        </w:rPr>
        <w:t>根据建设项目环境管理办法，环境污染防治设施必需与主体工程同时设计、同时施工、同时投产。</w:t>
      </w:r>
      <w:r>
        <w:rPr>
          <w:rFonts w:hint="eastAsia" w:ascii="宋体" w:hAnsi="宋体" w:eastAsia="宋体" w:cs="宋体"/>
          <w:highlight w:val="none"/>
          <w:u w:val="single"/>
        </w:rPr>
        <w:t>“三同时”</w:t>
      </w:r>
      <w:r>
        <w:rPr>
          <w:highlight w:val="none"/>
          <w:u w:val="single"/>
        </w:rPr>
        <w:t>验收内容详见表</w:t>
      </w:r>
      <w:r>
        <w:rPr>
          <w:rFonts w:hint="eastAsia"/>
          <w:highlight w:val="none"/>
          <w:u w:val="single"/>
          <w:lang w:val="en-US" w:eastAsia="zh-CN"/>
        </w:rPr>
        <w:t>10</w:t>
      </w:r>
      <w:r>
        <w:rPr>
          <w:highlight w:val="none"/>
          <w:u w:val="single"/>
        </w:rPr>
        <w:t>.4- 1。</w:t>
      </w:r>
    </w:p>
    <w:p>
      <w:pPr>
        <w:pStyle w:val="7"/>
        <w:bidi w:val="0"/>
        <w:rPr>
          <w:highlight w:val="none"/>
          <w:u w:val="single"/>
        </w:rPr>
      </w:pPr>
      <w:r>
        <w:rPr>
          <w:highlight w:val="none"/>
          <w:u w:val="single"/>
        </w:rPr>
        <w:t>表</w:t>
      </w:r>
      <w:r>
        <w:rPr>
          <w:rFonts w:hint="eastAsia"/>
          <w:highlight w:val="none"/>
          <w:u w:val="single"/>
          <w:lang w:val="en-US" w:eastAsia="zh-CN"/>
        </w:rPr>
        <w:t>10</w:t>
      </w:r>
      <w:r>
        <w:rPr>
          <w:highlight w:val="none"/>
          <w:u w:val="single"/>
        </w:rPr>
        <w:t xml:space="preserve">.4-1 </w:t>
      </w:r>
      <w:r>
        <w:rPr>
          <w:rFonts w:hint="eastAsia"/>
          <w:highlight w:val="none"/>
          <w:u w:val="single"/>
          <w:lang w:val="en-US" w:eastAsia="zh-CN"/>
        </w:rPr>
        <w:t xml:space="preserve"> </w:t>
      </w:r>
      <w:r>
        <w:rPr>
          <w:highlight w:val="none"/>
          <w:u w:val="single"/>
        </w:rPr>
        <w:t>本项目竣工环保验收“三同时”一览表</w:t>
      </w:r>
    </w:p>
    <w:tbl>
      <w:tblPr>
        <w:tblStyle w:val="34"/>
        <w:tblW w:w="51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5"/>
        <w:gridCol w:w="1290"/>
        <w:gridCol w:w="1402"/>
        <w:gridCol w:w="3299"/>
        <w:gridCol w:w="2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类别</w:t>
            </w: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污染源</w:t>
            </w:r>
          </w:p>
        </w:tc>
        <w:tc>
          <w:tcPr>
            <w:tcW w:w="81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项目</w:t>
            </w:r>
          </w:p>
        </w:tc>
        <w:tc>
          <w:tcPr>
            <w:tcW w:w="191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处理情况</w:t>
            </w:r>
          </w:p>
        </w:tc>
        <w:tc>
          <w:tcPr>
            <w:tcW w:w="11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33"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废气</w:t>
            </w: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猪舍</w:t>
            </w:r>
          </w:p>
        </w:tc>
        <w:tc>
          <w:tcPr>
            <w:tcW w:w="812"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vertAlign w:val="baselin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NH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3</w:t>
            </w:r>
            <w:r>
              <w:rPr>
                <w:rFonts w:hint="default" w:ascii="Times New Roman" w:hAnsi="Times New Roman" w:eastAsia="宋体" w:cs="Times New Roman"/>
                <w:snapToGrid w:val="0"/>
                <w:color w:val="000000"/>
                <w:spacing w:val="0"/>
                <w:w w:val="100"/>
                <w:kern w:val="0"/>
                <w:position w:val="0"/>
                <w:sz w:val="21"/>
                <w:szCs w:val="21"/>
                <w:highlight w:val="none"/>
                <w:u w:val="single"/>
                <w:vertAlign w:val="baseline"/>
                <w:lang w:eastAsia="zh-CN"/>
              </w:rPr>
              <w:t>、</w:t>
            </w:r>
            <w:r>
              <w:rPr>
                <w:rFonts w:hint="default" w:ascii="Times New Roman" w:hAnsi="Times New Roman" w:eastAsia="宋体" w:cs="Times New Roman"/>
                <w:snapToGrid w:val="0"/>
                <w:color w:val="000000"/>
                <w:spacing w:val="0"/>
                <w:w w:val="100"/>
                <w:kern w:val="0"/>
                <w:position w:val="0"/>
                <w:sz w:val="21"/>
                <w:szCs w:val="21"/>
                <w:highlight w:val="none"/>
                <w:u w:val="single"/>
              </w:rPr>
              <w:t>H</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2</w:t>
            </w:r>
            <w:r>
              <w:rPr>
                <w:rFonts w:hint="default" w:ascii="Times New Roman" w:hAnsi="Times New Roman" w:eastAsia="宋体" w:cs="Times New Roman"/>
                <w:snapToGrid w:val="0"/>
                <w:color w:val="000000"/>
                <w:spacing w:val="0"/>
                <w:w w:val="100"/>
                <w:kern w:val="0"/>
                <w:position w:val="0"/>
                <w:sz w:val="21"/>
                <w:szCs w:val="21"/>
                <w:highlight w:val="none"/>
                <w:u w:val="single"/>
              </w:rPr>
              <w:t>S</w:t>
            </w:r>
          </w:p>
        </w:tc>
        <w:tc>
          <w:tcPr>
            <w:tcW w:w="191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采用</w:t>
            </w:r>
            <w:r>
              <w:rPr>
                <w:rFonts w:hint="eastAsia" w:cs="Times New Roman"/>
                <w:snapToGrid w:val="0"/>
                <w:color w:val="000000"/>
                <w:spacing w:val="0"/>
                <w:w w:val="100"/>
                <w:kern w:val="0"/>
                <w:position w:val="0"/>
                <w:sz w:val="21"/>
                <w:szCs w:val="21"/>
                <w:highlight w:val="none"/>
                <w:u w:val="single"/>
                <w:lang w:eastAsia="zh-CN"/>
              </w:rPr>
              <w:t>干清粪</w:t>
            </w:r>
            <w:r>
              <w:rPr>
                <w:rFonts w:hint="default" w:ascii="Times New Roman" w:hAnsi="Times New Roman" w:eastAsia="宋体" w:cs="Times New Roman"/>
                <w:snapToGrid w:val="0"/>
                <w:color w:val="000000"/>
                <w:spacing w:val="0"/>
                <w:w w:val="100"/>
                <w:kern w:val="0"/>
                <w:position w:val="0"/>
                <w:sz w:val="21"/>
                <w:szCs w:val="21"/>
                <w:highlight w:val="none"/>
                <w:u w:val="single"/>
              </w:rPr>
              <w:t>饲养工艺，猪舍保持清洁，定期喷洒除臭剂，采用节水型饮水器，选用配合饲料</w:t>
            </w:r>
          </w:p>
        </w:tc>
        <w:tc>
          <w:tcPr>
            <w:tcW w:w="1196"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达到《畜禽养殖产地环境评价规范》和《恶臭污染物排放标准》的相关要求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lang w:eastAsia="zh-CN"/>
              </w:rPr>
              <w:t>污水处理站</w:t>
            </w:r>
          </w:p>
        </w:tc>
        <w:tc>
          <w:tcPr>
            <w:tcW w:w="81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91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场区内加强绿化</w:t>
            </w:r>
          </w:p>
        </w:tc>
        <w:tc>
          <w:tcPr>
            <w:tcW w:w="1196"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食堂油烟</w:t>
            </w:r>
          </w:p>
        </w:tc>
        <w:tc>
          <w:tcPr>
            <w:tcW w:w="81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油烟</w:t>
            </w:r>
          </w:p>
        </w:tc>
        <w:tc>
          <w:tcPr>
            <w:tcW w:w="191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高效油烟净化器，室外排放</w:t>
            </w:r>
          </w:p>
        </w:tc>
        <w:tc>
          <w:tcPr>
            <w:tcW w:w="11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污水</w:t>
            </w: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养殖废水</w:t>
            </w:r>
          </w:p>
        </w:tc>
        <w:tc>
          <w:tcPr>
            <w:tcW w:w="812"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COD、</w:t>
            </w:r>
            <w:r>
              <w:rPr>
                <w:rFonts w:hint="eastAsia" w:cs="Times New Roman"/>
                <w:snapToGrid w:val="0"/>
                <w:color w:val="000000"/>
                <w:spacing w:val="0"/>
                <w:w w:val="100"/>
                <w:kern w:val="0"/>
                <w:position w:val="0"/>
                <w:sz w:val="21"/>
                <w:szCs w:val="21"/>
                <w:highlight w:val="none"/>
                <w:u w:val="single"/>
                <w:lang w:eastAsia="zh-CN"/>
              </w:rPr>
              <w:t>NH</w:t>
            </w:r>
            <w:r>
              <w:rPr>
                <w:rFonts w:hint="eastAsia" w:cs="Times New Roman"/>
                <w:snapToGrid w:val="0"/>
                <w:color w:val="000000"/>
                <w:spacing w:val="0"/>
                <w:w w:val="100"/>
                <w:kern w:val="0"/>
                <w:position w:val="0"/>
                <w:sz w:val="21"/>
                <w:szCs w:val="21"/>
                <w:highlight w:val="none"/>
                <w:u w:val="single"/>
                <w:vertAlign w:val="subscript"/>
                <w:lang w:eastAsia="zh-CN"/>
              </w:rPr>
              <w:t>3</w:t>
            </w:r>
            <w:r>
              <w:rPr>
                <w:rFonts w:hint="default" w:ascii="Times New Roman" w:hAnsi="Times New Roman" w:eastAsia="宋体" w:cs="Times New Roman"/>
                <w:snapToGrid w:val="0"/>
                <w:color w:val="000000"/>
                <w:spacing w:val="0"/>
                <w:w w:val="100"/>
                <w:kern w:val="0"/>
                <w:position w:val="0"/>
                <w:sz w:val="21"/>
                <w:szCs w:val="21"/>
                <w:highlight w:val="none"/>
                <w:u w:val="single"/>
              </w:rPr>
              <w:t>-N、SS、BOD</w:t>
            </w:r>
            <w:r>
              <w:rPr>
                <w:rFonts w:hint="default" w:ascii="Times New Roman" w:hAnsi="Times New Roman" w:eastAsia="宋体" w:cs="Times New Roman"/>
                <w:snapToGrid w:val="0"/>
                <w:color w:val="000000"/>
                <w:spacing w:val="0"/>
                <w:w w:val="100"/>
                <w:kern w:val="0"/>
                <w:position w:val="0"/>
                <w:sz w:val="21"/>
                <w:szCs w:val="21"/>
                <w:highlight w:val="none"/>
                <w:u w:val="single"/>
                <w:vertAlign w:val="subscript"/>
              </w:rPr>
              <w:t>5</w:t>
            </w:r>
            <w:r>
              <w:rPr>
                <w:rFonts w:hint="default" w:ascii="Times New Roman" w:hAnsi="Times New Roman" w:eastAsia="宋体" w:cs="Times New Roman"/>
                <w:snapToGrid w:val="0"/>
                <w:color w:val="000000"/>
                <w:spacing w:val="0"/>
                <w:w w:val="100"/>
                <w:kern w:val="0"/>
                <w:position w:val="0"/>
                <w:sz w:val="21"/>
                <w:szCs w:val="21"/>
                <w:highlight w:val="none"/>
                <w:u w:val="single"/>
              </w:rPr>
              <w:t>等</w:t>
            </w:r>
          </w:p>
        </w:tc>
        <w:tc>
          <w:tcPr>
            <w:tcW w:w="1910"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本项目采用</w:t>
            </w:r>
            <w:r>
              <w:rPr>
                <w:rFonts w:hint="eastAsia" w:cs="Times New Roman"/>
                <w:snapToGrid w:val="0"/>
                <w:color w:val="000000"/>
                <w:spacing w:val="0"/>
                <w:w w:val="100"/>
                <w:kern w:val="0"/>
                <w:position w:val="0"/>
                <w:sz w:val="21"/>
                <w:szCs w:val="21"/>
                <w:highlight w:val="none"/>
                <w:u w:val="single"/>
                <w:lang w:eastAsia="zh-CN"/>
              </w:rPr>
              <w:t>干清粪</w:t>
            </w:r>
            <w:r>
              <w:rPr>
                <w:rFonts w:hint="default" w:ascii="Times New Roman" w:hAnsi="Times New Roman" w:eastAsia="宋体" w:cs="Times New Roman"/>
                <w:snapToGrid w:val="0"/>
                <w:color w:val="000000"/>
                <w:spacing w:val="0"/>
                <w:w w:val="100"/>
                <w:kern w:val="0"/>
                <w:position w:val="0"/>
                <w:sz w:val="21"/>
                <w:szCs w:val="21"/>
                <w:highlight w:val="none"/>
                <w:u w:val="single"/>
              </w:rPr>
              <w:t>处理工艺，</w:t>
            </w:r>
            <w:r>
              <w:rPr>
                <w:rFonts w:hint="eastAsia" w:cs="Times New Roman"/>
                <w:snapToGrid w:val="0"/>
                <w:color w:val="000000"/>
                <w:spacing w:val="0"/>
                <w:w w:val="100"/>
                <w:kern w:val="0"/>
                <w:position w:val="0"/>
                <w:sz w:val="21"/>
                <w:szCs w:val="21"/>
                <w:highlight w:val="none"/>
                <w:u w:val="single"/>
                <w:lang w:eastAsia="zh-CN"/>
              </w:rPr>
              <w:t>采取</w:t>
            </w:r>
            <w:r>
              <w:rPr>
                <w:rFonts w:hint="default" w:ascii="Times New Roman" w:hAnsi="Times New Roman" w:eastAsia="宋体" w:cs="Times New Roman"/>
                <w:snapToGrid w:val="0"/>
                <w:color w:val="000000"/>
                <w:spacing w:val="0"/>
                <w:w w:val="100"/>
                <w:kern w:val="0"/>
                <w:position w:val="0"/>
                <w:sz w:val="21"/>
                <w:szCs w:val="21"/>
                <w:highlight w:val="none"/>
                <w:u w:val="single"/>
              </w:rPr>
              <w:t>固液分离，养殖粪污分离出来的固态作为有机肥原料通过罐车外运，不在厂区内堆肥。项目养殖废水和生活污水经化粪池处理后均通过场区污水处理站处理后，用于周边林地灌溉，不外排，最终全部实现综合利用。</w:t>
            </w:r>
          </w:p>
        </w:tc>
        <w:tc>
          <w:tcPr>
            <w:tcW w:w="11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生活污水</w:t>
            </w:r>
          </w:p>
        </w:tc>
        <w:tc>
          <w:tcPr>
            <w:tcW w:w="812"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910"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c>
          <w:tcPr>
            <w:tcW w:w="11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t>噪声</w:t>
            </w:r>
          </w:p>
        </w:tc>
        <w:tc>
          <w:tcPr>
            <w:tcW w:w="747"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猪舍、各类泵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等</w:t>
            </w:r>
          </w:p>
        </w:tc>
        <w:tc>
          <w:tcPr>
            <w:tcW w:w="812"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等效A声级</w:t>
            </w:r>
          </w:p>
        </w:tc>
        <w:tc>
          <w:tcPr>
            <w:tcW w:w="1910"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昼间 60dB(A)</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夜间 50dB(A)</w:t>
            </w:r>
          </w:p>
        </w:tc>
        <w:tc>
          <w:tcPr>
            <w:tcW w:w="1196" w:type="pc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达到《工业企业厂界环境噪声排放标准》2类标准的要求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t>固体废物</w:t>
            </w:r>
          </w:p>
        </w:tc>
        <w:tc>
          <w:tcPr>
            <w:tcW w:w="7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生活垃圾</w:t>
            </w:r>
          </w:p>
        </w:tc>
        <w:tc>
          <w:tcPr>
            <w:tcW w:w="8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生活垃圾</w:t>
            </w:r>
          </w:p>
        </w:tc>
        <w:tc>
          <w:tcPr>
            <w:tcW w:w="19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环卫部门统一处理</w:t>
            </w:r>
          </w:p>
        </w:tc>
        <w:tc>
          <w:tcPr>
            <w:tcW w:w="1196" w:type="pct"/>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napToGrid w:val="0"/>
                <w:color w:val="000000"/>
                <w:spacing w:val="0"/>
                <w:w w:val="100"/>
                <w:kern w:val="0"/>
                <w:position w:val="0"/>
                <w:sz w:val="21"/>
                <w:szCs w:val="21"/>
                <w:highlight w:val="none"/>
                <w:u w:val="single"/>
              </w:rPr>
              <w:t>实现零排放，满足《病害动物和病害动物产品生物安全处理规程》《畜禽养殖业污染防治技术规范》要求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p>
        </w:tc>
        <w:tc>
          <w:tcPr>
            <w:tcW w:w="7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猪粪</w:t>
            </w:r>
          </w:p>
        </w:tc>
        <w:tc>
          <w:tcPr>
            <w:tcW w:w="8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猪粪</w:t>
            </w:r>
          </w:p>
        </w:tc>
        <w:tc>
          <w:tcPr>
            <w:tcW w:w="19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000000"/>
                <w:spacing w:val="0"/>
                <w:w w:val="100"/>
                <w:kern w:val="0"/>
                <w:position w:val="0"/>
                <w:sz w:val="21"/>
                <w:szCs w:val="21"/>
                <w:highlight w:val="none"/>
                <w:u w:val="single"/>
                <w:lang w:eastAsia="zh-CN"/>
              </w:rPr>
            </w:pPr>
            <w:r>
              <w:rPr>
                <w:rFonts w:hint="default" w:ascii="Times New Roman" w:hAnsi="Times New Roman" w:eastAsia="宋体" w:cs="Times New Roman"/>
                <w:snapToGrid w:val="0"/>
                <w:color w:val="000000"/>
                <w:spacing w:val="0"/>
                <w:w w:val="100"/>
                <w:kern w:val="0"/>
                <w:position w:val="0"/>
                <w:sz w:val="21"/>
                <w:szCs w:val="21"/>
                <w:highlight w:val="none"/>
                <w:u w:val="single"/>
              </w:rPr>
              <w:t>本项目采用</w:t>
            </w:r>
            <w:r>
              <w:rPr>
                <w:rFonts w:hint="eastAsia" w:cs="Times New Roman"/>
                <w:snapToGrid w:val="0"/>
                <w:color w:val="000000"/>
                <w:spacing w:val="0"/>
                <w:w w:val="100"/>
                <w:kern w:val="0"/>
                <w:position w:val="0"/>
                <w:sz w:val="21"/>
                <w:szCs w:val="21"/>
                <w:highlight w:val="none"/>
                <w:u w:val="single"/>
                <w:lang w:eastAsia="zh-CN"/>
              </w:rPr>
              <w:t>干清粪</w:t>
            </w:r>
            <w:r>
              <w:rPr>
                <w:rFonts w:hint="default" w:ascii="Times New Roman" w:hAnsi="Times New Roman" w:eastAsia="宋体" w:cs="Times New Roman"/>
                <w:snapToGrid w:val="0"/>
                <w:color w:val="000000"/>
                <w:spacing w:val="0"/>
                <w:w w:val="100"/>
                <w:kern w:val="0"/>
                <w:position w:val="0"/>
                <w:sz w:val="21"/>
                <w:szCs w:val="21"/>
                <w:highlight w:val="none"/>
                <w:u w:val="single"/>
              </w:rPr>
              <w:t>处理工艺，</w:t>
            </w:r>
            <w:r>
              <w:rPr>
                <w:rFonts w:hint="eastAsia" w:cs="Times New Roman"/>
                <w:snapToGrid w:val="0"/>
                <w:color w:val="000000"/>
                <w:spacing w:val="0"/>
                <w:w w:val="100"/>
                <w:kern w:val="0"/>
                <w:position w:val="0"/>
                <w:sz w:val="21"/>
                <w:szCs w:val="21"/>
                <w:highlight w:val="none"/>
                <w:u w:val="single"/>
                <w:lang w:eastAsia="zh-CN"/>
              </w:rPr>
              <w:t>采取</w:t>
            </w:r>
            <w:r>
              <w:rPr>
                <w:rFonts w:hint="default" w:ascii="Times New Roman" w:hAnsi="Times New Roman" w:eastAsia="宋体" w:cs="Times New Roman"/>
                <w:snapToGrid w:val="0"/>
                <w:color w:val="000000"/>
                <w:spacing w:val="0"/>
                <w:w w:val="100"/>
                <w:kern w:val="0"/>
                <w:position w:val="0"/>
                <w:sz w:val="21"/>
                <w:szCs w:val="21"/>
                <w:highlight w:val="none"/>
                <w:u w:val="single"/>
              </w:rPr>
              <w:t>固液分离，养殖粪污分离出来的固态作为有机肥原料通过罐车外运，不在厂区内堆肥。</w:t>
            </w:r>
          </w:p>
        </w:tc>
        <w:tc>
          <w:tcPr>
            <w:tcW w:w="1196"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p>
        </w:tc>
        <w:tc>
          <w:tcPr>
            <w:tcW w:w="7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病死猪</w:t>
            </w:r>
          </w:p>
        </w:tc>
        <w:tc>
          <w:tcPr>
            <w:tcW w:w="8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病死猪</w:t>
            </w:r>
          </w:p>
        </w:tc>
        <w:tc>
          <w:tcPr>
            <w:tcW w:w="19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病死猪当天委托当地畜禽无害化处理中心清运和处理，不在厂内暂存；</w:t>
            </w:r>
          </w:p>
        </w:tc>
        <w:tc>
          <w:tcPr>
            <w:tcW w:w="1196"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333"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lang w:val="en-US" w:eastAsia="zh-CN"/>
              </w:rPr>
            </w:pPr>
          </w:p>
        </w:tc>
        <w:tc>
          <w:tcPr>
            <w:tcW w:w="7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医疗废物</w:t>
            </w:r>
          </w:p>
        </w:tc>
        <w:tc>
          <w:tcPr>
            <w:tcW w:w="8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pacing w:val="0"/>
                <w:w w:val="10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医疗废物</w:t>
            </w:r>
          </w:p>
        </w:tc>
        <w:tc>
          <w:tcPr>
            <w:tcW w:w="19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spacing w:val="0"/>
                <w:w w:val="100"/>
                <w:kern w:val="0"/>
                <w:position w:val="0"/>
                <w:sz w:val="21"/>
                <w:szCs w:val="21"/>
                <w:highlight w:val="none"/>
                <w:u w:val="single"/>
              </w:rPr>
            </w:pPr>
            <w:r>
              <w:rPr>
                <w:rFonts w:hint="default" w:ascii="Times New Roman" w:hAnsi="Times New Roman" w:eastAsia="宋体" w:cs="Times New Roman"/>
                <w:spacing w:val="0"/>
                <w:w w:val="100"/>
                <w:position w:val="0"/>
                <w:sz w:val="21"/>
                <w:szCs w:val="21"/>
                <w:highlight w:val="none"/>
                <w:u w:val="single"/>
              </w:rPr>
              <w:t>交有处理资质单位处置</w:t>
            </w:r>
          </w:p>
        </w:tc>
        <w:tc>
          <w:tcPr>
            <w:tcW w:w="1196" w:type="pct"/>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spacing w:val="0"/>
                <w:w w:val="100"/>
                <w:kern w:val="0"/>
                <w:position w:val="0"/>
                <w:sz w:val="21"/>
                <w:szCs w:val="21"/>
                <w:highlight w:val="none"/>
                <w:u w:val="single"/>
              </w:rPr>
            </w:pPr>
          </w:p>
        </w:tc>
      </w:tr>
    </w:tbl>
    <w:p>
      <w:pPr>
        <w:bidi w:val="0"/>
        <w:rPr>
          <w:highlight w:val="none"/>
        </w:rPr>
      </w:pPr>
    </w:p>
    <w:p>
      <w:pPr>
        <w:pStyle w:val="24"/>
        <w:rPr>
          <w:highlight w:val="none"/>
        </w:rPr>
      </w:pPr>
    </w:p>
    <w:p>
      <w:pPr>
        <w:pStyle w:val="26"/>
        <w:rPr>
          <w:highlight w:val="none"/>
        </w:rPr>
      </w:pPr>
    </w:p>
    <w:p>
      <w:pPr>
        <w:pStyle w:val="27"/>
        <w:rPr>
          <w:highlight w:val="none"/>
        </w:rPr>
      </w:pPr>
    </w:p>
    <w:p>
      <w:pPr>
        <w:pStyle w:val="15"/>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
      <w:pPr>
        <w:pStyle w:val="2"/>
      </w:pPr>
    </w:p>
    <w:p>
      <w:pPr>
        <w:pStyle w:val="15"/>
        <w:rPr>
          <w:highlight w:val="none"/>
        </w:rPr>
      </w:pPr>
    </w:p>
    <w:p>
      <w:pPr>
        <w:rPr>
          <w:highlight w:val="none"/>
        </w:rPr>
      </w:pPr>
    </w:p>
    <w:p>
      <w:pPr>
        <w:pStyle w:val="3"/>
        <w:bidi w:val="0"/>
        <w:rPr>
          <w:rFonts w:ascii="宋体" w:hAnsi="宋体" w:eastAsia="宋体" w:cs="宋体"/>
          <w:sz w:val="32"/>
          <w:szCs w:val="32"/>
          <w:highlight w:val="none"/>
        </w:rPr>
      </w:pPr>
      <w:bookmarkStart w:id="116" w:name="_Toc18380"/>
      <w:bookmarkStart w:id="117" w:name="_Toc8980"/>
      <w:r>
        <w:rPr>
          <w:rFonts w:ascii="Times New Roman" w:hAnsi="Times New Roman" w:eastAsia="Times New Roman" w:cs="Times New Roman"/>
          <w:b/>
          <w:bCs/>
          <w:spacing w:val="-5"/>
          <w:sz w:val="32"/>
          <w:szCs w:val="32"/>
          <w:highlight w:val="none"/>
        </w:rPr>
        <w:t>11</w:t>
      </w:r>
      <w:r>
        <w:rPr>
          <w:rFonts w:ascii="Times New Roman" w:hAnsi="Times New Roman" w:eastAsia="Times New Roman" w:cs="Times New Roman"/>
          <w:spacing w:val="5"/>
          <w:sz w:val="32"/>
          <w:szCs w:val="32"/>
          <w:highlight w:val="none"/>
        </w:rPr>
        <w:t xml:space="preserve">  </w:t>
      </w:r>
      <w:r>
        <w:rPr>
          <w:rFonts w:ascii="宋体" w:hAnsi="宋体" w:eastAsia="宋体" w:cs="宋体"/>
          <w:spacing w:val="-5"/>
          <w:sz w:val="32"/>
          <w:szCs w:val="32"/>
          <w:highlight w:val="none"/>
        </w:rPr>
        <w:t>结论与建议</w:t>
      </w:r>
      <w:bookmarkEnd w:id="116"/>
      <w:bookmarkEnd w:id="117"/>
    </w:p>
    <w:p>
      <w:pPr>
        <w:pStyle w:val="4"/>
        <w:bidi w:val="0"/>
        <w:rPr>
          <w:rFonts w:ascii="宋体" w:hAnsi="宋体" w:eastAsia="宋体" w:cs="宋体"/>
          <w:sz w:val="28"/>
          <w:szCs w:val="28"/>
          <w:highlight w:val="none"/>
        </w:rPr>
      </w:pPr>
      <w:bookmarkStart w:id="118" w:name="_Toc15308"/>
      <w:bookmarkStart w:id="119" w:name="_Toc28972"/>
      <w:r>
        <w:rPr>
          <w:rFonts w:ascii="Times New Roman" w:hAnsi="Times New Roman" w:eastAsia="Times New Roman" w:cs="Times New Roman"/>
          <w:b/>
          <w:bCs/>
          <w:spacing w:val="-4"/>
          <w:sz w:val="28"/>
          <w:szCs w:val="28"/>
          <w:highlight w:val="none"/>
        </w:rPr>
        <w:t>11.1</w:t>
      </w:r>
      <w:r>
        <w:rPr>
          <w:rFonts w:ascii="Times New Roman" w:hAnsi="Times New Roman" w:eastAsia="Times New Roman" w:cs="Times New Roman"/>
          <w:spacing w:val="6"/>
          <w:sz w:val="28"/>
          <w:szCs w:val="28"/>
          <w:highlight w:val="none"/>
        </w:rPr>
        <w:t xml:space="preserve">  </w:t>
      </w:r>
      <w:r>
        <w:rPr>
          <w:rFonts w:ascii="宋体" w:hAnsi="宋体" w:eastAsia="宋体" w:cs="宋体"/>
          <w:spacing w:val="-4"/>
          <w:sz w:val="28"/>
          <w:szCs w:val="28"/>
          <w:highlight w:val="none"/>
        </w:rPr>
        <w:t>建设项目概况</w:t>
      </w:r>
      <w:bookmarkEnd w:id="118"/>
      <w:bookmarkEnd w:id="119"/>
    </w:p>
    <w:p>
      <w:pPr>
        <w:bidi w:val="0"/>
        <w:rPr>
          <w:highlight w:val="none"/>
        </w:rPr>
      </w:pPr>
      <w:r>
        <w:rPr>
          <w:highlight w:val="none"/>
        </w:rPr>
        <w:t>本项目拟建于</w:t>
      </w:r>
      <w:r>
        <w:rPr>
          <w:rFonts w:hint="eastAsia"/>
          <w:highlight w:val="none"/>
        </w:rPr>
        <w:t>岳阳市华容县东山镇长岗庙村9组002号</w:t>
      </w:r>
      <w:r>
        <w:rPr>
          <w:highlight w:val="none"/>
        </w:rPr>
        <w:t>（东经：112°</w:t>
      </w:r>
      <w:r>
        <w:rPr>
          <w:rFonts w:hint="eastAsia"/>
          <w:highlight w:val="none"/>
          <w:lang w:val="en-US" w:eastAsia="zh-CN"/>
        </w:rPr>
        <w:t>45</w:t>
      </w:r>
      <w:r>
        <w:rPr>
          <w:highlight w:val="none"/>
        </w:rPr>
        <w:t>′</w:t>
      </w:r>
      <w:r>
        <w:rPr>
          <w:rFonts w:hint="eastAsia"/>
          <w:highlight w:val="none"/>
          <w:lang w:val="en-US" w:eastAsia="zh-CN"/>
        </w:rPr>
        <w:t>0.98</w:t>
      </w:r>
      <w:r>
        <w:rPr>
          <w:highlight w:val="none"/>
        </w:rPr>
        <w:t>″， 北纬：</w:t>
      </w:r>
      <w:r>
        <w:rPr>
          <w:rFonts w:hint="eastAsia"/>
          <w:highlight w:val="none"/>
          <w:lang w:val="en-US" w:eastAsia="zh-CN"/>
        </w:rPr>
        <w:t>29</w:t>
      </w:r>
      <w:r>
        <w:rPr>
          <w:highlight w:val="none"/>
        </w:rPr>
        <w:t>°</w:t>
      </w:r>
      <w:r>
        <w:rPr>
          <w:rFonts w:hint="eastAsia"/>
          <w:highlight w:val="none"/>
          <w:lang w:val="en-US" w:eastAsia="zh-CN"/>
        </w:rPr>
        <w:t>34</w:t>
      </w:r>
      <w:r>
        <w:rPr>
          <w:highlight w:val="none"/>
        </w:rPr>
        <w:t>′</w:t>
      </w:r>
      <w:r>
        <w:rPr>
          <w:rFonts w:hint="eastAsia"/>
          <w:highlight w:val="none"/>
          <w:lang w:val="en-US" w:eastAsia="zh-CN"/>
        </w:rPr>
        <w:t>29.64</w:t>
      </w:r>
      <w:r>
        <w:rPr>
          <w:highlight w:val="none"/>
        </w:rPr>
        <w:t>″），项目总占地面积约为</w:t>
      </w:r>
      <w:r>
        <w:rPr>
          <w:rFonts w:hint="eastAsia"/>
          <w:highlight w:val="none"/>
          <w:lang w:val="en-US" w:eastAsia="zh-CN"/>
        </w:rPr>
        <w:t>7213</w:t>
      </w:r>
      <w:r>
        <w:rPr>
          <w:highlight w:val="none"/>
        </w:rPr>
        <w:t>m</w:t>
      </w:r>
      <w:r>
        <w:rPr>
          <w:highlight w:val="none"/>
          <w:vertAlign w:val="superscript"/>
        </w:rPr>
        <w:t>2</w:t>
      </w:r>
      <w:r>
        <w:rPr>
          <w:highlight w:val="none"/>
        </w:rPr>
        <w:t>，总建筑面积约为</w:t>
      </w:r>
      <w:r>
        <w:rPr>
          <w:rFonts w:hint="eastAsia"/>
          <w:highlight w:val="none"/>
          <w:lang w:val="en-US" w:eastAsia="zh-CN"/>
        </w:rPr>
        <w:t>5802.8</w:t>
      </w:r>
      <w:r>
        <w:rPr>
          <w:highlight w:val="none"/>
        </w:rPr>
        <w:t>m</w:t>
      </w:r>
      <w:r>
        <w:rPr>
          <w:highlight w:val="none"/>
          <w:vertAlign w:val="superscript"/>
        </w:rPr>
        <w:t>2</w:t>
      </w:r>
      <w:r>
        <w:rPr>
          <w:highlight w:val="none"/>
        </w:rPr>
        <w:t>，其中猪舍建筑面积约为</w:t>
      </w:r>
      <w:r>
        <w:rPr>
          <w:rFonts w:hint="eastAsia"/>
          <w:highlight w:val="none"/>
          <w:lang w:val="en-US" w:eastAsia="zh-CN"/>
        </w:rPr>
        <w:t>5764.8</w:t>
      </w:r>
      <w:r>
        <w:rPr>
          <w:highlight w:val="none"/>
        </w:rPr>
        <w:t>m</w:t>
      </w:r>
      <w:r>
        <w:rPr>
          <w:highlight w:val="none"/>
          <w:vertAlign w:val="superscript"/>
        </w:rPr>
        <w:t>2</w:t>
      </w:r>
      <w:r>
        <w:rPr>
          <w:highlight w:val="none"/>
        </w:rPr>
        <w:t>。项目拟建设</w:t>
      </w:r>
      <w:r>
        <w:rPr>
          <w:rFonts w:hint="eastAsia"/>
          <w:highlight w:val="none"/>
          <w:lang w:val="en-US" w:eastAsia="zh-CN"/>
        </w:rPr>
        <w:t>4</w:t>
      </w:r>
      <w:r>
        <w:rPr>
          <w:highlight w:val="none"/>
        </w:rPr>
        <w:t>栋独立生猪养殖猪舍，</w:t>
      </w:r>
      <w:r>
        <w:rPr>
          <w:rFonts w:hint="eastAsia"/>
          <w:highlight w:val="none"/>
          <w:lang w:eastAsia="zh-CN"/>
        </w:rPr>
        <w:t>常年</w:t>
      </w:r>
      <w:r>
        <w:rPr>
          <w:highlight w:val="none"/>
        </w:rPr>
        <w:t>存栏量育肥猪</w:t>
      </w:r>
      <w:r>
        <w:rPr>
          <w:rFonts w:hint="eastAsia"/>
          <w:highlight w:val="none"/>
          <w:lang w:val="en-US" w:eastAsia="zh-CN"/>
        </w:rPr>
        <w:t>55</w:t>
      </w:r>
      <w:r>
        <w:rPr>
          <w:highlight w:val="none"/>
        </w:rPr>
        <w:t>00 头，年出栏育肥猪约</w:t>
      </w:r>
      <w:r>
        <w:rPr>
          <w:rFonts w:hint="eastAsia"/>
          <w:highlight w:val="none"/>
          <w:lang w:val="en-US" w:eastAsia="zh-CN"/>
        </w:rPr>
        <w:t>11</w:t>
      </w:r>
      <w:r>
        <w:rPr>
          <w:highlight w:val="none"/>
        </w:rPr>
        <w:t>000 头。同时配套建设办公室、宿舍、</w:t>
      </w:r>
      <w:r>
        <w:rPr>
          <w:rFonts w:hint="eastAsia"/>
          <w:highlight w:val="none"/>
          <w:lang w:eastAsia="zh-CN"/>
        </w:rPr>
        <w:t>污水处理</w:t>
      </w:r>
      <w:r>
        <w:rPr>
          <w:highlight w:val="none"/>
        </w:rPr>
        <w:t>系统及其他环保设施。</w:t>
      </w:r>
    </w:p>
    <w:p>
      <w:pPr>
        <w:pStyle w:val="4"/>
        <w:bidi w:val="0"/>
        <w:rPr>
          <w:rFonts w:ascii="宋体" w:hAnsi="宋体" w:eastAsia="宋体" w:cs="宋体"/>
          <w:sz w:val="28"/>
          <w:szCs w:val="28"/>
          <w:highlight w:val="none"/>
        </w:rPr>
      </w:pPr>
      <w:bookmarkStart w:id="120" w:name="_Toc11344"/>
      <w:bookmarkStart w:id="121" w:name="_Toc24616"/>
      <w:r>
        <w:rPr>
          <w:rFonts w:ascii="Times New Roman" w:hAnsi="Times New Roman" w:eastAsia="Times New Roman" w:cs="Times New Roman"/>
          <w:b/>
          <w:bCs/>
          <w:spacing w:val="-3"/>
          <w:sz w:val="28"/>
          <w:szCs w:val="28"/>
          <w:highlight w:val="none"/>
        </w:rPr>
        <w:t>11.2</w:t>
      </w:r>
      <w:r>
        <w:rPr>
          <w:rFonts w:ascii="Times New Roman" w:hAnsi="Times New Roman" w:eastAsia="Times New Roman" w:cs="Times New Roman"/>
          <w:spacing w:val="5"/>
          <w:sz w:val="28"/>
          <w:szCs w:val="28"/>
          <w:highlight w:val="none"/>
        </w:rPr>
        <w:t xml:space="preserve">  </w:t>
      </w:r>
      <w:r>
        <w:rPr>
          <w:rFonts w:ascii="宋体" w:hAnsi="宋体" w:eastAsia="宋体" w:cs="宋体"/>
          <w:spacing w:val="-3"/>
          <w:sz w:val="28"/>
          <w:szCs w:val="28"/>
          <w:highlight w:val="none"/>
        </w:rPr>
        <w:t>环境质量现状结论</w:t>
      </w:r>
      <w:bookmarkEnd w:id="120"/>
      <w:bookmarkEnd w:id="121"/>
    </w:p>
    <w:p>
      <w:pPr>
        <w:pStyle w:val="5"/>
        <w:bidi w:val="0"/>
        <w:rPr>
          <w:rFonts w:ascii="宋体" w:hAnsi="宋体" w:eastAsia="宋体" w:cs="宋体"/>
          <w:sz w:val="24"/>
          <w:szCs w:val="24"/>
          <w:highlight w:val="none"/>
        </w:rPr>
      </w:pPr>
      <w:r>
        <w:rPr>
          <w:rFonts w:ascii="Times New Roman" w:hAnsi="Times New Roman" w:eastAsia="Times New Roman" w:cs="Times New Roman"/>
          <w:b/>
          <w:bCs/>
          <w:spacing w:val="-4"/>
          <w:sz w:val="24"/>
          <w:szCs w:val="24"/>
          <w:highlight w:val="none"/>
        </w:rPr>
        <w:t>11.2.</w:t>
      </w:r>
      <w:r>
        <w:rPr>
          <w:rFonts w:hint="eastAsia" w:eastAsia="宋体" w:cs="Times New Roman"/>
          <w:b/>
          <w:bCs/>
          <w:spacing w:val="-4"/>
          <w:sz w:val="24"/>
          <w:szCs w:val="24"/>
          <w:highlight w:val="none"/>
          <w:lang w:val="en-US" w:eastAsia="zh-CN"/>
        </w:rPr>
        <w:t>1</w:t>
      </w:r>
      <w:r>
        <w:rPr>
          <w:rFonts w:ascii="Times New Roman" w:hAnsi="Times New Roman" w:eastAsia="Times New Roman" w:cs="Times New Roman"/>
          <w:spacing w:val="7"/>
          <w:sz w:val="24"/>
          <w:szCs w:val="24"/>
          <w:highlight w:val="none"/>
        </w:rPr>
        <w:t xml:space="preserve">  </w:t>
      </w:r>
      <w:r>
        <w:rPr>
          <w:rFonts w:ascii="宋体" w:hAnsi="宋体" w:eastAsia="宋体" w:cs="宋体"/>
          <w:spacing w:val="-4"/>
          <w:sz w:val="24"/>
          <w:szCs w:val="24"/>
          <w:highlight w:val="none"/>
        </w:rPr>
        <w:t>环境空气</w:t>
      </w:r>
    </w:p>
    <w:p>
      <w:pPr>
        <w:bidi w:val="0"/>
        <w:rPr>
          <w:highlight w:val="none"/>
        </w:rPr>
      </w:pPr>
      <w:r>
        <w:rPr>
          <w:highlight w:val="none"/>
        </w:rPr>
        <w:t>华容县城区环境空气质量</w:t>
      </w:r>
      <w:r>
        <w:rPr>
          <w:rFonts w:hint="eastAsia"/>
          <w:highlight w:val="none"/>
        </w:rPr>
        <w:t>中全部监测因子均满足标准要求，为环境质量达标区</w:t>
      </w:r>
      <w:r>
        <w:rPr>
          <w:highlight w:val="none"/>
        </w:rPr>
        <w:t>。</w:t>
      </w:r>
    </w:p>
    <w:p>
      <w:pPr>
        <w:bidi w:val="0"/>
        <w:rPr>
          <w:highlight w:val="none"/>
        </w:rPr>
      </w:pPr>
      <w:r>
        <w:rPr>
          <w:highlight w:val="none"/>
        </w:rPr>
        <w:t>根据现状补充监测数据可知，项目区特征污染物NH</w:t>
      </w:r>
      <w:r>
        <w:rPr>
          <w:highlight w:val="none"/>
          <w:vertAlign w:val="subscript"/>
        </w:rPr>
        <w:t>3</w:t>
      </w:r>
      <w:r>
        <w:rPr>
          <w:highlight w:val="none"/>
        </w:rPr>
        <w:t>、H</w:t>
      </w:r>
      <w:r>
        <w:rPr>
          <w:highlight w:val="none"/>
          <w:vertAlign w:val="subscript"/>
        </w:rPr>
        <w:t>2</w:t>
      </w:r>
      <w:r>
        <w:rPr>
          <w:highlight w:val="none"/>
        </w:rPr>
        <w:t>S小时值满足《环境影响评价技术导则——大气环境》（HJ2.2-2018）附录D中标准。区域环境质量良好。</w:t>
      </w:r>
    </w:p>
    <w:p>
      <w:pPr>
        <w:pStyle w:val="5"/>
        <w:bidi w:val="0"/>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11.2.</w:t>
      </w:r>
      <w:r>
        <w:rPr>
          <w:rFonts w:hint="eastAsia" w:ascii="Times New Roman" w:hAnsi="Times New Roman" w:eastAsia="宋体" w:cs="Times New Roman"/>
          <w:b/>
          <w:bCs/>
          <w:spacing w:val="-3"/>
          <w:sz w:val="24"/>
          <w:szCs w:val="24"/>
          <w:highlight w:val="none"/>
          <w:lang w:val="en-US" w:eastAsia="zh-CN"/>
        </w:rPr>
        <w:t>2</w:t>
      </w:r>
      <w:r>
        <w:rPr>
          <w:rFonts w:ascii="Times New Roman" w:hAnsi="Times New Roman" w:eastAsia="Times New Roman" w:cs="Times New Roman"/>
          <w:spacing w:val="4"/>
          <w:w w:val="101"/>
          <w:sz w:val="24"/>
          <w:szCs w:val="24"/>
          <w:highlight w:val="none"/>
        </w:rPr>
        <w:t xml:space="preserve">  </w:t>
      </w:r>
      <w:r>
        <w:rPr>
          <w:rFonts w:ascii="宋体" w:hAnsi="宋体" w:eastAsia="宋体" w:cs="宋体"/>
          <w:spacing w:val="-3"/>
          <w:sz w:val="24"/>
          <w:szCs w:val="24"/>
          <w:highlight w:val="none"/>
        </w:rPr>
        <w:t>地表水环境</w:t>
      </w:r>
    </w:p>
    <w:p>
      <w:pPr>
        <w:bidi w:val="0"/>
        <w:rPr>
          <w:rFonts w:hint="eastAsia" w:eastAsia="宋体"/>
          <w:highlight w:val="green"/>
          <w:lang w:eastAsia="zh-CN"/>
        </w:rPr>
      </w:pPr>
      <w:r>
        <w:rPr>
          <w:highlight w:val="none"/>
        </w:rPr>
        <w:t>项目</w:t>
      </w:r>
      <w:r>
        <w:rPr>
          <w:rFonts w:hint="eastAsia"/>
          <w:highlight w:val="none"/>
          <w:lang w:eastAsia="zh-CN"/>
        </w:rPr>
        <w:t>北</w:t>
      </w:r>
      <w:r>
        <w:rPr>
          <w:highlight w:val="none"/>
        </w:rPr>
        <w:t>面农灌渠（S1</w:t>
      </w:r>
      <w:r>
        <w:rPr>
          <w:rFonts w:hint="eastAsia"/>
          <w:highlight w:val="none"/>
          <w:lang w:eastAsia="zh-CN"/>
        </w:rPr>
        <w:t>）</w:t>
      </w:r>
      <w:r>
        <w:rPr>
          <w:highlight w:val="none"/>
        </w:rPr>
        <w:t>，</w:t>
      </w:r>
      <w:r>
        <w:rPr>
          <w:rFonts w:hint="eastAsia"/>
          <w:highlight w:val="none"/>
        </w:rPr>
        <w:t>水体功能为农业用水区，</w:t>
      </w:r>
      <w:r>
        <w:rPr>
          <w:rFonts w:hint="eastAsia"/>
          <w:highlight w:val="none"/>
          <w:lang w:eastAsia="zh-CN"/>
        </w:rPr>
        <w:t>满足</w:t>
      </w:r>
      <w:r>
        <w:rPr>
          <w:rFonts w:ascii="Times New Roman"/>
          <w:szCs w:val="22"/>
          <w:highlight w:val="none"/>
        </w:rPr>
        <w:t>《地表水环境质量标</w:t>
      </w:r>
      <w:r>
        <w:rPr>
          <w:rFonts w:ascii="Times New Roman"/>
          <w:szCs w:val="22"/>
        </w:rPr>
        <w:t>准》（GB3838-2002）中Ⅲ类标准</w:t>
      </w:r>
      <w:r>
        <w:rPr>
          <w:highlight w:val="none"/>
        </w:rPr>
        <w:t>，具有一定的环境容量，水质状况良好。</w:t>
      </w:r>
    </w:p>
    <w:p>
      <w:pPr>
        <w:pStyle w:val="5"/>
        <w:bidi w:val="0"/>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1</w:t>
      </w:r>
      <w:r>
        <w:rPr>
          <w:rFonts w:hint="eastAsia" w:ascii="Times New Roman" w:hAnsi="Times New Roman" w:eastAsia="宋体" w:cs="Times New Roman"/>
          <w:b/>
          <w:bCs/>
          <w:spacing w:val="-2"/>
          <w:sz w:val="24"/>
          <w:szCs w:val="24"/>
          <w:highlight w:val="none"/>
          <w:lang w:val="en-US" w:eastAsia="zh-CN"/>
        </w:rPr>
        <w:t>1</w:t>
      </w:r>
      <w:r>
        <w:rPr>
          <w:rFonts w:ascii="Times New Roman" w:hAnsi="Times New Roman" w:eastAsia="Times New Roman" w:cs="Times New Roman"/>
          <w:b/>
          <w:bCs/>
          <w:spacing w:val="-2"/>
          <w:sz w:val="24"/>
          <w:szCs w:val="24"/>
          <w:highlight w:val="none"/>
        </w:rPr>
        <w:t>.2.</w:t>
      </w:r>
      <w:r>
        <w:rPr>
          <w:rFonts w:hint="eastAsia" w:ascii="Times New Roman" w:hAnsi="Times New Roman" w:eastAsia="宋体" w:cs="Times New Roman"/>
          <w:b/>
          <w:bCs/>
          <w:spacing w:val="-2"/>
          <w:sz w:val="24"/>
          <w:szCs w:val="24"/>
          <w:highlight w:val="none"/>
          <w:lang w:val="en-US" w:eastAsia="zh-CN"/>
        </w:rPr>
        <w:t>3</w:t>
      </w:r>
      <w:r>
        <w:rPr>
          <w:rFonts w:ascii="Times New Roman" w:hAnsi="Times New Roman" w:eastAsia="Times New Roman" w:cs="Times New Roman"/>
          <w:spacing w:val="5"/>
          <w:sz w:val="24"/>
          <w:szCs w:val="24"/>
          <w:highlight w:val="none"/>
        </w:rPr>
        <w:t xml:space="preserve">  </w:t>
      </w:r>
      <w:r>
        <w:rPr>
          <w:rFonts w:ascii="宋体" w:hAnsi="宋体" w:eastAsia="宋体" w:cs="宋体"/>
          <w:spacing w:val="-2"/>
          <w:sz w:val="24"/>
          <w:szCs w:val="24"/>
          <w:highlight w:val="none"/>
        </w:rPr>
        <w:t>地下水环境</w:t>
      </w:r>
    </w:p>
    <w:p>
      <w:pPr>
        <w:bidi w:val="0"/>
        <w:rPr>
          <w:highlight w:val="none"/>
        </w:rPr>
      </w:pPr>
      <w:r>
        <w:rPr>
          <w:highlight w:val="none"/>
        </w:rPr>
        <w:t>项目所在地地下水各监测因子标准指数均小于1，达到《地下水质量标准》（GB/T14848-2017）中的Ⅲ类标准。</w:t>
      </w:r>
    </w:p>
    <w:p>
      <w:pPr>
        <w:pStyle w:val="5"/>
        <w:bidi w:val="0"/>
        <w:rPr>
          <w:rFonts w:ascii="宋体" w:hAnsi="宋体" w:eastAsia="宋体" w:cs="宋体"/>
          <w:sz w:val="24"/>
          <w:szCs w:val="24"/>
          <w:highlight w:val="none"/>
        </w:rPr>
      </w:pPr>
      <w:r>
        <w:rPr>
          <w:rFonts w:ascii="Times New Roman" w:hAnsi="Times New Roman" w:eastAsia="Times New Roman" w:cs="Times New Roman"/>
          <w:b/>
          <w:bCs/>
          <w:spacing w:val="-5"/>
          <w:sz w:val="24"/>
          <w:szCs w:val="24"/>
          <w:highlight w:val="none"/>
        </w:rPr>
        <w:t>11.2.4</w:t>
      </w:r>
      <w:r>
        <w:rPr>
          <w:rFonts w:ascii="Times New Roman" w:hAnsi="Times New Roman" w:eastAsia="Times New Roman" w:cs="Times New Roman"/>
          <w:spacing w:val="11"/>
          <w:sz w:val="24"/>
          <w:szCs w:val="24"/>
          <w:highlight w:val="none"/>
        </w:rPr>
        <w:t xml:space="preserve">  </w:t>
      </w:r>
      <w:r>
        <w:rPr>
          <w:rFonts w:ascii="宋体" w:hAnsi="宋体" w:eastAsia="宋体" w:cs="宋体"/>
          <w:spacing w:val="-5"/>
          <w:sz w:val="24"/>
          <w:szCs w:val="24"/>
          <w:highlight w:val="none"/>
        </w:rPr>
        <w:t>声环境</w:t>
      </w:r>
    </w:p>
    <w:p>
      <w:pPr>
        <w:bidi w:val="0"/>
        <w:rPr>
          <w:highlight w:val="none"/>
        </w:rPr>
      </w:pPr>
      <w:r>
        <w:rPr>
          <w:highlight w:val="none"/>
        </w:rPr>
        <w:t>根据现状监测，项目场区四周昼、夜间噪声均符合《声环境质量标准》</w:t>
      </w:r>
      <w:r>
        <w:rPr>
          <w:rFonts w:hint="eastAsia"/>
          <w:highlight w:val="none"/>
          <w:lang w:eastAsia="zh-CN"/>
        </w:rPr>
        <w:t>（</w:t>
      </w:r>
      <w:r>
        <w:rPr>
          <w:highlight w:val="none"/>
        </w:rPr>
        <w:t>GB3096-2008</w:t>
      </w:r>
      <w:r>
        <w:rPr>
          <w:rFonts w:hint="eastAsia"/>
          <w:highlight w:val="none"/>
          <w:lang w:eastAsia="zh-CN"/>
        </w:rPr>
        <w:t>）</w:t>
      </w:r>
      <w:r>
        <w:rPr>
          <w:highlight w:val="none"/>
        </w:rPr>
        <w:t>中的 2 类标准，声环境现状良好。</w:t>
      </w:r>
    </w:p>
    <w:p>
      <w:pPr>
        <w:pStyle w:val="5"/>
        <w:bidi w:val="0"/>
        <w:rPr>
          <w:rFonts w:hint="eastAsia"/>
          <w:highlight w:val="none"/>
          <w:lang w:val="en-US" w:eastAsia="zh-CN"/>
        </w:rPr>
      </w:pPr>
      <w:r>
        <w:rPr>
          <w:rFonts w:hint="eastAsia"/>
          <w:highlight w:val="none"/>
          <w:lang w:val="en-US" w:eastAsia="zh-CN"/>
        </w:rPr>
        <w:t>11.2.5  土壤环境</w:t>
      </w:r>
    </w:p>
    <w:p>
      <w:pPr>
        <w:bidi w:val="0"/>
        <w:rPr>
          <w:rFonts w:hint="default"/>
          <w:highlight w:val="none"/>
          <w:lang w:val="en-US" w:eastAsia="zh-CN"/>
        </w:rPr>
      </w:pPr>
      <w:r>
        <w:rPr>
          <w:highlight w:val="none"/>
        </w:rPr>
        <w:t>土壤监测因子均满足《土壤环境质量 农用地土壤污染风险管控标准（试行）》 （GB15618-2018）表1其他标准，该地块土壤污染风险可以忽略。</w:t>
      </w:r>
    </w:p>
    <w:p>
      <w:pPr>
        <w:pStyle w:val="4"/>
        <w:bidi w:val="0"/>
        <w:rPr>
          <w:rFonts w:ascii="宋体" w:hAnsi="宋体" w:eastAsia="宋体" w:cs="宋体"/>
          <w:sz w:val="28"/>
          <w:szCs w:val="28"/>
          <w:highlight w:val="none"/>
        </w:rPr>
      </w:pPr>
      <w:bookmarkStart w:id="122" w:name="_Toc825"/>
      <w:bookmarkStart w:id="123" w:name="_Toc21837"/>
      <w:r>
        <w:rPr>
          <w:rFonts w:ascii="Times New Roman" w:hAnsi="Times New Roman" w:eastAsia="Times New Roman" w:cs="Times New Roman"/>
          <w:b/>
          <w:bCs/>
          <w:spacing w:val="-3"/>
          <w:sz w:val="28"/>
          <w:szCs w:val="28"/>
          <w:highlight w:val="none"/>
        </w:rPr>
        <w:t>11.3</w:t>
      </w:r>
      <w:r>
        <w:rPr>
          <w:rFonts w:ascii="Times New Roman" w:hAnsi="Times New Roman" w:eastAsia="Times New Roman" w:cs="Times New Roman"/>
          <w:spacing w:val="12"/>
          <w:sz w:val="28"/>
          <w:szCs w:val="28"/>
          <w:highlight w:val="none"/>
        </w:rPr>
        <w:t xml:space="preserve">  </w:t>
      </w:r>
      <w:r>
        <w:rPr>
          <w:rFonts w:ascii="宋体" w:hAnsi="宋体" w:eastAsia="宋体" w:cs="宋体"/>
          <w:spacing w:val="-3"/>
          <w:sz w:val="28"/>
          <w:szCs w:val="28"/>
          <w:highlight w:val="none"/>
        </w:rPr>
        <w:t>污染物的产生与达标排放</w:t>
      </w:r>
      <w:bookmarkEnd w:id="122"/>
      <w:bookmarkEnd w:id="123"/>
    </w:p>
    <w:p>
      <w:pPr>
        <w:pStyle w:val="5"/>
        <w:bidi w:val="0"/>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11.3.</w:t>
      </w:r>
      <w:r>
        <w:rPr>
          <w:rFonts w:hint="eastAsia" w:ascii="Times New Roman" w:hAnsi="Times New Roman" w:eastAsia="宋体" w:cs="Times New Roman"/>
          <w:b/>
          <w:bCs/>
          <w:spacing w:val="-5"/>
          <w:sz w:val="28"/>
          <w:szCs w:val="28"/>
          <w:highlight w:val="none"/>
          <w:lang w:val="en-US" w:eastAsia="zh-CN"/>
        </w:rPr>
        <w:t>1</w:t>
      </w:r>
      <w:r>
        <w:rPr>
          <w:rFonts w:ascii="Times New Roman" w:hAnsi="Times New Roman" w:eastAsia="Times New Roman" w:cs="Times New Roman"/>
          <w:spacing w:val="6"/>
          <w:sz w:val="28"/>
          <w:szCs w:val="28"/>
          <w:highlight w:val="none"/>
        </w:rPr>
        <w:t xml:space="preserve">  </w:t>
      </w:r>
      <w:r>
        <w:rPr>
          <w:rFonts w:ascii="宋体" w:hAnsi="宋体" w:eastAsia="宋体" w:cs="宋体"/>
          <w:spacing w:val="-5"/>
          <w:sz w:val="28"/>
          <w:szCs w:val="28"/>
          <w:highlight w:val="none"/>
        </w:rPr>
        <w:t>废气</w:t>
      </w:r>
    </w:p>
    <w:p>
      <w:pPr>
        <w:bidi w:val="0"/>
        <w:rPr>
          <w:highlight w:val="none"/>
        </w:rPr>
      </w:pPr>
      <w:r>
        <w:rPr>
          <w:highlight w:val="none"/>
        </w:rPr>
        <w:t>（1）养殖场恶臭防治措施可行性分析</w:t>
      </w:r>
    </w:p>
    <w:p>
      <w:pPr>
        <w:bidi w:val="0"/>
        <w:rPr>
          <w:highlight w:val="none"/>
        </w:rPr>
      </w:pPr>
      <w:r>
        <w:rPr>
          <w:highlight w:val="none"/>
        </w:rPr>
        <w:t>养殖场恶臭异味产生源主要为圈舍及粪污收集池等，这类恶臭气体主要为氨气、硫化氢等，恶臭异味刺激人的嗅觉器官，引起人的厌恶或不愉快。</w:t>
      </w:r>
    </w:p>
    <w:p>
      <w:pPr>
        <w:bidi w:val="0"/>
        <w:rPr>
          <w:highlight w:val="none"/>
        </w:rPr>
      </w:pPr>
      <w:r>
        <w:rPr>
          <w:highlight w:val="none"/>
        </w:rPr>
        <w:t>项目采用复合微生物菌剂配合饲料；加强对圈舍的清洁卫生管理和通风措施；圈舍区定期喷洒消毒剂及除臭剂；加强场区及场界的绿化，种植花草树木，场界边缘地带种植杨、槐等高大树种形成多层防护林带，以降低恶臭污染的影响程度。</w:t>
      </w:r>
    </w:p>
    <w:p>
      <w:pPr>
        <w:bidi w:val="0"/>
        <w:rPr>
          <w:highlight w:val="none"/>
        </w:rPr>
      </w:pPr>
      <w:r>
        <w:rPr>
          <w:highlight w:val="none"/>
        </w:rPr>
        <w:t>通过上述措施后，可以有效控制恶臭物质的排放量，预计场界处NH</w:t>
      </w:r>
      <w:r>
        <w:rPr>
          <w:highlight w:val="none"/>
          <w:vertAlign w:val="subscript"/>
        </w:rPr>
        <w:t>3</w:t>
      </w:r>
      <w:r>
        <w:rPr>
          <w:highlight w:val="none"/>
        </w:rPr>
        <w:t>、H</w:t>
      </w:r>
      <w:r>
        <w:rPr>
          <w:highlight w:val="none"/>
          <w:vertAlign w:val="subscript"/>
        </w:rPr>
        <w:t>2</w:t>
      </w:r>
      <w:r>
        <w:rPr>
          <w:highlight w:val="none"/>
        </w:rPr>
        <w:t>S浓度可达到《恶臭污染物排放标准》（GB14554-1993）表1恶臭污染物二级标准要求，臭气浓度达到《畜禽养殖业污染物排放标准》（GB18596-2001）表7标准要求，项目养殖恶臭不会对周边环境造成影响，恶臭污染防治措施可行。</w:t>
      </w:r>
    </w:p>
    <w:p>
      <w:pPr>
        <w:bidi w:val="0"/>
        <w:rPr>
          <w:highlight w:val="none"/>
        </w:rPr>
      </w:pPr>
      <w:r>
        <w:rPr>
          <w:highlight w:val="none"/>
        </w:rPr>
        <w:t>（2）食堂油烟可行性结论</w:t>
      </w:r>
    </w:p>
    <w:p>
      <w:pPr>
        <w:bidi w:val="0"/>
        <w:rPr>
          <w:highlight w:val="none"/>
        </w:rPr>
      </w:pPr>
      <w:r>
        <w:rPr>
          <w:highlight w:val="none"/>
        </w:rPr>
        <w:t>项目食堂油烟采用安装油烟净化器，能有效的将油烟集中收集、净化后高空排放，所有油烟均集中抽入在厨房安装的 1 台油烟净化机中，油烟净化器去除效率＞60%，经净化后的废气排放浓度可满足《饮食业油烟排放标准》 （GB18483-2001）的限值要求，故项目食堂油烟防治措施可行。</w:t>
      </w:r>
    </w:p>
    <w:p>
      <w:pPr>
        <w:pStyle w:val="5"/>
        <w:bidi w:val="0"/>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11.3.</w:t>
      </w:r>
      <w:r>
        <w:rPr>
          <w:rFonts w:hint="eastAsia" w:ascii="Times New Roman" w:hAnsi="Times New Roman" w:eastAsia="宋体" w:cs="Times New Roman"/>
          <w:b/>
          <w:bCs/>
          <w:spacing w:val="-5"/>
          <w:sz w:val="28"/>
          <w:szCs w:val="28"/>
          <w:highlight w:val="none"/>
          <w:lang w:val="en-US" w:eastAsia="zh-CN"/>
        </w:rPr>
        <w:t>2</w:t>
      </w:r>
      <w:r>
        <w:rPr>
          <w:rFonts w:ascii="Times New Roman" w:hAnsi="Times New Roman" w:eastAsia="Times New Roman" w:cs="Times New Roman"/>
          <w:spacing w:val="7"/>
          <w:sz w:val="28"/>
          <w:szCs w:val="28"/>
          <w:highlight w:val="none"/>
        </w:rPr>
        <w:t xml:space="preserve">  </w:t>
      </w:r>
      <w:r>
        <w:rPr>
          <w:rFonts w:ascii="宋体" w:hAnsi="宋体" w:eastAsia="宋体" w:cs="宋体"/>
          <w:spacing w:val="-5"/>
          <w:sz w:val="28"/>
          <w:szCs w:val="28"/>
          <w:highlight w:val="none"/>
        </w:rPr>
        <w:t>污水</w:t>
      </w:r>
    </w:p>
    <w:p>
      <w:pPr>
        <w:bidi w:val="0"/>
        <w:rPr>
          <w:rFonts w:hint="eastAsia"/>
          <w:highlight w:val="none"/>
          <w:lang w:eastAsia="zh-CN"/>
        </w:rPr>
      </w:pPr>
      <w:r>
        <w:rPr>
          <w:rFonts w:hint="eastAsia"/>
          <w:highlight w:val="none"/>
          <w:lang w:eastAsia="zh-CN"/>
        </w:rPr>
        <w:t>本项目实现了雨污分流，项目采用干清粪处理工艺，采取固液分离，</w:t>
      </w:r>
      <w:r>
        <w:rPr>
          <w:rFonts w:hint="eastAsia"/>
          <w:highlight w:val="none"/>
        </w:rPr>
        <w:t>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w:t>
      </w:r>
      <w:r>
        <w:rPr>
          <w:rFonts w:hint="eastAsia"/>
          <w:highlight w:val="none"/>
          <w:lang w:val="en-US" w:eastAsia="zh-CN"/>
        </w:rPr>
        <w:t>项目养殖废水和生活污水经化粪池处理后均通过场区污水处理站处理后，用于周边林地灌溉，不外排，最终全部实现综合利用。</w:t>
      </w:r>
    </w:p>
    <w:p>
      <w:pPr>
        <w:pStyle w:val="5"/>
        <w:bidi w:val="0"/>
        <w:rPr>
          <w:rFonts w:ascii="宋体" w:hAnsi="宋体" w:eastAsia="宋体" w:cs="宋体"/>
          <w:sz w:val="28"/>
          <w:szCs w:val="28"/>
          <w:highlight w:val="none"/>
        </w:rPr>
      </w:pPr>
      <w:r>
        <w:rPr>
          <w:rFonts w:ascii="Times New Roman" w:hAnsi="Times New Roman" w:eastAsia="Times New Roman" w:cs="Times New Roman"/>
          <w:b/>
          <w:bCs/>
          <w:spacing w:val="-6"/>
          <w:sz w:val="28"/>
          <w:szCs w:val="28"/>
          <w:highlight w:val="none"/>
        </w:rPr>
        <w:t>11.3.3</w:t>
      </w:r>
      <w:r>
        <w:rPr>
          <w:rFonts w:ascii="Times New Roman" w:hAnsi="Times New Roman" w:eastAsia="Times New Roman" w:cs="Times New Roman"/>
          <w:spacing w:val="13"/>
          <w:w w:val="101"/>
          <w:sz w:val="28"/>
          <w:szCs w:val="28"/>
          <w:highlight w:val="none"/>
        </w:rPr>
        <w:t xml:space="preserve">  </w:t>
      </w:r>
      <w:r>
        <w:rPr>
          <w:rFonts w:ascii="宋体" w:hAnsi="宋体" w:eastAsia="宋体" w:cs="宋体"/>
          <w:spacing w:val="-6"/>
          <w:sz w:val="28"/>
          <w:szCs w:val="28"/>
          <w:highlight w:val="none"/>
        </w:rPr>
        <w:t>噪声</w:t>
      </w:r>
    </w:p>
    <w:p>
      <w:pPr>
        <w:bidi w:val="0"/>
        <w:rPr>
          <w:highlight w:val="none"/>
        </w:rPr>
      </w:pPr>
      <w:r>
        <w:rPr>
          <w:highlight w:val="none"/>
        </w:rPr>
        <w:t>猪群叫声、猪舍排气扇、鼓风机、水泵等设备等噪声在75～90dB之间。通过喂足饲料和供应充足的水防止猪因饥渴发出的突发性叫声，合理布局猪舍；选用低噪声设备，减震、隔震、吸声；场区四周加强绿化，种植高大乔木，加强对噪声的隔阻效果等措施使厂界噪声能够达标。</w:t>
      </w:r>
    </w:p>
    <w:p>
      <w:pPr>
        <w:pStyle w:val="5"/>
        <w:bidi w:val="0"/>
        <w:rPr>
          <w:highlight w:val="none"/>
        </w:rPr>
      </w:pPr>
      <w:r>
        <w:rPr>
          <w:rFonts w:hint="eastAsia"/>
          <w:highlight w:val="none"/>
          <w:lang w:val="en-US" w:eastAsia="zh-CN"/>
        </w:rPr>
        <w:t xml:space="preserve">11.3.4  </w:t>
      </w:r>
      <w:r>
        <w:rPr>
          <w:highlight w:val="none"/>
        </w:rPr>
        <w:t>固废防治措施可行性分析</w:t>
      </w:r>
    </w:p>
    <w:p>
      <w:pPr>
        <w:bidi w:val="0"/>
        <w:rPr>
          <w:highlight w:val="none"/>
        </w:rPr>
      </w:pPr>
      <w:r>
        <w:rPr>
          <w:highlight w:val="none"/>
        </w:rPr>
        <w:t>项目固体废物主要饲养工序中产生的猪粪、病死猪、职工生活垃圾以及防疫过程的医疗废物。</w:t>
      </w:r>
    </w:p>
    <w:p>
      <w:pPr>
        <w:bidi w:val="0"/>
        <w:rPr>
          <w:rFonts w:ascii="宋体" w:hAnsi="宋体" w:eastAsia="宋体" w:cs="宋体"/>
          <w:spacing w:val="-2"/>
          <w:sz w:val="24"/>
          <w:szCs w:val="24"/>
          <w:highlight w:val="none"/>
        </w:rPr>
      </w:pPr>
      <w:r>
        <w:rPr>
          <w:rFonts w:hint="eastAsia"/>
          <w:highlight w:val="none"/>
        </w:rPr>
        <w:t>项目采用</w:t>
      </w:r>
      <w:r>
        <w:rPr>
          <w:rFonts w:hint="eastAsia"/>
          <w:highlight w:val="none"/>
          <w:lang w:eastAsia="zh-CN"/>
        </w:rPr>
        <w:t>干清粪</w:t>
      </w:r>
      <w:r>
        <w:rPr>
          <w:rFonts w:hint="eastAsia"/>
          <w:highlight w:val="none"/>
        </w:rPr>
        <w:t>处理工艺，</w:t>
      </w:r>
      <w:r>
        <w:rPr>
          <w:rFonts w:hint="eastAsia"/>
          <w:highlight w:val="none"/>
          <w:lang w:eastAsia="zh-CN"/>
        </w:rPr>
        <w:t>采取</w:t>
      </w:r>
      <w:r>
        <w:rPr>
          <w:rFonts w:hint="eastAsia"/>
          <w:highlight w:val="none"/>
        </w:rPr>
        <w:t>固液分离，养殖粪污分离出来的固态作为有机肥原料</w:t>
      </w:r>
      <w:r>
        <w:rPr>
          <w:rFonts w:hint="eastAsia"/>
          <w:highlight w:val="none"/>
          <w:lang w:eastAsia="zh-CN"/>
        </w:rPr>
        <w:t>通过罐车</w:t>
      </w:r>
      <w:r>
        <w:rPr>
          <w:rFonts w:hint="eastAsia"/>
          <w:highlight w:val="none"/>
        </w:rPr>
        <w:t>外运</w:t>
      </w:r>
      <w:r>
        <w:rPr>
          <w:rFonts w:hint="eastAsia"/>
          <w:highlight w:val="none"/>
          <w:lang w:eastAsia="zh-CN"/>
        </w:rPr>
        <w:t>，不在厂区内堆肥</w:t>
      </w:r>
      <w:r>
        <w:rPr>
          <w:highlight w:val="none"/>
        </w:rPr>
        <w:t>；</w:t>
      </w:r>
      <w:r>
        <w:rPr>
          <w:rFonts w:hint="eastAsia"/>
          <w:highlight w:val="none"/>
        </w:rPr>
        <w:t>病死猪当天委托当地畜禽无害化处理中心清运和处理，不在厂内暂存；</w:t>
      </w:r>
      <w:r>
        <w:rPr>
          <w:highlight w:val="none"/>
        </w:rPr>
        <w:t>办公生活垃圾分类后，由当地环卫部门集中处置；医疗废物委托有资质单位进行处理；</w:t>
      </w:r>
      <w:r>
        <w:rPr>
          <w:rFonts w:ascii="宋体" w:hAnsi="宋体" w:eastAsia="宋体" w:cs="宋体"/>
          <w:spacing w:val="-2"/>
          <w:sz w:val="24"/>
          <w:szCs w:val="24"/>
          <w:highlight w:val="none"/>
        </w:rPr>
        <w:t>经采取上述措施后，项目固体废物均得到合理处置，固体废物处置措施可行。</w:t>
      </w:r>
    </w:p>
    <w:p>
      <w:pPr>
        <w:bidi w:val="0"/>
        <w:rPr>
          <w:rFonts w:ascii="宋体" w:hAnsi="宋体" w:eastAsia="宋体" w:cs="宋体"/>
          <w:sz w:val="24"/>
          <w:szCs w:val="24"/>
          <w:highlight w:val="none"/>
        </w:rPr>
      </w:pPr>
      <w:r>
        <w:rPr>
          <w:rFonts w:ascii="宋体" w:hAnsi="宋体" w:eastAsia="宋体" w:cs="宋体"/>
          <w:spacing w:val="-1"/>
          <w:sz w:val="24"/>
          <w:szCs w:val="24"/>
          <w:highlight w:val="none"/>
        </w:rPr>
        <w:t>综上所述，项目所采取的废气、废水、噪声、固废的污染防治措施可行。</w:t>
      </w:r>
    </w:p>
    <w:p>
      <w:pPr>
        <w:pStyle w:val="4"/>
        <w:bidi w:val="0"/>
        <w:rPr>
          <w:highlight w:val="none"/>
        </w:rPr>
      </w:pPr>
      <w:bookmarkStart w:id="124" w:name="_Toc5763"/>
      <w:bookmarkStart w:id="125" w:name="_Toc2698"/>
      <w:r>
        <w:rPr>
          <w:highlight w:val="none"/>
        </w:rPr>
        <w:t>11.4  环境影响预测与评价结论</w:t>
      </w:r>
      <w:bookmarkEnd w:id="124"/>
      <w:bookmarkEnd w:id="125"/>
    </w:p>
    <w:p>
      <w:pPr>
        <w:pStyle w:val="5"/>
        <w:bidi w:val="0"/>
        <w:rPr>
          <w:highlight w:val="none"/>
        </w:rPr>
      </w:pPr>
      <w:r>
        <w:rPr>
          <w:highlight w:val="none"/>
        </w:rPr>
        <w:t>11.4.1  施工期环境影响评价结论</w:t>
      </w:r>
    </w:p>
    <w:p>
      <w:pPr>
        <w:bidi w:val="0"/>
        <w:rPr>
          <w:highlight w:val="none"/>
        </w:rPr>
      </w:pPr>
      <w:r>
        <w:rPr>
          <w:highlight w:val="none"/>
        </w:rPr>
        <w:t>（1）大气环境影响分析</w:t>
      </w:r>
    </w:p>
    <w:p>
      <w:pPr>
        <w:bidi w:val="0"/>
        <w:rPr>
          <w:highlight w:val="none"/>
        </w:rPr>
      </w:pPr>
      <w:r>
        <w:rPr>
          <w:highlight w:val="none"/>
        </w:rPr>
        <w:t>施工过程中，部分施工活动会有施工粉尘的产生；运输车辆和燃油动力机械会产生燃烧尾气。这些影响经过施行相应的防治措施后，可避免对周围环境的影响。</w:t>
      </w:r>
    </w:p>
    <w:p>
      <w:pPr>
        <w:bidi w:val="0"/>
        <w:rPr>
          <w:highlight w:val="none"/>
        </w:rPr>
      </w:pPr>
      <w:r>
        <w:rPr>
          <w:highlight w:val="none"/>
        </w:rPr>
        <w:t>（2）水环境影响分析</w:t>
      </w:r>
    </w:p>
    <w:p>
      <w:pPr>
        <w:bidi w:val="0"/>
        <w:rPr>
          <w:highlight w:val="none"/>
        </w:rPr>
      </w:pPr>
      <w:r>
        <w:rPr>
          <w:highlight w:val="none"/>
        </w:rPr>
        <w:t>施工期产生废水包括施工期产生的生产废水以及施工人员生活污水。</w:t>
      </w:r>
      <w:r>
        <w:rPr>
          <w:rFonts w:hint="eastAsia"/>
          <w:highlight w:val="none"/>
          <w:lang w:eastAsia="zh-CN"/>
        </w:rPr>
        <w:t>生产</w:t>
      </w:r>
      <w:r>
        <w:rPr>
          <w:highlight w:val="none"/>
        </w:rPr>
        <w:t>废水经沉淀池处理后上清水用于施工建设和洒水逸尘</w:t>
      </w:r>
      <w:r>
        <w:rPr>
          <w:rFonts w:hint="eastAsia"/>
          <w:highlight w:val="none"/>
          <w:lang w:eastAsia="zh-CN"/>
        </w:rPr>
        <w:t>；</w:t>
      </w:r>
      <w:r>
        <w:rPr>
          <w:highlight w:val="none"/>
        </w:rPr>
        <w:t>施工现场不设施工营地，项目施工期间人员不在施工场地食宿。</w:t>
      </w:r>
      <w:r>
        <w:rPr>
          <w:rFonts w:hint="eastAsia"/>
          <w:highlight w:val="none"/>
          <w:lang w:eastAsia="zh-CN"/>
        </w:rPr>
        <w:t>不产生生活污水</w:t>
      </w:r>
      <w:r>
        <w:rPr>
          <w:highlight w:val="none"/>
        </w:rPr>
        <w:t>。采取以上治理措施后，本项目施工期废水不会对区域地表水造成明显影响。</w:t>
      </w:r>
    </w:p>
    <w:p>
      <w:pPr>
        <w:bidi w:val="0"/>
        <w:rPr>
          <w:highlight w:val="none"/>
        </w:rPr>
      </w:pPr>
      <w:r>
        <w:rPr>
          <w:highlight w:val="none"/>
        </w:rPr>
        <w:t>（3）声环境影响分析</w:t>
      </w:r>
    </w:p>
    <w:p>
      <w:pPr>
        <w:bidi w:val="0"/>
        <w:rPr>
          <w:highlight w:val="none"/>
        </w:rPr>
      </w:pPr>
      <w:r>
        <w:rPr>
          <w:highlight w:val="none"/>
        </w:rPr>
        <w:t>施工过程中，施工期机械会产生机械噪声；运输车辆会产生交通噪声。施工过程中，通过采用低噪声设备和控制交通流量，减少夜间施工活动和大量运输，可避免噪声的影响。</w:t>
      </w:r>
    </w:p>
    <w:p>
      <w:pPr>
        <w:bidi w:val="0"/>
        <w:rPr>
          <w:highlight w:val="none"/>
        </w:rPr>
      </w:pPr>
      <w:r>
        <w:rPr>
          <w:highlight w:val="none"/>
        </w:rPr>
        <w:t>（4）固体废物污染环境影响分析</w:t>
      </w:r>
    </w:p>
    <w:p>
      <w:pPr>
        <w:bidi w:val="0"/>
        <w:rPr>
          <w:highlight w:val="none"/>
        </w:rPr>
      </w:pPr>
      <w:r>
        <w:rPr>
          <w:highlight w:val="none"/>
        </w:rPr>
        <w:t>施工期间会产生建筑垃圾和生活垃圾等固体废物。施工过程中加强对固体废物的分类及按照固体废物的类别和性质采取不同的处理措施，可以避免固体废物污染环境。</w:t>
      </w:r>
    </w:p>
    <w:p>
      <w:pPr>
        <w:pStyle w:val="5"/>
        <w:bidi w:val="0"/>
        <w:rPr>
          <w:rFonts w:ascii="宋体" w:hAnsi="宋体" w:eastAsia="宋体" w:cs="宋体"/>
          <w:sz w:val="28"/>
          <w:szCs w:val="28"/>
          <w:highlight w:val="none"/>
        </w:rPr>
      </w:pPr>
      <w:r>
        <w:rPr>
          <w:rFonts w:ascii="Times New Roman" w:hAnsi="Times New Roman" w:eastAsia="Times New Roman" w:cs="Times New Roman"/>
          <w:b/>
          <w:bCs/>
          <w:spacing w:val="-2"/>
          <w:sz w:val="28"/>
          <w:szCs w:val="28"/>
          <w:highlight w:val="none"/>
        </w:rPr>
        <w:t>11.4.2</w:t>
      </w:r>
      <w:r>
        <w:rPr>
          <w:rFonts w:ascii="Times New Roman" w:hAnsi="Times New Roman" w:eastAsia="Times New Roman" w:cs="Times New Roman"/>
          <w:spacing w:val="10"/>
          <w:sz w:val="28"/>
          <w:szCs w:val="28"/>
          <w:highlight w:val="none"/>
        </w:rPr>
        <w:t xml:space="preserve">  </w:t>
      </w:r>
      <w:r>
        <w:rPr>
          <w:rFonts w:ascii="宋体" w:hAnsi="宋体" w:eastAsia="宋体" w:cs="宋体"/>
          <w:spacing w:val="-2"/>
          <w:sz w:val="28"/>
          <w:szCs w:val="28"/>
          <w:highlight w:val="none"/>
        </w:rPr>
        <w:t>营运期环境影响预测与评价结论</w:t>
      </w:r>
    </w:p>
    <w:p>
      <w:pPr>
        <w:bidi w:val="0"/>
        <w:rPr>
          <w:highlight w:val="none"/>
        </w:rPr>
      </w:pPr>
      <w:r>
        <w:rPr>
          <w:highlight w:val="none"/>
        </w:rPr>
        <w:t>（1）大气环境影响分析结论</w:t>
      </w:r>
    </w:p>
    <w:p>
      <w:pPr>
        <w:bidi w:val="0"/>
        <w:rPr>
          <w:highlight w:val="none"/>
        </w:rPr>
      </w:pPr>
      <w:r>
        <w:rPr>
          <w:highlight w:val="none"/>
        </w:rPr>
        <w:t>通过对本项目大气污染物NH</w:t>
      </w:r>
      <w:r>
        <w:rPr>
          <w:highlight w:val="none"/>
          <w:vertAlign w:val="subscript"/>
        </w:rPr>
        <w:t>3</w:t>
      </w:r>
      <w:r>
        <w:rPr>
          <w:highlight w:val="none"/>
        </w:rPr>
        <w:t>、H</w:t>
      </w:r>
      <w:r>
        <w:rPr>
          <w:highlight w:val="none"/>
          <w:vertAlign w:val="subscript"/>
        </w:rPr>
        <w:t>2</w:t>
      </w:r>
      <w:r>
        <w:rPr>
          <w:highlight w:val="none"/>
        </w:rPr>
        <w:t>S的影响预测，本项目正常运营后，NH</w:t>
      </w:r>
      <w:r>
        <w:rPr>
          <w:highlight w:val="none"/>
          <w:vertAlign w:val="subscript"/>
        </w:rPr>
        <w:t>3</w:t>
      </w:r>
      <w:r>
        <w:rPr>
          <w:highlight w:val="none"/>
        </w:rPr>
        <w:t>、H</w:t>
      </w:r>
      <w:r>
        <w:rPr>
          <w:highlight w:val="none"/>
          <w:vertAlign w:val="subscript"/>
        </w:rPr>
        <w:t>2</w:t>
      </w:r>
      <w:r>
        <w:rPr>
          <w:highlight w:val="none"/>
        </w:rPr>
        <w:t>S 的一次浓度贡献值、最大落地浓度均较低，对空气环境质量影响不大；主要污染物NH</w:t>
      </w:r>
      <w:r>
        <w:rPr>
          <w:highlight w:val="none"/>
          <w:vertAlign w:val="subscript"/>
        </w:rPr>
        <w:t>3</w:t>
      </w:r>
      <w:r>
        <w:rPr>
          <w:highlight w:val="none"/>
        </w:rPr>
        <w:t>、H</w:t>
      </w:r>
      <w:r>
        <w:rPr>
          <w:highlight w:val="none"/>
          <w:vertAlign w:val="subscript"/>
        </w:rPr>
        <w:t>2</w:t>
      </w:r>
      <w:r>
        <w:rPr>
          <w:highlight w:val="none"/>
        </w:rPr>
        <w:t>S浓度无组织厂界浓度值符合《恶臭污染物排放标准》（GB14554-93）表1 中二级新扩改建排放标准要求，臭气浓度符合《畜禽养殖业污染物排放标准》（GB18596-2001）表 7 标准要求。不会对区域大气环境产生明显不利影响。</w:t>
      </w:r>
    </w:p>
    <w:p>
      <w:pPr>
        <w:bidi w:val="0"/>
        <w:rPr>
          <w:highlight w:val="none"/>
        </w:rPr>
      </w:pPr>
      <w:r>
        <w:rPr>
          <w:highlight w:val="none"/>
        </w:rPr>
        <w:t>（2）水环境影响分析结论</w:t>
      </w:r>
    </w:p>
    <w:p>
      <w:pPr>
        <w:bidi w:val="0"/>
        <w:rPr>
          <w:highlight w:val="none"/>
        </w:rPr>
      </w:pPr>
      <w:r>
        <w:rPr>
          <w:highlight w:val="none"/>
        </w:rPr>
        <w:t>项目建成后，无废水排入外环境，不会对周围水环境产生明显不利影响。</w:t>
      </w:r>
    </w:p>
    <w:p>
      <w:pPr>
        <w:bidi w:val="0"/>
        <w:rPr>
          <w:highlight w:val="none"/>
        </w:rPr>
      </w:pPr>
      <w:r>
        <w:rPr>
          <w:highlight w:val="none"/>
        </w:rPr>
        <w:t>（3）声环境影响分析结论</w:t>
      </w:r>
    </w:p>
    <w:p>
      <w:pPr>
        <w:bidi w:val="0"/>
        <w:rPr>
          <w:highlight w:val="none"/>
        </w:rPr>
      </w:pPr>
      <w:r>
        <w:rPr>
          <w:highlight w:val="none"/>
        </w:rPr>
        <w:t>建设项目实施后，通过对主要高噪声源采取房屋隔声、基础减振、消声及场区绿化等降噪措施，并经一定距离衰减后，预测各场界噪声贡献均能够满足《工业企业厂界环境噪声排放标准》（GB12348-2008）2类标准要求（昼间 60dB（A）；夜间50dB（A）），项目实施对周边环境影响较小。</w:t>
      </w:r>
    </w:p>
    <w:p>
      <w:pPr>
        <w:bidi w:val="0"/>
        <w:rPr>
          <w:highlight w:val="none"/>
        </w:rPr>
      </w:pPr>
      <w:r>
        <w:rPr>
          <w:highlight w:val="none"/>
        </w:rPr>
        <w:t>（4）固体废物环境影响分析结论</w:t>
      </w:r>
    </w:p>
    <w:p>
      <w:pPr>
        <w:bidi w:val="0"/>
        <w:rPr>
          <w:highlight w:val="none"/>
        </w:rPr>
      </w:pPr>
      <w:r>
        <w:rPr>
          <w:highlight w:val="none"/>
        </w:rPr>
        <w:t>项目所有固体废物均得到妥善处置和综合利用，不会对周边境产生不良影响。</w:t>
      </w:r>
    </w:p>
    <w:p>
      <w:pPr>
        <w:pStyle w:val="4"/>
        <w:bidi w:val="0"/>
        <w:rPr>
          <w:highlight w:val="none"/>
        </w:rPr>
      </w:pPr>
      <w:bookmarkStart w:id="126" w:name="_Toc23526"/>
      <w:bookmarkStart w:id="127" w:name="_Toc8289"/>
      <w:r>
        <w:rPr>
          <w:highlight w:val="none"/>
        </w:rPr>
        <w:t>11.5  项目建设可行性评价结论</w:t>
      </w:r>
      <w:bookmarkEnd w:id="126"/>
      <w:bookmarkEnd w:id="127"/>
    </w:p>
    <w:p>
      <w:pPr>
        <w:pStyle w:val="5"/>
        <w:bidi w:val="0"/>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11.5.1</w:t>
      </w:r>
      <w:r>
        <w:rPr>
          <w:rFonts w:ascii="Times New Roman" w:hAnsi="Times New Roman" w:eastAsia="Times New Roman" w:cs="Times New Roman"/>
          <w:spacing w:val="13"/>
          <w:w w:val="101"/>
          <w:sz w:val="24"/>
          <w:szCs w:val="24"/>
          <w:highlight w:val="none"/>
        </w:rPr>
        <w:t xml:space="preserve">  </w:t>
      </w:r>
      <w:r>
        <w:rPr>
          <w:rFonts w:ascii="宋体" w:hAnsi="宋体" w:eastAsia="宋体" w:cs="宋体"/>
          <w:spacing w:val="-3"/>
          <w:sz w:val="24"/>
          <w:szCs w:val="24"/>
          <w:highlight w:val="none"/>
        </w:rPr>
        <w:t>项目建设符合产业政策</w:t>
      </w:r>
    </w:p>
    <w:p>
      <w:pPr>
        <w:bidi w:val="0"/>
        <w:rPr>
          <w:highlight w:val="none"/>
        </w:rPr>
      </w:pPr>
      <w:r>
        <w:rPr>
          <w:highlight w:val="none"/>
        </w:rPr>
        <w:t>本项目主要从事生猪养殖，根据国家发展与改革委员会颁布的《产业结构调整指导目录（2019 年本）》相关的产业政策，本项目属于其鼓励类，因此，本项目符合国家相关的产业政策要求。</w:t>
      </w:r>
    </w:p>
    <w:p>
      <w:pPr>
        <w:pStyle w:val="5"/>
        <w:bidi w:val="0"/>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11.5.2</w:t>
      </w:r>
      <w:r>
        <w:rPr>
          <w:rFonts w:ascii="Times New Roman" w:hAnsi="Times New Roman" w:eastAsia="Times New Roman" w:cs="Times New Roman"/>
          <w:spacing w:val="12"/>
          <w:sz w:val="24"/>
          <w:szCs w:val="24"/>
          <w:highlight w:val="none"/>
        </w:rPr>
        <w:t xml:space="preserve">  </w:t>
      </w:r>
      <w:r>
        <w:rPr>
          <w:rFonts w:ascii="宋体" w:hAnsi="宋体" w:eastAsia="宋体" w:cs="宋体"/>
          <w:spacing w:val="-3"/>
          <w:sz w:val="24"/>
          <w:szCs w:val="24"/>
          <w:highlight w:val="none"/>
        </w:rPr>
        <w:t>项目选址合理性结论</w:t>
      </w:r>
    </w:p>
    <w:p>
      <w:pPr>
        <w:bidi w:val="0"/>
        <w:rPr>
          <w:rFonts w:hint="eastAsia"/>
          <w:highlight w:val="none"/>
        </w:rPr>
      </w:pPr>
      <w:r>
        <w:rPr>
          <w:highlight w:val="none"/>
        </w:rPr>
        <w:t>本项目选址符合土地利用规划，符合《畜禽养殖业污染防治技术规范》选址要求，符合《畜禽养殖产地环境评价规范》要求，符合《</w:t>
      </w:r>
      <w:r>
        <w:rPr>
          <w:rFonts w:hint="eastAsia"/>
          <w:highlight w:val="none"/>
        </w:rPr>
        <w:t>华容县畜禽养殖禁养区限养区适养区划定方案</w:t>
      </w:r>
      <w:r>
        <w:rPr>
          <w:highlight w:val="none"/>
        </w:rPr>
        <w:t>》要求，</w:t>
      </w:r>
      <w:r>
        <w:rPr>
          <w:rFonts w:hint="eastAsia"/>
          <w:highlight w:val="none"/>
          <w:lang w:eastAsia="zh-CN"/>
        </w:rPr>
        <w:t>同时，</w:t>
      </w:r>
      <w:r>
        <w:rPr>
          <w:rFonts w:hint="eastAsia"/>
          <w:highlight w:val="none"/>
        </w:rPr>
        <w:t>项目选址已获得</w:t>
      </w:r>
      <w:r>
        <w:rPr>
          <w:rFonts w:hint="eastAsia"/>
          <w:highlight w:val="none"/>
          <w:lang w:eastAsia="zh-CN"/>
        </w:rPr>
        <w:t>当地村民委员会、乡镇人民政府、生态环境局、自然资源局、林业局、水利局、农业农村局的联审联批</w:t>
      </w:r>
      <w:r>
        <w:rPr>
          <w:rFonts w:hint="eastAsia"/>
          <w:highlight w:val="none"/>
        </w:rPr>
        <w:t>。</w:t>
      </w:r>
      <w:r>
        <w:rPr>
          <w:rFonts w:hint="eastAsia"/>
          <w:highlight w:val="none"/>
          <w:lang w:eastAsia="zh-CN"/>
        </w:rPr>
        <w:t>项目的</w:t>
      </w:r>
      <w:r>
        <w:rPr>
          <w:rFonts w:hint="eastAsia" w:ascii="宋体" w:hAnsi="宋体" w:eastAsia="宋体" w:cs="宋体"/>
          <w:spacing w:val="-7"/>
          <w:sz w:val="24"/>
          <w:szCs w:val="24"/>
          <w:highlight w:val="none"/>
          <w:lang w:eastAsia="zh-CN"/>
        </w:rPr>
        <w:t>设施农用地备案申请表</w:t>
      </w:r>
      <w:r>
        <w:rPr>
          <w:rFonts w:hint="eastAsia" w:ascii="宋体" w:hAnsi="宋体" w:cs="宋体"/>
          <w:spacing w:val="-7"/>
          <w:sz w:val="24"/>
          <w:szCs w:val="24"/>
          <w:highlight w:val="none"/>
          <w:lang w:eastAsia="zh-CN"/>
        </w:rPr>
        <w:t>已取得</w:t>
      </w:r>
      <w:r>
        <w:rPr>
          <w:rFonts w:hint="eastAsia"/>
          <w:highlight w:val="none"/>
          <w:lang w:eastAsia="zh-CN"/>
        </w:rPr>
        <w:t>华容县自然资源局的同意意见</w:t>
      </w:r>
      <w:r>
        <w:rPr>
          <w:rFonts w:ascii="宋体" w:hAnsi="宋体" w:eastAsia="宋体" w:cs="宋体"/>
          <w:spacing w:val="-7"/>
          <w:sz w:val="24"/>
          <w:szCs w:val="24"/>
          <w:highlight w:val="none"/>
        </w:rPr>
        <w:t>，并与村民签署了《</w:t>
      </w:r>
      <w:r>
        <w:rPr>
          <w:rFonts w:hint="eastAsia" w:ascii="宋体" w:hAnsi="宋体" w:eastAsia="宋体" w:cs="宋体"/>
          <w:spacing w:val="-7"/>
          <w:sz w:val="24"/>
          <w:szCs w:val="24"/>
          <w:highlight w:val="none"/>
          <w:lang w:eastAsia="zh-CN"/>
        </w:rPr>
        <w:t>设施农业用地使用协议</w:t>
      </w:r>
      <w:r>
        <w:rPr>
          <w:rFonts w:ascii="宋体" w:hAnsi="宋体" w:eastAsia="宋体" w:cs="宋体"/>
          <w:spacing w:val="-7"/>
          <w:sz w:val="24"/>
          <w:szCs w:val="24"/>
          <w:highlight w:val="none"/>
        </w:rPr>
        <w:t>》（详见附件）。</w:t>
      </w:r>
      <w:r>
        <w:rPr>
          <w:rFonts w:hint="eastAsia"/>
          <w:highlight w:val="none"/>
        </w:rPr>
        <w:t>综上所述，本项目选址基本合理。</w:t>
      </w:r>
    </w:p>
    <w:p>
      <w:pPr>
        <w:pStyle w:val="4"/>
        <w:bidi w:val="0"/>
        <w:rPr>
          <w:rFonts w:ascii="宋体" w:hAnsi="宋体" w:eastAsia="宋体" w:cs="宋体"/>
          <w:sz w:val="28"/>
          <w:szCs w:val="28"/>
          <w:highlight w:val="none"/>
        </w:rPr>
      </w:pPr>
      <w:bookmarkStart w:id="128" w:name="_Toc20365"/>
      <w:bookmarkStart w:id="129" w:name="_Toc19465"/>
      <w:r>
        <w:rPr>
          <w:rFonts w:ascii="Times New Roman" w:hAnsi="Times New Roman" w:eastAsia="Times New Roman" w:cs="Times New Roman"/>
          <w:b/>
          <w:bCs/>
          <w:spacing w:val="-3"/>
          <w:sz w:val="28"/>
          <w:szCs w:val="28"/>
          <w:highlight w:val="none"/>
        </w:rPr>
        <w:t>11.6</w:t>
      </w:r>
      <w:r>
        <w:rPr>
          <w:rFonts w:ascii="Times New Roman" w:hAnsi="Times New Roman" w:eastAsia="Times New Roman" w:cs="Times New Roman"/>
          <w:spacing w:val="5"/>
          <w:sz w:val="28"/>
          <w:szCs w:val="28"/>
          <w:highlight w:val="none"/>
        </w:rPr>
        <w:t xml:space="preserve">  </w:t>
      </w:r>
      <w:r>
        <w:rPr>
          <w:rFonts w:ascii="宋体" w:hAnsi="宋体" w:eastAsia="宋体" w:cs="宋体"/>
          <w:spacing w:val="-3"/>
          <w:sz w:val="28"/>
          <w:szCs w:val="28"/>
          <w:highlight w:val="none"/>
        </w:rPr>
        <w:t>环境风险评价结论</w:t>
      </w:r>
      <w:bookmarkEnd w:id="128"/>
      <w:bookmarkEnd w:id="129"/>
    </w:p>
    <w:p>
      <w:pPr>
        <w:bidi w:val="0"/>
        <w:rPr>
          <w:highlight w:val="none"/>
        </w:rPr>
      </w:pPr>
      <w:r>
        <w:rPr>
          <w:highlight w:val="none"/>
        </w:rPr>
        <w:t>经实地调查，本项目周边 500m 内无生产中的其它养殖场，在切实做好防疫工作的情况下，能很好的防止疫情的发生。</w:t>
      </w:r>
    </w:p>
    <w:p>
      <w:pPr>
        <w:bidi w:val="0"/>
        <w:rPr>
          <w:highlight w:val="none"/>
        </w:rPr>
      </w:pPr>
      <w:r>
        <w:rPr>
          <w:highlight w:val="none"/>
        </w:rPr>
        <w:t>在采取设计与本评价要求的风险防范措施后，可大大降低风险事故发生的机率，通过制定项目应急预案和采取事故应急措施，减缓风险事故对环境的影响，本项目所存在的环境风险是可以接受的。</w:t>
      </w:r>
    </w:p>
    <w:p>
      <w:pPr>
        <w:pStyle w:val="4"/>
        <w:bidi w:val="0"/>
        <w:rPr>
          <w:rFonts w:ascii="宋体" w:hAnsi="宋体" w:eastAsia="宋体" w:cs="宋体"/>
          <w:sz w:val="28"/>
          <w:szCs w:val="28"/>
          <w:highlight w:val="none"/>
        </w:rPr>
      </w:pPr>
      <w:bookmarkStart w:id="130" w:name="_Toc28670"/>
      <w:bookmarkStart w:id="131" w:name="_Toc19609"/>
      <w:r>
        <w:rPr>
          <w:rFonts w:ascii="Times New Roman" w:hAnsi="Times New Roman" w:eastAsia="Times New Roman" w:cs="Times New Roman"/>
          <w:b/>
          <w:bCs/>
          <w:spacing w:val="-2"/>
          <w:sz w:val="28"/>
          <w:szCs w:val="28"/>
          <w:highlight w:val="none"/>
        </w:rPr>
        <w:t>11.7</w:t>
      </w:r>
      <w:r>
        <w:rPr>
          <w:rFonts w:ascii="Times New Roman" w:hAnsi="Times New Roman" w:eastAsia="Times New Roman" w:cs="Times New Roman"/>
          <w:spacing w:val="9"/>
          <w:w w:val="101"/>
          <w:sz w:val="28"/>
          <w:szCs w:val="28"/>
          <w:highlight w:val="none"/>
        </w:rPr>
        <w:t xml:space="preserve"> </w:t>
      </w:r>
      <w:r>
        <w:rPr>
          <w:rFonts w:hint="eastAsia" w:eastAsia="宋体" w:cs="Times New Roman"/>
          <w:spacing w:val="9"/>
          <w:w w:val="101"/>
          <w:sz w:val="28"/>
          <w:szCs w:val="28"/>
          <w:highlight w:val="none"/>
          <w:lang w:val="en-US" w:eastAsia="zh-CN"/>
        </w:rPr>
        <w:t xml:space="preserve"> </w:t>
      </w:r>
      <w:r>
        <w:rPr>
          <w:rFonts w:ascii="宋体" w:hAnsi="宋体" w:eastAsia="宋体" w:cs="宋体"/>
          <w:spacing w:val="-2"/>
          <w:sz w:val="28"/>
          <w:szCs w:val="28"/>
          <w:highlight w:val="none"/>
        </w:rPr>
        <w:t>清洁生产与总量控制结论</w:t>
      </w:r>
      <w:bookmarkEnd w:id="130"/>
      <w:bookmarkEnd w:id="131"/>
    </w:p>
    <w:p>
      <w:pPr>
        <w:bidi w:val="0"/>
        <w:rPr>
          <w:highlight w:val="none"/>
        </w:rPr>
      </w:pPr>
      <w:r>
        <w:rPr>
          <w:highlight w:val="none"/>
        </w:rPr>
        <w:t>本项目为规模化集中养猪项目，营运过程中严格贯彻清洁生产思想：加强场区清污分流，雨污分流和</w:t>
      </w:r>
      <w:r>
        <w:rPr>
          <w:rFonts w:hint="eastAsia"/>
          <w:highlight w:val="none"/>
          <w:lang w:eastAsia="zh-CN"/>
        </w:rPr>
        <w:t>干</w:t>
      </w:r>
      <w:r>
        <w:rPr>
          <w:highlight w:val="none"/>
        </w:rPr>
        <w:t>冲粪方式等，大大减少用水；对猪只粪便进行堆肥后制成</w:t>
      </w:r>
      <w:r>
        <w:rPr>
          <w:rFonts w:hint="eastAsia"/>
          <w:highlight w:val="none"/>
          <w:lang w:eastAsia="zh-CN"/>
        </w:rPr>
        <w:t>有机</w:t>
      </w:r>
      <w:r>
        <w:rPr>
          <w:highlight w:val="none"/>
        </w:rPr>
        <w:t>肥，化废为宝。各项措施均符合清洁生产要求。通过对本项目已经掌握的生产工艺与设备资料、资源利用情况、建成后污染物产生情况与同行业进行比较，本项目清洁生产水平基本可以达到国内一般水平。建议项目进一步优化工艺，提高项目的清洁生产水平。</w:t>
      </w:r>
    </w:p>
    <w:p>
      <w:pPr>
        <w:bidi w:val="0"/>
        <w:rPr>
          <w:highlight w:val="none"/>
        </w:rPr>
      </w:pPr>
      <w:r>
        <w:rPr>
          <w:highlight w:val="none"/>
        </w:rPr>
        <w:t>本项目无总量控制指标。</w:t>
      </w:r>
    </w:p>
    <w:p>
      <w:pPr>
        <w:pStyle w:val="4"/>
        <w:bidi w:val="0"/>
        <w:rPr>
          <w:rFonts w:ascii="宋体" w:hAnsi="宋体" w:eastAsia="宋体" w:cs="宋体"/>
          <w:sz w:val="28"/>
          <w:szCs w:val="28"/>
          <w:highlight w:val="none"/>
        </w:rPr>
      </w:pPr>
      <w:bookmarkStart w:id="132" w:name="_Toc18247"/>
      <w:bookmarkStart w:id="133" w:name="_Toc24541"/>
      <w:r>
        <w:rPr>
          <w:rFonts w:ascii="Times New Roman" w:hAnsi="Times New Roman" w:eastAsia="Times New Roman" w:cs="Times New Roman"/>
          <w:b/>
          <w:bCs/>
          <w:spacing w:val="-5"/>
          <w:sz w:val="28"/>
          <w:szCs w:val="28"/>
          <w:highlight w:val="none"/>
        </w:rPr>
        <w:t>11.8</w:t>
      </w:r>
      <w:r>
        <w:rPr>
          <w:rFonts w:ascii="Times New Roman" w:hAnsi="Times New Roman" w:eastAsia="Times New Roman" w:cs="Times New Roman"/>
          <w:spacing w:val="11"/>
          <w:sz w:val="28"/>
          <w:szCs w:val="28"/>
          <w:highlight w:val="none"/>
        </w:rPr>
        <w:t xml:space="preserve">  </w:t>
      </w:r>
      <w:r>
        <w:rPr>
          <w:rFonts w:ascii="宋体" w:hAnsi="宋体" w:eastAsia="宋体" w:cs="宋体"/>
          <w:spacing w:val="-5"/>
          <w:sz w:val="28"/>
          <w:szCs w:val="28"/>
          <w:highlight w:val="none"/>
        </w:rPr>
        <w:t>公众参与结论</w:t>
      </w:r>
      <w:bookmarkEnd w:id="132"/>
      <w:bookmarkEnd w:id="133"/>
    </w:p>
    <w:p>
      <w:pPr>
        <w:bidi w:val="0"/>
        <w:rPr>
          <w:highlight w:val="none"/>
        </w:rPr>
      </w:pPr>
      <w:r>
        <w:rPr>
          <w:highlight w:val="none"/>
        </w:rPr>
        <w:t>本次公众参与调查依据生态环境部2019年1月1日实施的《环境影响评价公众参与办法》（部令第4号）规定，进行了公众参与调查。项目公示期间，未收到公众反馈意见。</w:t>
      </w:r>
    </w:p>
    <w:p>
      <w:pPr>
        <w:bidi w:val="0"/>
        <w:rPr>
          <w:highlight w:val="none"/>
        </w:rPr>
      </w:pPr>
      <w:r>
        <w:rPr>
          <w:highlight w:val="none"/>
        </w:rPr>
        <w:t>本项目公众参与详细内容及分析详见《公众参与单行本》。</w:t>
      </w:r>
    </w:p>
    <w:p>
      <w:pPr>
        <w:pStyle w:val="4"/>
        <w:bidi w:val="0"/>
        <w:rPr>
          <w:rFonts w:ascii="宋体" w:hAnsi="宋体" w:eastAsia="宋体" w:cs="宋体"/>
          <w:sz w:val="28"/>
          <w:szCs w:val="28"/>
          <w:highlight w:val="none"/>
        </w:rPr>
      </w:pPr>
      <w:bookmarkStart w:id="134" w:name="_Toc3971"/>
      <w:bookmarkStart w:id="135" w:name="_Toc4132"/>
      <w:r>
        <w:rPr>
          <w:rFonts w:ascii="Times New Roman" w:hAnsi="Times New Roman" w:eastAsia="Times New Roman" w:cs="Times New Roman"/>
          <w:b/>
          <w:bCs/>
          <w:spacing w:val="-4"/>
          <w:sz w:val="28"/>
          <w:szCs w:val="28"/>
          <w:highlight w:val="none"/>
        </w:rPr>
        <w:t>11.9</w:t>
      </w:r>
      <w:r>
        <w:rPr>
          <w:rFonts w:ascii="Times New Roman" w:hAnsi="Times New Roman" w:eastAsia="Times New Roman" w:cs="Times New Roman"/>
          <w:spacing w:val="6"/>
          <w:sz w:val="28"/>
          <w:szCs w:val="28"/>
          <w:highlight w:val="none"/>
        </w:rPr>
        <w:t xml:space="preserve">  </w:t>
      </w:r>
      <w:r>
        <w:rPr>
          <w:rFonts w:ascii="宋体" w:hAnsi="宋体" w:eastAsia="宋体" w:cs="宋体"/>
          <w:spacing w:val="-4"/>
          <w:sz w:val="28"/>
          <w:szCs w:val="28"/>
          <w:highlight w:val="none"/>
        </w:rPr>
        <w:t>环境制约因素</w:t>
      </w:r>
      <w:bookmarkEnd w:id="134"/>
      <w:bookmarkEnd w:id="135"/>
    </w:p>
    <w:p>
      <w:pPr>
        <w:bidi w:val="0"/>
        <w:rPr>
          <w:highlight w:val="none"/>
        </w:rPr>
      </w:pPr>
      <w:r>
        <w:rPr>
          <w:highlight w:val="none"/>
        </w:rPr>
        <w:t>本项目无明显环境制约因素。</w:t>
      </w:r>
    </w:p>
    <w:p>
      <w:pPr>
        <w:pStyle w:val="4"/>
        <w:bidi w:val="0"/>
        <w:rPr>
          <w:highlight w:val="none"/>
        </w:rPr>
      </w:pPr>
      <w:bookmarkStart w:id="136" w:name="_Toc16599"/>
      <w:bookmarkStart w:id="137" w:name="_Toc27184"/>
      <w:r>
        <w:rPr>
          <w:highlight w:val="none"/>
        </w:rPr>
        <w:t>11.1</w:t>
      </w:r>
      <w:r>
        <w:rPr>
          <w:rFonts w:hint="eastAsia"/>
          <w:highlight w:val="none"/>
          <w:lang w:val="en-US" w:eastAsia="zh-CN"/>
        </w:rPr>
        <w:t>0</w:t>
      </w:r>
      <w:r>
        <w:rPr>
          <w:highlight w:val="none"/>
        </w:rPr>
        <w:t xml:space="preserve">  总结论</w:t>
      </w:r>
      <w:bookmarkEnd w:id="136"/>
      <w:bookmarkEnd w:id="137"/>
    </w:p>
    <w:p>
      <w:pPr>
        <w:bidi w:val="0"/>
        <w:rPr>
          <w:highlight w:val="none"/>
        </w:rPr>
      </w:pPr>
      <w:r>
        <w:rPr>
          <w:highlight w:val="none"/>
        </w:rPr>
        <w:t>本项目建设符合国家、地方的产业政策，项目选址合理、可行。清洁生产属于国家先进水平。项目采取了完善的污染治理措施，有效减少污染物排放量，降低项目对周围环境质量的影响，可维持评价范围内的环境质量功能目标要求。项目建立了各类风险防治措施和应急预案，可有效控制各类风险事故的发生。</w:t>
      </w:r>
    </w:p>
    <w:p>
      <w:pPr>
        <w:bidi w:val="0"/>
        <w:rPr>
          <w:highlight w:val="none"/>
        </w:rPr>
      </w:pPr>
      <w:r>
        <w:rPr>
          <w:highlight w:val="none"/>
        </w:rPr>
        <w:t>综上所述，本次评价认为项目加强环境管理，落实本报告中提出的各项污染防治措施和风险防治措施后，从环境保护角度来看该项目是可行的。</w:t>
      </w:r>
    </w:p>
    <w:p>
      <w:pPr>
        <w:pStyle w:val="4"/>
        <w:bidi w:val="0"/>
        <w:rPr>
          <w:rFonts w:ascii="宋体" w:hAnsi="宋体" w:eastAsia="宋体" w:cs="宋体"/>
          <w:sz w:val="28"/>
          <w:szCs w:val="28"/>
          <w:highlight w:val="none"/>
        </w:rPr>
      </w:pPr>
      <w:bookmarkStart w:id="138" w:name="_Toc27518"/>
      <w:bookmarkStart w:id="139" w:name="_Toc26253"/>
      <w:bookmarkStart w:id="141" w:name="_GoBack"/>
      <w:bookmarkEnd w:id="141"/>
      <w:r>
        <w:rPr>
          <w:rFonts w:ascii="Times New Roman" w:hAnsi="Times New Roman" w:eastAsia="Times New Roman" w:cs="Times New Roman"/>
          <w:b/>
          <w:bCs/>
          <w:spacing w:val="-6"/>
          <w:sz w:val="28"/>
          <w:szCs w:val="28"/>
          <w:highlight w:val="none"/>
        </w:rPr>
        <w:t>11.1</w:t>
      </w:r>
      <w:r>
        <w:rPr>
          <w:rFonts w:hint="eastAsia" w:ascii="Times New Roman" w:hAnsi="Times New Roman" w:eastAsia="宋体" w:cs="Times New Roman"/>
          <w:b/>
          <w:bCs/>
          <w:spacing w:val="-6"/>
          <w:sz w:val="28"/>
          <w:szCs w:val="28"/>
          <w:highlight w:val="none"/>
          <w:lang w:val="en-US" w:eastAsia="zh-CN"/>
        </w:rPr>
        <w:t>1</w:t>
      </w:r>
      <w:r>
        <w:rPr>
          <w:rFonts w:ascii="Times New Roman" w:hAnsi="Times New Roman" w:eastAsia="Times New Roman" w:cs="Times New Roman"/>
          <w:spacing w:val="8"/>
          <w:w w:val="101"/>
          <w:sz w:val="28"/>
          <w:szCs w:val="28"/>
          <w:highlight w:val="none"/>
        </w:rPr>
        <w:t xml:space="preserve">  </w:t>
      </w:r>
      <w:r>
        <w:rPr>
          <w:rFonts w:ascii="宋体" w:hAnsi="宋体" w:eastAsia="宋体" w:cs="宋体"/>
          <w:spacing w:val="-6"/>
          <w:sz w:val="28"/>
          <w:szCs w:val="28"/>
          <w:highlight w:val="none"/>
        </w:rPr>
        <w:t>建议</w:t>
      </w:r>
      <w:bookmarkEnd w:id="138"/>
      <w:bookmarkEnd w:id="139"/>
    </w:p>
    <w:p>
      <w:pPr>
        <w:bidi w:val="0"/>
        <w:rPr>
          <w:highlight w:val="none"/>
        </w:rPr>
      </w:pPr>
      <w:r>
        <w:rPr>
          <w:highlight w:val="none"/>
        </w:rPr>
        <w:t>（1）</w:t>
      </w:r>
      <w:r>
        <w:rPr>
          <w:rFonts w:ascii="宋体" w:hAnsi="宋体" w:eastAsia="宋体" w:cs="宋体"/>
          <w:spacing w:val="-3"/>
          <w:sz w:val="24"/>
          <w:szCs w:val="24"/>
          <w:highlight w:val="none"/>
        </w:rPr>
        <w:t>严格执行</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三同时</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制度，打足用好环保资金，确保各类环保设施与主体工</w:t>
      </w:r>
      <w:r>
        <w:rPr>
          <w:rFonts w:ascii="宋体" w:hAnsi="宋体" w:eastAsia="宋体" w:cs="宋体"/>
          <w:spacing w:val="-1"/>
          <w:sz w:val="24"/>
          <w:szCs w:val="24"/>
          <w:highlight w:val="none"/>
        </w:rPr>
        <w:t>程同时设计、同时施工、同时投入运行</w:t>
      </w:r>
      <w:r>
        <w:rPr>
          <w:highlight w:val="none"/>
        </w:rPr>
        <w:t>。</w:t>
      </w:r>
    </w:p>
    <w:p>
      <w:pPr>
        <w:bidi w:val="0"/>
        <w:rPr>
          <w:highlight w:val="none"/>
        </w:rPr>
      </w:pPr>
      <w:r>
        <w:rPr>
          <w:highlight w:val="none"/>
        </w:rPr>
        <w:t>（2）加强项目运营期环境管理，确保环保设施的建设。</w:t>
      </w:r>
    </w:p>
    <w:p>
      <w:pPr>
        <w:bidi w:val="0"/>
        <w:rPr>
          <w:highlight w:val="none"/>
        </w:rPr>
      </w:pPr>
      <w:r>
        <w:rPr>
          <w:highlight w:val="none"/>
        </w:rPr>
        <w:t>（3）</w:t>
      </w:r>
      <w:r>
        <w:rPr>
          <w:rFonts w:ascii="宋体" w:hAnsi="宋体" w:eastAsia="宋体" w:cs="宋体"/>
          <w:spacing w:val="-4"/>
          <w:sz w:val="24"/>
          <w:szCs w:val="24"/>
          <w:highlight w:val="none"/>
        </w:rPr>
        <w:t>建设方应加强养殖区的绿化，以常绿、落叶树组成混交型绿化林带。场</w:t>
      </w:r>
      <w:r>
        <w:rPr>
          <w:rFonts w:ascii="宋体" w:hAnsi="宋体" w:eastAsia="宋体" w:cs="宋体"/>
          <w:spacing w:val="26"/>
          <w:sz w:val="24"/>
          <w:szCs w:val="24"/>
          <w:highlight w:val="none"/>
        </w:rPr>
        <w:t xml:space="preserve"> </w:t>
      </w:r>
      <w:r>
        <w:rPr>
          <w:rFonts w:ascii="宋体" w:hAnsi="宋体" w:eastAsia="宋体" w:cs="宋体"/>
          <w:sz w:val="24"/>
          <w:szCs w:val="24"/>
          <w:highlight w:val="none"/>
        </w:rPr>
        <w:t>地绿化可净化</w:t>
      </w:r>
      <w:r>
        <w:rPr>
          <w:rFonts w:ascii="Times New Roman" w:hAnsi="Times New Roman" w:eastAsia="Times New Roman" w:cs="Times New Roman"/>
          <w:sz w:val="24"/>
          <w:szCs w:val="24"/>
          <w:highlight w:val="none"/>
        </w:rPr>
        <w:t>25</w:t>
      </w:r>
      <w:r>
        <w:rPr>
          <w:rFonts w:ascii="宋体" w:hAnsi="宋体" w:eastAsia="宋体" w:cs="宋体"/>
          <w:spacing w:val="-5"/>
          <w:sz w:val="24"/>
          <w:szCs w:val="24"/>
          <w:highlight w:val="none"/>
        </w:rPr>
        <w:t>％～</w:t>
      </w:r>
      <w:r>
        <w:rPr>
          <w:rFonts w:ascii="Times New Roman" w:hAnsi="Times New Roman" w:eastAsia="Times New Roman" w:cs="Times New Roman"/>
          <w:sz w:val="24"/>
          <w:szCs w:val="24"/>
          <w:highlight w:val="none"/>
        </w:rPr>
        <w:t>40</w:t>
      </w:r>
      <w:r>
        <w:rPr>
          <w:rFonts w:ascii="宋体" w:hAnsi="宋体" w:eastAsia="宋体" w:cs="宋体"/>
          <w:sz w:val="24"/>
          <w:szCs w:val="24"/>
          <w:highlight w:val="none"/>
        </w:rPr>
        <w:t>％的有害气体。</w:t>
      </w:r>
    </w:p>
    <w:p>
      <w:pPr>
        <w:bidi w:val="0"/>
        <w:rPr>
          <w:highlight w:val="none"/>
        </w:rPr>
      </w:pPr>
      <w:r>
        <w:rPr>
          <w:highlight w:val="none"/>
        </w:rPr>
        <w:t>（4）</w:t>
      </w:r>
      <w:r>
        <w:rPr>
          <w:rFonts w:ascii="宋体" w:hAnsi="宋体" w:eastAsia="宋体" w:cs="宋体"/>
          <w:spacing w:val="-4"/>
          <w:sz w:val="24"/>
          <w:szCs w:val="24"/>
          <w:highlight w:val="none"/>
        </w:rPr>
        <w:t>加强企业环境管理的制度化、规范化，使企业按照现代化标准管理，提高</w:t>
      </w:r>
      <w:r>
        <w:rPr>
          <w:rFonts w:ascii="宋体" w:hAnsi="宋体" w:eastAsia="宋体" w:cs="宋体"/>
          <w:spacing w:val="-2"/>
          <w:sz w:val="24"/>
          <w:szCs w:val="24"/>
          <w:highlight w:val="none"/>
        </w:rPr>
        <w:t>企业的清洁生产水平。</w:t>
      </w:r>
    </w:p>
    <w:p>
      <w:pPr>
        <w:bidi w:val="0"/>
        <w:rPr>
          <w:highlight w:val="none"/>
        </w:rPr>
      </w:pPr>
    </w:p>
    <w:p>
      <w:pPr>
        <w:bidi w:val="0"/>
        <w:rPr>
          <w:rFonts w:hint="eastAsia"/>
          <w:highlight w:val="none"/>
          <w:lang w:eastAsia="zh-CN"/>
        </w:rPr>
      </w:pPr>
      <w:bookmarkStart w:id="140" w:name="_bookmark51"/>
      <w:bookmarkEnd w:id="140"/>
    </w:p>
    <w:sectPr>
      <w:footerReference r:id="rId9"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1" w:lineRule="exact"/>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1"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C61D6"/>
    <w:multiLevelType w:val="singleLevel"/>
    <w:tmpl w:val="E6DC61D6"/>
    <w:lvl w:ilvl="0" w:tentative="0">
      <w:start w:val="1"/>
      <w:numFmt w:val="decimal"/>
      <w:suff w:val="nothing"/>
      <w:lvlText w:val="（%1）"/>
      <w:lvlJc w:val="left"/>
    </w:lvl>
  </w:abstractNum>
  <w:abstractNum w:abstractNumId="1">
    <w:nsid w:val="54BD86B2"/>
    <w:multiLevelType w:val="multilevel"/>
    <w:tmpl w:val="54BD86B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jkyZWViZTVlMDgxYzM1MDk2MTAyYWI2NjI5MWUifQ=="/>
  </w:docVars>
  <w:rsids>
    <w:rsidRoot w:val="00000000"/>
    <w:rsid w:val="03D4016D"/>
    <w:rsid w:val="042C3F91"/>
    <w:rsid w:val="05403E9A"/>
    <w:rsid w:val="06692446"/>
    <w:rsid w:val="07F36ECC"/>
    <w:rsid w:val="08543556"/>
    <w:rsid w:val="0AD42155"/>
    <w:rsid w:val="0B742839"/>
    <w:rsid w:val="0BA62149"/>
    <w:rsid w:val="0E881F5D"/>
    <w:rsid w:val="0E9D5C6F"/>
    <w:rsid w:val="101E6BC2"/>
    <w:rsid w:val="115B3953"/>
    <w:rsid w:val="11E95386"/>
    <w:rsid w:val="11F202BD"/>
    <w:rsid w:val="133F0A67"/>
    <w:rsid w:val="14971382"/>
    <w:rsid w:val="162D6A7B"/>
    <w:rsid w:val="173E19D9"/>
    <w:rsid w:val="17F06FDC"/>
    <w:rsid w:val="18B65E08"/>
    <w:rsid w:val="18C82A97"/>
    <w:rsid w:val="19580F44"/>
    <w:rsid w:val="1B027FA7"/>
    <w:rsid w:val="1B8A6106"/>
    <w:rsid w:val="1F136B07"/>
    <w:rsid w:val="2022444D"/>
    <w:rsid w:val="20EA4638"/>
    <w:rsid w:val="2588188E"/>
    <w:rsid w:val="29BD2DC6"/>
    <w:rsid w:val="2ACE4FB6"/>
    <w:rsid w:val="2BCB3E38"/>
    <w:rsid w:val="2BE35B30"/>
    <w:rsid w:val="2C497769"/>
    <w:rsid w:val="2D590431"/>
    <w:rsid w:val="2F7F5408"/>
    <w:rsid w:val="300C4BD6"/>
    <w:rsid w:val="303617A4"/>
    <w:rsid w:val="32EA5A35"/>
    <w:rsid w:val="33221E1D"/>
    <w:rsid w:val="337C341A"/>
    <w:rsid w:val="33A751EC"/>
    <w:rsid w:val="33CF043D"/>
    <w:rsid w:val="34D9765B"/>
    <w:rsid w:val="35B95ACB"/>
    <w:rsid w:val="362A2460"/>
    <w:rsid w:val="38A52155"/>
    <w:rsid w:val="39921D1F"/>
    <w:rsid w:val="39921F17"/>
    <w:rsid w:val="3A0E6BBC"/>
    <w:rsid w:val="3AAF37DB"/>
    <w:rsid w:val="3AAF69D1"/>
    <w:rsid w:val="3D694EAB"/>
    <w:rsid w:val="431945BE"/>
    <w:rsid w:val="453C4349"/>
    <w:rsid w:val="46DE0166"/>
    <w:rsid w:val="48A427FC"/>
    <w:rsid w:val="49387F17"/>
    <w:rsid w:val="49841B98"/>
    <w:rsid w:val="498B3AB9"/>
    <w:rsid w:val="4A5875F5"/>
    <w:rsid w:val="4AE966E5"/>
    <w:rsid w:val="4B4D10C7"/>
    <w:rsid w:val="4C297225"/>
    <w:rsid w:val="4D1C3FBC"/>
    <w:rsid w:val="4DD73376"/>
    <w:rsid w:val="4ED75D79"/>
    <w:rsid w:val="4FF92B92"/>
    <w:rsid w:val="50662C3E"/>
    <w:rsid w:val="53F50E35"/>
    <w:rsid w:val="550804E0"/>
    <w:rsid w:val="551C1939"/>
    <w:rsid w:val="55BF282C"/>
    <w:rsid w:val="56D43995"/>
    <w:rsid w:val="572B7380"/>
    <w:rsid w:val="574C6F91"/>
    <w:rsid w:val="57922CA4"/>
    <w:rsid w:val="5A776550"/>
    <w:rsid w:val="5A9D2DDD"/>
    <w:rsid w:val="5AA20705"/>
    <w:rsid w:val="5B247689"/>
    <w:rsid w:val="5E372893"/>
    <w:rsid w:val="60C347B5"/>
    <w:rsid w:val="647A551D"/>
    <w:rsid w:val="65C854C3"/>
    <w:rsid w:val="666F49B6"/>
    <w:rsid w:val="67123D66"/>
    <w:rsid w:val="67F66304"/>
    <w:rsid w:val="6DB11B24"/>
    <w:rsid w:val="70182D5F"/>
    <w:rsid w:val="70A151D3"/>
    <w:rsid w:val="719A761B"/>
    <w:rsid w:val="72581798"/>
    <w:rsid w:val="7400139C"/>
    <w:rsid w:val="74F4621E"/>
    <w:rsid w:val="750A6571"/>
    <w:rsid w:val="76F60367"/>
    <w:rsid w:val="7A0347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0"/>
      <w:szCs w:val="30"/>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b/>
      <w:sz w:val="28"/>
    </w:rPr>
  </w:style>
  <w:style w:type="paragraph" w:styleId="5">
    <w:name w:val="heading 3"/>
    <w:basedOn w:val="1"/>
    <w:next w:val="1"/>
    <w:unhideWhenUsed/>
    <w:qFormat/>
    <w:uiPriority w:val="0"/>
    <w:pPr>
      <w:keepNext/>
      <w:keepLines/>
      <w:spacing w:beforeLines="0" w:beforeAutospacing="0" w:afterLines="0" w:afterAutospacing="0" w:line="360" w:lineRule="auto"/>
      <w:ind w:firstLine="0" w:firstLineChars="0"/>
      <w:outlineLvl w:val="2"/>
    </w:pPr>
    <w:rPr>
      <w:rFonts w:eastAsia="宋体"/>
      <w:b/>
      <w:sz w:val="24"/>
    </w:rPr>
  </w:style>
  <w:style w:type="paragraph" w:styleId="6">
    <w:name w:val="heading 4"/>
    <w:basedOn w:val="1"/>
    <w:next w:val="1"/>
    <w:link w:val="28"/>
    <w:unhideWhenUsed/>
    <w:qFormat/>
    <w:uiPriority w:val="0"/>
    <w:pPr>
      <w:keepNext/>
      <w:keepLines/>
      <w:spacing w:beforeLines="0" w:beforeAutospacing="0" w:afterLines="0" w:afterAutospacing="0" w:line="360" w:lineRule="auto"/>
      <w:ind w:firstLine="0" w:firstLineChars="0"/>
      <w:jc w:val="left"/>
      <w:outlineLvl w:val="3"/>
    </w:pPr>
    <w:rPr>
      <w:b/>
    </w:rPr>
  </w:style>
  <w:style w:type="paragraph" w:styleId="7">
    <w:name w:val="heading 5"/>
    <w:basedOn w:val="1"/>
    <w:next w:val="1"/>
    <w:link w:val="36"/>
    <w:unhideWhenUsed/>
    <w:qFormat/>
    <w:uiPriority w:val="0"/>
    <w:pPr>
      <w:keepNext/>
      <w:keepLines/>
      <w:spacing w:beforeLines="0" w:beforeAutospacing="0" w:afterLines="0" w:afterAutospacing="0" w:line="240" w:lineRule="auto"/>
      <w:ind w:firstLine="0" w:firstLineChars="0"/>
      <w:jc w:val="center"/>
      <w:outlineLvl w:val="4"/>
    </w:pPr>
    <w:rPr>
      <w:b/>
      <w:sz w:val="24"/>
    </w:rPr>
  </w:style>
  <w:style w:type="paragraph" w:styleId="8">
    <w:name w:val="heading 6"/>
    <w:basedOn w:val="1"/>
    <w:next w:val="1"/>
    <w:unhideWhenUsed/>
    <w:qFormat/>
    <w:uiPriority w:val="0"/>
    <w:pPr>
      <w:keepNext/>
      <w:keepLines/>
      <w:spacing w:beforeLines="0" w:beforeAutospacing="0" w:afterLines="0" w:afterAutospacing="0" w:line="360" w:lineRule="auto"/>
      <w:ind w:firstLine="0" w:firstLineChars="0"/>
      <w:jc w:val="left"/>
      <w:outlineLvl w:val="5"/>
    </w:pPr>
    <w:rPr>
      <w:rFonts w:ascii="Times New Roman" w:hAnsi="Times New Roman"/>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9">
    <w:name w:val="annotation text"/>
    <w:basedOn w:val="1"/>
    <w:qFormat/>
    <w:uiPriority w:val="0"/>
    <w:pPr>
      <w:jc w:val="left"/>
    </w:pPr>
  </w:style>
  <w:style w:type="paragraph" w:styleId="10">
    <w:name w:val="Body Text Indent"/>
    <w:basedOn w:val="1"/>
    <w:qFormat/>
    <w:uiPriority w:val="0"/>
    <w:pPr>
      <w:spacing w:line="460" w:lineRule="exact"/>
      <w:ind w:firstLine="561"/>
      <w:jc w:val="left"/>
    </w:pPr>
    <w:rPr>
      <w:sz w:val="28"/>
    </w:rPr>
  </w:style>
  <w:style w:type="paragraph" w:styleId="11">
    <w:name w:val="Body Text Indent 2"/>
    <w:basedOn w:val="1"/>
    <w:next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unhideWhenUsed/>
    <w:qFormat/>
    <w:uiPriority w:val="39"/>
    <w:pPr>
      <w:tabs>
        <w:tab w:val="left" w:pos="1021"/>
      </w:tabs>
      <w:ind w:left="420" w:leftChars="200"/>
    </w:pPr>
    <w:rPr>
      <w:rFonts w:ascii="宋体" w:hAnsi="宋体" w:eastAsia="宋体" w:cs="Times New Roman"/>
      <w:b/>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2"/>
    <w:next w:val="18"/>
    <w:qFormat/>
    <w:uiPriority w:val="0"/>
    <w:pPr>
      <w:spacing w:after="120" w:afterLines="0"/>
      <w:ind w:firstLine="420" w:firstLineChars="100"/>
    </w:pPr>
    <w:rPr>
      <w:sz w:val="32"/>
    </w:rPr>
  </w:style>
  <w:style w:type="paragraph" w:styleId="18">
    <w:name w:val="Body Text First Indent 2"/>
    <w:basedOn w:val="10"/>
    <w:next w:val="17"/>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0"/>
    <w:rPr>
      <w:i/>
    </w:rPr>
  </w:style>
  <w:style w:type="character" w:styleId="23">
    <w:name w:val="Hyperlink"/>
    <w:basedOn w:val="21"/>
    <w:qFormat/>
    <w:uiPriority w:val="0"/>
    <w:rPr>
      <w:color w:val="0000FF"/>
      <w:u w:val="single"/>
    </w:rPr>
  </w:style>
  <w:style w:type="paragraph" w:customStyle="1" w:styleId="24">
    <w:name w:val="Default"/>
    <w:basedOn w:val="25"/>
    <w:next w:val="26"/>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25">
    <w:name w:val="纯文本1"/>
    <w:basedOn w:val="1"/>
    <w:qFormat/>
    <w:uiPriority w:val="0"/>
    <w:pPr>
      <w:adjustRightInd w:val="0"/>
    </w:pPr>
    <w:rPr>
      <w:rFonts w:ascii="宋体" w:hAnsi="Courier New" w:eastAsia="宋体" w:cs="Times New Roman"/>
    </w:rPr>
  </w:style>
  <w:style w:type="paragraph" w:customStyle="1" w:styleId="26">
    <w:name w:val="样式35"/>
    <w:basedOn w:val="1"/>
    <w:next w:val="27"/>
    <w:qFormat/>
    <w:uiPriority w:val="0"/>
    <w:pPr>
      <w:spacing w:line="312" w:lineRule="auto"/>
      <w:ind w:firstLine="567"/>
    </w:pPr>
    <w:rPr>
      <w:rFonts w:ascii="宋体" w:hAnsi="Times New Roman" w:eastAsia="宋体" w:cs="Times New Roman"/>
    </w:rPr>
  </w:style>
  <w:style w:type="paragraph" w:customStyle="1" w:styleId="27">
    <w:name w:val="font6"/>
    <w:basedOn w:val="1"/>
    <w:next w:val="15"/>
    <w:qFormat/>
    <w:uiPriority w:val="0"/>
    <w:pPr>
      <w:widowControl/>
      <w:spacing w:before="100" w:beforeAutospacing="1" w:after="100" w:afterAutospacing="1"/>
      <w:jc w:val="left"/>
    </w:pPr>
    <w:rPr>
      <w:rFonts w:ascii="宋体" w:hAnsi="宋体" w:eastAsia="宋体" w:cs="宋体"/>
      <w:kern w:val="0"/>
      <w:sz w:val="20"/>
    </w:rPr>
  </w:style>
  <w:style w:type="character" w:customStyle="1" w:styleId="28">
    <w:name w:val="标题 4 Char"/>
    <w:link w:val="6"/>
    <w:qFormat/>
    <w:uiPriority w:val="0"/>
    <w:rPr>
      <w:rFonts w:ascii="Times New Roman" w:hAnsi="Times New Roman" w:eastAsia="宋体"/>
      <w:b/>
      <w:sz w:val="24"/>
    </w:rPr>
  </w:style>
  <w:style w:type="paragraph" w:customStyle="1" w:styleId="29">
    <w:name w:val="xl27"/>
    <w:basedOn w:val="1"/>
    <w:next w:val="11"/>
    <w:qFormat/>
    <w:uiPriority w:val="0"/>
    <w:pPr>
      <w:widowControl/>
      <w:spacing w:before="100" w:beforeAutospacing="1" w:after="100" w:afterAutospacing="1"/>
      <w:jc w:val="left"/>
    </w:pPr>
    <w:rPr>
      <w:rFonts w:ascii="Arial Unicode MS" w:hAnsi="Arial Unicode MS"/>
      <w:kern w:val="0"/>
      <w:sz w:val="20"/>
      <w:szCs w:val="20"/>
    </w:rPr>
  </w:style>
  <w:style w:type="paragraph" w:customStyle="1" w:styleId="30">
    <w:name w:val="T正文"/>
    <w:basedOn w:val="1"/>
    <w:qFormat/>
    <w:uiPriority w:val="0"/>
    <w:pPr>
      <w:spacing w:line="360" w:lineRule="auto"/>
      <w:ind w:firstLine="720" w:firstLineChars="200"/>
    </w:pPr>
    <w:rPr>
      <w:rFonts w:ascii="Times New Roman" w:hAnsi="Times New Roman"/>
      <w:color w:val="ED7D31"/>
      <w:sz w:val="24"/>
    </w:rPr>
  </w:style>
  <w:style w:type="character" w:customStyle="1" w:styleId="31">
    <w:name w:val="T表头 Char"/>
    <w:link w:val="32"/>
    <w:qFormat/>
    <w:uiPriority w:val="0"/>
    <w:rPr>
      <w:rFonts w:ascii="Times New Roman" w:hAnsi="Times New Roman"/>
      <w:b/>
    </w:rPr>
  </w:style>
  <w:style w:type="paragraph" w:customStyle="1" w:styleId="32">
    <w:name w:val="T表头"/>
    <w:basedOn w:val="1"/>
    <w:link w:val="31"/>
    <w:qFormat/>
    <w:uiPriority w:val="0"/>
    <w:pPr>
      <w:jc w:val="center"/>
    </w:pPr>
    <w:rPr>
      <w:rFonts w:ascii="Times New Roman" w:hAnsi="Times New Roman"/>
      <w:b/>
    </w:rPr>
  </w:style>
  <w:style w:type="paragraph" w:customStyle="1" w:styleId="33">
    <w:name w:val="T表格内文字"/>
    <w:basedOn w:val="1"/>
    <w:qFormat/>
    <w:uiPriority w:val="0"/>
    <w:pPr>
      <w:jc w:val="center"/>
    </w:pPr>
    <w:rPr>
      <w:rFonts w:ascii="Times New Roman"/>
      <w:sz w:val="21"/>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5555555555555555"/>
    <w:basedOn w:val="1"/>
    <w:qFormat/>
    <w:uiPriority w:val="0"/>
    <w:pPr>
      <w:spacing w:line="360" w:lineRule="auto"/>
      <w:ind w:firstLine="480"/>
    </w:pPr>
    <w:rPr>
      <w:rFonts w:cs="宋体"/>
      <w:sz w:val="24"/>
      <w:szCs w:val="20"/>
    </w:rPr>
  </w:style>
  <w:style w:type="character" w:customStyle="1" w:styleId="36">
    <w:name w:val="标题 5 Char"/>
    <w:link w:val="7"/>
    <w:qFormat/>
    <w:uiPriority w:val="0"/>
    <w:rPr>
      <w:b/>
      <w:sz w:val="24"/>
    </w:rPr>
  </w:style>
  <w:style w:type="paragraph" w:customStyle="1" w:styleId="37">
    <w:name w:val="Other|1"/>
    <w:basedOn w:val="1"/>
    <w:qFormat/>
    <w:uiPriority w:val="0"/>
    <w:pPr>
      <w:widowControl w:val="0"/>
      <w:shd w:val="clear" w:color="auto" w:fill="auto"/>
      <w:spacing w:after="40"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Heading #2|1"/>
    <w:basedOn w:val="1"/>
    <w:qFormat/>
    <w:uiPriority w:val="0"/>
    <w:pPr>
      <w:widowControl w:val="0"/>
      <w:shd w:val="clear" w:color="auto" w:fill="auto"/>
      <w:spacing w:after="130"/>
      <w:ind w:left="510" w:hanging="130"/>
      <w:outlineLvl w:val="1"/>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0.wmf"/><Relationship Id="rId45" Type="http://schemas.openxmlformats.org/officeDocument/2006/relationships/oleObject" Target="embeddings/oleObject16.bin"/><Relationship Id="rId44" Type="http://schemas.openxmlformats.org/officeDocument/2006/relationships/image" Target="media/image19.png"/><Relationship Id="rId43" Type="http://schemas.openxmlformats.org/officeDocument/2006/relationships/image" Target="media/image18.png"/><Relationship Id="rId42" Type="http://schemas.openxmlformats.org/officeDocument/2006/relationships/image" Target="media/image17.png"/><Relationship Id="rId41" Type="http://schemas.openxmlformats.org/officeDocument/2006/relationships/image" Target="media/image16.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14.bin"/><Relationship Id="rId37" Type="http://schemas.openxmlformats.org/officeDocument/2006/relationships/image" Target="media/image14.png"/><Relationship Id="rId36" Type="http://schemas.openxmlformats.org/officeDocument/2006/relationships/image" Target="media/image13.png"/><Relationship Id="rId35" Type="http://schemas.openxmlformats.org/officeDocument/2006/relationships/image" Target="media/image12.png"/><Relationship Id="rId34" Type="http://schemas.openxmlformats.org/officeDocument/2006/relationships/image" Target="media/image11.png"/><Relationship Id="rId33" Type="http://schemas.openxmlformats.org/officeDocument/2006/relationships/oleObject" Target="embeddings/oleObject13.bin"/><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oleObject" Target="embeddings/oleObject9.bin"/><Relationship Id="rId28" Type="http://schemas.openxmlformats.org/officeDocument/2006/relationships/oleObject" Target="embeddings/oleObject8.bin"/><Relationship Id="rId27" Type="http://schemas.openxmlformats.org/officeDocument/2006/relationships/image" Target="media/image10.wmf"/><Relationship Id="rId26" Type="http://schemas.openxmlformats.org/officeDocument/2006/relationships/oleObject" Target="embeddings/oleObject7.bin"/><Relationship Id="rId25" Type="http://schemas.openxmlformats.org/officeDocument/2006/relationships/image" Target="media/image9.wmf"/><Relationship Id="rId24" Type="http://schemas.openxmlformats.org/officeDocument/2006/relationships/oleObject" Target="embeddings/oleObject6.bin"/><Relationship Id="rId23" Type="http://schemas.openxmlformats.org/officeDocument/2006/relationships/image" Target="media/image8.wmf"/><Relationship Id="rId22" Type="http://schemas.openxmlformats.org/officeDocument/2006/relationships/oleObject" Target="embeddings/oleObject5.bin"/><Relationship Id="rId21" Type="http://schemas.openxmlformats.org/officeDocument/2006/relationships/image" Target="media/image7.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3.bin"/><Relationship Id="rId17" Type="http://schemas.openxmlformats.org/officeDocument/2006/relationships/image" Target="media/image5.emf"/><Relationship Id="rId16" Type="http://schemas.openxmlformats.org/officeDocument/2006/relationships/oleObject" Target="embeddings/oleObject2.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81011</Words>
  <Characters>94297</Characters>
  <Lines>0</Lines>
  <Paragraphs>0</Paragraphs>
  <TotalTime>1</TotalTime>
  <ScaleCrop>false</ScaleCrop>
  <LinksUpToDate>false</LinksUpToDate>
  <CharactersWithSpaces>95724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流年</cp:lastModifiedBy>
  <cp:lastPrinted>2022-10-27T09:51:00Z</cp:lastPrinted>
  <dcterms:modified xsi:type="dcterms:W3CDTF">2022-11-03T09:15:09Z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443D341AABA64C4B97F42C508DA4E900</vt:lpwstr>
  </property>
</Properties>
</file>