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val="en-US" w:eastAsia="zh-CN"/>
        </w:rPr>
        <w:t>华容县湿地保护中心</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402007</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6</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龙铁军</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13787303492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snapToGrid w:val="0"/>
              <w:spacing w:line="520" w:lineRule="exact"/>
              <w:rPr>
                <w:rFonts w:hint="eastAsia" w:ascii="微软雅黑" w:hAnsi="微软雅黑" w:eastAsia="微软雅黑" w:cs="微软雅黑"/>
                <w:sz w:val="28"/>
                <w:szCs w:val="28"/>
                <w:lang w:val="en-US" w:eastAsia="zh-CN"/>
              </w:rPr>
            </w:pPr>
            <w:r>
              <w:rPr>
                <w:rFonts w:hint="default" w:ascii="微软雅黑" w:hAnsi="微软雅黑" w:eastAsia="微软雅黑" w:cs="微软雅黑"/>
                <w:sz w:val="28"/>
                <w:szCs w:val="28"/>
                <w:lang w:val="en-US" w:eastAsia="zh-CN"/>
              </w:rPr>
              <w:t>①</w:t>
            </w:r>
            <w:r>
              <w:rPr>
                <w:rFonts w:hint="eastAsia" w:ascii="微软雅黑" w:hAnsi="微软雅黑" w:eastAsia="微软雅黑" w:cs="微软雅黑"/>
                <w:sz w:val="28"/>
                <w:szCs w:val="28"/>
                <w:lang w:val="en-US" w:eastAsia="zh-CN"/>
              </w:rPr>
              <w:t>贯彻执行国家及省、市、县有关湿地保护的方针政策和法律法规、规章制度。</w:t>
            </w:r>
          </w:p>
          <w:p>
            <w:pPr>
              <w:snapToGrid w:val="0"/>
              <w:spacing w:line="520" w:lineRule="exact"/>
              <w:rPr>
                <w:rFonts w:hint="eastAsia" w:ascii="微软雅黑" w:hAnsi="微软雅黑" w:eastAsia="微软雅黑" w:cs="微软雅黑"/>
                <w:sz w:val="28"/>
                <w:szCs w:val="28"/>
                <w:lang w:val="en-US" w:eastAsia="zh-CN"/>
              </w:rPr>
            </w:pPr>
            <w:r>
              <w:rPr>
                <w:rFonts w:hint="default" w:ascii="微软雅黑" w:hAnsi="微软雅黑" w:eastAsia="微软雅黑" w:cs="微软雅黑"/>
                <w:sz w:val="28"/>
                <w:szCs w:val="28"/>
                <w:lang w:val="en-US" w:eastAsia="zh-CN"/>
              </w:rPr>
              <w:t>②</w:t>
            </w:r>
            <w:r>
              <w:rPr>
                <w:rFonts w:hint="eastAsia" w:ascii="微软雅黑" w:hAnsi="微软雅黑" w:eastAsia="微软雅黑" w:cs="微软雅黑"/>
                <w:sz w:val="28"/>
                <w:szCs w:val="28"/>
                <w:lang w:val="en-US" w:eastAsia="zh-CN"/>
              </w:rPr>
              <w:t>在县林业局指导下，编制全县湿地保护规划，拟订全县湿地保护相关标准。</w:t>
            </w:r>
          </w:p>
          <w:p>
            <w:pPr>
              <w:snapToGrid w:val="0"/>
              <w:spacing w:line="520" w:lineRule="exact"/>
              <w:rPr>
                <w:rFonts w:hint="eastAsia" w:ascii="微软雅黑" w:hAnsi="微软雅黑" w:eastAsia="微软雅黑" w:cs="微软雅黑"/>
                <w:sz w:val="28"/>
                <w:szCs w:val="28"/>
                <w:lang w:val="en-US" w:eastAsia="zh-CN"/>
              </w:rPr>
            </w:pPr>
            <w:r>
              <w:rPr>
                <w:rFonts w:hint="default" w:ascii="微软雅黑" w:hAnsi="微软雅黑" w:eastAsia="微软雅黑" w:cs="微软雅黑"/>
                <w:sz w:val="28"/>
                <w:szCs w:val="28"/>
                <w:lang w:val="en-US" w:eastAsia="zh-CN"/>
              </w:rPr>
              <w:t>③</w:t>
            </w:r>
            <w:r>
              <w:rPr>
                <w:rFonts w:hint="eastAsia" w:ascii="微软雅黑" w:hAnsi="微软雅黑" w:eastAsia="微软雅黑" w:cs="微软雅黑"/>
                <w:sz w:val="28"/>
                <w:szCs w:val="28"/>
                <w:lang w:val="en-US" w:eastAsia="zh-CN"/>
              </w:rPr>
              <w:t>承担全县湿地保护的事务性工作，及时发现湿地保护中的重大问题，对湿地保护管理提出意见建议。</w:t>
            </w:r>
          </w:p>
          <w:p>
            <w:pPr>
              <w:snapToGrid w:val="0"/>
              <w:spacing w:line="520" w:lineRule="exact"/>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④承担全县湿地资源调查、动态监测和统计工作，建立和更新湿地资源档案。</w:t>
            </w:r>
          </w:p>
          <w:p>
            <w:pPr>
              <w:snapToGrid w:val="0"/>
              <w:spacing w:line="520" w:lineRule="exact"/>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⑤在县林业局指导下，组织实施全县湿地生态修复、生态补偿工作，申报、实施湿地保护项目。</w:t>
            </w:r>
          </w:p>
          <w:p>
            <w:pPr>
              <w:snapToGrid w:val="0"/>
              <w:spacing w:line="520" w:lineRule="exact"/>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⑥开展湿地保护的科学研究工作，开展湿地保护的交流和合作，承担国际湿地公约履约相关工作。</w:t>
            </w:r>
          </w:p>
          <w:p>
            <w:pPr>
              <w:snapToGrid w:val="0"/>
              <w:spacing w:line="520" w:lineRule="exact"/>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⑦对授权管理的芦苇场等资产依法进行合理开发和综合利用，承担芦苇场的综治维稳和日常管理工作。</w:t>
            </w:r>
          </w:p>
          <w:p>
            <w:pPr>
              <w:snapToGrid w:val="0"/>
              <w:spacing w:line="520" w:lineRule="exact"/>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⑧组织实施湿地保护的宣传教育工作。</w:t>
            </w:r>
          </w:p>
          <w:p>
            <w:pPr>
              <w:snapToGrid w:val="0"/>
              <w:spacing w:line="520" w:lineRule="exact"/>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⑨在不影响湿地生态环境和自然资源的前提下，组织开展参观、旅游等活动。</w:t>
            </w:r>
          </w:p>
          <w:p>
            <w:pPr>
              <w:snapToGrid w:val="0"/>
              <w:spacing w:line="520" w:lineRule="exact"/>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⑩协助查处违反湿地保护法律法规的行为，负责湿地保护区界标的设置和管理。</w:t>
            </w:r>
          </w:p>
          <w:p>
            <w:pPr>
              <w:snapToGrid w:val="0"/>
              <w:spacing w:line="520" w:lineRule="exact"/>
              <w:rPr>
                <w:rFonts w:hint="default"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⑪承办县林业局交办的其他事项。</w:t>
            </w:r>
          </w:p>
          <w:p>
            <w:pPr>
              <w:autoSpaceDN w:val="0"/>
              <w:spacing w:line="320" w:lineRule="exact"/>
              <w:jc w:val="left"/>
              <w:textAlignment w:val="center"/>
              <w:rPr>
                <w:rFonts w:hint="eastAsia" w:ascii="仿宋_GB2312" w:hAnsi="仿宋_GB2312" w:eastAsia="仿宋_GB2312" w:cs="仿宋_GB2312"/>
                <w:color w:val="000000"/>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snapToGrid w:val="0"/>
              <w:spacing w:line="520" w:lineRule="exact"/>
              <w:rPr>
                <w:rFonts w:hint="default"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任务1：宣传有关湿地保护的法律法规，开展湿地保护知识教育；</w:t>
            </w:r>
          </w:p>
          <w:p>
            <w:pPr>
              <w:snapToGrid w:val="0"/>
              <w:spacing w:line="520" w:lineRule="exact"/>
              <w:rPr>
                <w:rFonts w:hint="default"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任务2：对退化的湿地进行恢复改造，维护湿地生态平衡；</w:t>
            </w:r>
          </w:p>
          <w:p>
            <w:pPr>
              <w:snapToGrid w:val="0"/>
              <w:spacing w:line="520" w:lineRule="exact"/>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任务3：对苇场资源依法进行合理开发和综合利用，维护芦苇场的综治维稳和日常管理工作；</w:t>
            </w:r>
          </w:p>
          <w:p>
            <w:pPr>
              <w:snapToGrid w:val="0"/>
              <w:spacing w:line="520" w:lineRule="exact"/>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任务4：争取上级部门支持，增加基础安全防护设施投入，加强苇田安全防火宣传；</w:t>
            </w:r>
          </w:p>
          <w:p>
            <w:pPr>
              <w:snapToGrid w:val="0"/>
              <w:spacing w:line="520" w:lineRule="exact"/>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任务5：加强预算支出管理，保障支出的规范化，提高财政资金使用效率；</w:t>
            </w:r>
          </w:p>
          <w:p>
            <w:pPr>
              <w:snapToGrid w:val="0"/>
              <w:spacing w:line="520" w:lineRule="exact"/>
              <w:rPr>
                <w:rFonts w:hint="default" w:ascii="仿宋_GB2312" w:hAnsi="仿宋_GB2312" w:eastAsia="仿宋_GB2312" w:cs="仿宋_GB2312"/>
                <w:color w:val="000000"/>
                <w:sz w:val="28"/>
                <w:szCs w:val="28"/>
                <w:lang w:val="en-US" w:eastAsia="zh-CN"/>
              </w:rPr>
            </w:pPr>
            <w:r>
              <w:rPr>
                <w:rFonts w:hint="eastAsia" w:ascii="微软雅黑" w:hAnsi="微软雅黑" w:eastAsia="微软雅黑" w:cs="微软雅黑"/>
                <w:sz w:val="28"/>
                <w:szCs w:val="28"/>
                <w:lang w:val="en-US" w:eastAsia="zh-CN"/>
              </w:rPr>
              <w:t>任务6：努力争取资金，确保苇场企业正常运转及企业职工生活费发放到位。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snapToGrid w:val="0"/>
              <w:spacing w:line="520" w:lineRule="exact"/>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1、全面贯彻执行党和国家方针政策，促进了湿地保护工作科学健康有序发展；</w:t>
            </w:r>
          </w:p>
          <w:p>
            <w:pPr>
              <w:snapToGrid w:val="0"/>
              <w:spacing w:line="520" w:lineRule="exact"/>
              <w:rPr>
                <w:rFonts w:hint="default"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2、规范财务管理，严格预算支出，整体支出情况较好；</w:t>
            </w:r>
          </w:p>
          <w:p>
            <w:pPr>
              <w:snapToGrid w:val="0"/>
              <w:spacing w:line="520" w:lineRule="exact"/>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3、争项争资383万元，确保芦苇企业基本运转；</w:t>
            </w:r>
          </w:p>
          <w:p>
            <w:pPr>
              <w:snapToGrid w:val="0"/>
              <w:spacing w:line="520" w:lineRule="exact"/>
              <w:rPr>
                <w:rFonts w:hint="default"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4、投入资金26万元，对苇场柴山安排专人值守，确保了柴山防火安全；</w:t>
            </w:r>
          </w:p>
          <w:p>
            <w:pPr>
              <w:snapToGrid w:val="0"/>
              <w:spacing w:line="520" w:lineRule="exact"/>
              <w:rPr>
                <w:rFonts w:hint="default" w:ascii="仿宋_GB2312" w:hAnsi="仿宋_GB2312" w:eastAsia="仿宋_GB2312" w:cs="仿宋_GB2312"/>
                <w:color w:val="000000"/>
                <w:sz w:val="28"/>
                <w:szCs w:val="28"/>
                <w:lang w:val="en-US" w:eastAsia="zh-CN"/>
              </w:rPr>
            </w:pPr>
            <w:r>
              <w:rPr>
                <w:rFonts w:hint="eastAsia" w:ascii="微软雅黑" w:hAnsi="微软雅黑" w:eastAsia="微软雅黑" w:cs="微软雅黑"/>
                <w:sz w:val="28"/>
                <w:szCs w:val="28"/>
                <w:lang w:val="en-US" w:eastAsia="zh-CN"/>
              </w:rPr>
              <w:t>5、按时间节点，顺利完成上级安排的疫情防控、党建工作、苇场安全防火等各项工作任务。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727.96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375.07</w:t>
            </w:r>
          </w:p>
        </w:tc>
        <w:tc>
          <w:tcPr>
            <w:tcW w:w="1705"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139.8</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213.09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727.96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375.07</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139.8</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08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213.09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727.96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307.17</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268.19</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38.98</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420.79</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727.96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307.17</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268.19</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38.98</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420.79</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2.15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0.53</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1.62</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2.15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0.53</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1.62</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65.15</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65.15</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65.15</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65.15</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snapToGrid w:val="0"/>
              <w:spacing w:line="520" w:lineRule="exac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目标1：完成上级各项工作任务；</w:t>
            </w:r>
          </w:p>
          <w:p>
            <w:pPr>
              <w:snapToGrid w:val="0"/>
              <w:spacing w:line="520" w:lineRule="exac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目标2：加强预算支出管理，提高财政资金使用效率；</w:t>
            </w:r>
          </w:p>
          <w:p>
            <w:pPr>
              <w:snapToGrid w:val="0"/>
              <w:spacing w:line="520" w:lineRule="exact"/>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目标3：争取资金，确保苇场企业正常运转及企业职工生活费发放到位。</w:t>
            </w:r>
          </w:p>
          <w:p>
            <w:pPr>
              <w:snapToGrid w:val="0"/>
              <w:spacing w:line="520" w:lineRule="exact"/>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目标4：争取上级部门支持，增加安全防火投入，加强苇田安全防火宣传；</w:t>
            </w:r>
          </w:p>
        </w:tc>
        <w:tc>
          <w:tcPr>
            <w:tcW w:w="4585" w:type="dxa"/>
            <w:gridSpan w:val="9"/>
            <w:noWrap w:val="0"/>
            <w:vAlign w:val="center"/>
          </w:tcPr>
          <w:p>
            <w:pPr>
              <w:snapToGrid w:val="0"/>
              <w:spacing w:line="520" w:lineRule="exact"/>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顺利完成政府下达的各项工作任务；严格预算支出，确保了预算支出规范管理；争项争资383万元，确保芦苇企业基本运转；投入资金26万元，对苇场柴山安排专人值守，确保了柴山防火安全；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宣传有关湿地保护的法律法规，开展湿地保护知识教育提高全民对湿地保护的认知</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按期完成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争项争资383万元，确保芦苇企业基本运转；</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按期完成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按时间节点，顺利完成上级安排的疫情防控、党建工作、苇场安全防火等各项工作任务。</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按期完成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投入资金26万元，对苇场柴山安排专人值守，确保了柴山防火安全。</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按期完成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全年组织了两次湿地保护相关政策及法律法规宣传与教育。</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苇场职工4个季度如期发放</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3；柴山防火组织20余人，投入工日1250个。</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按预定进度完成。</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按期完成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资金使用按年初预算执行。</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控制在年度预算内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芦田安全防火投入26万，专款专用按期支付。</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按期完成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保护湿地生态资源，促进湿地可持续发展。</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确保了芦苇企业正常运转，维护全局稳定。</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按期完成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三公经费占总支出：0.3%，较比年初预算减少17%。</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年度内完成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维护湿地生态平衡，改善生态环境。</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按期完成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按时按量完成上级安排的疫情防控、党建工作、苇场安全防火等各项工作任务。</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老百姓满意。</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社会工作满意度96%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96分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8146" w:type="dxa"/>
            <w:gridSpan w:val="1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陈斌</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支部书记</w:t>
            </w:r>
          </w:p>
        </w:tc>
        <w:tc>
          <w:tcPr>
            <w:tcW w:w="1479"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华容县湿地保护中心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孙建清</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副主任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华容县湿地保护中心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余晶晶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财务股长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华容县湿地保护中心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刘士军</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办公室主任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华容县湿地保护中心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湿地保护</w:t>
            </w:r>
            <w:r>
              <w:rPr>
                <w:rFonts w:hint="eastAsia" w:ascii="方正小标宋简体" w:hAnsi="方正小标宋简体" w:eastAsia="方正小标宋简体" w:cs="方正小标宋简体"/>
                <w:sz w:val="44"/>
                <w:szCs w:val="44"/>
                <w:lang w:val="en-US" w:eastAsia="zh-CN"/>
              </w:rPr>
              <w:t>中心</w:t>
            </w: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21</w:t>
            </w:r>
            <w:r>
              <w:rPr>
                <w:rFonts w:hint="eastAsia" w:ascii="方正小标宋简体" w:hAnsi="方正小标宋简体" w:eastAsia="方正小标宋简体" w:cs="方正小标宋简体"/>
                <w:sz w:val="44"/>
                <w:szCs w:val="44"/>
              </w:rPr>
              <w:t>年整体支出绩效评价报告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根据《华容县财政局关于开展</w:t>
            </w: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年度部门整体支出绩效自评工作的通知》要求，现对华容县湿地保护</w:t>
            </w: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021</w:t>
            </w:r>
            <w:r>
              <w:rPr>
                <w:rFonts w:hint="eastAsia" w:ascii="仿宋_GB2312" w:hAnsi="仿宋_GB2312" w:eastAsia="仿宋_GB2312" w:cs="仿宋_GB2312"/>
                <w:sz w:val="32"/>
                <w:szCs w:val="32"/>
              </w:rPr>
              <w:t>年度的部门整体支出开展绩效自评，现将情况汇报如下：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（一）单位基本概况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华容县湿地保护</w:t>
            </w: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rPr>
              <w:t>系县</w:t>
            </w:r>
            <w:r>
              <w:rPr>
                <w:rFonts w:hint="eastAsia" w:ascii="仿宋_GB2312" w:hAnsi="仿宋_GB2312" w:eastAsia="仿宋_GB2312" w:cs="仿宋_GB2312"/>
                <w:sz w:val="32"/>
                <w:szCs w:val="32"/>
                <w:lang w:val="en-US" w:eastAsia="zh-CN"/>
              </w:rPr>
              <w:t>林业局二级机构，</w:t>
            </w:r>
            <w:r>
              <w:rPr>
                <w:rFonts w:hint="eastAsia" w:ascii="仿宋_GB2312" w:hAnsi="仿宋_GB2312" w:eastAsia="仿宋_GB2312" w:cs="仿宋_GB2312"/>
                <w:sz w:val="32"/>
                <w:szCs w:val="32"/>
              </w:rPr>
              <w:t>财政全额预算拨款单位。20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年编制部门核实湿地保护局人员编制</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人，实有人数为2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人。该局本级内设机构有五个：办公室、</w:t>
            </w:r>
            <w:r>
              <w:rPr>
                <w:rFonts w:hint="eastAsia" w:ascii="仿宋_GB2312" w:hAnsi="仿宋_GB2312" w:eastAsia="仿宋_GB2312" w:cs="仿宋_GB2312"/>
                <w:sz w:val="32"/>
                <w:szCs w:val="32"/>
                <w:lang w:eastAsia="zh-CN"/>
              </w:rPr>
              <w:t>规划</w:t>
            </w:r>
            <w:r>
              <w:rPr>
                <w:rFonts w:hint="eastAsia" w:ascii="仿宋_GB2312" w:hAnsi="仿宋_GB2312" w:eastAsia="仿宋_GB2312" w:cs="仿宋_GB2312"/>
                <w:sz w:val="32"/>
                <w:szCs w:val="32"/>
              </w:rPr>
              <w:t>财务股、人事</w:t>
            </w:r>
            <w:r>
              <w:rPr>
                <w:rFonts w:hint="eastAsia" w:ascii="仿宋_GB2312" w:hAnsi="仿宋_GB2312" w:eastAsia="仿宋_GB2312" w:cs="仿宋_GB2312"/>
                <w:sz w:val="32"/>
                <w:szCs w:val="32"/>
                <w:lang w:eastAsia="zh-CN"/>
              </w:rPr>
              <w:t>教育</w:t>
            </w:r>
            <w:r>
              <w:rPr>
                <w:rFonts w:hint="eastAsia" w:ascii="仿宋_GB2312" w:hAnsi="仿宋_GB2312" w:eastAsia="仿宋_GB2312" w:cs="仿宋_GB2312"/>
                <w:sz w:val="32"/>
                <w:szCs w:val="32"/>
              </w:rPr>
              <w:t>股，资源保护股、</w:t>
            </w:r>
            <w:r>
              <w:rPr>
                <w:rFonts w:hint="eastAsia" w:ascii="仿宋_GB2312" w:hAnsi="仿宋_GB2312" w:eastAsia="仿宋_GB2312" w:cs="仿宋_GB2312"/>
                <w:sz w:val="32"/>
                <w:szCs w:val="32"/>
                <w:lang w:eastAsia="zh-CN"/>
              </w:rPr>
              <w:t>芦苇</w:t>
            </w:r>
            <w:r>
              <w:rPr>
                <w:rFonts w:hint="eastAsia" w:ascii="仿宋_GB2312" w:hAnsi="仿宋_GB2312" w:eastAsia="仿宋_GB2312" w:cs="仿宋_GB2312"/>
                <w:sz w:val="32"/>
                <w:szCs w:val="32"/>
              </w:rPr>
              <w:t>资源利用股</w:t>
            </w:r>
            <w:r>
              <w:rPr>
                <w:rFonts w:hint="eastAsia" w:ascii="仿宋_GB2312" w:hAnsi="仿宋_GB2312" w:eastAsia="仿宋_GB2312" w:cs="仿宋_GB2312"/>
                <w:sz w:val="32"/>
                <w:szCs w:val="32"/>
                <w:lang w:eastAsia="zh-CN"/>
              </w:rPr>
              <w:t>，监测利用股</w:t>
            </w:r>
            <w:r>
              <w:rPr>
                <w:rFonts w:hint="eastAsia" w:ascii="仿宋_GB2312" w:hAnsi="仿宋_GB2312" w:eastAsia="仿宋_GB2312" w:cs="仿宋_GB2312"/>
                <w:sz w:val="32"/>
                <w:szCs w:val="32"/>
              </w:rPr>
              <w:t>；下设二级机构六个：江州芦苇场、洪山芦苇场、集成芦苇场、团洲芦苇场、舵杆洲芦苇场、舵杆洲湿地保护站。下设六个机构为自收自支单位，未纳入预算范围。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（二）部门主要职能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1.贯彻执行国家及省、市有关湿地保护的方针政策和法律法规。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2.正在县林业局的指导下，组织编制湿地保护和建设发展规划，负责湿地保护项目与利用开发的规划、申报和实施，对退化的湿地进行恢复改造。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3.组织宣传有关湿地保护的法律法规，开展湿地保护知识的教育，负责协助查处违反湿地保护法律法规的案件，负责湿地保护区界标的设置和管理。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4.组织实施湿地自然资源的调查、监测、科研、保护和救护工作，加强对野生动物疫源疫病监测工作。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5.检查监督全县从事湿地野生动植物猎采、饲养、培植极其产品的购销、运输、加工等活动，协助依法查处违反湿地野生动植物资源管理政策法规的各类案件，并开展专项整治工作。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6.维护湿地生态平衡，加强湿地资源利用开发，规范管理湿地施药、开垦、排放、建设和外物种引进等生产活动。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7.依照国际公约的惯例和要求，负责有关工作的协调协作和科技交流。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8.负责湿地权属边界管理，适时调处纠纷。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eastAsia="zh-CN"/>
              </w:rPr>
              <w:t>负责全县各芦苇场以经济责任制为主要内容的目标管理。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负责本系统的认识管理、计划生育、社会治安综合治理、安全生产、精神文明建设等工作。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.承办县委、县政府交办的其他事项。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（三）本年度重点工作计划</w:t>
            </w:r>
          </w:p>
          <w:p>
            <w:pPr>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021</w:t>
            </w:r>
            <w:r>
              <w:rPr>
                <w:rFonts w:hint="eastAsia" w:ascii="仿宋_GB2312" w:hAnsi="仿宋_GB2312" w:eastAsia="仿宋_GB2312" w:cs="仿宋_GB2312"/>
                <w:sz w:val="32"/>
                <w:szCs w:val="32"/>
              </w:rPr>
              <w:t>年度主要的工作内容就是：1、</w:t>
            </w:r>
            <w:r>
              <w:rPr>
                <w:rFonts w:hint="eastAsia" w:ascii="仿宋_GB2312" w:hAnsi="仿宋_GB2312" w:eastAsia="仿宋_GB2312" w:cs="仿宋_GB2312"/>
                <w:sz w:val="32"/>
                <w:szCs w:val="32"/>
                <w:lang w:val="en-US" w:eastAsia="zh-CN"/>
              </w:rPr>
              <w:t>宣传有关湿地保护的法律法规，开展湿地保护知识教育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2、对退化的湿地进行恢复改造；3、对苇场资源依法进行合理开发和综合利用，维护芦苇场的综治维稳和日常管理工作；4、争取上级部门支持，增加基础安全防护设施投入，加强苇田安全防火宣传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加强预算资金管理，保证支出的规范化，提高财政支出使用效率；6、努力争取资金，确保苇场企业正常运转及企业职工生活费发放到位。</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（四）部门整体收支情况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1.部门整体收支情况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（1）收入情况：全年收入</w:t>
            </w:r>
            <w:r>
              <w:rPr>
                <w:rFonts w:hint="eastAsia" w:ascii="仿宋_GB2312" w:hAnsi="仿宋_GB2312" w:eastAsia="仿宋_GB2312" w:cs="仿宋_GB2312"/>
                <w:sz w:val="32"/>
                <w:szCs w:val="32"/>
                <w:lang w:val="en-US" w:eastAsia="zh-CN"/>
              </w:rPr>
              <w:t xml:space="preserve">  727.96</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（2）支出情况：全年支出</w:t>
            </w:r>
            <w:r>
              <w:rPr>
                <w:rFonts w:hint="eastAsia" w:ascii="仿宋_GB2312" w:hAnsi="仿宋_GB2312" w:eastAsia="仿宋_GB2312" w:cs="仿宋_GB2312"/>
                <w:sz w:val="32"/>
                <w:szCs w:val="32"/>
                <w:lang w:val="en-US" w:eastAsia="zh-CN"/>
              </w:rPr>
              <w:t>727.96</w:t>
            </w:r>
            <w:r>
              <w:rPr>
                <w:rFonts w:hint="eastAsia" w:ascii="仿宋_GB2312" w:hAnsi="仿宋_GB2312" w:eastAsia="仿宋_GB2312" w:cs="仿宋_GB2312"/>
                <w:sz w:val="32"/>
                <w:szCs w:val="32"/>
              </w:rPr>
              <w:t>万元，其中</w:t>
            </w:r>
            <w:r>
              <w:rPr>
                <w:rFonts w:hint="eastAsia" w:ascii="仿宋_GB2312" w:hAnsi="仿宋_GB2312" w:eastAsia="仿宋_GB2312" w:cs="仿宋_GB2312"/>
                <w:sz w:val="32"/>
                <w:szCs w:val="32"/>
                <w:lang w:eastAsia="zh-CN"/>
              </w:rPr>
              <w:t>：人员支出</w:t>
            </w:r>
            <w:r>
              <w:rPr>
                <w:rFonts w:hint="eastAsia" w:ascii="仿宋_GB2312" w:hAnsi="仿宋_GB2312" w:eastAsia="仿宋_GB2312" w:cs="仿宋_GB2312"/>
                <w:sz w:val="32"/>
                <w:szCs w:val="32"/>
                <w:lang w:val="en-US" w:eastAsia="zh-CN"/>
              </w:rPr>
              <w:t>268.19万元；公用支出38.98万元；项目支出420.79万元。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2.三公经费支出情况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年部门预安排“三公”经费</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万元，实际支出</w:t>
            </w:r>
            <w:r>
              <w:rPr>
                <w:rFonts w:hint="eastAsia" w:ascii="仿宋_GB2312" w:hAnsi="仿宋_GB2312" w:eastAsia="仿宋_GB2312" w:cs="仿宋_GB2312"/>
                <w:sz w:val="32"/>
                <w:szCs w:val="32"/>
                <w:lang w:val="en-US" w:eastAsia="zh-CN"/>
              </w:rPr>
              <w:t>2.15</w:t>
            </w:r>
            <w:r>
              <w:rPr>
                <w:rFonts w:hint="eastAsia" w:ascii="仿宋_GB2312" w:hAnsi="仿宋_GB2312" w:eastAsia="仿宋_GB2312" w:cs="仿宋_GB2312"/>
                <w:sz w:val="32"/>
                <w:szCs w:val="32"/>
              </w:rPr>
              <w:t>万元，其中公务接待费</w:t>
            </w:r>
            <w:r>
              <w:rPr>
                <w:rFonts w:hint="eastAsia" w:ascii="仿宋_GB2312" w:hAnsi="仿宋_GB2312" w:eastAsia="仿宋_GB2312" w:cs="仿宋_GB2312"/>
                <w:sz w:val="32"/>
                <w:szCs w:val="32"/>
                <w:lang w:val="en-US" w:eastAsia="zh-CN"/>
              </w:rPr>
              <w:t>0.53</w:t>
            </w:r>
            <w:r>
              <w:rPr>
                <w:rFonts w:hint="eastAsia" w:ascii="仿宋_GB2312" w:hAnsi="仿宋_GB2312" w:eastAsia="仿宋_GB2312" w:cs="仿宋_GB2312"/>
                <w:sz w:val="32"/>
                <w:szCs w:val="32"/>
              </w:rPr>
              <w:t>万元，公务车运作维护费</w:t>
            </w:r>
            <w:r>
              <w:rPr>
                <w:rFonts w:hint="eastAsia" w:ascii="仿宋_GB2312" w:hAnsi="仿宋_GB2312" w:eastAsia="仿宋_GB2312" w:cs="仿宋_GB2312"/>
                <w:sz w:val="32"/>
                <w:szCs w:val="32"/>
                <w:lang w:val="en-US" w:eastAsia="zh-CN"/>
              </w:rPr>
              <w:t>1.62</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二、部门整体支出绩效评价目的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通过对</w:t>
            </w: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年华容县湿地保护</w:t>
            </w: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rPr>
              <w:t>部门的预算配置，预算管理，资产管理，职责履行，履职效益等内容的绩效考评，提高财政资金的使用效率，为财政部门预算管理提高决策依据。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三、部门整体支出管理分析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严格预算支出管理。在支出预算编制上，人员经费按照配置定额，逐人核定编制，公用经费分类分档，按定额编制；根据“总量控制，计划管理”的要求从严控制行政经费，压缩公务费开支，严格控制“三公”经费，资产的配置严格政府采购，按照预算科目和项目资金的规定使用财政资金，保障部门整体支出的规范化，制度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2.财务管理上，按照国家相关法律法规，制定了机关财务。公物购置使用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接待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会务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因公出国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车辆使用等管理制度，并严格按照制度管理和执行，防范风险，保证财政资金的安全和高效运行。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四．整体支出绩效情况分析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全面贯彻执行党和国家方针政策和重大决策，有力推动湿地保护工作科学健康有序发展。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整体支出情况较好，预算编制科学，民主理财、公开理财氛围浓厚，财政财务制度健全且执行情况良好。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对苇场资源依法进行合理开发和综合利用，维护芦苇场的综治维稳和日常管理工作；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4.通过努力争取资金，维护了单位正常运转及系统大局的稳定。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五、存在的问题及工作建议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年度在按预定目标完成各项任务的过程中，也还存在一定的问题。因财政对湿地保护</w:t>
            </w: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rPr>
              <w:t>年初预算中，没有涉及到项目资金，所以在操作的过程中，我们打造湿地项目，湿地建设有很大的阻力。因财政预算资金只能保证工作人员的工资，津贴等发放，无力支持湿地项目建设，所以在今后的湿地开发利用与项目建设中，要积极开源节流，争取一切可利用资金投入到湿地项目建设中去，打造好湿地建设好湿地，保护好湿地。</w:t>
            </w:r>
          </w:p>
          <w:p>
            <w:pPr>
              <w:rPr>
                <w:rFonts w:eastAsia="楷体_GB2312"/>
                <w:bCs/>
                <w:sz w:val="28"/>
                <w:szCs w:val="28"/>
              </w:rPr>
            </w:pPr>
          </w:p>
        </w:tc>
      </w:tr>
    </w:tbl>
    <w:p>
      <w:pPr>
        <w:spacing w:line="348" w:lineRule="auto"/>
        <w:rPr>
          <w:rFonts w:eastAsia="楷体_GB2312"/>
          <w:bCs/>
          <w:sz w:val="28"/>
          <w:szCs w:val="28"/>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4"/>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消费场所不具备条件</w:t>
            </w:r>
          </w:p>
        </w:tc>
      </w:tr>
      <w:tr>
        <w:tblPrEx>
          <w:tblCellMar>
            <w:top w:w="0" w:type="dxa"/>
            <w:left w:w="108" w:type="dxa"/>
            <w:bottom w:w="0" w:type="dxa"/>
            <w:right w:w="108" w:type="dxa"/>
          </w:tblCellMar>
        </w:tblPrEx>
        <w:trPr>
          <w:trHeight w:val="9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p>
        </w:tc>
      </w:tr>
    </w:tbl>
    <w:p/>
    <w:tbl>
      <w:tblPr>
        <w:tblStyle w:val="4"/>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办公楼部分土地闲置</w:t>
            </w: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23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社会公众或服务对象满意度</w:t>
            </w:r>
            <w:r>
              <w:rPr>
                <w:rFonts w:hint="eastAsia" w:ascii="仿宋_GB2312" w:hAnsi="宋体" w:eastAsia="仿宋_GB2312" w:cs="宋体"/>
                <w:kern w:val="0"/>
                <w:sz w:val="18"/>
                <w:szCs w:val="18"/>
                <w:lang w:val="en-US" w:eastAsia="zh-CN"/>
              </w:rPr>
              <w:t>95</w:t>
            </w:r>
            <w:r>
              <w:rPr>
                <w:rFonts w:hint="eastAsia" w:ascii="宋体" w:hAnsi="宋体" w:eastAsia="宋体" w:cs="宋体"/>
                <w:kern w:val="0"/>
                <w:sz w:val="18"/>
                <w:szCs w:val="18"/>
                <w:lang w:val="en-US" w:eastAsia="zh-CN"/>
              </w:rPr>
              <w:t>％</w:t>
            </w: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adjustRightInd w:val="0"/>
        <w:snapToGrid w:val="0"/>
        <w:spacing w:before="156" w:beforeLines="50"/>
        <w:ind w:firstLine="960" w:firstLineChars="300"/>
        <w:contextualSpacing/>
        <w:rPr>
          <w:rFonts w:hint="eastAsia" w:eastAsia="仿宋_GB2312"/>
          <w:sz w:val="32"/>
        </w:rPr>
      </w:pPr>
      <w:bookmarkStart w:id="0" w:name="_GoBack"/>
      <w:bookmarkEnd w:id="0"/>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宋体"/>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1</w:t>
    </w:r>
    <w:r>
      <w:rPr>
        <w:sz w:val="24"/>
        <w:szCs w:val="24"/>
      </w:rPr>
      <w:fldChar w:fldCharType="end"/>
    </w:r>
    <w:r>
      <w:rPr>
        <w:rStyle w:val="6"/>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18</w:t>
    </w:r>
    <w:r>
      <w:rPr>
        <w:sz w:val="24"/>
        <w:szCs w:val="24"/>
      </w:rPr>
      <w:fldChar w:fldCharType="end"/>
    </w:r>
    <w:r>
      <w:rPr>
        <w:rStyle w:val="6"/>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Zjc5NTllMGFiYmY5NmVhMTllZTJlYTQ3YTVjMjgifQ=="/>
  </w:docVars>
  <w:rsids>
    <w:rsidRoot w:val="2CE55C20"/>
    <w:rsid w:val="007B2063"/>
    <w:rsid w:val="038777A6"/>
    <w:rsid w:val="06CF02A7"/>
    <w:rsid w:val="083749E7"/>
    <w:rsid w:val="09886B94"/>
    <w:rsid w:val="0A784DC3"/>
    <w:rsid w:val="0BBC48D3"/>
    <w:rsid w:val="0DE528CD"/>
    <w:rsid w:val="0FC1070A"/>
    <w:rsid w:val="103669CA"/>
    <w:rsid w:val="10CD72AB"/>
    <w:rsid w:val="115E3FEE"/>
    <w:rsid w:val="13346289"/>
    <w:rsid w:val="140E03CC"/>
    <w:rsid w:val="16563CDE"/>
    <w:rsid w:val="165F162E"/>
    <w:rsid w:val="18725427"/>
    <w:rsid w:val="18F94530"/>
    <w:rsid w:val="1B3056EF"/>
    <w:rsid w:val="1DFB7A84"/>
    <w:rsid w:val="1E316E83"/>
    <w:rsid w:val="1E601A36"/>
    <w:rsid w:val="218836EE"/>
    <w:rsid w:val="254E2FC7"/>
    <w:rsid w:val="263C173A"/>
    <w:rsid w:val="268B5DD5"/>
    <w:rsid w:val="295C6445"/>
    <w:rsid w:val="29B63213"/>
    <w:rsid w:val="2CA33441"/>
    <w:rsid w:val="2CE55C20"/>
    <w:rsid w:val="2F287302"/>
    <w:rsid w:val="30426D13"/>
    <w:rsid w:val="30707DAF"/>
    <w:rsid w:val="31BB44CA"/>
    <w:rsid w:val="36017DC3"/>
    <w:rsid w:val="3680756E"/>
    <w:rsid w:val="3822650D"/>
    <w:rsid w:val="38441BCA"/>
    <w:rsid w:val="3A43255A"/>
    <w:rsid w:val="3D6201A1"/>
    <w:rsid w:val="3E35213F"/>
    <w:rsid w:val="3EC46785"/>
    <w:rsid w:val="3F8A6044"/>
    <w:rsid w:val="419A0CCA"/>
    <w:rsid w:val="44B042CE"/>
    <w:rsid w:val="45F4477A"/>
    <w:rsid w:val="463F2966"/>
    <w:rsid w:val="46A22A74"/>
    <w:rsid w:val="477245B4"/>
    <w:rsid w:val="4AD11B7D"/>
    <w:rsid w:val="4BE062CC"/>
    <w:rsid w:val="4D820B46"/>
    <w:rsid w:val="4E4F0BB0"/>
    <w:rsid w:val="4F402FFB"/>
    <w:rsid w:val="505E0A64"/>
    <w:rsid w:val="518C1C1F"/>
    <w:rsid w:val="53EF4BC1"/>
    <w:rsid w:val="55B41BF7"/>
    <w:rsid w:val="5762027B"/>
    <w:rsid w:val="581D1822"/>
    <w:rsid w:val="59944FC7"/>
    <w:rsid w:val="5BE95901"/>
    <w:rsid w:val="5CDB716F"/>
    <w:rsid w:val="5E026E12"/>
    <w:rsid w:val="5E5333DF"/>
    <w:rsid w:val="5F773F0E"/>
    <w:rsid w:val="622A4AE0"/>
    <w:rsid w:val="67F36D0C"/>
    <w:rsid w:val="6A0A15CD"/>
    <w:rsid w:val="6AB70DC4"/>
    <w:rsid w:val="6C5F07B0"/>
    <w:rsid w:val="6DF352BD"/>
    <w:rsid w:val="6F2D027D"/>
    <w:rsid w:val="705E3E6D"/>
    <w:rsid w:val="71C1048A"/>
    <w:rsid w:val="72E92F42"/>
    <w:rsid w:val="73F35F5B"/>
    <w:rsid w:val="744E26F6"/>
    <w:rsid w:val="79C04582"/>
    <w:rsid w:val="7AD72ABB"/>
    <w:rsid w:val="7D1F0DA2"/>
    <w:rsid w:val="7EC860C9"/>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character" w:styleId="6">
    <w:name w:val="page number"/>
    <w:qFormat/>
    <w:uiPriority w:val="0"/>
  </w:style>
  <w:style w:type="character" w:customStyle="1" w:styleId="7">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9156</Words>
  <Characters>9743</Characters>
  <Lines>0</Lines>
  <Paragraphs>0</Paragraphs>
  <TotalTime>9</TotalTime>
  <ScaleCrop>false</ScaleCrop>
  <LinksUpToDate>false</LinksUpToDate>
  <CharactersWithSpaces>10900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2022-10-11T07:55:00Z</cp:lastPrinted>
  <dcterms:modified xsi:type="dcterms:W3CDTF">2022-10-12T01:43:32Z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0BEFD1AFF9FF49AC8A68095E61C0A92C</vt:lpwstr>
  </property>
</Properties>
</file>