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w:t>
      </w:r>
      <w:r>
        <w:rPr>
          <w:rFonts w:hint="eastAsia" w:eastAsia="仿宋_GB2312"/>
          <w:sz w:val="32"/>
          <w:szCs w:val="32"/>
          <w:u w:val="single"/>
          <w:lang w:val="en-US" w:eastAsia="zh-CN"/>
        </w:rPr>
        <w:t>注滋口</w:t>
      </w:r>
      <w:r>
        <w:rPr>
          <w:rFonts w:hint="eastAsia" w:eastAsia="仿宋_GB2312"/>
          <w:sz w:val="32"/>
          <w:szCs w:val="32"/>
          <w:u w:val="single"/>
          <w:lang w:eastAsia="zh-CN"/>
        </w:rPr>
        <w:t>镇财政所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11</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陈雅丽</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320" w:firstLineChars="1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firstLine="0" w:firstLineChars="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努力夯实会计基础工作</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rightChars="0" w:firstLine="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全面落实惠农补贴政策</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rightChars="0" w:firstLine="0" w:firstLineChars="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扎实推进专项资金监管</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319" w:leftChars="152" w:right="0" w:rightChars="0" w:firstLine="0" w:firstLineChars="0"/>
              <w:jc w:val="left"/>
              <w:rPr>
                <w:rFonts w:hint="eastAsia" w:ascii="仿宋_GB2312" w:hAnsi="仿宋_GB2312" w:eastAsia="仿宋_GB2312" w:cs="仿宋_GB2312"/>
                <w:b/>
                <w:bCs/>
                <w:i w:val="0"/>
                <w:iCs w:val="0"/>
                <w:sz w:val="32"/>
                <w:szCs w:val="32"/>
                <w:lang w:val="en-US" w:eastAsia="zh-CN"/>
              </w:rPr>
            </w:pPr>
            <w:r>
              <w:rPr>
                <w:rFonts w:hint="eastAsia" w:ascii="Times New Roman" w:hAnsi="Times New Roman" w:eastAsia="仿宋_GB2312" w:cs="Times New Roman"/>
                <w:kern w:val="2"/>
                <w:sz w:val="32"/>
                <w:szCs w:val="32"/>
                <w:lang w:val="en-US" w:eastAsia="zh-CN" w:bidi="ar-SA"/>
              </w:rPr>
              <w:t>统一规范财务支出管理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一、以厘清岗位职责为起点，加强组织机构标准化建设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财政所加强领导，职能配置不断优化。目前，注滋口镇财政所在编人数7人，人员配备合理，具体安排为：陈良华：所长，负责全面工作，对全所的中心工作和阶段性工作及时作出具体部署和安排，对各岗位的主要工作实施领导、检查和监督；刘建芳：副所长，分管资金监管、全所后勤工作；谢永庆：副所长，负责下村办点工作、一事一议工作；陈雅丽：结算员，负责财政预算收支结算、档案管理、专项资金管理、票据管理等工作；戴沛君：负责系统管理、惠农补贴发放等工作；白希晨：负责乡镇政府机关会计核算、公有资产管理、站所会计等工作；刘思阳：负责村账乡代理工作。财政所岗位设置科学合理，干部职责明确，履职充分，实现了全镇财政各个方面、各个环节的无缝对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二、以会计基础工作为依托，推进年度目标任务精细化建设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1、努力夯实会计基础工作。</w:t>
            </w:r>
            <w:r>
              <w:rPr>
                <w:rFonts w:hint="eastAsia" w:ascii="仿宋_GB2312" w:hAnsi="仿宋_GB2312" w:eastAsia="仿宋_GB2312" w:cs="仿宋_GB2312"/>
                <w:i w:val="0"/>
                <w:iCs w:val="0"/>
                <w:sz w:val="32"/>
                <w:szCs w:val="32"/>
                <w:lang w:val="en-US" w:eastAsia="zh-CN"/>
              </w:rPr>
              <w:t>加强原始凭证的取得、填制及审核的规范性，以便顺利开展会计核算工作；合理设置了会计账簿，记录完整、规范、真实；加强对会计账目的核对工作，建立了定期的账务、账款及有关资料相互核对制度，确保账实、账证、账账、账表相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2、全面落实惠农补贴政策。</w:t>
            </w:r>
            <w:r>
              <w:rPr>
                <w:rFonts w:hint="eastAsia" w:ascii="仿宋_GB2312" w:hAnsi="仿宋_GB2312" w:eastAsia="仿宋_GB2312" w:cs="仿宋_GB2312"/>
                <w:i w:val="0"/>
                <w:iCs w:val="0"/>
                <w:sz w:val="32"/>
                <w:szCs w:val="32"/>
                <w:lang w:val="en-US" w:eastAsia="zh-CN"/>
              </w:rPr>
              <w:t>财政所严格执行政策，严格发放程序，切实做到“四不准，四到户”：不准截留、挤占、挪用补贴资金；不准代领、转付、抵扣补贴资金；不准无故拖延补贴资金的发放时间；不准收缴、代管农民补贴“一折通”。切实做到：政策宣传到户；数据核实到户；张榜公示到户；资金兑付到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3、扎实推进专项资金监管。</w:t>
            </w:r>
            <w:r>
              <w:rPr>
                <w:rFonts w:hint="eastAsia" w:ascii="仿宋_GB2312" w:hAnsi="仿宋_GB2312" w:eastAsia="仿宋_GB2312" w:cs="仿宋_GB2312"/>
                <w:i w:val="0"/>
                <w:iCs w:val="0"/>
                <w:sz w:val="32"/>
                <w:szCs w:val="32"/>
                <w:lang w:val="en-US" w:eastAsia="zh-CN"/>
              </w:rPr>
              <w:t>财政所对各类专项资金实行规范化管理，资金监管严格按用途建立台账、公开公示、检查纠错，并成立相应资金监管领导小组监管每一笔项目支出和补助支出，定时或不定时的进行抽查，每一笔资金在拨付上都实行严格的审批手续，做到事前、事中、事后“三监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4、统一规范财务支出管理</w:t>
            </w:r>
            <w:r>
              <w:rPr>
                <w:rFonts w:hint="default" w:ascii="仿宋_GB2312" w:hAnsi="仿宋_GB2312" w:eastAsia="仿宋_GB2312" w:cs="仿宋_GB2312"/>
                <w:b/>
                <w:bCs/>
                <w:i w:val="0"/>
                <w:iCs w:val="0"/>
                <w:sz w:val="32"/>
                <w:szCs w:val="32"/>
                <w:lang w:val="en-US" w:eastAsia="zh-CN"/>
              </w:rPr>
              <w:t>。</w:t>
            </w:r>
            <w:r>
              <w:rPr>
                <w:rFonts w:hint="eastAsia" w:ascii="仿宋_GB2312" w:hAnsi="仿宋_GB2312" w:eastAsia="仿宋_GB2312" w:cs="仿宋_GB2312"/>
                <w:i w:val="0"/>
                <w:iCs w:val="0"/>
                <w:sz w:val="32"/>
                <w:szCs w:val="32"/>
                <w:lang w:val="en-US" w:eastAsia="zh-CN"/>
              </w:rPr>
              <w:t>严格</w:t>
            </w:r>
            <w:r>
              <w:rPr>
                <w:rFonts w:hint="default" w:ascii="仿宋_GB2312" w:hAnsi="仿宋_GB2312" w:eastAsia="仿宋_GB2312" w:cs="仿宋_GB2312"/>
                <w:i w:val="0"/>
                <w:iCs w:val="0"/>
                <w:sz w:val="32"/>
                <w:szCs w:val="32"/>
                <w:lang w:val="en-US" w:eastAsia="zh-CN"/>
              </w:rPr>
              <w:t>按照“预算自编、账户统管、集中核算、票据统管”的要求，</w:t>
            </w:r>
            <w:r>
              <w:rPr>
                <w:rFonts w:hint="eastAsia" w:ascii="仿宋_GB2312" w:hAnsi="仿宋_GB2312" w:eastAsia="仿宋_GB2312" w:cs="仿宋_GB2312"/>
                <w:i w:val="0"/>
                <w:iCs w:val="0"/>
                <w:sz w:val="32"/>
                <w:szCs w:val="32"/>
                <w:lang w:val="en-US" w:eastAsia="zh-CN"/>
              </w:rPr>
              <w:t>财政所</w:t>
            </w:r>
            <w:r>
              <w:rPr>
                <w:rFonts w:hint="default" w:ascii="仿宋_GB2312" w:hAnsi="仿宋_GB2312" w:eastAsia="仿宋_GB2312" w:cs="仿宋_GB2312"/>
                <w:i w:val="0"/>
                <w:iCs w:val="0"/>
                <w:sz w:val="32"/>
                <w:szCs w:val="32"/>
                <w:lang w:val="en-US" w:eastAsia="zh-CN"/>
              </w:rPr>
              <w:t>统一会计核算和账户管理，</w:t>
            </w:r>
            <w:r>
              <w:rPr>
                <w:rFonts w:hint="eastAsia" w:ascii="仿宋_GB2312" w:hAnsi="仿宋_GB2312" w:eastAsia="仿宋_GB2312" w:cs="仿宋_GB2312"/>
                <w:i w:val="0"/>
                <w:iCs w:val="0"/>
                <w:sz w:val="32"/>
                <w:szCs w:val="32"/>
                <w:lang w:val="en-US" w:eastAsia="zh-CN"/>
              </w:rPr>
              <w:t>只保留镇资金专户和村级资金专户两个账号，</w:t>
            </w:r>
            <w:r>
              <w:rPr>
                <w:rFonts w:hint="default" w:ascii="仿宋_GB2312" w:hAnsi="仿宋_GB2312" w:eastAsia="仿宋_GB2312" w:cs="仿宋_GB2312"/>
                <w:i w:val="0"/>
                <w:iCs w:val="0"/>
                <w:sz w:val="32"/>
                <w:szCs w:val="32"/>
                <w:lang w:val="en-US" w:eastAsia="zh-CN"/>
              </w:rPr>
              <w:t>进一步规范了我</w:t>
            </w:r>
            <w:r>
              <w:rPr>
                <w:rFonts w:hint="eastAsia" w:ascii="仿宋_GB2312" w:hAnsi="仿宋_GB2312" w:eastAsia="仿宋_GB2312" w:cs="仿宋_GB2312"/>
                <w:i w:val="0"/>
                <w:iCs w:val="0"/>
                <w:sz w:val="32"/>
                <w:szCs w:val="32"/>
                <w:lang w:val="en-US" w:eastAsia="zh-CN"/>
              </w:rPr>
              <w:t>镇</w:t>
            </w:r>
            <w:r>
              <w:rPr>
                <w:rFonts w:hint="default" w:ascii="仿宋_GB2312" w:hAnsi="仿宋_GB2312" w:eastAsia="仿宋_GB2312" w:cs="仿宋_GB2312"/>
                <w:i w:val="0"/>
                <w:iCs w:val="0"/>
                <w:sz w:val="32"/>
                <w:szCs w:val="32"/>
                <w:lang w:val="en-US" w:eastAsia="zh-CN"/>
              </w:rPr>
              <w:t>财务管理</w:t>
            </w:r>
            <w:r>
              <w:rPr>
                <w:rFonts w:hint="eastAsia" w:ascii="仿宋_GB2312" w:hAnsi="仿宋_GB2312" w:eastAsia="仿宋_GB2312" w:cs="仿宋_GB2312"/>
                <w:i w:val="0"/>
                <w:iCs w:val="0"/>
                <w:sz w:val="32"/>
                <w:szCs w:val="32"/>
                <w:lang w:val="en-US" w:eastAsia="zh-CN"/>
              </w:rPr>
              <w:t>工作；</w:t>
            </w:r>
            <w:r>
              <w:rPr>
                <w:rFonts w:hint="default" w:ascii="仿宋_GB2312" w:hAnsi="仿宋_GB2312" w:eastAsia="仿宋_GB2312" w:cs="仿宋_GB2312"/>
                <w:i w:val="0"/>
                <w:iCs w:val="0"/>
                <w:sz w:val="32"/>
                <w:szCs w:val="32"/>
                <w:lang w:val="en-US" w:eastAsia="zh-CN"/>
              </w:rPr>
              <w:t>严格使用财政专用票据，杜绝坐支、挪用和私设“小金库”</w:t>
            </w:r>
            <w:r>
              <w:rPr>
                <w:rFonts w:hint="eastAsia" w:ascii="仿宋_GB2312" w:hAnsi="仿宋_GB2312" w:eastAsia="仿宋_GB2312" w:cs="仿宋_GB2312"/>
                <w:i w:val="0"/>
                <w:iCs w:val="0"/>
                <w:sz w:val="32"/>
                <w:szCs w:val="32"/>
                <w:lang w:val="en-US" w:eastAsia="zh-CN"/>
              </w:rPr>
              <w:t>；</w:t>
            </w:r>
            <w:r>
              <w:rPr>
                <w:rFonts w:hint="default" w:ascii="仿宋_GB2312" w:hAnsi="仿宋_GB2312" w:eastAsia="仿宋_GB2312" w:cs="仿宋_GB2312"/>
                <w:i w:val="0"/>
                <w:iCs w:val="0"/>
                <w:sz w:val="32"/>
                <w:szCs w:val="32"/>
                <w:lang w:val="en-US" w:eastAsia="zh-CN"/>
              </w:rPr>
              <w:t>严格审批程序，切实做到“收入一个笼子，支出一个口子”</w:t>
            </w:r>
            <w:r>
              <w:rPr>
                <w:rFonts w:hint="eastAsia" w:ascii="仿宋_GB2312" w:hAnsi="仿宋_GB2312" w:eastAsia="仿宋_GB2312" w:cs="仿宋_GB2312"/>
                <w:i w:val="0"/>
                <w:iCs w:val="0"/>
                <w:sz w:val="32"/>
                <w:szCs w:val="32"/>
                <w:lang w:val="en-US" w:eastAsia="zh-CN"/>
              </w:rPr>
              <w:t>；严格执行政府采购制度，加强政府采购管理，规范采购程序，确保采购公开、透明。</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lang w:val="en-US" w:eastAsia="zh-CN"/>
              </w:rPr>
              <w:t>86.00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58.74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86.00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58.74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27.25</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0.45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pStyle w:val="6"/>
              <w:numPr>
                <w:ilvl w:val="0"/>
                <w:numId w:val="0"/>
              </w:num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1、及时发放惠农补贴资金到户到人；</w:t>
            </w:r>
          </w:p>
          <w:p>
            <w:pPr>
              <w:pStyle w:val="6"/>
              <w:numPr>
                <w:ilvl w:val="0"/>
                <w:numId w:val="0"/>
              </w:numPr>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2、加强专项资金管理完成一事一议项目；</w:t>
            </w:r>
          </w:p>
          <w:p>
            <w:pPr>
              <w:numPr>
                <w:ilvl w:val="0"/>
                <w:numId w:val="0"/>
              </w:numPr>
              <w:ind w:left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3、垃圾资源绿</w:t>
            </w:r>
            <w:bookmarkStart w:id="0" w:name="_GoBack"/>
            <w:bookmarkEnd w:id="0"/>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色化处理项目；</w:t>
            </w:r>
          </w:p>
          <w:p>
            <w:pPr>
              <w:numPr>
                <w:ilvl w:val="0"/>
                <w:numId w:val="0"/>
              </w:numPr>
              <w:ind w:lef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4、按上级文件要求安排乡村振兴资金；</w:t>
            </w:r>
          </w:p>
          <w:p>
            <w:pPr>
              <w:numPr>
                <w:ilvl w:val="0"/>
                <w:numId w:val="0"/>
              </w:numPr>
              <w:ind w:leftChars="0"/>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5、按实际空心房项目拨付资金；</w:t>
            </w:r>
          </w:p>
          <w:p>
            <w:pPr>
              <w:numPr>
                <w:ilvl w:val="0"/>
                <w:numId w:val="0"/>
              </w:numPr>
              <w:ind w:leftChars="0"/>
              <w:rPr>
                <w:rFonts w:hint="default"/>
                <w:lang w:val="en-US" w:eastAsia="zh-CN"/>
              </w:rPr>
            </w:pPr>
          </w:p>
        </w:tc>
        <w:tc>
          <w:tcPr>
            <w:tcW w:w="4585" w:type="dxa"/>
            <w:gridSpan w:val="9"/>
            <w:noWrap w:val="0"/>
            <w:vAlign w:val="center"/>
          </w:tcPr>
          <w:p>
            <w:pPr>
              <w:numPr>
                <w:ilvl w:val="0"/>
                <w:numId w:val="0"/>
              </w:numPr>
              <w:autoSpaceDN w:val="0"/>
              <w:spacing w:line="320" w:lineRule="exact"/>
              <w:jc w:val="center"/>
              <w:textAlignment w:val="center"/>
              <w:rPr>
                <w:rFonts w:hint="eastAsia" w:ascii="Times New Roman" w:hAnsi="Times New Roman" w:cs="Times New Roman"/>
                <w:lang w:val="en-US" w:eastAsia="zh-CN"/>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themeColor="text1"/>
                <w:sz w:val="24"/>
                <w:lang w:val="en-US" w:eastAsia="zh-CN"/>
                <w14:textFill>
                  <w14:solidFill>
                    <w14:schemeClr w14:val="tx1"/>
                  </w14:solidFill>
                </w14:textFill>
              </w:rPr>
              <w:t>及时发放惠农补贴资金到户到人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themeColor="text1"/>
                <w:sz w:val="24"/>
                <w:lang w:val="en-US" w:eastAsia="zh-CN"/>
                <w14:textFill>
                  <w14:solidFill>
                    <w14:schemeClr w14:val="tx1"/>
                  </w14:solidFill>
                </w14:textFill>
              </w:rPr>
              <w:t>安排乡村振兴资金</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财政所加强专项资金管理，注滋口镇共完成19个一事一议项目，涉及资金125万元；</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2021年年底前</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财政补助收入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5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上级补助收入</w:t>
            </w:r>
          </w:p>
        </w:tc>
        <w:tc>
          <w:tcPr>
            <w:tcW w:w="2684" w:type="dxa"/>
            <w:gridSpan w:val="6"/>
            <w:noWrap w:val="0"/>
            <w:vAlign w:val="top"/>
          </w:tcPr>
          <w:p>
            <w:pPr>
              <w:jc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社会效益</w:t>
            </w:r>
          </w:p>
        </w:tc>
        <w:tc>
          <w:tcPr>
            <w:tcW w:w="2709" w:type="dxa"/>
            <w:gridSpan w:val="4"/>
            <w:noWrap w:val="0"/>
            <w:vAlign w:val="center"/>
          </w:tcPr>
          <w:p>
            <w:pPr>
              <w:jc w:val="left"/>
              <w:rPr>
                <w:rFonts w:hint="eastAsia" w:ascii="仿宋" w:hAnsi="仿宋" w:eastAsia="仿宋" w:cs="仿宋"/>
                <w:color w:val="000000"/>
                <w:sz w:val="24"/>
              </w:rPr>
            </w:pPr>
            <w:r>
              <w:rPr>
                <w:rFonts w:hint="eastAsia" w:ascii="仿宋" w:hAnsi="仿宋" w:eastAsia="仿宋" w:cs="仿宋"/>
                <w:color w:val="000000"/>
                <w:sz w:val="24"/>
                <w:lang w:val="en-US" w:eastAsia="zh-CN"/>
              </w:rPr>
              <w:t>财政所发放惠农补贴资金</w:t>
            </w:r>
          </w:p>
        </w:tc>
        <w:tc>
          <w:tcPr>
            <w:tcW w:w="2684" w:type="dxa"/>
            <w:gridSpan w:val="6"/>
            <w:noWrap w:val="0"/>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经济效益</w:t>
            </w:r>
          </w:p>
        </w:tc>
        <w:tc>
          <w:tcPr>
            <w:tcW w:w="2709" w:type="dxa"/>
            <w:gridSpan w:val="4"/>
            <w:noWrap w:val="0"/>
            <w:vAlign w:val="center"/>
          </w:tcPr>
          <w:p>
            <w:pPr>
              <w:jc w:val="center"/>
              <w:rPr>
                <w:rFonts w:hint="eastAsia" w:ascii="仿宋" w:hAnsi="仿宋" w:eastAsia="仿宋" w:cs="仿宋"/>
                <w:color w:val="000000"/>
                <w:sz w:val="24"/>
              </w:rPr>
            </w:pPr>
          </w:p>
        </w:tc>
        <w:tc>
          <w:tcPr>
            <w:tcW w:w="2684" w:type="dxa"/>
            <w:gridSpan w:val="6"/>
            <w:noWrap w:val="0"/>
            <w:vAlign w:val="center"/>
          </w:tcPr>
          <w:p>
            <w:pPr>
              <w:jc w:val="center"/>
              <w:rPr>
                <w:rFonts w:hint="eastAsia" w:ascii="仿宋" w:hAnsi="仿宋" w:eastAsia="仿宋" w:cs="仿宋"/>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生态效益</w:t>
            </w:r>
          </w:p>
        </w:tc>
        <w:tc>
          <w:tcPr>
            <w:tcW w:w="2709" w:type="dxa"/>
            <w:gridSpan w:val="4"/>
            <w:noWrap w:val="0"/>
            <w:vAlign w:val="center"/>
          </w:tcPr>
          <w:p>
            <w:pPr>
              <w:jc w:val="center"/>
              <w:rPr>
                <w:rFonts w:hint="eastAsia" w:ascii="仿宋" w:hAnsi="仿宋" w:eastAsia="仿宋" w:cs="仿宋"/>
                <w:color w:val="000000"/>
                <w:sz w:val="24"/>
              </w:rPr>
            </w:pPr>
          </w:p>
        </w:tc>
        <w:tc>
          <w:tcPr>
            <w:tcW w:w="2684" w:type="dxa"/>
            <w:gridSpan w:val="6"/>
            <w:noWrap w:val="0"/>
            <w:vAlign w:val="center"/>
          </w:tcPr>
          <w:p>
            <w:pPr>
              <w:jc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 w:val="24"/>
              </w:rPr>
              <w:t>群众满意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560" w:lineRule="exact"/>
              <w:jc w:val="center"/>
              <w:rPr>
                <w:rFonts w:hint="eastAsia" w:ascii="方正小标宋简体" w:hAnsi="仿宋" w:eastAsia="方正小标宋简体" w:cs="????"/>
                <w:bCs/>
                <w:sz w:val="36"/>
                <w:szCs w:val="36"/>
                <w:lang w:eastAsia="zh-CN"/>
              </w:rPr>
            </w:pPr>
            <w:r>
              <w:rPr>
                <w:rFonts w:hint="eastAsia" w:ascii="方正小标宋简体" w:hAnsi="仿宋" w:eastAsia="方正小标宋简体" w:cs="????"/>
                <w:bCs/>
                <w:sz w:val="36"/>
                <w:szCs w:val="36"/>
              </w:rPr>
              <w:t>华容县</w:t>
            </w:r>
            <w:r>
              <w:rPr>
                <w:rFonts w:hint="eastAsia" w:ascii="方正小标宋简体" w:hAnsi="仿宋" w:eastAsia="方正小标宋简体" w:cs="????"/>
                <w:bCs/>
                <w:sz w:val="36"/>
                <w:szCs w:val="36"/>
                <w:lang w:val="en-US" w:eastAsia="zh-CN"/>
              </w:rPr>
              <w:t>注滋口</w:t>
            </w:r>
            <w:r>
              <w:rPr>
                <w:rFonts w:hint="eastAsia" w:ascii="方正小标宋简体" w:hAnsi="仿宋" w:eastAsia="方正小标宋简体" w:cs="????"/>
                <w:bCs/>
                <w:sz w:val="36"/>
                <w:szCs w:val="36"/>
                <w:lang w:eastAsia="zh-CN"/>
              </w:rPr>
              <w:t>镇财政所</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根据《华容县财政局关于开展2021年度部门整体支出绩效自评工作的通知》（华财函〔2022〕37号）的相关规定和要求，现对我</w:t>
            </w:r>
            <w:r>
              <w:rPr>
                <w:rFonts w:hint="eastAsia" w:ascii="仿宋" w:hAnsi="仿宋" w:eastAsia="仿宋" w:cs="仿宋"/>
                <w:sz w:val="32"/>
                <w:szCs w:val="32"/>
                <w:lang w:eastAsia="zh-CN"/>
              </w:rPr>
              <w:t>部门</w:t>
            </w:r>
            <w:r>
              <w:rPr>
                <w:rFonts w:hint="eastAsia" w:ascii="仿宋" w:hAnsi="仿宋" w:eastAsia="仿宋" w:cs="仿宋"/>
                <w:sz w:val="32"/>
                <w:szCs w:val="32"/>
              </w:rPr>
              <w:t>2021年度整体支出开展绩效自评，现将情况汇报如下：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一、部门概况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（一）部门基本情况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华容县</w:t>
            </w:r>
            <w:r>
              <w:rPr>
                <w:rFonts w:hint="eastAsia" w:ascii="仿宋" w:hAnsi="仿宋" w:eastAsia="仿宋" w:cs="仿宋"/>
                <w:sz w:val="32"/>
                <w:szCs w:val="32"/>
                <w:lang w:val="en-US" w:eastAsia="zh-CN"/>
              </w:rPr>
              <w:t>注滋口</w:t>
            </w:r>
            <w:r>
              <w:rPr>
                <w:rFonts w:hint="eastAsia" w:ascii="仿宋" w:hAnsi="仿宋" w:eastAsia="仿宋" w:cs="仿宋"/>
                <w:sz w:val="32"/>
                <w:szCs w:val="32"/>
                <w:lang w:eastAsia="zh-CN"/>
              </w:rPr>
              <w:t>镇人民财政所</w:t>
            </w:r>
            <w:r>
              <w:rPr>
                <w:rFonts w:hint="eastAsia" w:ascii="仿宋" w:hAnsi="仿宋" w:eastAsia="仿宋" w:cs="仿宋"/>
                <w:sz w:val="32"/>
                <w:szCs w:val="32"/>
              </w:rPr>
              <w:t>共有</w:t>
            </w:r>
            <w:r>
              <w:rPr>
                <w:rFonts w:hint="eastAsia" w:ascii="仿宋" w:hAnsi="仿宋" w:eastAsia="仿宋" w:cs="仿宋"/>
                <w:sz w:val="32"/>
                <w:szCs w:val="32"/>
                <w:lang w:eastAsia="zh-CN"/>
              </w:rPr>
              <w:t>财政所</w:t>
            </w:r>
            <w:r>
              <w:rPr>
                <w:rFonts w:hint="eastAsia" w:ascii="仿宋" w:hAnsi="仿宋" w:eastAsia="仿宋" w:cs="仿宋"/>
                <w:sz w:val="32"/>
                <w:szCs w:val="32"/>
                <w:lang w:val="en-US" w:eastAsia="zh-CN"/>
              </w:rPr>
              <w:t>1</w:t>
            </w:r>
            <w:r>
              <w:rPr>
                <w:rFonts w:hint="eastAsia" w:ascii="仿宋" w:hAnsi="仿宋" w:eastAsia="仿宋" w:cs="仿宋"/>
                <w:sz w:val="32"/>
                <w:szCs w:val="32"/>
              </w:rPr>
              <w:t>个独立核算工作机构。现有人员编</w:t>
            </w:r>
            <w:r>
              <w:rPr>
                <w:rFonts w:hint="eastAsia" w:ascii="仿宋" w:hAnsi="仿宋" w:eastAsia="仿宋" w:cs="仿宋"/>
                <w:color w:val="000000" w:themeColor="text1"/>
                <w:sz w:val="32"/>
                <w:szCs w:val="32"/>
                <w14:textFill>
                  <w14:solidFill>
                    <w14:schemeClr w14:val="tx1"/>
                  </w14:solidFill>
                </w14:textFill>
              </w:rPr>
              <w:t>制</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名（其中：行政编制</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名，事业全额编制</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名</w:t>
            </w:r>
            <w:r>
              <w:rPr>
                <w:rFonts w:hint="eastAsia" w:ascii="仿宋" w:hAnsi="仿宋" w:eastAsia="仿宋" w:cs="仿宋"/>
                <w:sz w:val="32"/>
                <w:szCs w:val="32"/>
              </w:rPr>
              <w:t>），实有在职干部、职工</w:t>
            </w:r>
            <w:r>
              <w:rPr>
                <w:rFonts w:hint="eastAsia" w:ascii="仿宋" w:hAnsi="仿宋" w:eastAsia="仿宋" w:cs="仿宋"/>
                <w:sz w:val="32"/>
                <w:szCs w:val="32"/>
                <w:lang w:val="en-US" w:eastAsia="zh-CN"/>
              </w:rPr>
              <w:t>7</w:t>
            </w:r>
            <w:r>
              <w:rPr>
                <w:rFonts w:hint="eastAsia" w:ascii="仿宋" w:hAnsi="仿宋" w:eastAsia="仿宋" w:cs="仿宋"/>
                <w:sz w:val="32"/>
                <w:szCs w:val="32"/>
              </w:rPr>
              <w:t>人。</w:t>
            </w:r>
          </w:p>
          <w:p>
            <w:pPr>
              <w:numPr>
                <w:ilvl w:val="0"/>
                <w:numId w:val="2"/>
              </w:numPr>
              <w:spacing w:line="560" w:lineRule="exact"/>
              <w:ind w:firstLine="640"/>
              <w:rPr>
                <w:rFonts w:ascii="仿宋" w:hAnsi="仿宋" w:eastAsia="仿宋" w:cs="仿宋"/>
                <w:bCs/>
                <w:sz w:val="32"/>
                <w:szCs w:val="32"/>
              </w:rPr>
            </w:pPr>
            <w:r>
              <w:rPr>
                <w:rFonts w:hint="eastAsia" w:ascii="仿宋" w:hAnsi="仿宋" w:eastAsia="仿宋" w:cs="仿宋"/>
                <w:bCs/>
                <w:sz w:val="32"/>
                <w:szCs w:val="32"/>
              </w:rPr>
              <w:t>部门整体支出规模、使用方向和主要内容、涉及范围等</w:t>
            </w:r>
          </w:p>
          <w:p>
            <w:pPr>
              <w:spacing w:line="560" w:lineRule="exact"/>
              <w:ind w:firstLine="640" w:firstLineChars="200"/>
              <w:rPr>
                <w:rFonts w:hint="eastAsia" w:ascii="仿宋_GB2312" w:hAnsi="仿宋_GB2312" w:eastAsia="仿宋" w:cs="仿宋_GB2312"/>
                <w:bCs/>
                <w:sz w:val="28"/>
                <w:szCs w:val="28"/>
                <w:lang w:eastAsia="zh-CN"/>
              </w:rPr>
            </w:pPr>
            <w:r>
              <w:rPr>
                <w:rFonts w:hint="eastAsia" w:ascii="仿宋" w:hAnsi="仿宋" w:eastAsia="仿宋" w:cs="仿宋"/>
                <w:sz w:val="32"/>
                <w:szCs w:val="32"/>
              </w:rPr>
              <w:t xml:space="preserve"> 2021年，县财政下达我单位预算总收入</w:t>
            </w:r>
            <w:r>
              <w:rPr>
                <w:rFonts w:hint="eastAsia" w:ascii="仿宋" w:hAnsi="仿宋" w:eastAsia="仿宋" w:cs="仿宋"/>
                <w:sz w:val="32"/>
                <w:szCs w:val="32"/>
                <w:lang w:val="en-US" w:eastAsia="zh-CN"/>
              </w:rPr>
              <w:t>86.00</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86.00</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86.00</w:t>
            </w:r>
            <w:r>
              <w:rPr>
                <w:rFonts w:hint="eastAsia" w:ascii="仿宋" w:hAnsi="仿宋" w:eastAsia="仿宋" w:cs="仿宋"/>
                <w:sz w:val="32"/>
                <w:szCs w:val="32"/>
              </w:rPr>
              <w:t>万元；年末无结余，预算收支平衡。预算拨款总额比2020年</w:t>
            </w:r>
            <w:r>
              <w:rPr>
                <w:rFonts w:hint="eastAsia" w:ascii="仿宋" w:hAnsi="仿宋" w:eastAsia="仿宋" w:cs="仿宋"/>
                <w:sz w:val="32"/>
                <w:szCs w:val="32"/>
                <w:lang w:eastAsia="zh-CN"/>
              </w:rPr>
              <w:t>持平</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55.44</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27.25</w:t>
            </w:r>
            <w:r>
              <w:rPr>
                <w:rFonts w:hint="eastAsia" w:ascii="仿宋" w:hAnsi="仿宋" w:eastAsia="仿宋" w:cs="仿宋"/>
                <w:sz w:val="32"/>
                <w:szCs w:val="32"/>
              </w:rPr>
              <w:t>万元，资金主要用于：</w:t>
            </w:r>
            <w:r>
              <w:rPr>
                <w:rFonts w:hint="eastAsia" w:ascii="仿宋" w:hAnsi="仿宋" w:eastAsia="仿宋" w:cs="仿宋"/>
                <w:sz w:val="32"/>
                <w:szCs w:val="32"/>
                <w:lang w:eastAsia="zh-CN"/>
              </w:rPr>
              <w:t>人员经费和机关的公用经费支出。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（一）基本支出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收入情况</w:t>
            </w:r>
            <w:r>
              <w:rPr>
                <w:rFonts w:hint="eastAsia" w:ascii="仿宋" w:hAnsi="仿宋" w:eastAsia="仿宋" w:cs="仿宋"/>
                <w:sz w:val="32"/>
                <w:szCs w:val="32"/>
              </w:rPr>
              <w:t>：2021年预算总收入</w:t>
            </w:r>
            <w:r>
              <w:rPr>
                <w:rFonts w:hint="eastAsia" w:ascii="仿宋" w:hAnsi="仿宋" w:eastAsia="仿宋" w:cs="仿宋"/>
                <w:sz w:val="32"/>
                <w:szCs w:val="32"/>
                <w:lang w:val="en-US" w:eastAsia="zh-CN"/>
              </w:rPr>
              <w:t>86.00</w:t>
            </w:r>
            <w:r>
              <w:rPr>
                <w:rFonts w:hint="eastAsia" w:ascii="仿宋" w:hAnsi="仿宋" w:eastAsia="仿宋" w:cs="仿宋"/>
                <w:sz w:val="32"/>
                <w:szCs w:val="32"/>
              </w:rPr>
              <w:t>万元。其中：经费拨款</w:t>
            </w:r>
            <w:r>
              <w:rPr>
                <w:rFonts w:hint="eastAsia" w:ascii="仿宋" w:hAnsi="仿宋" w:eastAsia="仿宋" w:cs="仿宋"/>
                <w:sz w:val="32"/>
                <w:szCs w:val="32"/>
                <w:lang w:val="en-US" w:eastAsia="zh-CN"/>
              </w:rPr>
              <w:t>86.00</w:t>
            </w:r>
            <w:r>
              <w:rPr>
                <w:rFonts w:hint="eastAsia" w:ascii="仿宋" w:hAnsi="仿宋" w:eastAsia="仿宋" w:cs="仿宋"/>
                <w:sz w:val="32"/>
                <w:szCs w:val="32"/>
              </w:rPr>
              <w:t>万元。预算总支出</w:t>
            </w:r>
            <w:r>
              <w:rPr>
                <w:rFonts w:hint="eastAsia" w:ascii="仿宋" w:hAnsi="仿宋" w:eastAsia="仿宋" w:cs="仿宋"/>
                <w:sz w:val="32"/>
                <w:szCs w:val="32"/>
                <w:lang w:val="en-US" w:eastAsia="zh-CN"/>
              </w:rPr>
              <w:t>86.00</w:t>
            </w:r>
            <w:r>
              <w:rPr>
                <w:rFonts w:hint="eastAsia" w:ascii="仿宋" w:hAnsi="仿宋" w:eastAsia="仿宋" w:cs="仿宋"/>
                <w:sz w:val="32"/>
                <w:szCs w:val="32"/>
              </w:rPr>
              <w:t>万元。预算收支平衡。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支出情况</w:t>
            </w:r>
            <w:r>
              <w:rPr>
                <w:rFonts w:hint="eastAsia" w:ascii="仿宋" w:hAnsi="仿宋" w:eastAsia="仿宋" w:cs="仿宋"/>
                <w:sz w:val="32"/>
                <w:szCs w:val="32"/>
              </w:rPr>
              <w:t>：2021年预算总支出</w:t>
            </w:r>
            <w:r>
              <w:rPr>
                <w:rFonts w:hint="eastAsia" w:ascii="仿宋" w:hAnsi="仿宋" w:eastAsia="仿宋" w:cs="仿宋"/>
                <w:sz w:val="32"/>
                <w:szCs w:val="32"/>
                <w:lang w:val="en-US" w:eastAsia="zh-CN"/>
              </w:rPr>
              <w:t>86.00</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55.44</w:t>
            </w:r>
            <w:r>
              <w:rPr>
                <w:rFonts w:hint="eastAsia" w:ascii="仿宋" w:hAnsi="仿宋" w:eastAsia="仿宋" w:cs="仿宋"/>
                <w:sz w:val="32"/>
                <w:szCs w:val="32"/>
              </w:rPr>
              <w:t>万元，一般商品和服务支出</w:t>
            </w:r>
            <w:r>
              <w:rPr>
                <w:rFonts w:hint="eastAsia" w:ascii="仿宋" w:hAnsi="仿宋" w:eastAsia="仿宋" w:cs="仿宋"/>
                <w:sz w:val="32"/>
                <w:szCs w:val="32"/>
                <w:lang w:val="en-US" w:eastAsia="zh-CN"/>
              </w:rPr>
              <w:t>27.25</w:t>
            </w:r>
            <w:r>
              <w:rPr>
                <w:rFonts w:hint="eastAsia" w:ascii="仿宋" w:hAnsi="仿宋" w:eastAsia="仿宋" w:cs="仿宋"/>
                <w:sz w:val="32"/>
                <w:szCs w:val="32"/>
              </w:rPr>
              <w:t>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“三公经费”支出情况分析</w:t>
            </w:r>
            <w:r>
              <w:rPr>
                <w:rFonts w:hint="eastAsia" w:ascii="仿宋" w:hAnsi="仿宋" w:eastAsia="仿宋" w:cs="仿宋"/>
                <w:sz w:val="32"/>
                <w:szCs w:val="32"/>
              </w:rPr>
              <w:t>：2021年</w:t>
            </w:r>
            <w:r>
              <w:rPr>
                <w:rFonts w:hint="eastAsia" w:ascii="仿宋" w:hAnsi="仿宋" w:eastAsia="仿宋" w:cs="仿宋"/>
                <w:sz w:val="32"/>
                <w:szCs w:val="32"/>
                <w:lang w:eastAsia="zh-CN"/>
              </w:rPr>
              <w:t>华容县</w:t>
            </w:r>
            <w:r>
              <w:rPr>
                <w:rFonts w:hint="eastAsia" w:ascii="仿宋" w:hAnsi="仿宋" w:eastAsia="仿宋" w:cs="仿宋"/>
                <w:sz w:val="32"/>
                <w:szCs w:val="32"/>
                <w:lang w:val="en-US" w:eastAsia="zh-CN"/>
              </w:rPr>
              <w:t>注滋口</w:t>
            </w:r>
            <w:r>
              <w:rPr>
                <w:rFonts w:hint="eastAsia" w:ascii="仿宋" w:hAnsi="仿宋" w:eastAsia="仿宋" w:cs="仿宋"/>
                <w:sz w:val="32"/>
                <w:szCs w:val="32"/>
                <w:lang w:eastAsia="zh-CN"/>
              </w:rPr>
              <w:t>镇财政所</w:t>
            </w:r>
            <w:r>
              <w:rPr>
                <w:rFonts w:hint="eastAsia" w:ascii="仿宋" w:hAnsi="仿宋" w:eastAsia="仿宋" w:cs="仿宋"/>
                <w:sz w:val="32"/>
                <w:szCs w:val="32"/>
              </w:rPr>
              <w:t>“三公经费”实际开支</w:t>
            </w:r>
            <w:r>
              <w:rPr>
                <w:rFonts w:hint="eastAsia" w:ascii="仿宋" w:hAnsi="仿宋" w:eastAsia="仿宋" w:cs="仿宋"/>
                <w:sz w:val="32"/>
                <w:szCs w:val="32"/>
                <w:lang w:val="en-US" w:eastAsia="zh-CN"/>
              </w:rPr>
              <w:t>0.45</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0.45</w:t>
            </w:r>
            <w:r>
              <w:rPr>
                <w:rFonts w:hint="eastAsia" w:ascii="仿宋" w:hAnsi="仿宋" w:eastAsia="仿宋" w:cs="仿宋"/>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固定资产管理情况分析</w:t>
            </w:r>
            <w:r>
              <w:rPr>
                <w:rFonts w:hint="eastAsia" w:ascii="仿宋" w:hAnsi="仿宋" w:eastAsia="仿宋" w:cs="仿宋"/>
                <w:sz w:val="32"/>
                <w:szCs w:val="32"/>
              </w:rPr>
              <w:t>：按照例行节约，物尽其用的原则，</w:t>
            </w:r>
            <w:r>
              <w:rPr>
                <w:rFonts w:hint="eastAsia" w:ascii="仿宋" w:hAnsi="仿宋" w:eastAsia="仿宋" w:cs="仿宋"/>
                <w:sz w:val="32"/>
                <w:szCs w:val="32"/>
                <w:lang w:val="en-US" w:eastAsia="zh-CN"/>
              </w:rPr>
              <w:t>华容县注滋口镇财政所</w:t>
            </w:r>
            <w:r>
              <w:rPr>
                <w:rFonts w:hint="eastAsia" w:ascii="仿宋" w:hAnsi="仿宋" w:eastAsia="仿宋" w:cs="仿宋"/>
                <w:sz w:val="32"/>
                <w:szCs w:val="32"/>
              </w:rPr>
              <w:t>资产管理采取统一建账，统一核算管理，对每件固定资产使用明确保管职责，闲置的资产，由办公室统一调整，合理流动，发挥其效益；至2021年12月有固定资产</w:t>
            </w:r>
            <w:r>
              <w:rPr>
                <w:rFonts w:hint="eastAsia" w:ascii="仿宋" w:hAnsi="仿宋" w:eastAsia="仿宋" w:cs="仿宋"/>
                <w:color w:val="000000" w:themeColor="text1"/>
                <w:sz w:val="32"/>
                <w:szCs w:val="32"/>
                <w:lang w:val="en-US" w:eastAsia="zh-CN"/>
                <w14:textFill>
                  <w14:solidFill>
                    <w14:schemeClr w14:val="tx1"/>
                  </w14:solidFill>
                </w14:textFill>
              </w:rPr>
              <w:t>121</w:t>
            </w:r>
            <w:r>
              <w:rPr>
                <w:rFonts w:hint="eastAsia" w:ascii="仿宋" w:hAnsi="仿宋" w:eastAsia="仿宋" w:cs="仿宋"/>
                <w:sz w:val="32"/>
                <w:szCs w:val="32"/>
              </w:rPr>
              <w:t>万元，全部在用，保证了资产的安全高效，防止资产流失。</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pStyle w:val="6"/>
              <w:rPr>
                <w:rFonts w:hint="default"/>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 w:hAnsi="仿宋" w:eastAsia="仿宋" w:cs="仿宋"/>
                <w:kern w:val="2"/>
                <w:sz w:val="32"/>
                <w:szCs w:val="32"/>
                <w:lang w:val="en-US" w:eastAsia="zh-CN" w:bidi="ar-SA"/>
              </w:rPr>
              <w:t>华容县注滋口镇财政所无项目支出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三、部门专项组织实施情况</w:t>
            </w:r>
          </w:p>
          <w:p>
            <w:pPr>
              <w:spacing w:line="560" w:lineRule="exact"/>
              <w:ind w:firstLine="643" w:firstLineChars="200"/>
              <w:rPr>
                <w:rFonts w:ascii="楷体" w:hAnsi="楷体" w:eastAsia="楷体" w:cs="仿宋"/>
                <w:b/>
                <w:bCs/>
                <w:sz w:val="32"/>
                <w:szCs w:val="32"/>
              </w:rPr>
            </w:pPr>
            <w:r>
              <w:rPr>
                <w:rFonts w:hint="eastAsia" w:ascii="楷体" w:hAnsi="楷体" w:eastAsia="楷体" w:cs="仿宋"/>
                <w:b/>
                <w:bCs/>
                <w:sz w:val="32"/>
                <w:szCs w:val="32"/>
              </w:rPr>
              <w:t>（一）专项组织情况分析，主要包括项目招投标、调整、竣工验收等情况</w:t>
            </w:r>
          </w:p>
          <w:p>
            <w:pPr>
              <w:pStyle w:val="7"/>
              <w:widowControl/>
              <w:shd w:val="clear" w:color="auto" w:fill="FFFFFF"/>
              <w:spacing w:beforeAutospacing="0" w:afterAutospacing="0" w:line="510" w:lineRule="atLeast"/>
              <w:ind w:firstLine="420"/>
              <w:jc w:val="both"/>
              <w:rPr>
                <w:rFonts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项目招投标方面，凡是单个货物项目采购金额达到</w:t>
            </w:r>
            <w:r>
              <w:rPr>
                <w:rFonts w:hint="eastAsia" w:ascii="仿宋" w:hAnsi="仿宋" w:eastAsia="仿宋" w:cs="仿宋"/>
                <w:color w:val="auto"/>
                <w:kern w:val="2"/>
                <w:sz w:val="32"/>
                <w:szCs w:val="32"/>
                <w:shd w:val="clear" w:color="auto" w:fill="FFFFFF"/>
              </w:rPr>
              <w:t>40</w:t>
            </w:r>
            <w:r>
              <w:rPr>
                <w:rFonts w:hint="eastAsia" w:ascii="仿宋" w:hAnsi="仿宋" w:eastAsia="仿宋" w:cs="仿宋"/>
                <w:color w:val="000000"/>
                <w:kern w:val="2"/>
                <w:sz w:val="32"/>
                <w:szCs w:val="32"/>
                <w:shd w:val="clear" w:color="auto" w:fill="FFFFFF"/>
              </w:rPr>
              <w:t>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7"/>
              <w:widowControl/>
              <w:shd w:val="clear" w:color="auto" w:fill="FFFFFF"/>
              <w:spacing w:beforeAutospacing="0" w:afterAutospacing="0" w:line="510" w:lineRule="atLeast"/>
              <w:ind w:firstLine="420"/>
              <w:jc w:val="both"/>
              <w:rPr>
                <w:rFonts w:ascii="楷体" w:hAnsi="楷体" w:eastAsia="楷体" w:cs="仿宋"/>
                <w:b/>
                <w:bCs/>
                <w:kern w:val="2"/>
                <w:sz w:val="32"/>
                <w:szCs w:val="32"/>
              </w:rPr>
            </w:pPr>
            <w:r>
              <w:rPr>
                <w:rFonts w:hint="eastAsia" w:ascii="楷体" w:hAnsi="楷体" w:eastAsia="楷体" w:cs="仿宋"/>
                <w:b/>
                <w:bCs/>
                <w:kern w:val="2"/>
                <w:sz w:val="32"/>
                <w:szCs w:val="32"/>
              </w:rPr>
              <w:t>（二）专项管理情况分析，主要包括项目管理制度建设、日常检查监督管理等情况</w:t>
            </w:r>
          </w:p>
          <w:p>
            <w:pPr>
              <w:pStyle w:val="7"/>
              <w:widowControl/>
              <w:shd w:val="clear" w:color="auto" w:fill="FFFFFF"/>
              <w:spacing w:beforeAutospacing="0" w:afterAutospacing="0" w:line="510" w:lineRule="atLeast"/>
              <w:ind w:firstLine="420"/>
              <w:jc w:val="both"/>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为确保专项有效实施，提高专项资金的使用效率，根据省市级财政部门的专项项目和资金管理办法，我</w:t>
            </w:r>
            <w:r>
              <w:rPr>
                <w:rFonts w:hint="eastAsia" w:ascii="仿宋" w:hAnsi="仿宋" w:eastAsia="仿宋" w:cs="仿宋"/>
                <w:color w:val="000000"/>
                <w:kern w:val="2"/>
                <w:sz w:val="32"/>
                <w:szCs w:val="32"/>
                <w:shd w:val="clear" w:color="auto" w:fill="FFFFFF"/>
                <w:lang w:eastAsia="zh-CN"/>
              </w:rPr>
              <w:t>部门</w:t>
            </w:r>
            <w:r>
              <w:rPr>
                <w:rFonts w:hint="eastAsia" w:ascii="仿宋" w:hAnsi="仿宋" w:eastAsia="仿宋" w:cs="仿宋"/>
                <w:color w:val="000000"/>
                <w:kern w:val="2"/>
                <w:sz w:val="32"/>
                <w:szCs w:val="32"/>
                <w:shd w:val="clear" w:color="auto" w:fill="FFFFFF"/>
              </w:rPr>
              <w:t>制定了《财务管理制度》；项目资金下达我单位后，合理编制项目预算并按照程序报批，加强项目实施前、实施中、实施后的监督管理，提高项目资金使用效益。</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部门整体支出绩效情况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b/>
                <w:bCs/>
                <w:i w:val="0"/>
                <w:iCs w:val="0"/>
                <w:sz w:val="32"/>
                <w:szCs w:val="32"/>
                <w:lang w:val="en-US" w:eastAsia="zh-CN"/>
              </w:rPr>
            </w:pPr>
            <w:r>
              <w:rPr>
                <w:rFonts w:hint="eastAsia"/>
                <w:lang w:val="en-US" w:eastAsia="zh-CN"/>
              </w:rPr>
              <w:t xml:space="preserve">   一</w:t>
            </w:r>
            <w:r>
              <w:rPr>
                <w:rFonts w:hint="eastAsia" w:ascii="仿宋_GB2312" w:hAnsi="仿宋_GB2312" w:eastAsia="仿宋_GB2312" w:cs="仿宋_GB2312"/>
                <w:b/>
                <w:bCs/>
                <w:i w:val="0"/>
                <w:iCs w:val="0"/>
                <w:sz w:val="32"/>
                <w:szCs w:val="32"/>
                <w:lang w:val="en-US" w:eastAsia="zh-CN"/>
              </w:rPr>
              <w:t>、以构建财政管理运行机制为重点，深化工作流程规范化建设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1、管理制度健全。</w:t>
            </w:r>
            <w:r>
              <w:rPr>
                <w:rFonts w:hint="eastAsia" w:ascii="仿宋_GB2312" w:hAnsi="仿宋_GB2312" w:eastAsia="仿宋_GB2312" w:cs="仿宋_GB2312"/>
                <w:i w:val="0"/>
                <w:iCs w:val="0"/>
                <w:sz w:val="32"/>
                <w:szCs w:val="32"/>
                <w:lang w:val="en-US" w:eastAsia="zh-CN"/>
              </w:rPr>
              <w:t>财政所根据法律法规要求和上级政策文件要求，完善了岗位责任制度、预算管理制度、专项资金管理制度、村级和机关财务管理制度、政府采购管理制度、固定资产管理制度、现金管理和票据管理制度等基础管理制度，促进了各项工作的落实，保障了乡镇工作的安全运转，做到了“职责明确、制度健全、操作规范、运转高效”。同时，将财政工作纳入目标管理考核体系，有效促进了规范化管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2、预算执行到位。一是坚持预算编制从部门中来再到部门中去的编制模式。</w:t>
            </w:r>
            <w:r>
              <w:rPr>
                <w:rFonts w:hint="eastAsia" w:ascii="仿宋_GB2312" w:hAnsi="仿宋_GB2312" w:eastAsia="仿宋_GB2312" w:cs="仿宋_GB2312"/>
                <w:i w:val="0"/>
                <w:iCs w:val="0"/>
                <w:sz w:val="32"/>
                <w:szCs w:val="32"/>
                <w:lang w:val="en-US" w:eastAsia="zh-CN"/>
              </w:rPr>
              <w:t>年初，各机关站所根据工作计划和上年度经费使用情况如实填写预算表，由财政所进行汇总，通过乡镇党委书记、财政负责人、财政所长、各主管领导进行商讨后确定部门年初预算，这种从部门中来再到部门中去的编制模式，为有效执行预算奠定了坚实的基础。</w:t>
            </w:r>
            <w:r>
              <w:rPr>
                <w:rFonts w:hint="eastAsia" w:ascii="仿宋_GB2312" w:hAnsi="仿宋_GB2312" w:eastAsia="仿宋_GB2312" w:cs="仿宋_GB2312"/>
                <w:b/>
                <w:bCs/>
                <w:i w:val="0"/>
                <w:iCs w:val="0"/>
                <w:sz w:val="32"/>
                <w:szCs w:val="32"/>
                <w:lang w:val="en-US" w:eastAsia="zh-CN"/>
              </w:rPr>
              <w:t>二是坚持按月按比例执行预算的工作流程。</w:t>
            </w:r>
            <w:r>
              <w:rPr>
                <w:rFonts w:hint="eastAsia" w:ascii="仿宋_GB2312" w:hAnsi="仿宋_GB2312" w:eastAsia="仿宋_GB2312" w:cs="仿宋_GB2312"/>
                <w:i w:val="0"/>
                <w:iCs w:val="0"/>
                <w:sz w:val="32"/>
                <w:szCs w:val="32"/>
                <w:lang w:val="en-US" w:eastAsia="zh-CN"/>
              </w:rPr>
              <w:t>每月在使用资金前如实填写“月度资金用款计划申请表”，经分管负责人和所长审核后上报，财政所严格按照财政局下达的预算指标合理安排和使用资金。同时，每月按时完成工资直发的修改、审核等申报工作，优先三保资金（保工资、保民生、保运转）的拨付工作，保障了机关站所有序运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二、以会计基础工作为依托，推进年度目标任务精细化建设</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1、努力夯实会计基础工作。</w:t>
            </w:r>
            <w:r>
              <w:rPr>
                <w:rFonts w:hint="eastAsia" w:ascii="仿宋_GB2312" w:hAnsi="仿宋_GB2312" w:eastAsia="仿宋_GB2312" w:cs="仿宋_GB2312"/>
                <w:i w:val="0"/>
                <w:iCs w:val="0"/>
                <w:sz w:val="32"/>
                <w:szCs w:val="32"/>
                <w:lang w:val="en-US" w:eastAsia="zh-CN"/>
              </w:rPr>
              <w:t>加强原始凭证的取得、填制及审核的规范性，以便顺利开展会计核算工作；合理设置了会计账簿，记录完整、规范、真实；加强对会计账目的核对工作，建立了定期的账务、账款及有关资料相互核对制度，确保账实、账证、账账、账表相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2、全面落实惠农补贴政策。</w:t>
            </w:r>
            <w:r>
              <w:rPr>
                <w:rFonts w:hint="eastAsia" w:ascii="仿宋_GB2312" w:hAnsi="仿宋_GB2312" w:eastAsia="仿宋_GB2312" w:cs="仿宋_GB2312"/>
                <w:i w:val="0"/>
                <w:iCs w:val="0"/>
                <w:sz w:val="32"/>
                <w:szCs w:val="32"/>
                <w:lang w:val="en-US" w:eastAsia="zh-CN"/>
              </w:rPr>
              <w:t>财政所严格执行政策，严格发放程序，切实做到“四不准，四到户”：不准截留、挤占、挪用补贴资金；不准代领、转付、抵扣补贴资金；不准无故拖延补贴资金的发放时间；不准收缴、代管农民补贴“一折通”。切实做到：政策宣传到户；数据核实到户；张榜公示到户；资金兑付到户。</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3、扎实推进专项资金监管。</w:t>
            </w:r>
            <w:r>
              <w:rPr>
                <w:rFonts w:hint="eastAsia" w:ascii="仿宋_GB2312" w:hAnsi="仿宋_GB2312" w:eastAsia="仿宋_GB2312" w:cs="仿宋_GB2312"/>
                <w:i w:val="0"/>
                <w:iCs w:val="0"/>
                <w:sz w:val="32"/>
                <w:szCs w:val="32"/>
                <w:lang w:val="en-US" w:eastAsia="zh-CN"/>
              </w:rPr>
              <w:t>财政所对各类专项资金实行规范化管理，资金监管严格按用途建立台账、公开公示、检查纠错，并成立相应资金监管领导小组监管每一笔项目支出和补助支出，定时或不定时的进行抽查，每一笔资金在拨付上都实行严格的审批手续，做到事前、事中、事后“三监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4、统一规范财务支出管理</w:t>
            </w:r>
            <w:r>
              <w:rPr>
                <w:rFonts w:hint="default" w:ascii="仿宋_GB2312" w:hAnsi="仿宋_GB2312" w:eastAsia="仿宋_GB2312" w:cs="仿宋_GB2312"/>
                <w:b/>
                <w:bCs/>
                <w:i w:val="0"/>
                <w:iCs w:val="0"/>
                <w:sz w:val="32"/>
                <w:szCs w:val="32"/>
                <w:lang w:val="en-US" w:eastAsia="zh-CN"/>
              </w:rPr>
              <w:t>。</w:t>
            </w:r>
            <w:r>
              <w:rPr>
                <w:rFonts w:hint="eastAsia" w:ascii="仿宋_GB2312" w:hAnsi="仿宋_GB2312" w:eastAsia="仿宋_GB2312" w:cs="仿宋_GB2312"/>
                <w:i w:val="0"/>
                <w:iCs w:val="0"/>
                <w:sz w:val="32"/>
                <w:szCs w:val="32"/>
                <w:lang w:val="en-US" w:eastAsia="zh-CN"/>
              </w:rPr>
              <w:t>严格</w:t>
            </w:r>
            <w:r>
              <w:rPr>
                <w:rFonts w:hint="default" w:ascii="仿宋_GB2312" w:hAnsi="仿宋_GB2312" w:eastAsia="仿宋_GB2312" w:cs="仿宋_GB2312"/>
                <w:i w:val="0"/>
                <w:iCs w:val="0"/>
                <w:sz w:val="32"/>
                <w:szCs w:val="32"/>
                <w:lang w:val="en-US" w:eastAsia="zh-CN"/>
              </w:rPr>
              <w:t>按照“预算自编、账户统管、集中核算、票据统管”的要求，</w:t>
            </w:r>
            <w:r>
              <w:rPr>
                <w:rFonts w:hint="eastAsia" w:ascii="仿宋_GB2312" w:hAnsi="仿宋_GB2312" w:eastAsia="仿宋_GB2312" w:cs="仿宋_GB2312"/>
                <w:i w:val="0"/>
                <w:iCs w:val="0"/>
                <w:sz w:val="32"/>
                <w:szCs w:val="32"/>
                <w:lang w:val="en-US" w:eastAsia="zh-CN"/>
              </w:rPr>
              <w:t>财政所</w:t>
            </w:r>
            <w:r>
              <w:rPr>
                <w:rFonts w:hint="default" w:ascii="仿宋_GB2312" w:hAnsi="仿宋_GB2312" w:eastAsia="仿宋_GB2312" w:cs="仿宋_GB2312"/>
                <w:i w:val="0"/>
                <w:iCs w:val="0"/>
                <w:sz w:val="32"/>
                <w:szCs w:val="32"/>
                <w:lang w:val="en-US" w:eastAsia="zh-CN"/>
              </w:rPr>
              <w:t>统一会计核算和账户管理，</w:t>
            </w:r>
            <w:r>
              <w:rPr>
                <w:rFonts w:hint="eastAsia" w:ascii="仿宋_GB2312" w:hAnsi="仿宋_GB2312" w:eastAsia="仿宋_GB2312" w:cs="仿宋_GB2312"/>
                <w:i w:val="0"/>
                <w:iCs w:val="0"/>
                <w:sz w:val="32"/>
                <w:szCs w:val="32"/>
                <w:lang w:val="en-US" w:eastAsia="zh-CN"/>
              </w:rPr>
              <w:t>只保留镇资金专户和村级资金专户两个账号，</w:t>
            </w:r>
            <w:r>
              <w:rPr>
                <w:rFonts w:hint="default" w:ascii="仿宋_GB2312" w:hAnsi="仿宋_GB2312" w:eastAsia="仿宋_GB2312" w:cs="仿宋_GB2312"/>
                <w:i w:val="0"/>
                <w:iCs w:val="0"/>
                <w:sz w:val="32"/>
                <w:szCs w:val="32"/>
                <w:lang w:val="en-US" w:eastAsia="zh-CN"/>
              </w:rPr>
              <w:t>进一步规范了我</w:t>
            </w:r>
            <w:r>
              <w:rPr>
                <w:rFonts w:hint="eastAsia" w:ascii="仿宋_GB2312" w:hAnsi="仿宋_GB2312" w:eastAsia="仿宋_GB2312" w:cs="仿宋_GB2312"/>
                <w:i w:val="0"/>
                <w:iCs w:val="0"/>
                <w:sz w:val="32"/>
                <w:szCs w:val="32"/>
                <w:lang w:val="en-US" w:eastAsia="zh-CN"/>
              </w:rPr>
              <w:t>镇</w:t>
            </w:r>
            <w:r>
              <w:rPr>
                <w:rFonts w:hint="default" w:ascii="仿宋_GB2312" w:hAnsi="仿宋_GB2312" w:eastAsia="仿宋_GB2312" w:cs="仿宋_GB2312"/>
                <w:i w:val="0"/>
                <w:iCs w:val="0"/>
                <w:sz w:val="32"/>
                <w:szCs w:val="32"/>
                <w:lang w:val="en-US" w:eastAsia="zh-CN"/>
              </w:rPr>
              <w:t>财务管理</w:t>
            </w:r>
            <w:r>
              <w:rPr>
                <w:rFonts w:hint="eastAsia" w:ascii="仿宋_GB2312" w:hAnsi="仿宋_GB2312" w:eastAsia="仿宋_GB2312" w:cs="仿宋_GB2312"/>
                <w:i w:val="0"/>
                <w:iCs w:val="0"/>
                <w:sz w:val="32"/>
                <w:szCs w:val="32"/>
                <w:lang w:val="en-US" w:eastAsia="zh-CN"/>
              </w:rPr>
              <w:t>工作；</w:t>
            </w:r>
            <w:r>
              <w:rPr>
                <w:rFonts w:hint="default" w:ascii="仿宋_GB2312" w:hAnsi="仿宋_GB2312" w:eastAsia="仿宋_GB2312" w:cs="仿宋_GB2312"/>
                <w:i w:val="0"/>
                <w:iCs w:val="0"/>
                <w:sz w:val="32"/>
                <w:szCs w:val="32"/>
                <w:lang w:val="en-US" w:eastAsia="zh-CN"/>
              </w:rPr>
              <w:t>严格使用财政专用票据，杜绝坐支、挪用和私设“小金库”</w:t>
            </w:r>
            <w:r>
              <w:rPr>
                <w:rFonts w:hint="eastAsia" w:ascii="仿宋_GB2312" w:hAnsi="仿宋_GB2312" w:eastAsia="仿宋_GB2312" w:cs="仿宋_GB2312"/>
                <w:i w:val="0"/>
                <w:iCs w:val="0"/>
                <w:sz w:val="32"/>
                <w:szCs w:val="32"/>
                <w:lang w:val="en-US" w:eastAsia="zh-CN"/>
              </w:rPr>
              <w:t>；</w:t>
            </w:r>
            <w:r>
              <w:rPr>
                <w:rFonts w:hint="default" w:ascii="仿宋_GB2312" w:hAnsi="仿宋_GB2312" w:eastAsia="仿宋_GB2312" w:cs="仿宋_GB2312"/>
                <w:i w:val="0"/>
                <w:iCs w:val="0"/>
                <w:sz w:val="32"/>
                <w:szCs w:val="32"/>
                <w:lang w:val="en-US" w:eastAsia="zh-CN"/>
              </w:rPr>
              <w:t>严格审批程序，切实做到“收入一个笼子，支出一个口子”</w:t>
            </w:r>
            <w:r>
              <w:rPr>
                <w:rFonts w:hint="eastAsia" w:ascii="仿宋_GB2312" w:hAnsi="仿宋_GB2312" w:eastAsia="仿宋_GB2312" w:cs="仿宋_GB2312"/>
                <w:i w:val="0"/>
                <w:iCs w:val="0"/>
                <w:sz w:val="32"/>
                <w:szCs w:val="32"/>
                <w:lang w:val="en-US" w:eastAsia="zh-CN"/>
              </w:rPr>
              <w:t>；严格执行政府采购制度，加强政府采购管理，规范采购程序，确保采购公开、透明。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三、以人才队伍建设和宣传文化为抓手，强化财政工作科学化建设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宋体"/>
                <w:lang w:val="en-US" w:eastAsia="zh-CN"/>
              </w:rPr>
            </w:pPr>
            <w:r>
              <w:rPr>
                <w:rFonts w:hint="eastAsia" w:ascii="仿宋_GB2312" w:hAnsi="仿宋_GB2312" w:eastAsia="仿宋_GB2312" w:cs="仿宋_GB2312"/>
                <w:i w:val="0"/>
                <w:iCs w:val="0"/>
                <w:sz w:val="32"/>
                <w:szCs w:val="32"/>
                <w:lang w:val="en-US" w:eastAsia="zh-CN"/>
              </w:rPr>
              <w:t>财政所积极开展各种业务知识学习和警示教育活动，坚持每月进行政策和专业知识集中培训，组织所内职工认真学习政府会计基本准则，鼓励职工积极参加县财政局举办的财税知识、政策知识竞赛及赛账等活动，激励干部职工向先进学习，完善工作举措，提高综合素养。同时，优化宣传窗口，加强财政工作报道，通过对村级财务管理、惠农政策的宣传，有力推进安全财政建设。</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lang w:val="en-US" w:eastAsia="zh-CN"/>
              </w:rPr>
              <w:t xml:space="preserve"> </w:t>
            </w:r>
            <w:r>
              <w:rPr>
                <w:rFonts w:hint="eastAsia" w:ascii="仿宋" w:hAnsi="仿宋" w:eastAsia="仿宋" w:cs="仿宋"/>
                <w:color w:val="000000"/>
                <w:kern w:val="2"/>
                <w:sz w:val="32"/>
                <w:szCs w:val="32"/>
                <w:shd w:val="clear" w:color="auto" w:fill="FFFFFF"/>
                <w:lang w:val="en-US" w:eastAsia="zh-CN" w:bidi="ar-SA"/>
              </w:rPr>
              <w:t>1、预算编制工作有待细化。预算编制不够明确和细化，预算编制的合理性需要提高，预算执行力度还要进一步加强。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2、公用经费控制有一定难度，基本为刚性支出。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eastAsia="宋体"/>
                <w:lang w:val="en-US" w:eastAsia="zh-CN"/>
              </w:rPr>
            </w:pPr>
            <w:r>
              <w:rPr>
                <w:rFonts w:hint="eastAsia" w:ascii="仿宋" w:hAnsi="仿宋" w:eastAsia="仿宋" w:cs="仿宋"/>
                <w:color w:val="000000"/>
                <w:kern w:val="2"/>
                <w:sz w:val="32"/>
                <w:szCs w:val="32"/>
                <w:shd w:val="clear" w:color="auto" w:fill="FFFFFF"/>
                <w:lang w:val="en-US" w:eastAsia="zh-CN" w:bidi="ar-SA"/>
              </w:rPr>
              <w:t>3、</w:t>
            </w:r>
            <w:r>
              <w:rPr>
                <w:rFonts w:hint="eastAsia" w:ascii="仿宋" w:hAnsi="仿宋" w:eastAsia="仿宋" w:cs="仿宋"/>
                <w:sz w:val="32"/>
                <w:szCs w:val="32"/>
              </w:rPr>
              <w:t>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针对上述存在的问题及对外整体支出管理工作的需要，拟实施的改进措施如下：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仿宋" w:hAnsi="仿宋" w:eastAsia="仿宋" w:cs="仿宋"/>
                <w:color w:val="000000"/>
                <w:kern w:val="2"/>
                <w:sz w:val="32"/>
                <w:szCs w:val="32"/>
                <w:shd w:val="clear" w:color="auto" w:fill="FFFFFF"/>
                <w:lang w:val="en-US" w:eastAsia="zh-CN" w:bidi="ar-SA"/>
              </w:rPr>
            </w:pPr>
            <w:r>
              <w:rPr>
                <w:rFonts w:hint="eastAsia" w:ascii="仿宋" w:hAnsi="仿宋" w:eastAsia="仿宋" w:cs="仿宋"/>
                <w:color w:val="000000"/>
                <w:kern w:val="2"/>
                <w:sz w:val="32"/>
                <w:szCs w:val="32"/>
                <w:shd w:val="clear" w:color="auto" w:fill="FFFFFF"/>
                <w:lang w:val="en-US" w:eastAsia="zh-CN" w:bidi="ar-SA"/>
              </w:rPr>
              <w:t>4、对相关人员加强培训，特别是针对《预算法》、《行政事业单位会计制度》等学习培训，规范部门预算收支核算，切实提高部门预算收支管理水平。 </w:t>
            </w:r>
          </w:p>
          <w:p>
            <w:pPr>
              <w:rPr>
                <w:rFonts w:eastAsia="楷体_GB2312"/>
                <w:bCs/>
                <w:sz w:val="28"/>
                <w:szCs w:val="28"/>
              </w:rPr>
            </w:pPr>
          </w:p>
        </w:tc>
      </w:tr>
    </w:tbl>
    <w:p>
      <w:pPr>
        <w:spacing w:line="348" w:lineRule="auto"/>
        <w:rPr>
          <w:rFonts w:eastAsia="楷体_GB2312"/>
          <w:bCs/>
          <w:sz w:val="28"/>
          <w:szCs w:val="28"/>
        </w:rPr>
      </w:pPr>
    </w:p>
    <w:p>
      <w:pPr>
        <w:spacing w:before="156" w:beforeLines="50" w:line="760" w:lineRule="exact"/>
        <w:ind w:firstLine="420" w:firstLineChars="150"/>
        <w:rPr>
          <w:rFonts w:hint="eastAsia" w:eastAsia="仿宋_GB2312"/>
          <w:sz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18</w:t>
    </w:r>
    <w:r>
      <w:rPr>
        <w:sz w:val="24"/>
        <w:szCs w:val="24"/>
      </w:rPr>
      <w:fldChar w:fldCharType="end"/>
    </w:r>
    <w:r>
      <w:rPr>
        <w:rStyle w:val="10"/>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45E7063F"/>
    <w:multiLevelType w:val="singleLevel"/>
    <w:tmpl w:val="45E7063F"/>
    <w:lvl w:ilvl="0" w:tentative="0">
      <w:start w:val="1"/>
      <w:numFmt w:val="decimal"/>
      <w:suff w:val="nothing"/>
      <w:lvlText w:val="%1、"/>
      <w:lvlJc w:val="left"/>
    </w:lvl>
  </w:abstractNum>
  <w:abstractNum w:abstractNumId="2">
    <w:nsid w:val="4632953B"/>
    <w:multiLevelType w:val="singleLevel"/>
    <w:tmpl w:val="4632953B"/>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YWNkZWIyMDc3ZWU0OTliNzRmMTZlMDg0NTFlZDUifQ=="/>
  </w:docVars>
  <w:rsids>
    <w:rsidRoot w:val="2CE55C20"/>
    <w:rsid w:val="007B2063"/>
    <w:rsid w:val="009252E1"/>
    <w:rsid w:val="083749E7"/>
    <w:rsid w:val="0CB679B8"/>
    <w:rsid w:val="0D7534D7"/>
    <w:rsid w:val="0DE528CD"/>
    <w:rsid w:val="10054735"/>
    <w:rsid w:val="1336279F"/>
    <w:rsid w:val="16100880"/>
    <w:rsid w:val="18725427"/>
    <w:rsid w:val="19235F91"/>
    <w:rsid w:val="1A294AF4"/>
    <w:rsid w:val="254E2FC7"/>
    <w:rsid w:val="25B607B7"/>
    <w:rsid w:val="263C173A"/>
    <w:rsid w:val="289D055E"/>
    <w:rsid w:val="2A62674D"/>
    <w:rsid w:val="2A770606"/>
    <w:rsid w:val="2BE53992"/>
    <w:rsid w:val="2C9F197B"/>
    <w:rsid w:val="2CA33441"/>
    <w:rsid w:val="2CE55C20"/>
    <w:rsid w:val="2F287302"/>
    <w:rsid w:val="30426D13"/>
    <w:rsid w:val="31830423"/>
    <w:rsid w:val="34A86256"/>
    <w:rsid w:val="3A43255A"/>
    <w:rsid w:val="3D6201A1"/>
    <w:rsid w:val="3D7C2118"/>
    <w:rsid w:val="3EC46785"/>
    <w:rsid w:val="3F8A6044"/>
    <w:rsid w:val="40425B94"/>
    <w:rsid w:val="42C208CA"/>
    <w:rsid w:val="43A702D9"/>
    <w:rsid w:val="440E02F9"/>
    <w:rsid w:val="44592EA4"/>
    <w:rsid w:val="447C2952"/>
    <w:rsid w:val="477245B4"/>
    <w:rsid w:val="49617FA5"/>
    <w:rsid w:val="4BAD6FBB"/>
    <w:rsid w:val="4D171D42"/>
    <w:rsid w:val="4E4F0BB0"/>
    <w:rsid w:val="4EE10AEE"/>
    <w:rsid w:val="5BE95901"/>
    <w:rsid w:val="5E031417"/>
    <w:rsid w:val="5F662405"/>
    <w:rsid w:val="64A3472B"/>
    <w:rsid w:val="6A0A15CD"/>
    <w:rsid w:val="6D452F22"/>
    <w:rsid w:val="6DC85BA0"/>
    <w:rsid w:val="6DF352BD"/>
    <w:rsid w:val="705E3E6D"/>
    <w:rsid w:val="71C1048A"/>
    <w:rsid w:val="7396188C"/>
    <w:rsid w:val="73A6715E"/>
    <w:rsid w:val="73F35F5B"/>
    <w:rsid w:val="75EB6DA5"/>
    <w:rsid w:val="79C04582"/>
    <w:rsid w:val="7CA82634"/>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黑体"/>
      <w:sz w:val="44"/>
      <w:szCs w:val="44"/>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7">
    <w:name w:val="Normal (Web)"/>
    <w:basedOn w:val="1"/>
    <w:qFormat/>
    <w:uiPriority w:val="0"/>
    <w:pPr>
      <w:spacing w:beforeAutospacing="1" w:afterAutospacing="1"/>
      <w:jc w:val="left"/>
    </w:pPr>
    <w:rPr>
      <w:kern w:val="0"/>
      <w:sz w:val="24"/>
    </w:r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6624</Words>
  <Characters>6948</Characters>
  <Lines>0</Lines>
  <Paragraphs>0</Paragraphs>
  <TotalTime>1</TotalTime>
  <ScaleCrop>false</ScaleCrop>
  <LinksUpToDate>false</LinksUpToDate>
  <CharactersWithSpaces>7497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2022-10-17T01:07:56Z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