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华容县梅田湖镇财政所</w:t>
      </w:r>
      <w:r>
        <w:rPr>
          <w:rFonts w:hint="eastAsia" w:eastAsia="仿宋_GB2312"/>
          <w:sz w:val="32"/>
          <w:szCs w:val="32"/>
          <w:u w:val="single"/>
        </w:rPr>
        <w:t xml:space="preserve">         </w:t>
      </w:r>
    </w:p>
    <w:p>
      <w:pPr>
        <w:spacing w:beforeLines="50" w:line="348" w:lineRule="auto"/>
        <w:ind w:firstLine="476" w:firstLineChars="150"/>
        <w:rPr>
          <w:rFonts w:hint="eastAsia" w:eastAsia="仿宋_GB2312"/>
          <w:color w:val="000000" w:themeColor="text1"/>
          <w:spacing w:val="20"/>
          <w:sz w:val="32"/>
          <w:szCs w:val="32"/>
          <w:lang w:val="en-US"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预</w:t>
      </w:r>
      <w:r>
        <w:rPr>
          <w:rFonts w:hint="eastAsia" w:eastAsia="仿宋_GB2312"/>
          <w:color w:val="000000" w:themeColor="text1"/>
          <w:spacing w:val="30"/>
          <w:sz w:val="32"/>
          <w:szCs w:val="32"/>
          <w14:textFill>
            <w14:solidFill>
              <w14:schemeClr w14:val="tx1"/>
            </w14:solidFill>
          </w14:textFill>
        </w:rPr>
        <w:t xml:space="preserve"> 算 编 码：</w:t>
      </w:r>
      <w:r>
        <w:rPr>
          <w:rFonts w:hint="eastAsia" w:eastAsia="仿宋_GB2312"/>
          <w:color w:val="000000" w:themeColor="text1"/>
          <w:spacing w:val="20"/>
          <w:sz w:val="32"/>
          <w:szCs w:val="32"/>
          <w:u w:val="single"/>
          <w14:textFill>
            <w14:solidFill>
              <w14:schemeClr w14:val="tx1"/>
            </w14:solidFill>
          </w14:textFill>
        </w:rPr>
        <w:t xml:space="preserve"> </w:t>
      </w:r>
      <w:r>
        <w:rPr>
          <w:rFonts w:hint="eastAsia" w:eastAsia="仿宋_GB2312"/>
          <w:color w:val="000000" w:themeColor="text1"/>
          <w:spacing w:val="20"/>
          <w:sz w:val="32"/>
          <w:szCs w:val="32"/>
          <w:u w:val="single"/>
          <w:lang w:val="en-US" w:eastAsia="zh-CN"/>
          <w14:textFill>
            <w14:solidFill>
              <w14:schemeClr w14:val="tx1"/>
            </w14:solidFill>
          </w14:textFill>
        </w:rPr>
        <w:t>009001</w:t>
      </w:r>
      <w:r>
        <w:rPr>
          <w:rFonts w:hint="eastAsia" w:eastAsia="仿宋_GB2312"/>
          <w:color w:val="000000" w:themeColor="text1"/>
          <w:spacing w:val="20"/>
          <w:sz w:val="32"/>
          <w:szCs w:val="32"/>
          <w:u w:val="single"/>
          <w14:textFill>
            <w14:solidFill>
              <w14:schemeClr w14:val="tx1"/>
            </w14:solidFill>
          </w14:textFill>
        </w:rPr>
        <w:t xml:space="preserve">                </w:t>
      </w:r>
      <w:r>
        <w:rPr>
          <w:rFonts w:hint="eastAsia" w:eastAsia="仿宋_GB2312"/>
          <w:color w:val="000000" w:themeColor="text1"/>
          <w:spacing w:val="20"/>
          <w:sz w:val="32"/>
          <w:szCs w:val="32"/>
          <w:u w:val="single"/>
          <w:lang w:val="en-US" w:eastAsia="zh-CN"/>
          <w14:textFill>
            <w14:solidFill>
              <w14:schemeClr w14:val="tx1"/>
            </w14:solidFill>
          </w14:textFill>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报告日期：2022年6月25日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吴丽娟</w:t>
            </w:r>
          </w:p>
        </w:tc>
        <w:tc>
          <w:tcPr>
            <w:tcW w:w="1479" w:type="dxa"/>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13874577526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479" w:type="dxa"/>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年度主要</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任务1：乡镇财政预决算编制、预算执行、预算调整和预算内外收支管理;</w:t>
            </w:r>
          </w:p>
          <w:p>
            <w:pPr>
              <w:autoSpaceDN w:val="0"/>
              <w:spacing w:line="320" w:lineRule="exact"/>
              <w:jc w:val="left"/>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任务2：乡镇政府预算单位的存储、核拨和监督</w:t>
            </w:r>
            <w:r>
              <w:rPr>
                <w:rFonts w:hint="eastAsia" w:ascii="仿宋_GB2312" w:hAnsi="仿宋_GB2312" w:eastAsia="仿宋_GB2312" w:cs="仿宋_GB2312"/>
                <w:sz w:val="24"/>
                <w:lang w:eastAsia="zh-CN"/>
              </w:rPr>
              <w:t>；</w:t>
            </w:r>
          </w:p>
          <w:p>
            <w:pPr>
              <w:autoSpaceDN w:val="0"/>
              <w:spacing w:line="320" w:lineRule="exact"/>
              <w:jc w:val="left"/>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任务3：</w:t>
            </w:r>
            <w:r>
              <w:rPr>
                <w:rFonts w:hint="eastAsia" w:ascii="仿宋_GB2312" w:hAnsi="仿宋_GB2312" w:eastAsia="仿宋_GB2312" w:cs="仿宋_GB2312"/>
                <w:sz w:val="24"/>
                <w:lang w:eastAsia="zh-CN"/>
              </w:rPr>
              <w:t>落实惠农惠民各项补贴政策；</w:t>
            </w:r>
          </w:p>
          <w:p>
            <w:pPr>
              <w:autoSpaceDN w:val="0"/>
              <w:spacing w:line="320" w:lineRule="exact"/>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任务</w:t>
            </w:r>
            <w:r>
              <w:rPr>
                <w:rFonts w:hint="eastAsia" w:ascii="仿宋_GB2312" w:hAnsi="仿宋_GB2312" w:eastAsia="仿宋_GB2312" w:cs="仿宋_GB2312"/>
                <w:sz w:val="24"/>
                <w:lang w:val="en-US" w:eastAsia="zh-CN"/>
              </w:rPr>
              <w:t>4：按时编制月度会计报表；</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sz w:val="24"/>
                <w:lang w:val="en-US" w:eastAsia="zh-CN"/>
              </w:rPr>
              <w:t>任务5：对重点项目支出资金监管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pacing w:val="-6"/>
                <w:sz w:val="24"/>
                <w14:textFill>
                  <w14:solidFill>
                    <w14:schemeClr w14:val="tx1"/>
                  </w14:solidFill>
                </w14:textFill>
              </w:rPr>
            </w:pPr>
            <w:r>
              <w:rPr>
                <w:rFonts w:hint="eastAsia" w:ascii="仿宋_GB2312" w:hAnsi="仿宋_GB2312" w:eastAsia="仿宋_GB2312" w:cs="仿宋_GB2312"/>
                <w:color w:val="000000" w:themeColor="text1"/>
                <w:spacing w:val="-6"/>
                <w:sz w:val="24"/>
                <w14:textFill>
                  <w14:solidFill>
                    <w14:schemeClr w14:val="tx1"/>
                  </w14:solidFill>
                </w14:textFill>
              </w:rPr>
              <w:t>年度部门（单位）总体运行情况及取得的成绩</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一是以预算执行为准则，将过“紧日子”思想落到实处。始终遵循“统筹安排、综合平衡、量力而行、留有余地”的原则编制预算，做好2020年度部门决算和2021年预算编制工作按照“先人员经费、后公用经费”的顺序进行财政资金保障。突出“保工资、保运转、保基本民生”，切实兜牢“三保”底线。严格执行中央八项规定精神，精打细算压缩“三公经费”和一般性支出。同时，积极盘活财政存量资金。</w:t>
            </w:r>
          </w:p>
          <w:p>
            <w:pPr>
              <w:autoSpaceDN w:val="0"/>
              <w:spacing w:line="320" w:lineRule="exact"/>
              <w:jc w:val="left"/>
              <w:textAlignment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二是以政策执行为抓手，推进强农惠民政策落地生效。严格执行国家惠农政策，扎实有效做好对农户各项补贴工作。规范操作程序，认真核实补贴面积，及时上报数据。提升财政惠农政策的实效，真正为群众纾困解难。三是以资金监管为核心，确保重点项目稳步推进。成立了乡镇财政资金监管工作领导小组，对纳入乡镇专项资金监管范围的财政资金，认真把握立项申报、公开公示、施工、竣工验收等环节。认真做好项目建设抽查巡查、公开公示工作。四是以作风建设为重点，培养高素质干部队伍。坚持以人为本，以德育人，营造良好的政治生态。在思想政治上突出一个“好”字。在业务培训上突出一个“精”字。鼓励干部职工钻研财政知识、参加上级财政部门的培训与活动；坚持半年初评，年终总评，将其作为评先树优的重要依据；以老带新，以强带弱。通过对人才的重视与培养，夯实风清气正、崇德向善、精于服务的良好政治根基。</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63.1</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343.6</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343.6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FF0000"/>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目标1:</w:t>
            </w:r>
            <w:r>
              <w:rPr>
                <w:rFonts w:hint="default" w:ascii="仿宋_GB2312" w:hAnsi="仿宋_GB2312" w:eastAsia="仿宋_GB2312" w:cs="仿宋_GB2312"/>
                <w:color w:val="000000" w:themeColor="text1"/>
                <w:sz w:val="24"/>
                <w:lang w:val="en-US" w:eastAsia="zh-CN"/>
              </w:rPr>
              <w:t>严格执行国家惠农政策，扎实有效做好对农户各项补贴工作。</w:t>
            </w:r>
          </w:p>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目标2：把好机关、站所、村场报账审核关，按时编制月报表和年度账簿。</w:t>
            </w:r>
          </w:p>
          <w:p>
            <w:pPr>
              <w:autoSpaceDN w:val="0"/>
              <w:spacing w:line="320" w:lineRule="exact"/>
              <w:jc w:val="left"/>
              <w:textAlignment w:val="center"/>
              <w:rPr>
                <w:rFonts w:hint="default" w:ascii="仿宋_GB2312" w:hAnsi="仿宋_GB2312" w:eastAsia="仿宋_GB2312" w:cs="仿宋_GB2312"/>
                <w:color w:val="000000" w:themeColor="text1"/>
                <w:sz w:val="24"/>
                <w:lang w:val="en-US"/>
              </w:rPr>
            </w:pPr>
            <w:r>
              <w:rPr>
                <w:rFonts w:hint="eastAsia" w:ascii="仿宋_GB2312" w:hAnsi="仿宋_GB2312" w:eastAsia="仿宋_GB2312" w:cs="仿宋_GB2312"/>
                <w:color w:val="000000" w:themeColor="text1"/>
                <w:sz w:val="24"/>
                <w:lang w:val="en-US" w:eastAsia="zh-CN"/>
              </w:rPr>
              <w:t>目标3：确保村场专项资金、</w:t>
            </w:r>
            <w:r>
              <w:rPr>
                <w:rFonts w:hint="default" w:ascii="仿宋_GB2312" w:hAnsi="仿宋_GB2312" w:eastAsia="仿宋_GB2312" w:cs="仿宋_GB2312"/>
                <w:color w:val="000000" w:themeColor="text1"/>
                <w:sz w:val="24"/>
                <w:lang w:val="en-US" w:eastAsia="zh-CN"/>
              </w:rPr>
              <w:t>村级组织运转保障</w:t>
            </w:r>
            <w:r>
              <w:rPr>
                <w:rFonts w:hint="eastAsia" w:ascii="仿宋_GB2312" w:hAnsi="仿宋_GB2312" w:eastAsia="仿宋_GB2312" w:cs="仿宋_GB2312"/>
                <w:color w:val="000000" w:themeColor="text1"/>
                <w:sz w:val="24"/>
                <w:lang w:val="en-US" w:eastAsia="zh-CN"/>
              </w:rPr>
              <w:t>。</w:t>
            </w:r>
            <w:r>
              <w:rPr>
                <w:rFonts w:hint="default" w:ascii="仿宋_GB2312" w:hAnsi="仿宋_GB2312" w:eastAsia="仿宋_GB2312" w:cs="仿宋_GB2312"/>
                <w:color w:val="000000" w:themeColor="text1"/>
                <w:sz w:val="24"/>
                <w:lang w:val="en-US" w:eastAsia="zh-CN"/>
              </w:rPr>
              <w:t>民政各项补助资金</w:t>
            </w:r>
            <w:r>
              <w:rPr>
                <w:rFonts w:hint="eastAsia" w:ascii="仿宋_GB2312" w:hAnsi="仿宋_GB2312" w:eastAsia="仿宋_GB2312" w:cs="仿宋_GB2312"/>
                <w:color w:val="000000" w:themeColor="text1"/>
                <w:sz w:val="24"/>
                <w:lang w:val="en-US" w:eastAsia="zh-CN"/>
              </w:rPr>
              <w:t>、</w:t>
            </w:r>
            <w:r>
              <w:rPr>
                <w:rFonts w:hint="default" w:ascii="仿宋_GB2312" w:hAnsi="仿宋_GB2312" w:eastAsia="仿宋_GB2312" w:cs="仿宋_GB2312"/>
                <w:color w:val="000000" w:themeColor="text1"/>
                <w:sz w:val="24"/>
                <w:lang w:val="en-US" w:eastAsia="zh-CN"/>
              </w:rPr>
              <w:t>基础设施建设</w:t>
            </w:r>
            <w:r>
              <w:rPr>
                <w:rFonts w:hint="eastAsia" w:ascii="仿宋_GB2312" w:hAnsi="仿宋_GB2312" w:eastAsia="仿宋_GB2312" w:cs="仿宋_GB2312"/>
                <w:color w:val="000000" w:themeColor="text1"/>
                <w:sz w:val="24"/>
                <w:lang w:val="en-US" w:eastAsia="zh-CN"/>
              </w:rPr>
              <w:t>资金以及干部职工工资拨付发放到位</w:t>
            </w:r>
          </w:p>
        </w:tc>
        <w:tc>
          <w:tcPr>
            <w:tcW w:w="4585" w:type="dxa"/>
            <w:gridSpan w:val="9"/>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一是以预算执行</w:t>
            </w:r>
            <w:r>
              <w:rPr>
                <w:rFonts w:hint="default" w:ascii="仿宋_GB2312" w:hAnsi="仿宋_GB2312" w:eastAsia="仿宋_GB2312" w:cs="仿宋_GB2312"/>
                <w:color w:val="000000" w:themeColor="text1"/>
                <w:sz w:val="24"/>
                <w:lang w:val="en-US" w:eastAsia="zh-CN"/>
              </w:rPr>
              <w:t>为准则，</w:t>
            </w:r>
            <w:r>
              <w:rPr>
                <w:rFonts w:hint="default" w:ascii="仿宋_GB2312" w:hAnsi="仿宋_GB2312" w:eastAsia="仿宋_GB2312" w:cs="仿宋_GB2312"/>
                <w:color w:val="000000" w:themeColor="text1"/>
                <w:sz w:val="24"/>
                <w:lang w:eastAsia="zh-CN"/>
              </w:rPr>
              <w:t>将过“紧日子”思想落到实处。做好2020年度部门决算和202</w:t>
            </w:r>
            <w:r>
              <w:rPr>
                <w:rFonts w:hint="default" w:ascii="仿宋_GB2312" w:hAnsi="仿宋_GB2312" w:eastAsia="仿宋_GB2312" w:cs="仿宋_GB2312"/>
                <w:color w:val="000000" w:themeColor="text1"/>
                <w:sz w:val="24"/>
                <w:lang w:val="en-US" w:eastAsia="zh-CN"/>
              </w:rPr>
              <w:t>1</w:t>
            </w:r>
            <w:r>
              <w:rPr>
                <w:rFonts w:hint="default" w:ascii="仿宋_GB2312" w:hAnsi="仿宋_GB2312" w:eastAsia="仿宋_GB2312" w:cs="仿宋_GB2312"/>
                <w:color w:val="000000" w:themeColor="text1"/>
                <w:sz w:val="24"/>
                <w:lang w:eastAsia="zh-CN"/>
              </w:rPr>
              <w:t>年预算编制工作</w:t>
            </w:r>
            <w:r>
              <w:rPr>
                <w:rFonts w:hint="eastAsia" w:ascii="仿宋_GB2312" w:hAnsi="仿宋_GB2312" w:eastAsia="仿宋_GB2312" w:cs="仿宋_GB2312"/>
                <w:color w:val="000000" w:themeColor="text1"/>
                <w:sz w:val="24"/>
                <w:lang w:eastAsia="zh-CN"/>
              </w:rPr>
              <w:t>。</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二是以</w:t>
            </w:r>
            <w:r>
              <w:rPr>
                <w:rFonts w:hint="default" w:ascii="仿宋_GB2312" w:hAnsi="仿宋_GB2312" w:eastAsia="仿宋_GB2312" w:cs="仿宋_GB2312"/>
                <w:color w:val="000000" w:themeColor="text1"/>
                <w:sz w:val="24"/>
                <w:lang w:val="en-US" w:eastAsia="zh-CN"/>
              </w:rPr>
              <w:t>政策执行为抓手，</w:t>
            </w:r>
            <w:r>
              <w:rPr>
                <w:rFonts w:hint="default" w:ascii="仿宋_GB2312" w:hAnsi="仿宋_GB2312" w:eastAsia="仿宋_GB2312" w:cs="仿宋_GB2312"/>
                <w:color w:val="000000" w:themeColor="text1"/>
                <w:sz w:val="24"/>
                <w:lang w:eastAsia="zh-CN"/>
              </w:rPr>
              <w:t>推进强农惠民政策落地生效。严格执行国家惠农政策，扎实有效做好对农户各项补贴工作。</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三是以资金监管为核心，确保重点项目稳步推进</w:t>
            </w:r>
            <w:r>
              <w:rPr>
                <w:rFonts w:hint="eastAsia" w:ascii="仿宋_GB2312" w:hAnsi="仿宋_GB2312" w:eastAsia="仿宋_GB2312" w:cs="仿宋_GB2312"/>
                <w:color w:val="000000" w:themeColor="text1"/>
                <w:sz w:val="24"/>
                <w:lang w:eastAsia="zh-CN"/>
              </w:rPr>
              <w:t>。认真</w:t>
            </w:r>
            <w:r>
              <w:rPr>
                <w:rFonts w:hint="default" w:ascii="仿宋_GB2312" w:hAnsi="仿宋_GB2312" w:eastAsia="仿宋_GB2312" w:cs="仿宋_GB2312"/>
                <w:color w:val="000000" w:themeColor="text1"/>
                <w:sz w:val="24"/>
                <w:lang w:eastAsia="zh-CN"/>
              </w:rPr>
              <w:t>把握立项申报、公开公示、施工、竣工验收等环节。认真做好项目建设抽查巡查、公开公示工作。</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rPr>
            </w:pPr>
            <w:r>
              <w:rPr>
                <w:rFonts w:hint="default" w:ascii="仿宋_GB2312" w:hAnsi="仿宋_GB2312" w:eastAsia="仿宋_GB2312" w:cs="仿宋_GB2312"/>
                <w:color w:val="000000" w:themeColor="text1"/>
                <w:sz w:val="24"/>
                <w:lang w:eastAsia="zh-CN"/>
              </w:rPr>
              <w:t>四是以作风建设为重点，培养高素质干部队伍</w:t>
            </w:r>
            <w:r>
              <w:rPr>
                <w:rFonts w:hint="eastAsia" w:ascii="仿宋_GB2312" w:hAnsi="仿宋_GB2312" w:eastAsia="仿宋_GB2312" w:cs="仿宋_GB2312"/>
                <w:color w:val="000000" w:themeColor="text1"/>
                <w:sz w:val="24"/>
                <w:lang w:eastAsia="zh-CN"/>
              </w:rPr>
              <w:t>。</w:t>
            </w:r>
          </w:p>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按以上四点完成目标任务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_GB2312" w:hAnsi="仿宋_GB2312" w:eastAsia="仿宋_GB2312" w:cs="仿宋_GB2312"/>
                <w:color w:val="000000" w:themeColor="text1"/>
                <w:sz w:val="24"/>
                <w:lang w:eastAsia="zh-CN"/>
                <w14:textFill>
                  <w14:solidFill>
                    <w14:schemeClr w14:val="tx1"/>
                  </w14:solidFill>
                </w14:textFill>
              </w:rPr>
              <w:t>惠民补贴一卡通打卡</w:t>
            </w:r>
          </w:p>
        </w:tc>
        <w:tc>
          <w:tcPr>
            <w:tcW w:w="2684" w:type="dxa"/>
            <w:gridSpan w:val="6"/>
            <w:vAlign w:val="center"/>
          </w:tcPr>
          <w:p>
            <w:pPr>
              <w:pStyle w:val="2"/>
              <w:rPr>
                <w:rFonts w:hint="eastAsia" w:ascii="仿宋_GB2312" w:hAnsi="仿宋_GB2312" w:eastAsia="仿宋_GB2312" w:cs="仿宋_GB2312"/>
                <w:color w:val="000000" w:themeColor="text1"/>
                <w:kern w:val="2"/>
                <w:sz w:val="24"/>
                <w:szCs w:val="24"/>
                <w:lang w:val="en-US" w:eastAsia="zh-CN" w:bidi="ar-SA"/>
              </w:rPr>
            </w:pPr>
            <w:r>
              <w:rPr>
                <w:rFonts w:hint="default" w:ascii="仿宋_GB2312" w:hAnsi="仿宋_GB2312" w:eastAsia="仿宋_GB2312" w:cs="仿宋_GB2312"/>
                <w:color w:val="000000" w:themeColor="text1"/>
                <w:kern w:val="2"/>
                <w:sz w:val="24"/>
                <w:szCs w:val="24"/>
                <w:lang w:val="en-US" w:eastAsia="zh-CN" w:bidi="ar-SA"/>
              </w:rPr>
              <w:t>严格执行国家惠农政策，扎实有效做好对农户各项补贴工作。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2：会计月报表、年报表及年度账簿生成</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按月、季度生成月报表及年度报表和账簿资料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3：资金拨付</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确保村场专项资金、</w:t>
            </w:r>
            <w:r>
              <w:rPr>
                <w:rFonts w:hint="default" w:ascii="仿宋_GB2312" w:hAnsi="仿宋_GB2312" w:eastAsia="仿宋_GB2312" w:cs="仿宋_GB2312"/>
                <w:color w:val="000000" w:themeColor="text1"/>
                <w:kern w:val="2"/>
                <w:sz w:val="24"/>
                <w:szCs w:val="24"/>
                <w:lang w:val="en-US" w:eastAsia="zh-CN" w:bidi="ar-SA"/>
              </w:rPr>
              <w:t>村级组织运转保障</w:t>
            </w:r>
            <w:r>
              <w:rPr>
                <w:rFonts w:hint="eastAsia" w:ascii="仿宋_GB2312" w:hAnsi="仿宋_GB2312" w:eastAsia="仿宋_GB2312" w:cs="仿宋_GB2312"/>
                <w:color w:val="000000" w:themeColor="text1"/>
                <w:kern w:val="2"/>
                <w:sz w:val="24"/>
                <w:szCs w:val="24"/>
                <w:lang w:val="en-US" w:eastAsia="zh-CN" w:bidi="ar-SA"/>
              </w:rPr>
              <w:t>。</w:t>
            </w:r>
            <w:r>
              <w:rPr>
                <w:rFonts w:hint="default" w:ascii="仿宋_GB2312" w:hAnsi="仿宋_GB2312" w:eastAsia="仿宋_GB2312" w:cs="仿宋_GB2312"/>
                <w:color w:val="000000" w:themeColor="text1"/>
                <w:kern w:val="2"/>
                <w:sz w:val="24"/>
                <w:szCs w:val="24"/>
                <w:lang w:val="en-US" w:eastAsia="zh-CN" w:bidi="ar-SA"/>
              </w:rPr>
              <w:t>民政各项补助资金</w:t>
            </w:r>
            <w:r>
              <w:rPr>
                <w:rFonts w:hint="eastAsia" w:ascii="仿宋_GB2312" w:hAnsi="仿宋_GB2312" w:eastAsia="仿宋_GB2312" w:cs="仿宋_GB2312"/>
                <w:color w:val="000000" w:themeColor="text1"/>
                <w:kern w:val="2"/>
                <w:sz w:val="24"/>
                <w:szCs w:val="24"/>
                <w:lang w:val="en-US" w:eastAsia="zh-CN" w:bidi="ar-SA"/>
              </w:rPr>
              <w:t>、</w:t>
            </w:r>
            <w:r>
              <w:rPr>
                <w:rFonts w:hint="default" w:ascii="仿宋_GB2312" w:hAnsi="仿宋_GB2312" w:eastAsia="仿宋_GB2312" w:cs="仿宋_GB2312"/>
                <w:color w:val="000000" w:themeColor="text1"/>
                <w:kern w:val="2"/>
                <w:sz w:val="24"/>
                <w:szCs w:val="24"/>
                <w:lang w:val="en-US" w:eastAsia="zh-CN" w:bidi="ar-SA"/>
              </w:rPr>
              <w:t>基础设施建设</w:t>
            </w:r>
            <w:r>
              <w:rPr>
                <w:rFonts w:hint="eastAsia" w:ascii="仿宋_GB2312" w:hAnsi="仿宋_GB2312" w:eastAsia="仿宋_GB2312" w:cs="仿宋_GB2312"/>
                <w:color w:val="000000" w:themeColor="text1"/>
                <w:kern w:val="2"/>
                <w:sz w:val="24"/>
                <w:szCs w:val="24"/>
                <w:lang w:val="en-US" w:eastAsia="zh-CN" w:bidi="ar-SA"/>
              </w:rPr>
              <w:t>资金以及干部职工工资拨付发放到位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指标1：村账资金专户对账大会</w:t>
            </w:r>
          </w:p>
        </w:tc>
        <w:tc>
          <w:tcPr>
            <w:tcW w:w="2684" w:type="dxa"/>
            <w:gridSpan w:val="6"/>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按季度召开全年共4次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hint="eastAsia" w:ascii="仿宋_GB2312" w:hAnsi="仿宋_GB2312" w:eastAsia="仿宋_GB2312" w:cs="仿宋_GB2312"/>
                <w:color w:val="000000" w:themeColor="text1"/>
                <w:sz w:val="24"/>
                <w:lang w:eastAsia="zh-CN"/>
                <w14:textFill>
                  <w14:solidFill>
                    <w14:schemeClr w14:val="tx1"/>
                  </w14:solidFill>
                </w14:textFill>
              </w:rPr>
              <w:t>固定资产清查</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FF0000"/>
                <w:sz w:val="24"/>
                <w:lang w:val="en-US" w:eastAsia="zh-CN"/>
              </w:rPr>
            </w:pPr>
            <w:r>
              <w:rPr>
                <w:rFonts w:hint="eastAsia" w:ascii="仿宋_GB2312" w:hAnsi="仿宋_GB2312" w:eastAsia="仿宋_GB2312" w:cs="仿宋_GB2312"/>
                <w:b w:val="0"/>
                <w:bCs/>
                <w:color w:val="000000" w:themeColor="text1"/>
                <w:sz w:val="24"/>
                <w:lang w:eastAsia="zh-CN"/>
                <w14:textFill>
                  <w14:solidFill>
                    <w14:schemeClr w14:val="tx1"/>
                  </w14:solidFill>
                </w14:textFill>
              </w:rPr>
              <w:t>每年清查盘点</w:t>
            </w:r>
            <w:r>
              <w:rPr>
                <w:rFonts w:hint="eastAsia" w:ascii="仿宋_GB2312" w:hAnsi="仿宋_GB2312" w:eastAsia="仿宋_GB2312" w:cs="仿宋_GB2312"/>
                <w:b w:val="0"/>
                <w:bCs/>
                <w:color w:val="000000" w:themeColor="text1"/>
                <w:sz w:val="24"/>
                <w:lang w:val="en-US" w:eastAsia="zh-CN"/>
                <w14:textFill>
                  <w14:solidFill>
                    <w14:schemeClr w14:val="tx1"/>
                  </w14:solidFill>
                </w14:textFill>
              </w:rPr>
              <w:t>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w:t>
            </w:r>
            <w:r>
              <w:rPr>
                <w:rFonts w:hint="eastAsia" w:ascii="仿宋_GB2312" w:hAnsi="仿宋_GB2312" w:eastAsia="仿宋_GB2312" w:cs="仿宋_GB2312"/>
                <w:color w:val="000000" w:themeColor="text1"/>
                <w:sz w:val="24"/>
                <w:lang w:eastAsia="zh-CN"/>
              </w:rPr>
              <w:t>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政府财务报告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3：年度账簿和月报表编制</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w:t>
            </w:r>
            <w:r>
              <w:rPr>
                <w:rFonts w:hint="eastAsia" w:ascii="仿宋_GB2312" w:hAnsi="仿宋_GB2312" w:eastAsia="仿宋_GB2312" w:cs="仿宋_GB2312"/>
                <w:color w:val="000000" w:themeColor="text1"/>
                <w:sz w:val="24"/>
                <w:lang w:val="en-US" w:eastAsia="zh-CN"/>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社会效益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指标1：</w:t>
            </w:r>
            <w:r>
              <w:rPr>
                <w:rFonts w:hint="default" w:ascii="仿宋_GB2312" w:hAnsi="仿宋_GB2312" w:eastAsia="仿宋_GB2312" w:cs="仿宋_GB2312"/>
                <w:color w:val="000000" w:themeColor="text1"/>
                <w:sz w:val="24"/>
                <w:lang w:val="en-US" w:eastAsia="zh-CN"/>
              </w:rPr>
              <w:t>执行国家惠农政策，扎实有效做好对农户各项补贴工作</w:t>
            </w:r>
          </w:p>
          <w:p>
            <w:pPr>
              <w:autoSpaceDN w:val="0"/>
              <w:spacing w:line="320" w:lineRule="exact"/>
              <w:jc w:val="left"/>
              <w:textAlignment w:val="center"/>
              <w:rPr>
                <w:rFonts w:hint="default" w:ascii="仿宋_GB2312" w:hAnsi="仿宋_GB2312" w:eastAsia="仿宋_GB2312" w:cs="仿宋_GB2312"/>
                <w:color w:val="000000" w:themeColor="text1"/>
                <w:sz w:val="24"/>
                <w:lang w:val="en-US"/>
              </w:rPr>
            </w:pPr>
            <w:r>
              <w:rPr>
                <w:rFonts w:hint="eastAsia" w:ascii="仿宋_GB2312" w:hAnsi="仿宋_GB2312" w:eastAsia="仿宋_GB2312" w:cs="仿宋_GB2312"/>
                <w:color w:val="000000" w:themeColor="text1"/>
                <w:sz w:val="24"/>
                <w:lang w:val="en-US" w:eastAsia="zh-CN"/>
              </w:rPr>
              <w:t>指标2：村场项目资金、民政各项补助资金及基础设施建设资金拨付</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eastAsia="zh-CN"/>
              </w:rPr>
            </w:pPr>
            <w:r>
              <w:rPr>
                <w:rFonts w:hint="eastAsia" w:ascii="Times New Roman" w:hAnsi="Times New Roman" w:cs="Times New Roman"/>
                <w:b/>
                <w:bCs/>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w:t>
            </w:r>
            <w:r>
              <w:rPr>
                <w:rFonts w:hint="eastAsia" w:ascii="仿宋_GB2312" w:hAnsi="仿宋_GB2312" w:eastAsia="仿宋_GB2312" w:cs="仿宋_GB2312"/>
                <w:color w:val="000000" w:themeColor="text1"/>
                <w:sz w:val="24"/>
                <w:lang w:val="en-US" w:eastAsia="zh-CN"/>
              </w:rPr>
              <w:t>标1：</w:t>
            </w:r>
            <w:r>
              <w:rPr>
                <w:rFonts w:hint="default" w:ascii="仿宋_GB2312" w:hAnsi="仿宋_GB2312" w:eastAsia="仿宋_GB2312" w:cs="仿宋_GB2312"/>
                <w:color w:val="000000" w:themeColor="text1"/>
                <w:sz w:val="24"/>
                <w:lang w:val="en-US" w:eastAsia="zh-CN"/>
              </w:rPr>
              <w:t>农村农业发展等项目</w:t>
            </w:r>
            <w:r>
              <w:rPr>
                <w:rFonts w:hint="eastAsia" w:ascii="仿宋_GB2312" w:hAnsi="仿宋_GB2312" w:eastAsia="仿宋_GB2312" w:cs="仿宋_GB2312"/>
                <w:color w:val="000000" w:themeColor="text1"/>
                <w:sz w:val="24"/>
                <w:lang w:val="en-US" w:eastAsia="zh-CN"/>
              </w:rPr>
              <w:t>、重点项目资金监管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eastAsia="zh-CN"/>
              </w:rPr>
            </w:pPr>
            <w:r>
              <w:rPr>
                <w:rFonts w:hint="eastAsia" w:ascii="仿宋_GB2312" w:hAnsi="仿宋_GB2312" w:eastAsia="仿宋_GB2312" w:cs="仿宋_GB2312"/>
                <w:b/>
                <w:color w:val="000000" w:themeColor="text1"/>
                <w:sz w:val="24"/>
                <w:lang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ind w:firstLine="240" w:firstLineChars="100"/>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指标1：农村污水处理资金拨付</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指标2：农村旱厕整改资金拨付</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指标1：社会公众或服务对象满意度大于95%。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严肃</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财政所所长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余素芳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预算会计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吴丽娟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机关会计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邓书涵</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站所会计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单位为财政全额预算拨款单位，核定人员编制5人，实有人数为5人</w:t>
            </w:r>
            <w:r>
              <w:rPr>
                <w:rFonts w:hint="eastAsia" w:ascii="仿宋_GB2312" w:hAnsi="宋体" w:eastAsia="仿宋_GB2312" w:cs="宋体"/>
                <w:sz w:val="28"/>
                <w:szCs w:val="28"/>
                <w:shd w:val="clear" w:color="auto" w:fill="FFFFFF"/>
              </w:rPr>
              <w:t>。</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1、职责职能：</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1、收入情况：全年收入95万元，其中：财政拨款收入95万元。</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2、支出情况:全年支出95万元，其中：基本支出95万元（人员支出63.1万元，公用支出31.9万元）；项目支出0万元。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2021年整体支出95万元，其中基本支出95万元，人员支出63.1万元，占基本支出66%，公用支出31.9万元，占基本支出34%，项目支出0万元。单位足额发放在职人员工资和保障单位正常运行。</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2021年“三公经费”预算0.4万元，实际开支0.4万元，“三公经费”控制在预算成本之内。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月末固定资产343.6万元。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宋体" w:hAnsi="宋体" w:cs="宋体"/>
                <w:sz w:val="28"/>
                <w:szCs w:val="28"/>
                <w:shd w:val="clear" w:color="auto" w:fill="FFFFFF"/>
              </w:rPr>
              <w:t>二</w:t>
            </w:r>
            <w:r>
              <w:rPr>
                <w:rFonts w:hint="eastAsia" w:ascii="仿宋_GB2312" w:hAnsi="宋体" w:eastAsia="仿宋_GB2312" w:cs="宋体"/>
                <w:sz w:val="28"/>
                <w:szCs w:val="28"/>
                <w:shd w:val="clear" w:color="auto" w:fill="FFFFFF"/>
              </w:rPr>
              <w:t>是预算财务分析常态化，定期做好预算支出财务分析，做好部门整体支出预算评价工作。</w:t>
            </w:r>
          </w:p>
          <w:p>
            <w:pPr>
              <w:spacing w:line="560" w:lineRule="exact"/>
              <w:ind w:firstLine="560" w:firstLineChars="200"/>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eastAsia="仿宋_GB2312"/>
          <w:sz w:val="3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2NjEyNjRjNjE2ZjZhZThlM2Q1ZWRlZGUzYTYyMjgifQ=="/>
  </w:docVars>
  <w:rsids>
    <w:rsidRoot w:val="2CE55C20"/>
    <w:rsid w:val="00043909"/>
    <w:rsid w:val="00055680"/>
    <w:rsid w:val="000C2A6C"/>
    <w:rsid w:val="000F3A82"/>
    <w:rsid w:val="00112A54"/>
    <w:rsid w:val="001A2F77"/>
    <w:rsid w:val="002B4A71"/>
    <w:rsid w:val="00330845"/>
    <w:rsid w:val="003933CD"/>
    <w:rsid w:val="003E7B95"/>
    <w:rsid w:val="004C71BA"/>
    <w:rsid w:val="004F3224"/>
    <w:rsid w:val="005C4C99"/>
    <w:rsid w:val="00643271"/>
    <w:rsid w:val="007210FF"/>
    <w:rsid w:val="00775023"/>
    <w:rsid w:val="007B2063"/>
    <w:rsid w:val="008B4F9F"/>
    <w:rsid w:val="009F6A60"/>
    <w:rsid w:val="00C03056"/>
    <w:rsid w:val="00C51C9A"/>
    <w:rsid w:val="00CE277B"/>
    <w:rsid w:val="00D316C9"/>
    <w:rsid w:val="02F76DEB"/>
    <w:rsid w:val="083749E7"/>
    <w:rsid w:val="0CB679B8"/>
    <w:rsid w:val="0DE528CD"/>
    <w:rsid w:val="1336279F"/>
    <w:rsid w:val="18725427"/>
    <w:rsid w:val="19324550"/>
    <w:rsid w:val="1B2B55D1"/>
    <w:rsid w:val="21EF6C3A"/>
    <w:rsid w:val="254E2FC7"/>
    <w:rsid w:val="25B607B7"/>
    <w:rsid w:val="263C173A"/>
    <w:rsid w:val="27D51569"/>
    <w:rsid w:val="289D055E"/>
    <w:rsid w:val="2C9F197B"/>
    <w:rsid w:val="2CA33441"/>
    <w:rsid w:val="2CE55C20"/>
    <w:rsid w:val="2F287302"/>
    <w:rsid w:val="30426D13"/>
    <w:rsid w:val="3A43255A"/>
    <w:rsid w:val="3D6201A1"/>
    <w:rsid w:val="3EC46785"/>
    <w:rsid w:val="3F8A6044"/>
    <w:rsid w:val="41905C1D"/>
    <w:rsid w:val="43A702D9"/>
    <w:rsid w:val="44592EA4"/>
    <w:rsid w:val="447F4114"/>
    <w:rsid w:val="477245B4"/>
    <w:rsid w:val="49617FA5"/>
    <w:rsid w:val="4D171D42"/>
    <w:rsid w:val="4E4F0BB0"/>
    <w:rsid w:val="51181B78"/>
    <w:rsid w:val="5BE95901"/>
    <w:rsid w:val="60A4759A"/>
    <w:rsid w:val="67705E13"/>
    <w:rsid w:val="6A0A15CD"/>
    <w:rsid w:val="6D452F22"/>
    <w:rsid w:val="6DF352BD"/>
    <w:rsid w:val="705E3E6D"/>
    <w:rsid w:val="71C1048A"/>
    <w:rsid w:val="7396188C"/>
    <w:rsid w:val="73F35F5B"/>
    <w:rsid w:val="79C04582"/>
    <w:rsid w:val="7D1F0DA2"/>
    <w:rsid w:val="7F7D0C75"/>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BodyText"/>
    <w:basedOn w:val="1"/>
    <w:next w:val="11"/>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11">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6122</Words>
  <Characters>6402</Characters>
  <Lines>62</Lines>
  <Paragraphs>17</Paragraphs>
  <TotalTime>732</TotalTime>
  <ScaleCrop>false</ScaleCrop>
  <LinksUpToDate>false</LinksUpToDate>
  <CharactersWithSpaces>7519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一宛西</cp:lastModifiedBy>
  <cp:lastPrinted>2022-10-14T08:13:06Z</cp:lastPrinted>
  <dcterms:modified xsi:type="dcterms:W3CDTF">2022-10-14T08:27:01Z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