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华容县北景港镇人民政府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430623103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10月14日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11"/>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6"/>
        <w:gridCol w:w="1394"/>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易相国</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13974083132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14" w:type="dxa"/>
            <w:gridSpan w:val="14"/>
            <w:vAlign w:val="center"/>
          </w:tcPr>
          <w:p>
            <w:pPr>
              <w:pStyle w:val="10"/>
              <w:widowControl/>
              <w:shd w:val="clear" w:color="auto" w:fill="FFFFFF"/>
              <w:spacing w:beforeAutospacing="0" w:afterAutospacing="0" w:line="33" w:lineRule="atLeast"/>
              <w:ind w:firstLine="320" w:firstLineChars="100"/>
              <w:jc w:val="both"/>
              <w:rPr>
                <w:rFonts w:ascii="仿宋_GB2312" w:eastAsia="仿宋_GB2312" w:cs="仿宋_GB2312"/>
                <w:sz w:val="32"/>
                <w:szCs w:val="32"/>
              </w:rPr>
            </w:pPr>
            <w:r>
              <w:rPr>
                <w:rFonts w:hint="eastAsia" w:ascii="仿宋_GB2312" w:eastAsia="仿宋_GB2312" w:cs="仿宋_GB2312"/>
                <w:sz w:val="32"/>
                <w:szCs w:val="32"/>
              </w:rPr>
              <w:t>（1）乡镇党委主要职责：</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1、贯彻执行党的路线方针政策和上级党组织及本乡党员代表大会（党员大会）的决议。</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2、讨论决定本镇经济建设和社会发展中的重大问题。需由乡镇政权机关或集体经济组织决定的问题，由乡镇政权机关或集体经济组织依照法律和有关规定作出决定。</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3、领导乡镇政权机关和群众组织，支持和保证乡镇政权机关和群众组织依照国家法律及各自章程充分行使职权。</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4、加强镇自身建设和以党支部为核心的村级组织建设。</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5、按照干部管理权限，负责本乡镇干部的教育、培养、选拔和监督工作。协助管理上级有关部门驻乡镇单位的干部。</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6、领导本乡镇社会主义民主法治建设和精神文明建设，做好社会治安综合治理及计划生育工作。</w:t>
            </w:r>
          </w:p>
          <w:p>
            <w:pPr>
              <w:pStyle w:val="10"/>
              <w:widowControl/>
              <w:shd w:val="clear" w:color="auto" w:fill="FFFFFF"/>
              <w:spacing w:beforeAutospacing="0" w:afterAutospacing="0" w:line="33" w:lineRule="atLeast"/>
              <w:ind w:firstLine="320" w:firstLineChars="100"/>
              <w:jc w:val="both"/>
              <w:rPr>
                <w:rFonts w:ascii="仿宋_GB2312" w:eastAsia="仿宋_GB2312" w:cs="仿宋_GB2312"/>
                <w:sz w:val="32"/>
                <w:szCs w:val="32"/>
              </w:rPr>
            </w:pPr>
            <w:r>
              <w:rPr>
                <w:rFonts w:hint="eastAsia" w:ascii="仿宋_GB2312" w:eastAsia="仿宋_GB2312" w:cs="仿宋_GB2312"/>
                <w:sz w:val="32"/>
                <w:szCs w:val="32"/>
              </w:rPr>
              <w:t>（2）乡镇政府主要职责：</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执行本级人民代表大会的决议和上级国家行政机关的决定和命令，发布决定和命令。</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执行本行政区域内的经济和社会发展计划，加强公共设施的建设和管理，发展各项服务事业。</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依法管理本级财政、执行本级预算。</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为群众提供有效的科技、教育、文化、信息、卫生、体育、医疗、劳动就业、安全生产等方面的服务。</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保护国有资产和集体所有的财产，保护公民私人所有的合法财产、保障公民的人身权利、民主权利和其他权利，保护各种组织的合法权益。</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开展社会主义与法治教育，加强社会法治综合治理，调解民事纠纷，维护社会秩序。</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负责民政工作，发展社会福利事业，做好社会保障工作，办理兵役事项。</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承办上级人民政府交办的其他事项。</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设立人民武装部，依法履行国防动员、民兵训练、预备役管理等职能。</w:t>
            </w:r>
          </w:p>
          <w:p>
            <w:pPr>
              <w:keepNext/>
              <w:keepLines/>
              <w:shd w:val="clear" w:color="auto" w:fill="FFFFFF"/>
              <w:autoSpaceDE w:val="0"/>
              <w:autoSpaceDN w:val="0"/>
              <w:adjustRightInd w:val="0"/>
              <w:ind w:firstLine="640" w:firstLineChars="200"/>
              <w:jc w:val="left"/>
              <w:rPr>
                <w:rFonts w:ascii="仿宋_GB2312" w:eastAsia="仿宋_GB2312" w:cs="仿宋_GB2312"/>
                <w:kern w:val="0"/>
                <w:sz w:val="32"/>
                <w:szCs w:val="32"/>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14" w:type="dxa"/>
            <w:gridSpan w:val="14"/>
            <w:vAlign w:val="center"/>
          </w:tcPr>
          <w:p>
            <w:pPr>
              <w:pStyle w:val="10"/>
              <w:widowControl/>
              <w:shd w:val="clear" w:color="auto" w:fill="FFFFFF"/>
              <w:spacing w:beforeAutospacing="0" w:afterAutospacing="0" w:line="33" w:lineRule="atLeast"/>
              <w:jc w:val="both"/>
              <w:rPr>
                <w:rFonts w:ascii="仿宋_GB2312" w:eastAsia="仿宋_GB2312" w:cs="仿宋_GB2312"/>
                <w:sz w:val="32"/>
                <w:szCs w:val="32"/>
              </w:rPr>
            </w:pPr>
            <w:r>
              <w:rPr>
                <w:rFonts w:hint="eastAsia" w:ascii="仿宋_GB2312" w:eastAsia="仿宋_GB2312" w:cs="仿宋_GB2312"/>
                <w:sz w:val="32"/>
                <w:szCs w:val="32"/>
              </w:rPr>
              <w:t>1、完成13公里新景公路重建，硬化（拓宽）组级道路68公里；</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2、南下路维修改造，康乐桥、育婴一桥等7座危桥维修、重建项目先后实施；</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3、完成沙金、联华等7个村1.1万亩“旱改水”，沙金、协和、南顶等5个村高标准农田建设；</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4、推进厕所革命;</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5、全面推广湘莲、稻虾套养，签订生态养殖合同，封停投肥船只，收取水质保证金，严格禁止投肥投饵行为，有效杜绝源头污染;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14" w:type="dxa"/>
            <w:gridSpan w:val="14"/>
            <w:vAlign w:val="center"/>
          </w:tcPr>
          <w:p>
            <w:pPr>
              <w:pStyle w:val="10"/>
              <w:spacing w:beforeAutospacing="0" w:afterAutospacing="0"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景港镇人民政府坚持以习近平新时代中国特色社会主义思想为指导，在县委和镇党委的坚强领导下，团结和依靠全镇人民，全面贯彻新发展理念，坚决落实高质量发展要求，紧紧围绕“工业兴镇、农业强镇、文化建镇、生态立镇”四大战略，狠抓民生实事落实落地，全镇经济社会呈现总体平稳、稳中向好的态势。</w:t>
            </w:r>
          </w:p>
          <w:p>
            <w:pPr>
              <w:keepNext/>
              <w:keepLines/>
              <w:shd w:val="clear" w:color="auto" w:fill="FFFFFF"/>
              <w:autoSpaceDE w:val="0"/>
              <w:autoSpaceDN w:val="0"/>
              <w:adjustRightInd w:val="0"/>
              <w:jc w:val="left"/>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386"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1907.10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429.00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1907.10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429.00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928.71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634.95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293.76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1407.39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928.71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634.95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293.76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1407.39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119.38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119.38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119.38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119.38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3829" w:type="dxa"/>
            <w:gridSpan w:val="5"/>
            <w:vAlign w:val="center"/>
          </w:tcPr>
          <w:p>
            <w:pPr>
              <w:pStyle w:val="10"/>
              <w:widowControl/>
              <w:shd w:val="clear" w:color="auto" w:fill="FFFFFF"/>
              <w:spacing w:beforeAutospacing="0" w:afterAutospacing="0" w:line="33" w:lineRule="atLeast"/>
              <w:rPr>
                <w:rFonts w:ascii="仿宋_GB2312" w:eastAsia="仿宋_GB2312" w:cs="仿宋_GB2312"/>
              </w:rPr>
            </w:pPr>
            <w:r>
              <w:rPr>
                <w:rFonts w:hint="eastAsia" w:ascii="仿宋_GB2312" w:eastAsia="仿宋_GB2312" w:cs="仿宋_GB2312"/>
              </w:rPr>
              <w:t>1、完成13公里新景公路重建，硬化（拓宽）组级道路68公里；</w:t>
            </w:r>
          </w:p>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2、南下路维修改造，康乐桥、育婴一桥等7座危桥维修、重建项目先后实施；</w:t>
            </w:r>
          </w:p>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3、完成沙金、联华等7个村1.1万亩“旱改水”，沙金、协和、南顶等5个村高标准农田建设；</w:t>
            </w:r>
          </w:p>
          <w:p>
            <w:pPr>
              <w:autoSpaceDN w:val="0"/>
              <w:spacing w:line="320" w:lineRule="exact"/>
              <w:jc w:val="left"/>
              <w:textAlignment w:val="center"/>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2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完成沙金、联华等7个村1.1万亩“旱改水”，沙金、协和、南顶等5个村高标准农田建设；</w:t>
            </w:r>
          </w:p>
        </w:tc>
        <w:tc>
          <w:tcPr>
            <w:tcW w:w="2684" w:type="dxa"/>
            <w:gridSpan w:val="6"/>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南下路维修改造，康乐桥、育婴一桥等7座危桥维修、重建项目先后实施；</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完成13公里新景公路重建，硬化（拓宽）组级道路68公里；</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推进厕所革命，累计新建三格式化粪池3322口；</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eastAsia="仿宋_GB2312" w:cs="仿宋_GB2312"/>
                <w:sz w:val="24"/>
              </w:rPr>
              <w:t>全面落实渔民上岸政策，组织渔民再就业培训，落实危改、低保等保障措施，完成29户渔民上岸；</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 w:hAnsi="仿宋" w:eastAsia="仿宋" w:cs="仿宋"/>
                <w:color w:val="000000"/>
                <w:sz w:val="24"/>
              </w:rPr>
            </w:pPr>
            <w:r>
              <w:rPr>
                <w:rFonts w:hint="eastAsia" w:ascii="仿宋_GB2312" w:eastAsia="仿宋_GB2312" w:cs="仿宋_GB2312"/>
                <w:sz w:val="24"/>
              </w:rPr>
              <w:t>加强电商推广，打通农村综合服务“最后一公里”；</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pStyle w:val="10"/>
              <w:widowControl/>
              <w:shd w:val="clear" w:color="auto" w:fill="FFFFFF"/>
              <w:spacing w:beforeAutospacing="0" w:afterAutospacing="0" w:line="33" w:lineRule="atLeast"/>
              <w:jc w:val="both"/>
              <w:rPr>
                <w:rFonts w:ascii="仿宋_GB2312" w:hAnsi="仿宋_GB2312" w:eastAsia="仿宋_GB2312" w:cs="仿宋_GB2312"/>
                <w:color w:val="000000"/>
              </w:rPr>
            </w:pPr>
            <w:r>
              <w:rPr>
                <w:rFonts w:hint="eastAsia" w:ascii="仿宋_GB2312" w:eastAsia="仿宋_GB2312" w:cs="仿宋_GB2312"/>
              </w:rPr>
              <w:t>种植500亩莲藕和100亩黑叶轮藻，增强大湖水质自身调节能力，确保水质持续稳定在Ⅲ类标准以上；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吴仁贵</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纪委书记</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文作友</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党委秘书</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曾鑫</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政府秘书</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易相国</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机关会计</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财政所</w:t>
            </w:r>
            <w:bookmarkStart w:id="0" w:name="_GoBack"/>
            <w:bookmarkEnd w:id="0"/>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13974083132</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华容县北景港镇人民政府</w:t>
            </w:r>
          </w:p>
          <w:p>
            <w:pPr>
              <w:spacing w:line="560" w:lineRule="exact"/>
              <w:jc w:val="center"/>
              <w:rPr>
                <w:rFonts w:ascii="仿宋" w:hAnsi="仿宋" w:eastAsia="仿宋" w:cs="仿宋_GB2312"/>
                <w:b/>
                <w:sz w:val="36"/>
                <w:szCs w:val="36"/>
              </w:rPr>
            </w:pPr>
            <w:r>
              <w:rPr>
                <w:rFonts w:ascii="仿宋" w:hAnsi="仿宋" w:eastAsia="仿宋" w:cs="仿宋_GB2312"/>
                <w:b/>
                <w:sz w:val="36"/>
                <w:szCs w:val="36"/>
              </w:rPr>
              <w:t>20</w:t>
            </w:r>
            <w:r>
              <w:rPr>
                <w:rFonts w:hint="eastAsia" w:ascii="仿宋" w:hAnsi="仿宋" w:eastAsia="仿宋" w:cs="仿宋_GB2312"/>
                <w:b/>
                <w:sz w:val="36"/>
                <w:szCs w:val="36"/>
              </w:rPr>
              <w:t>21年部门整体支出绩效评价报告</w:t>
            </w:r>
          </w:p>
          <w:p>
            <w:pPr>
              <w:spacing w:line="540" w:lineRule="exact"/>
              <w:ind w:firstLine="640" w:firstLineChars="200"/>
              <w:rPr>
                <w:rFonts w:ascii="仿宋_GB2312" w:eastAsia="仿宋_GB2312" w:cs="仿宋_GB2312"/>
                <w:sz w:val="32"/>
                <w:szCs w:val="32"/>
              </w:rPr>
            </w:pP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一、部门概况</w:t>
            </w:r>
          </w:p>
          <w:p>
            <w:pPr>
              <w:spacing w:line="56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（一）部门基本情况</w:t>
            </w:r>
          </w:p>
          <w:p>
            <w:pPr>
              <w:spacing w:line="54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华容县北景港镇人民政府共有镇政府机关、镇财政所、镇农业综合服务中心、镇社会事业综合服务中心、镇退役军人服务站、镇综合行政执法大队、镇水利服务站7个独立核算工作机构。现有人员编制63名（其中：行政编制31名，事业全额编制32名），实有在职干部、职工63人。</w:t>
            </w:r>
          </w:p>
          <w:p>
            <w:pPr>
              <w:numPr>
                <w:ilvl w:val="0"/>
                <w:numId w:val="1"/>
              </w:num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部门整体支出规模、使用方向和主要内容、涉及范围等</w:t>
            </w:r>
          </w:p>
          <w:p>
            <w:pPr>
              <w:spacing w:line="560" w:lineRule="exact"/>
              <w:ind w:firstLine="480" w:firstLineChars="150"/>
              <w:rPr>
                <w:rFonts w:ascii="仿宋_GB2312" w:eastAsia="仿宋_GB2312" w:cs="仿宋_GB2312"/>
                <w:sz w:val="32"/>
                <w:szCs w:val="32"/>
              </w:rPr>
            </w:pPr>
            <w:r>
              <w:rPr>
                <w:rFonts w:hint="eastAsia" w:ascii="仿宋_GB2312" w:eastAsia="仿宋_GB2312" w:cs="仿宋_GB2312"/>
                <w:kern w:val="0"/>
                <w:sz w:val="32"/>
                <w:szCs w:val="32"/>
              </w:rPr>
              <w:t>2021年，县财政下达我单位预算总收入2336.10万元，其中：一般公共预算财政拨款收入1907.10万元，政府性基金收入429.00万元；预算总支出2336.10万元；年末无结余，预算收支平衡。预算拨款总额比2020年增加603.12万元，增加的主要原因政府加大了对农村的投入，项目增加。其中工资福利支出634.95万元，一般商品和服务支出293.76万元，项目支出1407.39万元。资金主要用于：完成13公里新景公路重建，硬化（拓宽）组级道路68公里；南下路维修改造，康乐桥、育婴一桥等7座危桥维修、重建项目先后实施；完成沙金、联华等7个村1.1万亩“旱改水”，沙金、协和、南顶等5个村高标准农田建设；鲤鱼鳃村集中建房示范点项目、</w:t>
            </w:r>
            <w:r>
              <w:rPr>
                <w:rFonts w:hint="eastAsia" w:ascii="仿宋_GB2312" w:eastAsia="仿宋_GB2312" w:cs="仿宋_GB2312"/>
                <w:sz w:val="32"/>
                <w:szCs w:val="32"/>
              </w:rPr>
              <w:t>两湖渍堤整险工程、集镇棚改项目、敬老院维修改造项目、派出所办公大楼维修改造项目、污水处理厂建设项目等相继完工。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二、部门整体支出管理及使用情况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收入情况</w:t>
            </w:r>
            <w:r>
              <w:rPr>
                <w:rFonts w:hint="eastAsia" w:ascii="仿宋_GB2312" w:eastAsia="仿宋_GB2312" w:cs="仿宋_GB2312"/>
                <w:sz w:val="32"/>
                <w:szCs w:val="32"/>
              </w:rPr>
              <w:t>：2021年预算总收入2336.10万元。其中：经费拨款2336.10万元。预算总支出2336.10万元。预算收支平衡。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支出情况</w:t>
            </w:r>
            <w:r>
              <w:rPr>
                <w:rFonts w:hint="eastAsia" w:ascii="仿宋_GB2312" w:eastAsia="仿宋_GB2312" w:cs="仿宋_GB2312"/>
                <w:sz w:val="32"/>
                <w:szCs w:val="32"/>
              </w:rPr>
              <w:t>：2021年预算总支出2336.10万元。其中：工资福利支出634.95万元，一般商品和服务支出293.76万元，项目支出1407.39万元。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“三公经费”支出情况分析</w:t>
            </w:r>
            <w:r>
              <w:rPr>
                <w:rFonts w:hint="eastAsia" w:ascii="仿宋_GB2312" w:eastAsia="仿宋_GB2312" w:cs="仿宋_GB2312"/>
                <w:sz w:val="32"/>
                <w:szCs w:val="32"/>
              </w:rPr>
              <w:t>：2021年华容县北景港镇人民政府“三公经费”实际开支2.60万元。其中公务接待费2.60万元。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b/>
                <w:sz w:val="32"/>
                <w:szCs w:val="32"/>
              </w:rPr>
              <w:t>固定资产管理情况分析</w:t>
            </w:r>
            <w:r>
              <w:rPr>
                <w:rFonts w:hint="eastAsia" w:ascii="仿宋_GB2312" w:eastAsia="仿宋_GB2312" w:cs="仿宋_GB2312"/>
                <w:sz w:val="32"/>
                <w:szCs w:val="32"/>
              </w:rPr>
              <w:t>：按照例行节约，物尽其用的原则，华容县北景港镇人民政府资产管理采取统一建账，统一核算管理，对每件固定资产使用明确保管职责，闲置的资产，由办公室统一调整，合理流动，发挥其效益；至2021年12月有固定资产119.38万元，全部在用，保证了资产的安全高效，防止资产流失。</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（二）专项支出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专项资金安排落实、总投入等情况分析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2021年项目支出为1407.39万元，占总支出的60.25%，主要是项目建设支付的办公费、印刷费、差旅费、会议费、培训费、劳务费、基础设施建设、大型修缮等商品和服务支出。其中商品和服务支出1407.39万元。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专项资金实际使用情况分析</w:t>
            </w:r>
          </w:p>
          <w:p>
            <w:pPr>
              <w:spacing w:line="560" w:lineRule="exact"/>
              <w:ind w:firstLine="588" w:firstLineChars="184"/>
              <w:rPr>
                <w:rFonts w:ascii="仿宋_GB2312" w:eastAsia="仿宋_GB2312" w:cs="仿宋_GB2312"/>
                <w:sz w:val="32"/>
                <w:szCs w:val="32"/>
              </w:rPr>
            </w:pPr>
            <w:r>
              <w:rPr>
                <w:rFonts w:hint="eastAsia" w:ascii="仿宋_GB2312" w:eastAsia="仿宋_GB2312" w:cs="仿宋_GB2312"/>
                <w:sz w:val="32"/>
                <w:szCs w:val="32"/>
              </w:rPr>
              <w:t>2021年专项总收入1407.39万元，专项总支出1407.39万元，收支平衡，无资金结余。</w:t>
            </w:r>
          </w:p>
          <w:p>
            <w:pPr>
              <w:spacing w:line="560" w:lineRule="exact"/>
              <w:ind w:firstLine="640" w:firstLineChars="200"/>
              <w:rPr>
                <w:rFonts w:ascii="仿宋_GB2312" w:eastAsia="仿宋_GB2312" w:cs="仿宋_GB2312"/>
                <w:b/>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专项资金管理情况分析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加强项目资金管理，规范项目资金管理行为，提高项目管理水平及项目资金使用效益，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项目资金严格按指定用途专款专用，实行专项报告制度，并接受财政部门或上级部门的检查、验收。2021年本部门项目支出，基本能够严格按照相关制度规定等进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三、部门专项组织实施情况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（一）专项组织情况分析，主要包括项目招投标、调整、竣工验收等情况</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（二）专项管理情况分析，主要包括项目管理制度建设、日常检查监督管理等情况</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2"/>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部门整体支出绩效情况</w:t>
            </w:r>
          </w:p>
          <w:p>
            <w:pPr>
              <w:shd w:val="clear" w:color="auto" w:fill="FFFFFF"/>
              <w:spacing w:line="6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乡村面貌有新改善。农村环境更加宜居。持续开展农村人居环境集中整治行动，清理垃圾池8000多口，疏浚沟渠560多条。累计种植树木3.1万株，绿化沟渠56.3公里；完成小广场建设9处；治理黑臭水体6处，清退畜禽养殖污染户1户；同步推进厕所革命，累计新建三格式化粪池3322口；实现畜禽粪污资源化利用；深入推进河长制工作，育婴西渠样板河打造被湖南省红网频道作为先进典型大力推介。“两湖”水质更加清澈。大力推进“两湖”周边精养鱼池和耕地种植转型，全面推广湘莲、稻虾套养，签订生态养殖合同，封停投肥船只，收取水质保证金，严格禁止投肥投饵行为，有效杜绝源头污染。种植500亩莲藕和100亩黑叶轮藻，增强大湖水质自身调节能力，确保水质持续稳定在Ⅲ类标准以上。全面落实渔民上岸政策，组织渔民再就业培训，落实危改、低保等保障措施，完成29户渔民上岸。农村建房更加规范。累计拆除“四房”587栋，约5.8万平方米，偏杂房1475间，约3.2万平方米，违建棚亭320处，村容村貌明显改善。按照“新增违建零容忍、存量违建拆除零补偿”的原则，建立健全审批机制，依法办证建房成效明显。加大农村违法建设集中整治力度，共拆除违法建筑9处1240平米，起到了较好的警示作用。</w:t>
            </w:r>
          </w:p>
          <w:p>
            <w:pPr>
              <w:spacing w:line="6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社会事业有新进步。贫困人口全面“清零”。完成易地扶贫搬迁84户，落实危房改造171户；发放教育补助资金102万元；755名贫困人口全部享受医疗一站式结算；产业扶贫资金202.05万元全部到位，实现贫困户全覆盖；提供公益岗位180人次，解决就业138人。全镇贫困人口人均年纯收入从2014年的1582.77元增加到2020年的10797.63元，实现贫困人口全面“清零”。项目建设全面加速。努力克服经济持续下行，政府投资项目持续压减的不利因素，全力争项争资。完成13公里新景公路重建，硬化（拓宽）组级道路68公里；南下路维修改造，康乐桥、育婴一桥等7座危桥维修、重建项目先后实施；完成沙金、联华等7个村1.1万亩“旱改水”，沙金、协和、南顶等5个村高标准农田建设；鲤鱼鳃村集中建房示范点项目、两湖渍堤整险工程、集镇棚改项目、敬老院维修改造项目、派出所办公大楼维修改造项目、污水处理厂建设项目等相继完工。移风易俗全面深入。广泛开展“星级文明户”“最美庭院”“好媳妇好婆婆”等评选活动，广大群众</w:t>
            </w:r>
            <w:r>
              <w:rPr>
                <w:rFonts w:ascii="仿宋_GB2312" w:eastAsia="仿宋_GB2312" w:cs="仿宋_GB2312"/>
                <w:sz w:val="32"/>
                <w:szCs w:val="32"/>
              </w:rPr>
              <w:t>“争做文明户、学习文明户”的良好氛围</w:t>
            </w:r>
            <w:r>
              <w:rPr>
                <w:rFonts w:hint="eastAsia" w:ascii="仿宋_GB2312" w:eastAsia="仿宋_GB2312" w:cs="仿宋_GB2312"/>
                <w:sz w:val="32"/>
                <w:szCs w:val="32"/>
              </w:rPr>
              <w:t>逐步形成</w:t>
            </w:r>
            <w:r>
              <w:rPr>
                <w:rFonts w:ascii="仿宋_GB2312" w:eastAsia="仿宋_GB2312" w:cs="仿宋_GB2312"/>
                <w:sz w:val="32"/>
                <w:szCs w:val="32"/>
              </w:rPr>
              <w:t>。</w:t>
            </w:r>
            <w:r>
              <w:rPr>
                <w:rFonts w:hint="eastAsia" w:ascii="仿宋_GB2312" w:eastAsia="仿宋_GB2312" w:cs="仿宋_GB2312"/>
                <w:sz w:val="32"/>
                <w:szCs w:val="32"/>
              </w:rPr>
              <w:t>大力倡导“鲜花上祭、集体送学、送兵、生态安葬”等文明新风，表彰正面典型，曝光反面案例，加强宣传教育，加大巡察劝导，“婚事新办、丧事简办、其他不办”的文明理念深入人心。</w:t>
            </w:r>
          </w:p>
          <w:p>
            <w:pPr>
              <w:pStyle w:val="2"/>
              <w:ind w:firstLine="320"/>
              <w:rPr>
                <w:rFonts w:ascii="仿宋_GB2312" w:eastAsia="仿宋_GB2312" w:cs="仿宋_GB2312"/>
                <w:sz w:val="32"/>
                <w:szCs w:val="32"/>
              </w:rPr>
            </w:pPr>
            <w:r>
              <w:rPr>
                <w:rFonts w:hint="eastAsia" w:ascii="仿宋_GB2312" w:eastAsia="仿宋_GB2312" w:cs="仿宋_GB2312"/>
                <w:sz w:val="32"/>
                <w:szCs w:val="32"/>
              </w:rPr>
              <w:t xml:space="preserve">  五、存在的主要问题</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 xml:space="preserve"> 1、预算编制工作有待细化。预算编制不够明确和细化，预算编制的合理性需要提高，预算执行力度还要进一步加强。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2、公用经费控制有一定难度，基本为刚性支出。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六、改进措施和有关建议</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针对上述存在的问题及对外整体支出管理工作的需要，拟实施的改进措施如下：</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4、对相关人员加强培训，特别是针对《预算法》、《行政事业单位会计制度》等学习培训，规范部门预算收支核算，切实提高部门预算收支管理水平。 </w:t>
            </w:r>
          </w:p>
          <w:p>
            <w:pPr>
              <w:pStyle w:val="10"/>
              <w:widowControl/>
              <w:shd w:val="clear" w:color="auto" w:fill="FFFFFF"/>
              <w:spacing w:beforeAutospacing="0" w:afterAutospacing="0" w:line="33" w:lineRule="atLeast"/>
              <w:jc w:val="both"/>
              <w:rPr>
                <w:rFonts w:ascii="仿宋_GB2312" w:eastAsia="仿宋_GB2312" w:cs="仿宋_GB2312"/>
                <w:kern w:val="2"/>
                <w:sz w:val="32"/>
                <w:szCs w:val="32"/>
              </w:rPr>
            </w:pPr>
          </w:p>
        </w:tc>
      </w:tr>
    </w:tbl>
    <w:p>
      <w:pPr>
        <w:spacing w:line="348" w:lineRule="auto"/>
        <w:rPr>
          <w:rFonts w:ascii="仿宋_GB2312" w:eastAsia="仿宋_GB2312" w:cs="仿宋_GB2312"/>
          <w:sz w:val="32"/>
          <w:szCs w:val="32"/>
        </w:rPr>
      </w:pPr>
    </w:p>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1"/>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1"/>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w:t>
    </w:r>
    <w:r>
      <w:rPr>
        <w:sz w:val="24"/>
        <w:szCs w:val="24"/>
      </w:rPr>
      <w:fldChar w:fldCharType="end"/>
    </w:r>
    <w:r>
      <w:rPr>
        <w:rStyle w:val="13"/>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17</w:t>
    </w:r>
    <w:r>
      <w:rPr>
        <w:sz w:val="24"/>
        <w:szCs w:val="24"/>
      </w:rPr>
      <w:fldChar w:fldCharType="end"/>
    </w:r>
    <w:r>
      <w:rPr>
        <w:rStyle w:val="13"/>
        <w:rFonts w:hint="eastAsia"/>
        <w:sz w:val="24"/>
        <w:szCs w:val="24"/>
      </w:rPr>
      <w:t xml:space="preserve"> —</w:t>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7A2B9B5A"/>
    <w:multiLevelType w:val="singleLevel"/>
    <w:tmpl w:val="7A2B9B5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E2MzJmZDZjMWYyNjYzMDRhMGE5YjJjOTg4ODEifQ=="/>
  </w:docVars>
  <w:rsids>
    <w:rsidRoot w:val="2CE55C20"/>
    <w:rsid w:val="00030413"/>
    <w:rsid w:val="00245D4A"/>
    <w:rsid w:val="002B6D1D"/>
    <w:rsid w:val="00347106"/>
    <w:rsid w:val="00426ECF"/>
    <w:rsid w:val="004836F9"/>
    <w:rsid w:val="00773F76"/>
    <w:rsid w:val="007B2063"/>
    <w:rsid w:val="008006DF"/>
    <w:rsid w:val="008137C2"/>
    <w:rsid w:val="00845553"/>
    <w:rsid w:val="00A455CA"/>
    <w:rsid w:val="00BA7BA8"/>
    <w:rsid w:val="00C67DA1"/>
    <w:rsid w:val="00C9566A"/>
    <w:rsid w:val="00DC46D3"/>
    <w:rsid w:val="00DF0B13"/>
    <w:rsid w:val="00EA5B0B"/>
    <w:rsid w:val="00F04BFA"/>
    <w:rsid w:val="00FF7E99"/>
    <w:rsid w:val="01C12073"/>
    <w:rsid w:val="083749E7"/>
    <w:rsid w:val="0C5C3A6E"/>
    <w:rsid w:val="0CB679B8"/>
    <w:rsid w:val="0DE528CD"/>
    <w:rsid w:val="0FD100BD"/>
    <w:rsid w:val="10054735"/>
    <w:rsid w:val="12E73478"/>
    <w:rsid w:val="1336279F"/>
    <w:rsid w:val="164906D3"/>
    <w:rsid w:val="16D12757"/>
    <w:rsid w:val="18591495"/>
    <w:rsid w:val="18725427"/>
    <w:rsid w:val="1F3C6017"/>
    <w:rsid w:val="1F4A2055"/>
    <w:rsid w:val="2527620E"/>
    <w:rsid w:val="254E2FC7"/>
    <w:rsid w:val="25B607B7"/>
    <w:rsid w:val="263C173A"/>
    <w:rsid w:val="289D055E"/>
    <w:rsid w:val="2A770606"/>
    <w:rsid w:val="2C0B2FE1"/>
    <w:rsid w:val="2C9F197B"/>
    <w:rsid w:val="2CA33441"/>
    <w:rsid w:val="2CE55C20"/>
    <w:rsid w:val="2F287302"/>
    <w:rsid w:val="30426D13"/>
    <w:rsid w:val="37020C57"/>
    <w:rsid w:val="3A43255A"/>
    <w:rsid w:val="3A6A0AB2"/>
    <w:rsid w:val="3C5140AE"/>
    <w:rsid w:val="3D6201A1"/>
    <w:rsid w:val="3EC46785"/>
    <w:rsid w:val="3F8A6044"/>
    <w:rsid w:val="42AC2663"/>
    <w:rsid w:val="43A702D9"/>
    <w:rsid w:val="44592EA4"/>
    <w:rsid w:val="45A60C70"/>
    <w:rsid w:val="472B7292"/>
    <w:rsid w:val="477245B4"/>
    <w:rsid w:val="49617FA5"/>
    <w:rsid w:val="4B384C42"/>
    <w:rsid w:val="4BAD6FBB"/>
    <w:rsid w:val="4C2E0FB2"/>
    <w:rsid w:val="4D171D42"/>
    <w:rsid w:val="4E4F0BB0"/>
    <w:rsid w:val="534E714B"/>
    <w:rsid w:val="53C75F39"/>
    <w:rsid w:val="561F7B55"/>
    <w:rsid w:val="59A43D8B"/>
    <w:rsid w:val="5AFE0027"/>
    <w:rsid w:val="5BE95901"/>
    <w:rsid w:val="68071BA7"/>
    <w:rsid w:val="6A0A15CD"/>
    <w:rsid w:val="6D452F22"/>
    <w:rsid w:val="6DC85BA0"/>
    <w:rsid w:val="6DF352BD"/>
    <w:rsid w:val="6F306E05"/>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before="100" w:beforeAutospacing="1" w:after="120"/>
    </w:pPr>
  </w:style>
  <w:style w:type="paragraph" w:customStyle="1" w:styleId="4">
    <w:name w:val="正文首行缩进1"/>
    <w:basedOn w:val="1"/>
    <w:qFormat/>
    <w:uiPriority w:val="0"/>
    <w:pPr>
      <w:spacing w:after="120"/>
      <w:ind w:firstLine="420" w:firstLineChars="100"/>
    </w:pPr>
  </w:style>
  <w:style w:type="paragraph" w:styleId="5">
    <w:name w:val="Normal Indent"/>
    <w:basedOn w:val="1"/>
    <w:unhideWhenUsed/>
    <w:qFormat/>
    <w:uiPriority w:val="0"/>
    <w:pPr>
      <w:ind w:firstLine="420" w:firstLineChars="200"/>
    </w:pPr>
    <w:rPr>
      <w:rFonts w:hint="eastAsia"/>
    </w:rPr>
  </w:style>
  <w:style w:type="paragraph" w:styleId="6">
    <w:name w:val="Body Text Indent 2"/>
    <w:basedOn w:val="1"/>
    <w:unhideWhenUsed/>
    <w:qFormat/>
    <w:uiPriority w:val="0"/>
    <w:pPr>
      <w:ind w:firstLine="588" w:firstLineChars="200"/>
    </w:pPr>
    <w:rPr>
      <w:rFonts w:ascii="仿宋_GB2312" w:hAnsi="Calibri" w:eastAsia="仿宋_GB2312"/>
      <w:sz w:val="32"/>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kern w:val="0"/>
      <w:sz w:val="24"/>
    </w:rPr>
  </w:style>
  <w:style w:type="character" w:styleId="13">
    <w:name w:val="page number"/>
    <w:qFormat/>
    <w:uiPriority w:val="0"/>
  </w:style>
  <w:style w:type="character" w:styleId="14">
    <w:name w:val="Hyperlink"/>
    <w:basedOn w:val="12"/>
    <w:qFormat/>
    <w:uiPriority w:val="0"/>
    <w:rPr>
      <w:color w:val="0000FF"/>
      <w:u w:val="single"/>
    </w:rPr>
  </w:style>
  <w:style w:type="paragraph" w:customStyle="1" w:styleId="15">
    <w:name w:val="BodyText"/>
    <w:basedOn w:val="1"/>
    <w:next w:val="1"/>
    <w:qFormat/>
    <w:uiPriority w:val="0"/>
    <w:pPr>
      <w:widowControl/>
      <w:spacing w:before="100" w:beforeAutospacing="1" w:after="120" w:line="560" w:lineRule="exact"/>
      <w:ind w:firstLine="640" w:firstLineChars="200"/>
      <w:textAlignment w:val="baseline"/>
    </w:pPr>
    <w:rPr>
      <w:rFonts w:eastAsia="仿宋_GB2312" w:asciiTheme="minorHAnsi" w:hAnsiTheme="minorHAnsi"/>
      <w:sz w:val="32"/>
      <w:szCs w:val="32"/>
    </w:rPr>
  </w:style>
  <w:style w:type="paragraph" w:customStyle="1" w:styleId="1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1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6953</Words>
  <Characters>7473</Characters>
  <Lines>62</Lines>
  <Paragraphs>17</Paragraphs>
  <TotalTime>1</TotalTime>
  <ScaleCrop>false</ScaleCrop>
  <LinksUpToDate>false</LinksUpToDate>
  <CharactersWithSpaces>8012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2022-10-17T02:04:31Z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