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 xml:space="preserve">华容县工业和信息化局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502001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w:t>
      </w:r>
      <w:r>
        <w:rPr>
          <w:rFonts w:hint="eastAsia" w:eastAsia="仿宋_GB2312"/>
          <w:sz w:val="32"/>
          <w:lang w:val="en-US" w:eastAsia="zh-CN"/>
        </w:rPr>
        <w:t>10</w:t>
      </w:r>
      <w:bookmarkStart w:id="0" w:name="_GoBack"/>
      <w:bookmarkEnd w:id="0"/>
      <w:r>
        <w:rPr>
          <w:rFonts w:hint="eastAsia" w:eastAsia="仿宋_GB2312"/>
          <w:sz w:val="32"/>
        </w:rPr>
        <w:t>月</w:t>
      </w:r>
      <w:r>
        <w:rPr>
          <w:rFonts w:hint="eastAsia" w:eastAsia="仿宋_GB2312"/>
          <w:sz w:val="32"/>
          <w:lang w:val="en-US" w:eastAsia="zh-CN"/>
        </w:rPr>
        <w:t>09</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100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085"/>
        <w:gridCol w:w="60"/>
        <w:gridCol w:w="1080"/>
        <w:gridCol w:w="1479"/>
        <w:gridCol w:w="226"/>
        <w:gridCol w:w="196"/>
        <w:gridCol w:w="259"/>
        <w:gridCol w:w="1080"/>
        <w:gridCol w:w="265"/>
        <w:gridCol w:w="139"/>
        <w:gridCol w:w="316"/>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015"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徐政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321"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13787840371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321"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61"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负责全县工业经济的日常运行调节，拟订全县新型工业化的发展战略、规划和相关政策措施并组织实施，拟订并组织实施工业、信息化的发展专项规划，贯彻落实国家和省、市产业政策。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61"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任务1：落实省工信厅“小升规”企业成长工程，完成新增规模企业14家，规</w:t>
            </w:r>
          </w:p>
          <w:p>
            <w:pPr>
              <w:autoSpaceDN w:val="0"/>
              <w:spacing w:line="320" w:lineRule="exact"/>
              <w:ind w:firstLine="720" w:firstLineChars="3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上工业增加值增幅8.5%。</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任务2：工业投资增长20%。</w:t>
            </w:r>
          </w:p>
          <w:p>
            <w:pPr>
              <w:autoSpaceDN w:val="0"/>
              <w:spacing w:line="320" w:lineRule="exact"/>
              <w:ind w:left="960" w:hanging="960" w:hangingChars="4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任务3：推进产业链建设，重点推进纺织服装、食品加工等传统产业技改扩改、转型升级。</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任务4：加快推动企业“上云上平台”，推动制造业“数字化”转型。</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任务5：强力推进“散乱污”企业整治和砂石骨料行业规范治理。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61"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-12月，全县完成工业总产值690.81亿元，同比增长16.05%；规模工业增加值累计增幅达到9.9%，高于市累计增幅1.5个百分点，排六县市第三名；实现工业税收2.505亿元，同比增长100.4%，排六县市第一名；完成工业投资103亿元，同比增长22.3%，超市平均水平2.4个百分点；并培育新增规模工业企业15家，超额完成市定任务（14家）。已依法依规关停取缔3家“散乱污”企业，完成2家企业提质改造，并率先在全市实行常态化监管；砂石骨料企业已有8家完成规范整改，并已依法依规关停拆除无合法资质的砂石骨料企业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015"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015"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235"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9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695.35</w:t>
            </w: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5.81</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681.28</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9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695.35</w:t>
            </w: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5.81</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681.28</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9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9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9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0015"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60"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40"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40"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696.31</w:t>
            </w: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632.31</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371.58</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260.73</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40"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696.31</w:t>
            </w: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632.31</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371.58</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260.73</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40"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40"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40"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235"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64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2.54</w:t>
            </w: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2.54</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4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2.54</w:t>
            </w: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2.54</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4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4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4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56"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156"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493.95</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493.95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493.95</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493.95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015"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2"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800"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目标1：新增规模企业14家，规上工业增加值增幅8.5%。</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sz w:val="24"/>
              </w:rPr>
              <w:t>工业投资增长20%。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目标3：推进产业链建设，重点推进纺织服装、食品加工等传统产业技改扩改、转型升级。</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目标4：加快推动企业“上云上平台”，推动制造业“数字化”转型。</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目标5：强力推进“散乱污”企业整治和砂石骨料行业规范治理。</w:t>
            </w:r>
          </w:p>
        </w:tc>
        <w:tc>
          <w:tcPr>
            <w:tcW w:w="4800" w:type="dxa"/>
            <w:gridSpan w:val="9"/>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增规模工业企业15家，超额完成市定任务（14家）；完成工业总产值690.81亿元，同比增长16.05%；规模工业增加值累计增幅达到9.9%，高于市累计增幅1.5个百分点，排六县市第三名；实现工业税收2.505亿元，同比增长100.4%，排六县市第一名；完成工业投资103亿元，同比增长22.3%，超市平均水平2.4个百分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63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041"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9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085"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指标1：工业总产值</w:t>
            </w:r>
          </w:p>
        </w:tc>
        <w:tc>
          <w:tcPr>
            <w:tcW w:w="2899"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690.81亿元，同比增长16.05%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9"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085" w:type="dxa"/>
            <w:vMerge w:val="continue"/>
            <w:vAlign w:val="center"/>
          </w:tcPr>
          <w:p>
            <w:pPr>
              <w:spacing w:line="320" w:lineRule="exact"/>
              <w:rPr>
                <w:rFonts w:ascii="仿宋_GB2312" w:hAnsi="仿宋_GB2312" w:eastAsia="仿宋_GB2312" w:cs="仿宋_GB2312"/>
                <w:sz w:val="24"/>
              </w:rPr>
            </w:pP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指标2：规上工业增加值增幅8.5%</w:t>
            </w:r>
          </w:p>
        </w:tc>
        <w:tc>
          <w:tcPr>
            <w:tcW w:w="2899"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规上工业增加值增幅9.9%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085"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指标1：新增规模企业14家</w:t>
            </w:r>
          </w:p>
        </w:tc>
        <w:tc>
          <w:tcPr>
            <w:tcW w:w="2899" w:type="dxa"/>
            <w:gridSpan w:val="6"/>
            <w:vAlign w:val="center"/>
          </w:tcPr>
          <w:p>
            <w:pPr>
              <w:autoSpaceDN w:val="0"/>
              <w:spacing w:line="320" w:lineRule="exac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新增规模工业企业15家，超额完成市定任务（14家）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085" w:type="dxa"/>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指标2：工业投资增长20%</w:t>
            </w:r>
          </w:p>
        </w:tc>
        <w:tc>
          <w:tcPr>
            <w:tcW w:w="2899" w:type="dxa"/>
            <w:gridSpan w:val="6"/>
            <w:vAlign w:val="center"/>
          </w:tcPr>
          <w:p>
            <w:pPr>
              <w:autoSpaceDN w:val="0"/>
              <w:spacing w:line="320" w:lineRule="exac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同比增长22.3%，超市平均水平2.4个百分点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085" w:type="dxa"/>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w:t>
            </w:r>
            <w:r>
              <w:rPr>
                <w:rFonts w:hint="eastAsia" w:ascii="仿宋_GB2312" w:hAnsi="仿宋_GB2312" w:eastAsia="仿宋_GB2312" w:cs="仿宋_GB2312"/>
                <w:sz w:val="24"/>
              </w:rPr>
              <w:t>工业税收</w:t>
            </w:r>
          </w:p>
        </w:tc>
        <w:tc>
          <w:tcPr>
            <w:tcW w:w="2899"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实现工业税收2.505亿元，同比增长100.4%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3"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08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指标1：按时完成</w:t>
            </w:r>
          </w:p>
        </w:tc>
        <w:tc>
          <w:tcPr>
            <w:tcW w:w="2899"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08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指标1：控制在预算内，完成各项工作。</w:t>
            </w:r>
          </w:p>
        </w:tc>
        <w:tc>
          <w:tcPr>
            <w:tcW w:w="2899"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08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指标1：对工业企业长期无条件服务。</w:t>
            </w:r>
          </w:p>
        </w:tc>
        <w:tc>
          <w:tcPr>
            <w:tcW w:w="2899"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08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899"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08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指标1：推进“散乱污”企业整治和砂石骨料行业规范治理</w:t>
            </w:r>
          </w:p>
        </w:tc>
        <w:tc>
          <w:tcPr>
            <w:tcW w:w="2899"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依法依规关停取缔3家“散乱污”企业，完成2家企业提质改造；砂石骨料企业已有8家完成规范整改，并已依法依规关停拆除无合法资质的砂石骨料企业2家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08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指标1：达到满意</w:t>
            </w:r>
          </w:p>
        </w:tc>
        <w:tc>
          <w:tcPr>
            <w:tcW w:w="2899"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满意</w:t>
            </w:r>
          </w:p>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营商环境测评第一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025" w:type="dxa"/>
            <w:gridSpan w:val="12"/>
            <w:vAlign w:val="center"/>
          </w:tcPr>
          <w:p>
            <w:pPr>
              <w:autoSpaceDN w:val="0"/>
              <w:spacing w:line="320" w:lineRule="exact"/>
              <w:ind w:firstLine="2400" w:firstLineChars="10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025" w:type="dxa"/>
            <w:gridSpan w:val="12"/>
            <w:vAlign w:val="center"/>
          </w:tcPr>
          <w:p>
            <w:pPr>
              <w:autoSpaceDN w:val="0"/>
              <w:spacing w:line="320" w:lineRule="exact"/>
              <w:ind w:firstLine="2400" w:firstLineChars="10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0015"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321"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王明东</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总经济师</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工信局</w:t>
            </w:r>
          </w:p>
        </w:tc>
        <w:tc>
          <w:tcPr>
            <w:tcW w:w="3321"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于朝辉</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工信局</w:t>
            </w:r>
          </w:p>
        </w:tc>
        <w:tc>
          <w:tcPr>
            <w:tcW w:w="3321"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徐 政</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工信局</w:t>
            </w:r>
          </w:p>
        </w:tc>
        <w:tc>
          <w:tcPr>
            <w:tcW w:w="3321"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宋有琴</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出纳</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工信局</w:t>
            </w:r>
          </w:p>
        </w:tc>
        <w:tc>
          <w:tcPr>
            <w:tcW w:w="3321"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10015"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10015"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10015"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填报人（签名）：徐政                联系电话：13787840371</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rPr>
                <w:rFonts w:hint="eastAsia" w:ascii="仿宋" w:hAnsi="仿宋" w:eastAsia="仿宋" w:cs="仿宋"/>
                <w:bCs/>
                <w:sz w:val="32"/>
                <w:szCs w:val="32"/>
              </w:rPr>
            </w:pPr>
          </w:p>
          <w:p>
            <w:pPr>
              <w:spacing w:line="54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华容县工业和信息化局</w:t>
            </w:r>
          </w:p>
          <w:p>
            <w:pPr>
              <w:spacing w:line="54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2021年整体支出绩效评价报告</w:t>
            </w:r>
          </w:p>
          <w:p>
            <w:pPr>
              <w:spacing w:line="540" w:lineRule="exact"/>
              <w:ind w:firstLine="3300" w:firstLineChars="750"/>
              <w:rPr>
                <w:rFonts w:hint="eastAsia" w:ascii="方正小标宋简体" w:hAnsi="方正小标宋简体" w:eastAsia="方正小标宋简体" w:cs="方正小标宋简体"/>
                <w:bCs/>
                <w:sz w:val="44"/>
                <w:szCs w:val="44"/>
              </w:rPr>
            </w:pPr>
          </w:p>
          <w:p>
            <w:p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根据《华容县财政局关于开展2021年度财政支出绩效自评工作的通知》(华财函〔2022〕37号)要求，现对华容县工业和信息化局2021年度的部门整体支出开展绩效自评，现将情况汇报如下：</w:t>
            </w:r>
          </w:p>
          <w:p>
            <w:pPr>
              <w:spacing w:line="540" w:lineRule="exact"/>
              <w:ind w:firstLine="643" w:firstLineChars="200"/>
              <w:jc w:val="left"/>
              <w:rPr>
                <w:rFonts w:hint="eastAsia" w:ascii="楷体" w:hAnsi="楷体" w:eastAsia="楷体" w:cs="楷体"/>
                <w:b/>
                <w:sz w:val="32"/>
                <w:szCs w:val="32"/>
              </w:rPr>
            </w:pPr>
            <w:r>
              <w:rPr>
                <w:rFonts w:hint="eastAsia" w:ascii="楷体" w:hAnsi="楷体" w:eastAsia="楷体" w:cs="楷体"/>
                <w:b/>
                <w:sz w:val="32"/>
                <w:szCs w:val="32"/>
              </w:rPr>
              <w:t>一、单位概况</w:t>
            </w:r>
          </w:p>
          <w:p>
            <w:pPr>
              <w:spacing w:line="540" w:lineRule="exact"/>
              <w:ind w:firstLine="472" w:firstLineChars="147"/>
              <w:jc w:val="left"/>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基本情况</w:t>
            </w:r>
          </w:p>
          <w:p>
            <w:pPr>
              <w:shd w:val="solid" w:color="FFFFFF" w:fill="auto"/>
              <w:autoSpaceDN w:val="0"/>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华容县工业和信息化局系财政全额预算拨款单位。2021年编制部门核实人员编制27人，在编人数为31人，其中行政编制11人、实有14人，机关后勤服务事业编制1人、实有2人，县中小企业服务中心全额拨款事业编制15人、实有15人，与财政预算人数相符。</w:t>
            </w:r>
          </w:p>
          <w:p>
            <w:pPr>
              <w:shd w:val="solid" w:color="FFFFFF" w:fill="auto"/>
              <w:autoSpaceDN w:val="0"/>
              <w:spacing w:line="540" w:lineRule="exact"/>
              <w:ind w:firstLine="469" w:firstLineChars="146"/>
              <w:jc w:val="left"/>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主要职能</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1、负责全县工业经济的日常运行调节，编制并组织实施近期工业经济运行调控目标、政策和措施；监测分析近期工业经济运行态势并发布相关信息，进行预测预警和信息引导，统筹协调解决经济运行中的突出矛盾和问题并提出政策建议。</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2、拟订并组织实施工业和信息化的发展专项规划及产业政策；贯彻落实国家、省、市、县有关经济和信息化的方针政策和法律法规；拟订工业和信息化领域的地方配套政策措施，并监督检查执行情况；研究提出推进产业结构调整、工业与相关产业融合发展及管理创新的政策建议；指导工业和信息化领域加强安全生产、质量管理和应急管理工作。</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3、拟订全县新型工业化的发展战略、规划和相关政策措施并组织实施；负责组织协调全县培育发展战略性新兴产业和工业新兴优势产业链发展工作；综合管理全县工业经济，指导、协调和服务工业企业；推进信息化和工业化融合，推进高新技术与传统工业改造结合；推进全县国民经济和社会信息化。</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4、负责工业和信息化领域的国防动员有关工作；指导工业和信息化领域技术进步、技术创新；推进工业行业体制改革和管理创新，推进产学研结合和科研成果产业化；编制和组织实施技术改造规划，提出工业和信息化固定资产投资规模和方向；负责工业领域招商引资工作，抓好重大工业项目的督查与协调。</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5、贯彻落实《中华人民共和国中小企业促进法》，负责中小企业和非公有制经济发展的宏观指导；制订全县中小企业和非公有制经济中长期发展规划并组织实施；推进中小企业服务体系建设和全民创业；综合协调有关部门拟订促进中小企业和非公有制经济发展的改革措施，协调解决有关重大问题。</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6、负责工业节能工作，参与拟订能源节约和资源综合利用规划；承担工业企业的节能考核和监察工作；组织推进清洁生产工作；组织协调相关重大示范工程和相关新产品、新技术、新设备、新材料的推广应用；负责电力行政管理工作。</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7、对涉及工业和信息化领域相关法律法规的执行情况进行监督检查；协调减轻企业负担工作。</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8、贯彻落实《湖南省信息化管理条例》，统筹推进经济和社会信息化工作；推动跨行业、跨部门的互联互通和重要信息资源的开发利用、共享；推进全县信息化建设；协调全县公用通信网、互联网、广播电视网和其他专用通信网的规划和建设，促进网络资源共享；依法监督管理信息服务市场。</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9、拟订全县信息化安全发展战略、规划，指导、协调信息安全保障体系建设；指导监督政府部门、重点行业重要信息系统与基础信息网络的安全保障工作；协助处理网络与信息安全的重大事件。</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10、综合协调工业经济运行中与铁路、公路、水运、管道运输及电力、通信（含邮政）有关的重大问题；负责经济运行保障要素的综合协调工作；指导生产企业物流外包，促进企业内部物流社会化。</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11、负责推动软件业和信息化服务业的发展，协调解决重大问题；推动软件公共服务体系建设，推进软件服务外包；指导、协调技术开发和相关产业发展。</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12、负责全县民用爆炸物品销售企业的销售许可、生产企业的安全生产许可初审有关工作和安全生产监督管理，依法查处生产、销售民用爆炸物品的违法行为；指导协调并监督检查县内武器装备科研生产单位安全生产、保密、保卫和维护稳定工作。</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13、负责国防科技工业的综合协调和管理，组织推进军民两用技术双向转移及产业化工作。</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14、指导、协调全县工业和信息化领域的对外交流与合作;指导全县工业和信息化领域人才开发与培训工作。</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15、参与全县稀土行业管理；指导、协调全县砂石骨料行业规范管理，依法监督检查县内砂石骨料企业执行规范条件情况。</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16、完成上级交办的其他任务。</w:t>
            </w:r>
          </w:p>
          <w:p>
            <w:pPr>
              <w:spacing w:line="540" w:lineRule="exact"/>
              <w:ind w:firstLine="472" w:firstLineChars="147"/>
              <w:jc w:val="lef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（三）本年度重点工作计划</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2021年新增规模企业14家，规上工业增加值增幅8.5%，工业投资增长20%，推进产业链建设，重点推进纺织服装、食品加工等传统产业技改扩改、转型升级，加快推动企业“上云上平台”，推动制造业“数字化”转型，强力推进“散乱污”企业整治和砂石骨料行业规范治理。</w:t>
            </w:r>
          </w:p>
          <w:p>
            <w:pPr>
              <w:spacing w:line="540" w:lineRule="exact"/>
              <w:ind w:firstLine="643" w:firstLineChars="200"/>
              <w:jc w:val="left"/>
              <w:rPr>
                <w:rFonts w:hint="eastAsia" w:ascii="楷体" w:hAnsi="楷体" w:eastAsia="楷体" w:cs="楷体"/>
                <w:b/>
                <w:sz w:val="32"/>
                <w:szCs w:val="32"/>
              </w:rPr>
            </w:pPr>
            <w:r>
              <w:rPr>
                <w:rFonts w:hint="eastAsia" w:ascii="楷体" w:hAnsi="楷体" w:eastAsia="楷体" w:cs="楷体"/>
                <w:b/>
                <w:sz w:val="32"/>
                <w:szCs w:val="32"/>
              </w:rPr>
              <w:t>二、单位整体支出管理及使用情况</w:t>
            </w:r>
          </w:p>
          <w:p>
            <w:pPr>
              <w:adjustRightInd w:val="0"/>
              <w:snapToGrid w:val="0"/>
              <w:spacing w:line="540" w:lineRule="exact"/>
              <w:ind w:left="17" w:leftChars="8" w:firstLine="716" w:firstLineChars="223"/>
              <w:jc w:val="left"/>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整体收支情况：</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（1）收入情况：全年总收入695.35万元，其中上年结转5.81万元，财政年初预算拨款681.28万元，其他收入8.26万元。</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（2）支出情况:全年总支出696.31万元， 其中：工资福利支出322.66万元，商品和服务支出249.73万元，对个人和家庭补助支出48.92万元，对企业补助75万元。</w:t>
            </w:r>
          </w:p>
          <w:p>
            <w:pPr>
              <w:spacing w:line="540" w:lineRule="exact"/>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rPr>
              <w:t>2.三公经费支出情况：</w:t>
            </w:r>
            <w:r>
              <w:rPr>
                <w:rFonts w:hint="eastAsia" w:ascii="仿宋" w:hAnsi="仿宋" w:eastAsia="仿宋" w:cs="仿宋"/>
                <w:sz w:val="32"/>
                <w:szCs w:val="32"/>
              </w:rPr>
              <w:t>2020年部门 “三公”经费”支出2.54万元。其中公务接待费2.54万元。</w:t>
            </w:r>
          </w:p>
          <w:p>
            <w:pPr>
              <w:adjustRightInd w:val="0"/>
              <w:snapToGrid w:val="0"/>
              <w:spacing w:line="540" w:lineRule="exact"/>
              <w:ind w:left="17" w:leftChars="8" w:firstLine="716" w:firstLineChars="223"/>
              <w:jc w:val="left"/>
              <w:rPr>
                <w:rFonts w:hint="eastAsia" w:ascii="仿宋" w:hAnsi="仿宋" w:eastAsia="仿宋" w:cs="仿宋"/>
                <w:b/>
                <w:bCs/>
                <w:color w:val="FF0000"/>
                <w:sz w:val="32"/>
                <w:szCs w:val="32"/>
              </w:rPr>
            </w:pPr>
            <w:r>
              <w:rPr>
                <w:rFonts w:hint="eastAsia" w:ascii="仿宋" w:hAnsi="仿宋" w:eastAsia="仿宋" w:cs="仿宋"/>
                <w:b/>
                <w:bCs/>
                <w:sz w:val="32"/>
                <w:szCs w:val="32"/>
              </w:rPr>
              <w:t>3.专项支出情况：</w:t>
            </w:r>
            <w:r>
              <w:rPr>
                <w:rFonts w:hint="eastAsia" w:ascii="仿宋" w:hAnsi="仿宋" w:eastAsia="仿宋" w:cs="仿宋"/>
                <w:sz w:val="32"/>
                <w:szCs w:val="32"/>
              </w:rPr>
              <w:t>2021年专项支出</w:t>
            </w:r>
            <w:r>
              <w:rPr>
                <w:rFonts w:hint="eastAsia" w:ascii="仿宋" w:hAnsi="仿宋" w:eastAsia="仿宋" w:cs="仿宋"/>
                <w:color w:val="000000"/>
                <w:sz w:val="32"/>
                <w:szCs w:val="32"/>
              </w:rPr>
              <w:t>64</w:t>
            </w:r>
            <w:r>
              <w:rPr>
                <w:rFonts w:hint="eastAsia" w:ascii="仿宋" w:hAnsi="仿宋" w:eastAsia="仿宋" w:cs="仿宋"/>
                <w:sz w:val="32"/>
                <w:szCs w:val="32"/>
              </w:rPr>
              <w:t>万元，其中制造强省专项资金（转型升级项目）40万元，2020年度“四上”单位市级奖补资金24万。</w:t>
            </w:r>
          </w:p>
          <w:p>
            <w:pPr>
              <w:adjustRightInd w:val="0"/>
              <w:snapToGrid w:val="0"/>
              <w:spacing w:line="540" w:lineRule="exact"/>
              <w:ind w:left="17" w:leftChars="8" w:firstLine="716" w:firstLineChars="223"/>
              <w:jc w:val="left"/>
              <w:rPr>
                <w:rFonts w:hint="eastAsia" w:ascii="仿宋" w:hAnsi="仿宋" w:eastAsia="仿宋" w:cs="仿宋"/>
                <w:b/>
                <w:bCs w:val="0"/>
                <w:sz w:val="32"/>
                <w:szCs w:val="32"/>
              </w:rPr>
            </w:pPr>
            <w:r>
              <w:rPr>
                <w:rFonts w:hint="eastAsia" w:ascii="楷体" w:hAnsi="楷体" w:eastAsia="楷体" w:cs="楷体"/>
                <w:b/>
                <w:bCs w:val="0"/>
                <w:sz w:val="32"/>
                <w:szCs w:val="32"/>
              </w:rPr>
              <w:t>三、单位专项组织实施情况</w:t>
            </w:r>
          </w:p>
          <w:p>
            <w:pPr>
              <w:shd w:val="solid" w:color="FFFFFF" w:fill="auto"/>
              <w:autoSpaceDN w:val="0"/>
              <w:spacing w:line="540" w:lineRule="exact"/>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r>
              <w:rPr>
                <w:rFonts w:hint="eastAsia" w:ascii="仿宋" w:hAnsi="仿宋" w:eastAsia="仿宋" w:cs="仿宋"/>
                <w:b/>
                <w:bCs/>
                <w:sz w:val="32"/>
                <w:szCs w:val="32"/>
                <w:shd w:val="clear" w:color="auto" w:fill="FFFFFF"/>
              </w:rPr>
              <w:t>1</w:t>
            </w:r>
            <w:r>
              <w:rPr>
                <w:rFonts w:hint="eastAsia" w:ascii="仿宋" w:hAnsi="仿宋" w:eastAsia="仿宋" w:cs="仿宋"/>
                <w:b/>
                <w:sz w:val="32"/>
                <w:szCs w:val="32"/>
                <w:shd w:val="clear" w:color="auto" w:fill="FFFFFF"/>
              </w:rPr>
              <w:t>.前期准备：</w:t>
            </w:r>
            <w:r>
              <w:rPr>
                <w:rFonts w:hint="eastAsia" w:ascii="仿宋" w:hAnsi="仿宋" w:eastAsia="仿宋" w:cs="仿宋"/>
                <w:sz w:val="32"/>
                <w:szCs w:val="32"/>
              </w:rPr>
              <w:t>按照绩效自评工作要求，组成以宋传兵同志为组长的绩效评价工作小组，对相关的国家法律法规进行了认真学习，掌握政策，根据部门整体收支情况制定了部门整体支出绩效评价实施方案，设计了绩效评价指标体系。</w:t>
            </w:r>
          </w:p>
          <w:p>
            <w:pPr>
              <w:shd w:val="solid" w:color="FFFFFF" w:fill="auto"/>
              <w:autoSpaceDN w:val="0"/>
              <w:spacing w:line="540" w:lineRule="exact"/>
              <w:jc w:val="left"/>
              <w:rPr>
                <w:rFonts w:hint="eastAsia" w:ascii="仿宋" w:hAnsi="仿宋" w:eastAsia="仿宋" w:cs="仿宋"/>
                <w:sz w:val="32"/>
                <w:szCs w:val="32"/>
              </w:rPr>
            </w:pPr>
            <w:r>
              <w:rPr>
                <w:rFonts w:hint="eastAsia" w:ascii="仿宋" w:hAnsi="仿宋" w:eastAsia="仿宋" w:cs="仿宋"/>
                <w:sz w:val="32"/>
                <w:szCs w:val="32"/>
                <w:shd w:val="clear" w:color="auto" w:fill="FFFFFF"/>
              </w:rPr>
              <w:t xml:space="preserve">    </w:t>
            </w:r>
            <w:r>
              <w:rPr>
                <w:rFonts w:hint="eastAsia" w:ascii="仿宋" w:hAnsi="仿宋" w:eastAsia="仿宋" w:cs="仿宋"/>
                <w:b/>
                <w:bCs/>
                <w:sz w:val="32"/>
                <w:szCs w:val="32"/>
                <w:shd w:val="clear" w:color="auto" w:fill="FFFFFF"/>
              </w:rPr>
              <w:t>2.</w:t>
            </w:r>
            <w:r>
              <w:rPr>
                <w:rFonts w:hint="eastAsia" w:ascii="仿宋" w:hAnsi="仿宋" w:eastAsia="仿宋" w:cs="仿宋"/>
                <w:b/>
                <w:sz w:val="32"/>
                <w:szCs w:val="32"/>
                <w:shd w:val="clear" w:color="auto" w:fill="FFFFFF"/>
              </w:rPr>
              <w:t>组织实施：</w:t>
            </w:r>
            <w:r>
              <w:rPr>
                <w:rFonts w:hint="eastAsia" w:ascii="仿宋" w:hAnsi="仿宋" w:eastAsia="仿宋" w:cs="仿宋"/>
                <w:sz w:val="32"/>
                <w:szCs w:val="32"/>
              </w:rPr>
              <w:t>采用核查法核查2021年同级财政预算批复执行及部门整体支出情况，着重核查了“三公”经费及资产管理、内部控制制度情况，对内设机构，根据部门职能和年初制定的绩效考核目标，进行了实地绩效考评。</w:t>
            </w:r>
          </w:p>
          <w:p>
            <w:pPr>
              <w:shd w:val="solid" w:color="FFFFFF" w:fill="auto"/>
              <w:autoSpaceDN w:val="0"/>
              <w:spacing w:line="54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shd w:val="clear" w:color="auto" w:fill="FFFFFF"/>
              </w:rPr>
              <w:t>3.</w:t>
            </w:r>
            <w:r>
              <w:rPr>
                <w:rFonts w:hint="eastAsia" w:ascii="仿宋" w:hAnsi="仿宋" w:eastAsia="仿宋" w:cs="仿宋"/>
                <w:b/>
                <w:sz w:val="32"/>
                <w:szCs w:val="32"/>
                <w:shd w:val="clear" w:color="auto" w:fill="FFFFFF"/>
              </w:rPr>
              <w:t>分析评价：</w:t>
            </w:r>
            <w:r>
              <w:rPr>
                <w:rFonts w:hint="eastAsia" w:ascii="仿宋" w:hAnsi="仿宋" w:eastAsia="仿宋" w:cs="仿宋"/>
                <w:sz w:val="32"/>
                <w:szCs w:val="32"/>
              </w:rPr>
              <w:t>对评价过程中收集资料进行归纳，汇总分析，依据设定的部门整体支出绩效评价指标体系进行了评分，形成了综合性书面报告。</w:t>
            </w:r>
          </w:p>
          <w:p>
            <w:pPr>
              <w:adjustRightInd w:val="0"/>
              <w:snapToGrid w:val="0"/>
              <w:spacing w:line="540" w:lineRule="exact"/>
              <w:ind w:left="17" w:leftChars="8" w:firstLine="716" w:firstLineChars="223"/>
              <w:jc w:val="left"/>
              <w:rPr>
                <w:rFonts w:hint="eastAsia" w:ascii="楷体" w:hAnsi="楷体" w:eastAsia="楷体" w:cs="楷体"/>
                <w:b/>
                <w:bCs w:val="0"/>
                <w:sz w:val="32"/>
                <w:szCs w:val="32"/>
              </w:rPr>
            </w:pPr>
            <w:r>
              <w:rPr>
                <w:rFonts w:hint="eastAsia" w:ascii="楷体" w:hAnsi="楷体" w:eastAsia="楷体" w:cs="楷体"/>
                <w:b/>
                <w:bCs w:val="0"/>
                <w:sz w:val="32"/>
                <w:szCs w:val="32"/>
                <w:lang w:val="en-US" w:eastAsia="zh-CN"/>
              </w:rPr>
              <w:t>四</w:t>
            </w:r>
            <w:r>
              <w:rPr>
                <w:rFonts w:hint="eastAsia" w:ascii="楷体" w:hAnsi="楷体" w:eastAsia="楷体" w:cs="楷体"/>
                <w:b/>
                <w:bCs w:val="0"/>
                <w:sz w:val="32"/>
                <w:szCs w:val="32"/>
              </w:rPr>
              <w:t>、</w:t>
            </w:r>
            <w:r>
              <w:rPr>
                <w:rFonts w:hint="eastAsia" w:ascii="楷体" w:hAnsi="楷体" w:eastAsia="楷体" w:cs="楷体"/>
                <w:b/>
                <w:bCs w:val="0"/>
                <w:sz w:val="32"/>
                <w:szCs w:val="32"/>
                <w:lang w:val="en-US" w:eastAsia="zh-CN"/>
              </w:rPr>
              <w:t>单位</w:t>
            </w:r>
            <w:r>
              <w:rPr>
                <w:rFonts w:hint="eastAsia" w:ascii="楷体" w:hAnsi="楷体" w:eastAsia="楷体" w:cs="楷体"/>
                <w:b/>
                <w:bCs w:val="0"/>
                <w:sz w:val="32"/>
                <w:szCs w:val="32"/>
              </w:rPr>
              <w:t>整体支出</w:t>
            </w:r>
            <w:r>
              <w:rPr>
                <w:rFonts w:hint="eastAsia" w:ascii="楷体" w:hAnsi="楷体" w:eastAsia="楷体" w:cs="楷体"/>
                <w:b/>
                <w:bCs w:val="0"/>
                <w:sz w:val="32"/>
                <w:szCs w:val="32"/>
                <w:lang w:val="en-US" w:eastAsia="zh-CN"/>
              </w:rPr>
              <w:t>绩效</w:t>
            </w:r>
            <w:r>
              <w:rPr>
                <w:rFonts w:hint="eastAsia" w:ascii="楷体" w:hAnsi="楷体" w:eastAsia="楷体" w:cs="楷体"/>
                <w:b/>
                <w:bCs w:val="0"/>
                <w:sz w:val="32"/>
                <w:szCs w:val="32"/>
              </w:rPr>
              <w:t>情况</w:t>
            </w:r>
          </w:p>
          <w:p>
            <w:pPr>
              <w:shd w:val="solid" w:color="FFFFFF" w:fill="auto"/>
              <w:autoSpaceDN w:val="0"/>
              <w:spacing w:line="540" w:lineRule="exact"/>
              <w:ind w:firstLine="482" w:firstLineChars="150"/>
              <w:rPr>
                <w:rFonts w:hint="eastAsia" w:ascii="仿宋" w:hAnsi="仿宋" w:eastAsia="仿宋" w:cs="仿宋"/>
                <w:b/>
                <w:bCs/>
                <w:sz w:val="32"/>
                <w:szCs w:val="32"/>
              </w:rPr>
            </w:pPr>
            <w:r>
              <w:rPr>
                <w:rFonts w:hint="eastAsia" w:ascii="仿宋" w:hAnsi="仿宋" w:eastAsia="仿宋" w:cs="仿宋"/>
                <w:b/>
                <w:bCs/>
                <w:sz w:val="32"/>
                <w:szCs w:val="32"/>
                <w:shd w:val="clear" w:color="auto" w:fill="FFFFFF"/>
              </w:rPr>
              <w:t>（一）</w:t>
            </w:r>
            <w:r>
              <w:rPr>
                <w:rFonts w:hint="eastAsia" w:ascii="仿宋" w:hAnsi="仿宋" w:eastAsia="仿宋" w:cs="仿宋"/>
                <w:b/>
                <w:bCs/>
                <w:sz w:val="32"/>
                <w:szCs w:val="32"/>
                <w:shd w:val="clear" w:color="auto" w:fill="FFFFFF"/>
                <w:lang w:val="en-US" w:eastAsia="zh-CN"/>
              </w:rPr>
              <w:t>单位</w:t>
            </w:r>
            <w:r>
              <w:rPr>
                <w:rFonts w:hint="eastAsia" w:ascii="仿宋" w:hAnsi="仿宋" w:eastAsia="仿宋" w:cs="仿宋"/>
                <w:b/>
                <w:bCs/>
                <w:sz w:val="32"/>
                <w:szCs w:val="32"/>
              </w:rPr>
              <w:t>整体支出情况分析</w:t>
            </w:r>
          </w:p>
          <w:p>
            <w:pPr>
              <w:shd w:val="solid" w:color="FFFFFF" w:fill="auto"/>
              <w:autoSpaceDN w:val="0"/>
              <w:spacing w:line="540" w:lineRule="exact"/>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shd w:val="clear" w:color="auto" w:fill="FFFFFF"/>
              </w:rPr>
              <w:t>1.整体支出情况分析</w:t>
            </w:r>
            <w:r>
              <w:rPr>
                <w:rFonts w:hint="eastAsia" w:ascii="仿宋" w:hAnsi="仿宋" w:eastAsia="仿宋" w:cs="仿宋"/>
                <w:sz w:val="32"/>
                <w:szCs w:val="32"/>
                <w:shd w:val="clear" w:color="auto" w:fill="FFFFFF"/>
              </w:rPr>
              <w:t>：</w:t>
            </w:r>
            <w:r>
              <w:rPr>
                <w:rFonts w:hint="eastAsia" w:ascii="仿宋" w:hAnsi="仿宋" w:eastAsia="仿宋" w:cs="仿宋"/>
                <w:sz w:val="32"/>
                <w:szCs w:val="32"/>
              </w:rPr>
              <w:t>2021年整体支出</w:t>
            </w:r>
            <w:r>
              <w:rPr>
                <w:rFonts w:hint="eastAsia" w:ascii="仿宋" w:hAnsi="仿宋" w:eastAsia="仿宋" w:cs="仿宋"/>
                <w:color w:val="000000"/>
                <w:sz w:val="32"/>
                <w:szCs w:val="32"/>
              </w:rPr>
              <w:t>696.31</w:t>
            </w:r>
            <w:r>
              <w:rPr>
                <w:rFonts w:hint="eastAsia" w:ascii="仿宋" w:hAnsi="仿宋" w:eastAsia="仿宋" w:cs="仿宋"/>
                <w:sz w:val="32"/>
                <w:szCs w:val="32"/>
              </w:rPr>
              <w:t>万元，其中基本支出632.31万元，占总支出90.81%，人员支出371.58万元，占基本支出58.77%，公用支出260.73万元，占基本支出41.23%，项目支出64万元，占总支出9.2% 。</w:t>
            </w:r>
          </w:p>
          <w:p>
            <w:pPr>
              <w:tabs>
                <w:tab w:val="center" w:pos="4153"/>
              </w:tabs>
              <w:spacing w:line="540" w:lineRule="exact"/>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rPr>
              <w:t>2</w:t>
            </w:r>
            <w:r>
              <w:rPr>
                <w:rFonts w:hint="eastAsia" w:ascii="仿宋" w:hAnsi="仿宋" w:eastAsia="仿宋" w:cs="仿宋"/>
                <w:sz w:val="32"/>
                <w:szCs w:val="32"/>
              </w:rPr>
              <w:t>.</w:t>
            </w:r>
            <w:r>
              <w:rPr>
                <w:rFonts w:hint="eastAsia" w:ascii="仿宋" w:hAnsi="仿宋" w:eastAsia="仿宋" w:cs="仿宋"/>
                <w:b/>
                <w:sz w:val="32"/>
                <w:szCs w:val="32"/>
              </w:rPr>
              <w:t>“三公</w:t>
            </w:r>
            <w:r>
              <w:rPr>
                <w:rFonts w:hint="eastAsia" w:ascii="仿宋" w:hAnsi="仿宋" w:eastAsia="仿宋" w:cs="仿宋"/>
                <w:b/>
                <w:bCs/>
                <w:sz w:val="32"/>
                <w:szCs w:val="32"/>
              </w:rPr>
              <w:t>经费”支出情况分析：</w:t>
            </w:r>
            <w:r>
              <w:rPr>
                <w:rFonts w:hint="eastAsia" w:ascii="仿宋" w:hAnsi="仿宋" w:eastAsia="仿宋" w:cs="仿宋"/>
                <w:sz w:val="32"/>
                <w:szCs w:val="32"/>
              </w:rPr>
              <w:t>2021年华容县工信局“三公经费”预算拨入2.54万元，实际开支2.54万元。其中公务接待费2.54万元。</w:t>
            </w:r>
          </w:p>
          <w:p>
            <w:pPr>
              <w:tabs>
                <w:tab w:val="center" w:pos="4153"/>
              </w:tabs>
              <w:spacing w:line="54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3.固定资产管理情况分析</w:t>
            </w:r>
            <w:r>
              <w:rPr>
                <w:rFonts w:hint="eastAsia" w:ascii="仿宋" w:hAnsi="仿宋" w:eastAsia="仿宋" w:cs="仿宋"/>
                <w:sz w:val="32"/>
                <w:szCs w:val="32"/>
              </w:rPr>
              <w:t>：按照例行节约，物尽其用的原则，部门资产管理采取统一建账，统一核算管理，对每件固定资产使用明确保管职责，闲置的资产，由办公室统一调整，合理流动，发挥其效益；至2021年12月末固定资产493.95万元。</w:t>
            </w:r>
          </w:p>
          <w:p>
            <w:pPr>
              <w:tabs>
                <w:tab w:val="center" w:pos="4153"/>
              </w:tabs>
              <w:spacing w:line="540" w:lineRule="exact"/>
              <w:ind w:firstLine="643" w:firstLineChars="200"/>
              <w:jc w:val="left"/>
              <w:rPr>
                <w:rFonts w:hint="eastAsia" w:ascii="仿宋" w:hAnsi="仿宋" w:eastAsia="仿宋" w:cs="仿宋"/>
                <w:b/>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整体支出管理情况分析</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2.财务管理上，按照国家相关法律法规，制定了机关财务、公物购置使用、接待等管理制度，并严格按照制度管理和执行，防范风险，保证财政资金的安全和高效运行。</w:t>
            </w:r>
          </w:p>
          <w:p>
            <w:pPr>
              <w:tabs>
                <w:tab w:val="center" w:pos="4153"/>
              </w:tabs>
              <w:spacing w:line="540" w:lineRule="exact"/>
              <w:ind w:firstLine="643" w:firstLineChars="200"/>
              <w:jc w:val="left"/>
              <w:rPr>
                <w:rFonts w:hint="eastAsia" w:ascii="仿宋" w:hAnsi="仿宋" w:eastAsia="仿宋" w:cs="仿宋"/>
                <w:b/>
                <w:sz w:val="32"/>
                <w:szCs w:val="32"/>
                <w:lang w:val="en-US" w:eastAsia="zh-CN"/>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整体支出</w:t>
            </w:r>
            <w:r>
              <w:rPr>
                <w:rFonts w:hint="eastAsia" w:ascii="仿宋" w:hAnsi="仿宋" w:eastAsia="仿宋" w:cs="仿宋"/>
                <w:b/>
                <w:bCs/>
                <w:sz w:val="32"/>
                <w:szCs w:val="32"/>
                <w:lang w:val="en-US" w:eastAsia="zh-CN"/>
              </w:rPr>
              <w:t>绩效</w:t>
            </w:r>
            <w:r>
              <w:rPr>
                <w:rFonts w:hint="eastAsia" w:ascii="仿宋" w:hAnsi="仿宋" w:eastAsia="仿宋" w:cs="仿宋"/>
                <w:b/>
                <w:bCs/>
                <w:sz w:val="32"/>
                <w:szCs w:val="32"/>
              </w:rPr>
              <w:t>情况</w:t>
            </w:r>
            <w:r>
              <w:rPr>
                <w:rFonts w:hint="eastAsia" w:ascii="仿宋" w:hAnsi="仿宋" w:eastAsia="仿宋" w:cs="仿宋"/>
                <w:b/>
                <w:bCs/>
                <w:sz w:val="32"/>
                <w:szCs w:val="32"/>
                <w:lang w:val="en-US" w:eastAsia="zh-CN"/>
              </w:rPr>
              <w:t>分析</w:t>
            </w:r>
          </w:p>
          <w:p>
            <w:pPr>
              <w:spacing w:line="540" w:lineRule="exact"/>
              <w:ind w:firstLine="643" w:firstLineChars="200"/>
              <w:rPr>
                <w:rFonts w:hint="eastAsia" w:ascii="仿宋" w:hAnsi="仿宋" w:eastAsia="仿宋" w:cs="仿宋"/>
                <w:b/>
                <w:bCs/>
                <w:sz w:val="32"/>
                <w:szCs w:val="32"/>
              </w:rPr>
            </w:pPr>
            <w:r>
              <w:rPr>
                <w:rFonts w:hint="eastAsia" w:ascii="仿宋" w:hAnsi="仿宋" w:eastAsia="仿宋" w:cs="仿宋"/>
                <w:b/>
                <w:bCs/>
                <w:color w:val="000000"/>
                <w:sz w:val="32"/>
                <w:szCs w:val="32"/>
                <w:lang w:val="en-US" w:eastAsia="zh-CN"/>
              </w:rPr>
              <w:t>1.</w:t>
            </w:r>
            <w:r>
              <w:rPr>
                <w:rFonts w:hint="eastAsia" w:ascii="仿宋" w:hAnsi="仿宋" w:eastAsia="仿宋" w:cs="仿宋"/>
                <w:b/>
                <w:bCs/>
                <w:sz w:val="32"/>
                <w:szCs w:val="32"/>
              </w:rPr>
              <w:t>部门整体支出绩效评价目的</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通过对2021年华容县工信局的预算配置、预算管理、资产管理、职责履行、履职效益等内容的绩效考评，提高财政资金的使用效率，为财政部门预算管理提供决策依据。</w:t>
            </w:r>
          </w:p>
          <w:p>
            <w:pPr>
              <w:shd w:val="solid" w:color="FFFFFF" w:fill="auto"/>
              <w:autoSpaceDN w:val="0"/>
              <w:spacing w:line="540" w:lineRule="exact"/>
              <w:ind w:firstLine="643" w:firstLineChars="200"/>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lang w:val="en-US" w:eastAsia="zh-CN"/>
              </w:rPr>
              <w:t>2.</w:t>
            </w:r>
            <w:r>
              <w:rPr>
                <w:rFonts w:hint="eastAsia" w:ascii="仿宋" w:hAnsi="仿宋" w:eastAsia="仿宋" w:cs="仿宋"/>
                <w:b/>
                <w:bCs/>
                <w:sz w:val="32"/>
                <w:szCs w:val="32"/>
                <w:shd w:val="clear" w:color="auto" w:fill="FFFFFF"/>
              </w:rPr>
              <w:t>部门整体支出评价原则、指标评价体系、评价方法</w:t>
            </w:r>
          </w:p>
          <w:p>
            <w:pPr>
              <w:shd w:val="solid" w:color="FFFFFF" w:fill="auto"/>
              <w:autoSpaceDN w:val="0"/>
              <w:spacing w:line="540" w:lineRule="exact"/>
              <w:ind w:firstLine="640" w:firstLineChars="200"/>
              <w:jc w:val="left"/>
              <w:rPr>
                <w:rFonts w:hint="eastAsia" w:ascii="仿宋" w:hAnsi="仿宋" w:eastAsia="仿宋" w:cs="仿宋"/>
                <w:sz w:val="32"/>
                <w:szCs w:val="32"/>
                <w:shd w:val="clear" w:color="auto" w:fill="FFFFFF"/>
              </w:rPr>
            </w:pPr>
            <w:r>
              <w:rPr>
                <w:rFonts w:hint="eastAsia" w:ascii="仿宋" w:hAnsi="仿宋" w:eastAsia="仿宋" w:cs="仿宋"/>
                <w:b w:val="0"/>
                <w:bCs w:val="0"/>
                <w:sz w:val="32"/>
                <w:szCs w:val="32"/>
                <w:shd w:val="clear" w:color="auto" w:fill="FFFFFF"/>
              </w:rPr>
              <w:t>部门整体支出绩效评价原则：</w:t>
            </w:r>
            <w:r>
              <w:rPr>
                <w:rFonts w:hint="eastAsia" w:ascii="仿宋" w:hAnsi="仿宋" w:eastAsia="仿宋" w:cs="仿宋"/>
                <w:sz w:val="32"/>
                <w:szCs w:val="32"/>
              </w:rPr>
              <w:t>遵循客观公正，操作简便高效，尊重客观实际，实事求是的原则。</w:t>
            </w:r>
          </w:p>
          <w:p>
            <w:pPr>
              <w:shd w:val="solid" w:color="FFFFFF" w:fill="auto"/>
              <w:autoSpaceDN w:val="0"/>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b w:val="0"/>
                <w:bCs/>
                <w:sz w:val="32"/>
                <w:szCs w:val="32"/>
                <w:shd w:val="clear" w:color="auto" w:fill="FFFFFF"/>
              </w:rPr>
              <w:t>整体支出绩效评价体系：</w:t>
            </w:r>
            <w:r>
              <w:rPr>
                <w:rFonts w:hint="eastAsia" w:ascii="仿宋" w:hAnsi="仿宋" w:eastAsia="仿宋" w:cs="仿宋"/>
                <w:b w:val="0"/>
                <w:bCs/>
                <w:sz w:val="32"/>
                <w:szCs w:val="32"/>
              </w:rPr>
              <w:t>指标体系包括</w:t>
            </w:r>
            <w:r>
              <w:rPr>
                <w:rFonts w:hint="eastAsia" w:ascii="仿宋" w:hAnsi="仿宋" w:eastAsia="仿宋" w:cs="仿宋"/>
                <w:sz w:val="32"/>
                <w:szCs w:val="32"/>
              </w:rPr>
              <w:t>共性指标和个性指标两部分，本次主要参照了财政部门制定的《部门整体支出绩效评价指标体系》的相关内容。</w:t>
            </w:r>
          </w:p>
          <w:p>
            <w:pPr>
              <w:shd w:val="solid" w:color="FFFFFF" w:fill="auto"/>
              <w:autoSpaceDN w:val="0"/>
              <w:spacing w:line="540" w:lineRule="exact"/>
              <w:ind w:firstLine="640" w:firstLineChars="200"/>
              <w:jc w:val="left"/>
              <w:rPr>
                <w:rFonts w:hint="eastAsia" w:ascii="仿宋" w:hAnsi="仿宋" w:eastAsia="仿宋" w:cs="仿宋"/>
                <w:sz w:val="32"/>
                <w:szCs w:val="32"/>
                <w:shd w:val="clear" w:color="auto" w:fill="FFFFFF"/>
              </w:rPr>
            </w:pPr>
            <w:r>
              <w:rPr>
                <w:rFonts w:hint="eastAsia" w:ascii="仿宋" w:hAnsi="仿宋" w:eastAsia="仿宋" w:cs="仿宋"/>
                <w:b w:val="0"/>
                <w:bCs w:val="0"/>
                <w:sz w:val="32"/>
                <w:szCs w:val="32"/>
                <w:shd w:val="clear" w:color="auto" w:fill="FFFFFF"/>
              </w:rPr>
              <w:t>整体支出绩效评价方法：</w:t>
            </w:r>
            <w:r>
              <w:rPr>
                <w:rFonts w:hint="eastAsia" w:ascii="仿宋" w:hAnsi="仿宋" w:eastAsia="仿宋" w:cs="仿宋"/>
                <w:b w:val="0"/>
                <w:bCs w:val="0"/>
                <w:sz w:val="32"/>
                <w:szCs w:val="32"/>
              </w:rPr>
              <w:t>主要采</w:t>
            </w:r>
            <w:r>
              <w:rPr>
                <w:rFonts w:hint="eastAsia" w:ascii="仿宋" w:hAnsi="仿宋" w:eastAsia="仿宋" w:cs="仿宋"/>
                <w:sz w:val="32"/>
                <w:szCs w:val="32"/>
              </w:rPr>
              <w:t>用因素分析法、投入产出效益分析法，比较法，相关部门问卷调查等方法。</w:t>
            </w:r>
            <w:r>
              <w:rPr>
                <w:rFonts w:hint="eastAsia" w:ascii="仿宋" w:hAnsi="仿宋" w:eastAsia="仿宋" w:cs="仿宋"/>
                <w:sz w:val="32"/>
                <w:szCs w:val="32"/>
                <w:shd w:val="clear" w:color="auto" w:fill="FFFFFF"/>
              </w:rPr>
              <w:t xml:space="preserve">  </w:t>
            </w:r>
          </w:p>
          <w:p>
            <w:pPr>
              <w:shd w:val="solid" w:color="FFFFFF" w:fill="auto"/>
              <w:autoSpaceDN w:val="0"/>
              <w:spacing w:line="540" w:lineRule="exact"/>
              <w:ind w:firstLine="643" w:firstLineChars="200"/>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lang w:val="en-US" w:eastAsia="zh-CN"/>
              </w:rPr>
              <w:t>3.</w:t>
            </w:r>
            <w:r>
              <w:rPr>
                <w:rFonts w:hint="eastAsia" w:ascii="仿宋" w:hAnsi="仿宋" w:eastAsia="仿宋" w:cs="仿宋"/>
                <w:b/>
                <w:bCs/>
                <w:sz w:val="32"/>
                <w:szCs w:val="32"/>
                <w:shd w:val="clear" w:color="auto" w:fill="FFFFFF"/>
              </w:rPr>
              <w:t>整体支出绩效情况分析</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2021年，根据该局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1.本年预算配置控制较好，财政供养人员控制在预算编制以内，实际在职人员数与编制数相同；由于上年度年末有部分在本年度结算，导致“三公”经费支出总额较上年有所增加。</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2.预算执行方面，支出总额控制在预算总额以内，基本支出中财政政策性工资和对家属遗属的补助有所追加，本年部门预算未进行预算相关事项的调整；该单位预算资金按规定管理使用。</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 3.预算管理方面，工信部门制定了切实有效的内部财务、资产内部管理制度，执行总体较为有效。</w:t>
            </w:r>
          </w:p>
          <w:p>
            <w:pPr>
              <w:tabs>
                <w:tab w:val="center" w:pos="4153"/>
              </w:tabs>
              <w:spacing w:line="540" w:lineRule="exact"/>
              <w:ind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rPr>
              <w:t>五、</w:t>
            </w:r>
            <w:r>
              <w:rPr>
                <w:rFonts w:hint="eastAsia" w:ascii="仿宋" w:hAnsi="仿宋" w:eastAsia="仿宋" w:cs="仿宋"/>
                <w:b/>
                <w:sz w:val="32"/>
                <w:szCs w:val="32"/>
                <w:lang w:val="en-US" w:eastAsia="zh-CN"/>
              </w:rPr>
              <w:t>存在的主要问题</w:t>
            </w:r>
          </w:p>
          <w:p>
            <w:pPr>
              <w:spacing w:line="54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t>预算过程绩效管理制度体系不健全</w:t>
            </w:r>
            <w:r>
              <w:rPr>
                <w:rFonts w:hint="default" w:ascii="仿宋" w:hAnsi="仿宋" w:eastAsia="仿宋" w:cs="仿宋"/>
                <w:sz w:val="32"/>
                <w:szCs w:val="32"/>
              </w:rPr>
              <w:t>，需进一步完善；全面推进预算绩效管理工作贯彻不到位，需进一步加强；对自身预算绩效管理不到位，</w:t>
            </w:r>
            <w:r>
              <w:rPr>
                <w:rFonts w:hint="eastAsia" w:ascii="仿宋" w:hAnsi="仿宋" w:eastAsia="仿宋" w:cs="仿宋"/>
                <w:sz w:val="32"/>
                <w:szCs w:val="32"/>
                <w:lang w:val="en-US" w:eastAsia="zh-CN"/>
              </w:rPr>
              <w:t>年</w:t>
            </w:r>
            <w:r>
              <w:rPr>
                <w:rFonts w:hint="default" w:ascii="仿宋" w:hAnsi="仿宋" w:eastAsia="仿宋" w:cs="仿宋"/>
                <w:sz w:val="32"/>
                <w:szCs w:val="32"/>
              </w:rPr>
              <w:t>初未作预算安排，但本年仍实际发生了少部分支出，预算的执行有待进一步加强。</w:t>
            </w:r>
          </w:p>
          <w:p>
            <w:pPr>
              <w:tabs>
                <w:tab w:val="center" w:pos="4153"/>
              </w:tabs>
              <w:spacing w:line="54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lang w:val="en-US" w:eastAsia="zh-CN"/>
              </w:rPr>
              <w:t>六、</w:t>
            </w:r>
            <w:r>
              <w:rPr>
                <w:rFonts w:hint="eastAsia" w:ascii="仿宋" w:hAnsi="仿宋" w:eastAsia="仿宋" w:cs="仿宋"/>
                <w:b/>
                <w:sz w:val="32"/>
                <w:szCs w:val="32"/>
              </w:rPr>
              <w:t>改进措施</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一是按照预算规定的项目和用途严格财务审核，经费支出严格按预算规定项目的财务支出内容进行财务核算，在预算金额内严格控制费用的支出。</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二是严格控制“三公经费”支出，杜绝挪用和挤占其他预算资金；进一步细化“三公经费”管理，压缩“三公经费”支出。</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三是预算财务分析常态化，定期做好预算支出财务分析，做好部门整体支出预算评价工作。</w:t>
            </w:r>
          </w:p>
          <w:p>
            <w:pPr>
              <w:spacing w:line="540" w:lineRule="exact"/>
              <w:ind w:firstLine="640" w:firstLineChars="200"/>
              <w:jc w:val="left"/>
              <w:rPr>
                <w:rFonts w:hint="eastAsia" w:ascii="仿宋" w:hAnsi="仿宋" w:eastAsia="仿宋" w:cs="仿宋"/>
                <w:sz w:val="32"/>
                <w:szCs w:val="32"/>
              </w:rPr>
            </w:pPr>
          </w:p>
          <w:p>
            <w:pPr>
              <w:spacing w:line="540" w:lineRule="exact"/>
              <w:ind w:firstLine="640" w:firstLineChars="200"/>
              <w:jc w:val="left"/>
              <w:rPr>
                <w:rFonts w:hint="eastAsia" w:ascii="仿宋" w:hAnsi="仿宋" w:eastAsia="仿宋" w:cs="仿宋"/>
                <w:sz w:val="32"/>
                <w:szCs w:val="32"/>
              </w:rPr>
            </w:pPr>
          </w:p>
          <w:p>
            <w:pPr>
              <w:spacing w:line="540" w:lineRule="exact"/>
              <w:ind w:firstLine="536" w:firstLineChars="200"/>
              <w:jc w:val="left"/>
              <w:rPr>
                <w:rFonts w:hint="eastAsia" w:ascii="仿宋" w:hAnsi="仿宋" w:eastAsia="仿宋" w:cs="仿宋"/>
                <w:bCs/>
                <w:spacing w:val="-26"/>
                <w:sz w:val="32"/>
                <w:szCs w:val="32"/>
              </w:rPr>
            </w:pP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shd w:val="clear" w:color="auto" w:fill="FFFFFF"/>
              </w:rPr>
              <w:t xml:space="preserve">                             </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 xml:space="preserve"> </w:t>
            </w:r>
            <w:r>
              <w:rPr>
                <w:rFonts w:hint="eastAsia" w:ascii="仿宋" w:hAnsi="仿宋" w:eastAsia="仿宋" w:cs="仿宋"/>
                <w:sz w:val="32"/>
                <w:szCs w:val="32"/>
              </w:rPr>
              <w:t>华容县工业和信息化局</w:t>
            </w:r>
          </w:p>
          <w:p>
            <w:pPr>
              <w:spacing w:line="540" w:lineRule="exact"/>
              <w:ind w:firstLine="6080" w:firstLineChars="1900"/>
              <w:jc w:val="left"/>
              <w:rPr>
                <w:rFonts w:hint="eastAsia" w:ascii="仿宋" w:hAnsi="仿宋" w:eastAsia="仿宋" w:cs="仿宋"/>
                <w:sz w:val="32"/>
                <w:szCs w:val="32"/>
              </w:rPr>
            </w:pPr>
            <w:r>
              <w:rPr>
                <w:rFonts w:hint="eastAsia" w:ascii="仿宋" w:hAnsi="仿宋" w:eastAsia="仿宋" w:cs="仿宋"/>
                <w:sz w:val="32"/>
                <w:szCs w:val="32"/>
              </w:rPr>
              <w:t>2022年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pPr>
              <w:rPr>
                <w:rFonts w:eastAsia="楷体_GB2312"/>
                <w:bCs/>
                <w:sz w:val="28"/>
                <w:szCs w:val="28"/>
              </w:rPr>
            </w:pPr>
          </w:p>
        </w:tc>
      </w:tr>
    </w:tbl>
    <w:p>
      <w:pPr>
        <w:spacing w:beforeLines="50" w:line="760" w:lineRule="exact"/>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超编</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6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有结余</w:t>
            </w: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资产归集没有下账</w:t>
            </w: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vMerge w:val="restart"/>
            <w:tcBorders>
              <w:top w:val="nil"/>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vMerge w:val="continue"/>
            <w:tcBorders>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92</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eastAsia="仿宋_GB2312"/>
          <w:sz w:val="3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MjM3Yjc4NzU3ZTNhMWI1NTI5MTlhODI3NDJmMWEifQ=="/>
  </w:docVars>
  <w:rsids>
    <w:rsidRoot w:val="2CE55C20"/>
    <w:rsid w:val="00061C24"/>
    <w:rsid w:val="000D7FB3"/>
    <w:rsid w:val="00185113"/>
    <w:rsid w:val="003C3018"/>
    <w:rsid w:val="004C4A30"/>
    <w:rsid w:val="00681448"/>
    <w:rsid w:val="00683748"/>
    <w:rsid w:val="007124E9"/>
    <w:rsid w:val="0074557D"/>
    <w:rsid w:val="007B2063"/>
    <w:rsid w:val="007F5EF5"/>
    <w:rsid w:val="008568B9"/>
    <w:rsid w:val="008C1770"/>
    <w:rsid w:val="00AA02AB"/>
    <w:rsid w:val="00E04E79"/>
    <w:rsid w:val="00E41E85"/>
    <w:rsid w:val="00E6210A"/>
    <w:rsid w:val="00F75D77"/>
    <w:rsid w:val="034B409E"/>
    <w:rsid w:val="083749E7"/>
    <w:rsid w:val="0ABF3166"/>
    <w:rsid w:val="0CB679B8"/>
    <w:rsid w:val="0D6930DC"/>
    <w:rsid w:val="0DE528CD"/>
    <w:rsid w:val="1336279F"/>
    <w:rsid w:val="18725427"/>
    <w:rsid w:val="1AA34272"/>
    <w:rsid w:val="254E2FC7"/>
    <w:rsid w:val="25B607B7"/>
    <w:rsid w:val="263C173A"/>
    <w:rsid w:val="27FB4870"/>
    <w:rsid w:val="289D055E"/>
    <w:rsid w:val="2A9C19EB"/>
    <w:rsid w:val="2C115634"/>
    <w:rsid w:val="2C9F197B"/>
    <w:rsid w:val="2CA33441"/>
    <w:rsid w:val="2CE55C20"/>
    <w:rsid w:val="2D7108F2"/>
    <w:rsid w:val="2DD72F70"/>
    <w:rsid w:val="2F287302"/>
    <w:rsid w:val="30426D13"/>
    <w:rsid w:val="3A43255A"/>
    <w:rsid w:val="3AF13D2B"/>
    <w:rsid w:val="3D6201A1"/>
    <w:rsid w:val="3EC46785"/>
    <w:rsid w:val="3F8A6044"/>
    <w:rsid w:val="43A702D9"/>
    <w:rsid w:val="44592EA4"/>
    <w:rsid w:val="477245B4"/>
    <w:rsid w:val="49617FA5"/>
    <w:rsid w:val="4A4F019E"/>
    <w:rsid w:val="4AFB379F"/>
    <w:rsid w:val="4D171D42"/>
    <w:rsid w:val="4E4F0BB0"/>
    <w:rsid w:val="5BE95901"/>
    <w:rsid w:val="5DF75BB4"/>
    <w:rsid w:val="650661B2"/>
    <w:rsid w:val="688C5A30"/>
    <w:rsid w:val="68DF76F6"/>
    <w:rsid w:val="69617BC6"/>
    <w:rsid w:val="6A0A15CD"/>
    <w:rsid w:val="6B90270D"/>
    <w:rsid w:val="6CE45E8C"/>
    <w:rsid w:val="6D452F22"/>
    <w:rsid w:val="6DF352BD"/>
    <w:rsid w:val="700F326C"/>
    <w:rsid w:val="705E3E6D"/>
    <w:rsid w:val="71C1048A"/>
    <w:rsid w:val="7396188C"/>
    <w:rsid w:val="73F35F5B"/>
    <w:rsid w:val="743A6662"/>
    <w:rsid w:val="75F81663"/>
    <w:rsid w:val="79C04582"/>
    <w:rsid w:val="7C557F1A"/>
    <w:rsid w:val="7D1F0DA2"/>
    <w:rsid w:val="7FE62279"/>
    <w:rsid w:val="7FF02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7044</Words>
  <Characters>7606</Characters>
  <Lines>62</Lines>
  <Paragraphs>17</Paragraphs>
  <TotalTime>33</TotalTime>
  <ScaleCrop>false</ScaleCrop>
  <LinksUpToDate>false</LinksUpToDate>
  <CharactersWithSpaces>8179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hey.man</cp:lastModifiedBy>
  <cp:lastPrinted>2021-07-12T08:27:00Z</cp:lastPrinted>
  <dcterms:modified xsi:type="dcterms:W3CDTF">2022-10-09T00:39:33Z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8B40A680275845CB8A2B0943EE415716</vt:lpwstr>
  </property>
</Properties>
</file>