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华容县劳动保障监察大队</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802008</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77"/>
        <w:gridCol w:w="323"/>
        <w:gridCol w:w="69"/>
        <w:gridCol w:w="1221"/>
        <w:gridCol w:w="121"/>
        <w:gridCol w:w="1296"/>
        <w:gridCol w:w="2"/>
        <w:gridCol w:w="1310"/>
        <w:gridCol w:w="1201"/>
        <w:gridCol w:w="97"/>
        <w:gridCol w:w="99"/>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周进</w:t>
            </w: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783"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19908401173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783"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31"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szCs w:val="24"/>
                <w:lang w:val="en-US" w:eastAsia="zh-CN"/>
              </w:rPr>
              <w:t>劳动保障监察大队职能职责：</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一、受县人社局委托在本县区域内组织实施劳动保障监察，依法行使人力资源和社会保障执法检查权，组织查处劳资纠纷案件和处理劳资纠纷群体性突发事件；</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二、负责对全县劳动保障监察工作进行指导、协调和监督；</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三、宣传劳动保障法律、法规和规章，检查、督促本行政区域内用人单位遵守劳动保障法律、法规和规章的情况；</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四、依法受理对违反劳动保障法律、法规或者规章的行为的举报、投诉；</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五、依法纠正和查处违反劳动保障法律、法规或者规章的行为；    </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六、负责企业退还建筑工地工人工资欠薪保证金审核；</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szCs w:val="24"/>
                <w:lang w:val="en-US" w:eastAsia="zh-CN"/>
              </w:rPr>
              <w:t>　　七、承担上级交办的其他工作。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031"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任务</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完善农民工工资保证金、实名制、分账制等工资支付保障制度</w:t>
            </w:r>
            <w:r>
              <w:rPr>
                <w:rFonts w:hint="eastAsia" w:ascii="仿宋_GB2312" w:hAnsi="仿宋_GB2312" w:eastAsia="仿宋_GB2312" w:cs="仿宋_GB2312"/>
                <w:color w:val="000000"/>
                <w:sz w:val="24"/>
                <w:szCs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任务</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维护农民工权益。</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031" w:type="dxa"/>
            <w:gridSpan w:val="14"/>
            <w:noWrap w:val="0"/>
            <w:vAlign w:val="center"/>
          </w:tcPr>
          <w:p>
            <w:pPr>
              <w:numPr>
                <w:ilvl w:val="0"/>
                <w:numId w:val="0"/>
              </w:numPr>
              <w:ind w:firstLine="480" w:firstLineChars="200"/>
              <w:jc w:val="left"/>
              <w:rPr>
                <w:rFonts w:hint="eastAsia" w:ascii="仿宋" w:hAnsi="仿宋" w:eastAsia="仿宋" w:cs="仿宋"/>
                <w:b w:val="0"/>
                <w:bCs w:val="0"/>
                <w:sz w:val="24"/>
                <w:szCs w:val="24"/>
                <w:lang w:val="en-US" w:eastAsia="zh-CN"/>
              </w:rPr>
            </w:pPr>
            <w:r>
              <w:rPr>
                <w:rFonts w:hint="eastAsia" w:ascii="楷体" w:hAnsi="楷体" w:eastAsia="楷体" w:cs="楷体"/>
                <w:sz w:val="24"/>
                <w:szCs w:val="24"/>
                <w:lang w:val="en-US" w:eastAsia="zh-CN"/>
              </w:rPr>
              <w:t>1.抓好《条例》宣传贯彻。</w:t>
            </w:r>
            <w:r>
              <w:rPr>
                <w:rFonts w:hint="eastAsia" w:ascii="仿宋" w:hAnsi="仿宋" w:eastAsia="仿宋" w:cs="仿宋"/>
                <w:b/>
                <w:bCs/>
                <w:sz w:val="24"/>
                <w:szCs w:val="24"/>
                <w:lang w:val="en-US" w:eastAsia="zh-CN"/>
              </w:rPr>
              <w:t>一是</w:t>
            </w:r>
            <w:r>
              <w:rPr>
                <w:rFonts w:hint="eastAsia" w:ascii="仿宋" w:hAnsi="仿宋" w:eastAsia="仿宋" w:cs="仿宋"/>
                <w:b w:val="0"/>
                <w:bCs w:val="0"/>
                <w:sz w:val="24"/>
                <w:szCs w:val="24"/>
                <w:lang w:val="en-US" w:eastAsia="zh-CN"/>
              </w:rPr>
              <w:t>制定《2021年度普法及政策宣传工作计划》，召开保障农民工工资支付工作培训会议，组织领导小组成员单位以及项目经理、劳资专管员等集中学习《条例》内容，现场观摩部分项目资料台账，提升业务能力。</w:t>
            </w:r>
            <w:r>
              <w:rPr>
                <w:rFonts w:hint="eastAsia" w:ascii="仿宋" w:hAnsi="仿宋" w:eastAsia="仿宋" w:cs="仿宋"/>
                <w:b/>
                <w:bCs/>
                <w:sz w:val="24"/>
                <w:szCs w:val="24"/>
                <w:lang w:val="en-US" w:eastAsia="zh-CN"/>
              </w:rPr>
              <w:t>二是</w:t>
            </w:r>
            <w:r>
              <w:rPr>
                <w:rFonts w:hint="eastAsia" w:ascii="仿宋" w:hAnsi="仿宋" w:eastAsia="仿宋" w:cs="仿宋"/>
                <w:b w:val="0"/>
                <w:bCs w:val="0"/>
                <w:sz w:val="24"/>
                <w:szCs w:val="24"/>
                <w:lang w:val="en-US" w:eastAsia="zh-CN"/>
              </w:rPr>
              <w:t>成立成立志愿服务队，深入一线开展《条例》宣传培训，为群众提供“零距离”服务。在宣传活动中，共发放宣传单1300余份、设置宣传展板4块、悬挂横幅10条、解答现场咨询120余人次。</w:t>
            </w:r>
          </w:p>
          <w:p>
            <w:pPr>
              <w:numPr>
                <w:ilvl w:val="0"/>
                <w:numId w:val="0"/>
              </w:numPr>
              <w:ind w:firstLine="480" w:firstLineChars="200"/>
              <w:rPr>
                <w:rFonts w:hint="eastAsia" w:ascii="仿宋_GB2312" w:hAnsi="仿宋" w:eastAsia="仿宋_GB2312"/>
                <w:sz w:val="24"/>
                <w:szCs w:val="24"/>
                <w:lang w:val="en-US" w:eastAsia="zh-CN"/>
              </w:rPr>
            </w:pPr>
            <w:r>
              <w:rPr>
                <w:rFonts w:hint="eastAsia" w:ascii="楷体" w:hAnsi="楷体" w:eastAsia="楷体" w:cs="楷体"/>
                <w:sz w:val="24"/>
                <w:szCs w:val="24"/>
                <w:lang w:val="en-US" w:eastAsia="zh-CN"/>
              </w:rPr>
              <w:t>2.认真做好举报投诉接待处理工作</w:t>
            </w:r>
            <w:r>
              <w:rPr>
                <w:rFonts w:hint="eastAsia" w:ascii="仿宋_GB2312" w:hAnsi="仿宋" w:eastAsia="仿宋_GB2312"/>
                <w:sz w:val="24"/>
                <w:szCs w:val="24"/>
                <w:lang w:val="en-US" w:eastAsia="zh-CN"/>
              </w:rPr>
              <w:t>。</w:t>
            </w:r>
          </w:p>
          <w:p>
            <w:pPr>
              <w:numPr>
                <w:ilvl w:val="0"/>
                <w:numId w:val="0"/>
              </w:numP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今年在日常巡查和专项行动中，共接待举报投诉案件120起，涉及农民工6500余人，追讨农民工工资1330万余元，对涉嫌拒不支付劳动报酬案件移送公安1起。办理市长信箱、网研中心等交办网络信访件8件，法定限期内结案率达100%。</w:t>
            </w:r>
          </w:p>
          <w:p>
            <w:pPr>
              <w:numPr>
                <w:ilvl w:val="0"/>
                <w:numId w:val="0"/>
              </w:numPr>
              <w:ind w:firstLine="480" w:firstLineChars="200"/>
              <w:rPr>
                <w:rFonts w:hint="eastAsia" w:ascii="仿宋" w:hAnsi="仿宋" w:eastAsia="仿宋" w:cs="仿宋"/>
                <w:sz w:val="24"/>
                <w:szCs w:val="24"/>
                <w:lang w:val="en-US" w:eastAsia="zh-CN"/>
              </w:rPr>
            </w:pPr>
            <w:r>
              <w:rPr>
                <w:rFonts w:hint="eastAsia" w:ascii="楷体" w:hAnsi="楷体" w:eastAsia="楷体" w:cs="楷体"/>
                <w:sz w:val="24"/>
                <w:szCs w:val="24"/>
                <w:lang w:val="en-US" w:eastAsia="zh-CN"/>
              </w:rPr>
              <w:t>3.积极开展专项执法检查工作。</w:t>
            </w:r>
            <w:r>
              <w:rPr>
                <w:rFonts w:hint="eastAsia" w:ascii="仿宋" w:hAnsi="仿宋" w:eastAsia="仿宋" w:cs="仿宋"/>
                <w:sz w:val="24"/>
                <w:szCs w:val="24"/>
                <w:lang w:val="en-US" w:eastAsia="zh-CN"/>
              </w:rPr>
              <w:t>扎实开展专项执法行动，完成清理整顿人力资源市场秩序专项行动、“督案件、解‘薪’结”专项行动、保障农民工工资支付专项行动、女职工产假等权益专项行动等，进一步规范劳动市场用工秩序，督促建筑项目落实农民工实名制、分账制、工资保证金、工程款支付担保等制度，今年共有65家用人单位存储农民工工资保证金1797万元。</w:t>
            </w:r>
          </w:p>
          <w:p>
            <w:pPr>
              <w:numPr>
                <w:ilvl w:val="0"/>
                <w:numId w:val="0"/>
              </w:numPr>
              <w:ind w:firstLine="480" w:firstLineChars="200"/>
              <w:rPr>
                <w:rFonts w:hint="eastAsia" w:ascii="仿宋" w:hAnsi="仿宋" w:eastAsia="仿宋" w:cs="仿宋"/>
                <w:sz w:val="24"/>
                <w:szCs w:val="24"/>
                <w:lang w:val="en-US" w:eastAsia="zh-CN"/>
              </w:rPr>
            </w:pPr>
            <w:r>
              <w:rPr>
                <w:rFonts w:hint="eastAsia" w:ascii="楷体" w:hAnsi="楷体" w:eastAsia="楷体" w:cs="楷体"/>
                <w:sz w:val="24"/>
                <w:szCs w:val="24"/>
                <w:lang w:val="en-US" w:eastAsia="zh-CN"/>
              </w:rPr>
              <w:t>4.加强“两网化”预警平台管理。</w:t>
            </w:r>
            <w:r>
              <w:rPr>
                <w:rFonts w:hint="eastAsia" w:ascii="仿宋" w:hAnsi="仿宋" w:eastAsia="仿宋" w:cs="仿宋"/>
                <w:sz w:val="24"/>
                <w:szCs w:val="24"/>
                <w:lang w:val="en-US" w:eastAsia="zh-CN"/>
              </w:rPr>
              <w:t>通过加强与住建、交通、水利等行业监管部门和各银行之间的联系，及时消除欠薪预警信息，确保平台所有项目工资专户匹配率、保证金缴纳率等5项数据均达到100%，在全市“两网化”数据统计中多次排名靠前，并在市人社系统1-7月重点工作完成情况通报中提出表扬。</w:t>
            </w:r>
          </w:p>
          <w:p>
            <w:pPr>
              <w:numPr>
                <w:ilvl w:val="0"/>
                <w:numId w:val="0"/>
              </w:numPr>
              <w:ind w:firstLine="480" w:firstLineChars="200"/>
              <w:rPr>
                <w:rFonts w:hint="eastAsia" w:ascii="仿宋" w:hAnsi="仿宋" w:eastAsia="仿宋" w:cs="仿宋"/>
                <w:sz w:val="24"/>
                <w:szCs w:val="24"/>
                <w:lang w:val="en-US" w:eastAsia="zh-CN"/>
              </w:rPr>
            </w:pPr>
            <w:r>
              <w:rPr>
                <w:rFonts w:hint="eastAsia" w:ascii="楷体" w:hAnsi="楷体" w:eastAsia="楷体" w:cs="楷体"/>
                <w:sz w:val="24"/>
                <w:szCs w:val="24"/>
                <w:lang w:val="en-US" w:eastAsia="zh-CN"/>
              </w:rPr>
              <w:t>5.及时核处“省欠薪平台”欠薪线索。</w:t>
            </w:r>
            <w:r>
              <w:rPr>
                <w:rFonts w:hint="eastAsia" w:ascii="仿宋" w:hAnsi="仿宋" w:eastAsia="仿宋" w:cs="仿宋"/>
                <w:sz w:val="24"/>
                <w:szCs w:val="24"/>
                <w:lang w:val="en-US" w:eastAsia="zh-CN"/>
              </w:rPr>
              <w:t>“省欠薪平台”于去年年底开通，今年正式使用，截止11月18日，在省欠薪平台上，我县共受理欠薪线索39件，涉及劳动者75人，涉及金额64.13万元，其中，办结省、市交办重点欠薪线索2件，涉及劳动者27人，追发工资19.4万元。</w:t>
            </w:r>
          </w:p>
          <w:p>
            <w:pPr>
              <w:ind w:firstLine="480" w:firstLineChars="200"/>
              <w:rPr>
                <w:rFonts w:hint="eastAsia" w:ascii="仿宋" w:hAnsi="仿宋" w:eastAsia="仿宋" w:cs="仿宋"/>
                <w:b w:val="0"/>
                <w:bCs w:val="0"/>
                <w:kern w:val="0"/>
                <w:sz w:val="24"/>
                <w:szCs w:val="24"/>
                <w:lang w:val="en-US" w:eastAsia="zh-CN"/>
              </w:rPr>
            </w:pPr>
            <w:r>
              <w:rPr>
                <w:rFonts w:hint="eastAsia" w:ascii="楷体" w:hAnsi="楷体" w:eastAsia="楷体" w:cs="楷体"/>
                <w:sz w:val="24"/>
                <w:szCs w:val="24"/>
                <w:lang w:val="en-US" w:eastAsia="zh-CN"/>
              </w:rPr>
              <w:t>6.全力以赴做好迎检工作。</w:t>
            </w:r>
            <w:r>
              <w:rPr>
                <w:rFonts w:hint="eastAsia" w:ascii="仿宋" w:hAnsi="仿宋" w:eastAsia="仿宋" w:cs="仿宋"/>
                <w:b w:val="0"/>
                <w:bCs w:val="0"/>
                <w:kern w:val="0"/>
                <w:sz w:val="24"/>
                <w:szCs w:val="24"/>
                <w:lang w:val="en-US" w:eastAsia="zh-CN"/>
              </w:rPr>
              <w:t>3月中旬，</w:t>
            </w:r>
            <w:r>
              <w:rPr>
                <w:rFonts w:hint="eastAsia" w:ascii="仿宋" w:hAnsi="仿宋" w:eastAsia="仿宋" w:cs="仿宋"/>
                <w:b w:val="0"/>
                <w:bCs w:val="0"/>
                <w:kern w:val="0"/>
                <w:sz w:val="24"/>
                <w:szCs w:val="24"/>
                <w:lang w:eastAsia="zh-CN"/>
              </w:rPr>
              <w:t>为做好迎接国务院、省政府</w:t>
            </w:r>
            <w:r>
              <w:rPr>
                <w:rFonts w:hint="eastAsia" w:ascii="仿宋" w:hAnsi="仿宋" w:eastAsia="仿宋" w:cs="仿宋"/>
                <w:b w:val="0"/>
                <w:bCs w:val="0"/>
                <w:kern w:val="0"/>
                <w:sz w:val="24"/>
                <w:szCs w:val="24"/>
                <w:lang w:val="en-US" w:eastAsia="zh-CN"/>
              </w:rPr>
              <w:t>2020年度保障农民工工资支付检查工作，对县域内在建项目进行全面排查，针对发现的问题，县领导小组办公室召开工作督办会，下发整改督办函。5月下旬，为顺利完成岳阳市农民工工资支付制度抽查审计工作，联合住建、交通等部门单位在工地现场进行“一对一”指导。</w:t>
            </w:r>
            <w:r>
              <w:rPr>
                <w:rFonts w:hint="eastAsia" w:ascii="仿宋" w:hAnsi="仿宋" w:eastAsia="仿宋" w:cs="仿宋"/>
                <w:b w:val="0"/>
                <w:bCs w:val="0"/>
                <w:kern w:val="0"/>
                <w:sz w:val="24"/>
                <w:szCs w:val="24"/>
                <w:lang w:eastAsia="zh-CN"/>
              </w:rPr>
              <w:t>6月29日，为迎接2020年度国家保障农民工工资支付工作实地考核，县委常委、常务副县长黎朝晖主持召开考核推进会，会上，</w:t>
            </w:r>
            <w:r>
              <w:rPr>
                <w:rFonts w:hint="eastAsia" w:ascii="仿宋" w:hAnsi="仿宋" w:eastAsia="仿宋" w:cs="仿宋"/>
                <w:b w:val="0"/>
                <w:bCs w:val="0"/>
                <w:kern w:val="0"/>
                <w:sz w:val="24"/>
                <w:szCs w:val="24"/>
                <w:lang w:val="en-US" w:eastAsia="zh-CN"/>
              </w:rPr>
              <w:t>20家参会单位就根治欠薪工作表态发言，</w:t>
            </w:r>
            <w:r>
              <w:rPr>
                <w:rFonts w:hint="eastAsia" w:ascii="仿宋" w:hAnsi="仿宋" w:eastAsia="仿宋" w:cs="仿宋"/>
                <w:b w:val="0"/>
                <w:bCs w:val="0"/>
                <w:kern w:val="0"/>
                <w:sz w:val="24"/>
                <w:szCs w:val="24"/>
                <w:lang w:eastAsia="zh-CN"/>
              </w:rPr>
              <w:t>将30条欠薪线索细化措施责任到人，</w:t>
            </w:r>
            <w:r>
              <w:rPr>
                <w:rFonts w:hint="eastAsia" w:ascii="仿宋" w:hAnsi="仿宋" w:eastAsia="仿宋" w:cs="仿宋"/>
                <w:b w:val="0"/>
                <w:bCs w:val="0"/>
                <w:kern w:val="0"/>
                <w:sz w:val="24"/>
                <w:szCs w:val="24"/>
                <w:lang w:val="en-US" w:eastAsia="zh-CN"/>
              </w:rPr>
              <w:t>在各单位共同努力下根治欠薪工作取得明显成效。</w:t>
            </w:r>
          </w:p>
          <w:p>
            <w:pPr>
              <w:ind w:firstLine="480" w:firstLineChars="200"/>
              <w:rPr>
                <w:rFonts w:hint="eastAsia" w:ascii="仿宋_GB2312" w:eastAsia="仿宋_GB2312" w:cs="Times New Roman"/>
                <w:sz w:val="24"/>
                <w:szCs w:val="24"/>
                <w:lang w:val="en-US" w:eastAsia="zh-CN"/>
              </w:rPr>
            </w:pPr>
            <w:r>
              <w:rPr>
                <w:rFonts w:hint="eastAsia" w:ascii="楷体" w:hAnsi="楷体" w:eastAsia="楷体" w:cs="楷体"/>
                <w:sz w:val="24"/>
                <w:szCs w:val="24"/>
                <w:lang w:val="en-US" w:eastAsia="zh-CN"/>
              </w:rPr>
              <w:t>7.推进落实执法检查机制。</w:t>
            </w:r>
            <w:r>
              <w:rPr>
                <w:rFonts w:hint="eastAsia" w:ascii="仿宋_GB2312" w:eastAsia="仿宋_GB2312" w:cs="Times New Roman"/>
                <w:sz w:val="24"/>
                <w:szCs w:val="24"/>
                <w:lang w:val="en-US" w:eastAsia="zh-CN"/>
              </w:rPr>
              <w:t>为规范行政检查行为，优化营商环境，落实“双随机”抽查和重点检查相结合的执法检查机制。制定《</w:t>
            </w:r>
            <w:r>
              <w:rPr>
                <w:rFonts w:hint="eastAsia" w:ascii="仿宋" w:hAnsi="仿宋" w:eastAsia="仿宋" w:cs="仿宋"/>
                <w:sz w:val="24"/>
                <w:szCs w:val="24"/>
                <w:lang w:eastAsia="zh-CN"/>
              </w:rPr>
              <w:t>2021年涉企常规检查年度工作计划表</w:t>
            </w:r>
            <w:r>
              <w:rPr>
                <w:rFonts w:hint="eastAsia" w:ascii="仿宋_GB2312" w:eastAsia="仿宋_GB2312" w:cs="Times New Roman"/>
                <w:sz w:val="24"/>
                <w:szCs w:val="24"/>
                <w:lang w:val="en-US" w:eastAsia="zh-CN"/>
              </w:rPr>
              <w:t>》，建立行政执法检查台账，按要求将行政检查行为录入系统，公示行政检查结果。按照上级部门“双随机、一公开”监管抽查工作安排，制定《2021年度“双随机、一公开”抽查工作计划》，更新检查人员名录库，新增检查人员 5名，制定部门内专项计划、部门联合计划并上传至平台。认领省厅下发任务1次（全省清理整顿人力资源市场秩序专项行动工作），完成部门内专项计划1次（女职工产假等权益专项行动），完成检查对象随机分组和匹配执法人员，将检查结果录入系统，进行抽查结果审核，完成资料归集。</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11"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689"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1"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20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411" w:type="dxa"/>
            <w:gridSpan w:val="3"/>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0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11" w:type="dxa"/>
            <w:gridSpan w:val="3"/>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20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2、二级机构1</w:t>
            </w:r>
            <w:r>
              <w:rPr>
                <w:rFonts w:hint="eastAsia" w:ascii="仿宋_GB2312" w:hAnsi="仿宋_GB2312" w:eastAsia="仿宋_GB2312" w:cs="仿宋_GB2312"/>
                <w:sz w:val="24"/>
                <w:lang w:eastAsia="zh-CN"/>
              </w:rPr>
              <w:t>、劳动保障监察大队</w:t>
            </w:r>
          </w:p>
        </w:tc>
        <w:tc>
          <w:tcPr>
            <w:tcW w:w="1411" w:type="dxa"/>
            <w:gridSpan w:val="3"/>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110万</w:t>
            </w:r>
          </w:p>
        </w:tc>
        <w:tc>
          <w:tcPr>
            <w:tcW w:w="1298"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110万</w:t>
            </w:r>
          </w:p>
        </w:tc>
        <w:tc>
          <w:tcPr>
            <w:tcW w:w="120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411" w:type="dxa"/>
            <w:gridSpan w:val="3"/>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201"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11"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44"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411"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66"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411"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2、二级机构1</w:t>
            </w:r>
            <w:r>
              <w:rPr>
                <w:rFonts w:hint="eastAsia" w:ascii="仿宋_GB2312" w:hAnsi="仿宋_GB2312" w:eastAsia="仿宋_GB2312" w:cs="仿宋_GB2312"/>
                <w:sz w:val="24"/>
                <w:lang w:eastAsia="zh-CN"/>
              </w:rPr>
              <w:t>、劳动保障监察大队</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110万</w:t>
            </w:r>
          </w:p>
        </w:tc>
        <w:tc>
          <w:tcPr>
            <w:tcW w:w="1298"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110万</w:t>
            </w:r>
          </w:p>
        </w:tc>
        <w:tc>
          <w:tcPr>
            <w:tcW w:w="131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89万</w:t>
            </w:r>
          </w:p>
        </w:tc>
        <w:tc>
          <w:tcPr>
            <w:tcW w:w="1656"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21万</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11"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689"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411"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2、二级机构1</w:t>
            </w:r>
            <w:r>
              <w:rPr>
                <w:rFonts w:hint="eastAsia" w:ascii="仿宋_GB2312" w:hAnsi="仿宋_GB2312" w:eastAsia="仿宋_GB2312" w:cs="仿宋_GB2312"/>
                <w:sz w:val="24"/>
                <w:lang w:eastAsia="zh-CN"/>
              </w:rPr>
              <w:t>、劳动保障监察大队</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0.3万</w:t>
            </w:r>
          </w:p>
        </w:tc>
        <w:tc>
          <w:tcPr>
            <w:tcW w:w="1298"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0.3万</w:t>
            </w:r>
            <w:bookmarkStart w:id="0" w:name="_GoBack"/>
            <w:bookmarkEnd w:id="0"/>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1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5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11"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48"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411"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08"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40"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08"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4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608"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14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2、二级机构1</w:t>
            </w:r>
            <w:r>
              <w:rPr>
                <w:rFonts w:hint="eastAsia" w:ascii="仿宋_GB2312" w:hAnsi="仿宋_GB2312" w:eastAsia="仿宋_GB2312" w:cs="仿宋_GB2312"/>
                <w:sz w:val="24"/>
                <w:lang w:eastAsia="zh-CN"/>
              </w:rPr>
              <w:t>、劳动保障监察大队</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4.8万</w:t>
            </w:r>
          </w:p>
        </w:tc>
        <w:tc>
          <w:tcPr>
            <w:tcW w:w="2608"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4.8万</w:t>
            </w:r>
          </w:p>
        </w:tc>
        <w:tc>
          <w:tcPr>
            <w:tcW w:w="314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41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08"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4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34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081"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4342" w:type="dxa"/>
            <w:gridSpan w:val="7"/>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(一)宣传劳动保障法律、法规和规章，督促用人单位贯彻执行;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(二)检查用人单位遵守劳动保障法律、法规和规章的情况;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(三)受理对违反劳动保障法律、法规或者规章的行为的举报、投诉;</w:t>
            </w:r>
          </w:p>
          <w:p>
            <w:pPr>
              <w:keepNext w:val="0"/>
              <w:keepLines w:val="0"/>
              <w:widowControl/>
              <w:suppressLineNumbers w:val="0"/>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4"/>
                <w:szCs w:val="24"/>
                <w:u w:val="none"/>
                <w:lang w:val="en-US" w:eastAsia="zh-CN" w:bidi="ar"/>
              </w:rPr>
              <w:t>(四)依法纠正和查处违反劳动保障法律、法规或者规章的行为。</w:t>
            </w:r>
          </w:p>
        </w:tc>
        <w:tc>
          <w:tcPr>
            <w:tcW w:w="4081" w:type="dxa"/>
            <w:gridSpan w:val="9"/>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1、一是制定《2021年度普法及政策宣传工作计划》；二是成立成立志愿服务队，深入一线开展《条例》宣传培训，为群众提供“零距离”服务共发放宣传单1300余份、设置宣传展板4块、悬挂横幅10条、解答现场咨询120余人次。</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目标2、对我县上128家用工企业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进行了劳动保障法律、法规的排查，对出现的问题进行及时的整改。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目标3、劳动保障监察举报投诉案件结案率达到98%，拖欠农民工工资举报投诉案件结案率达98%。</w:t>
            </w:r>
          </w:p>
          <w:p>
            <w:pPr>
              <w:keepNext w:val="0"/>
              <w:keepLines w:val="0"/>
              <w:widowControl/>
              <w:suppressLineNumbers w:val="0"/>
              <w:jc w:val="left"/>
              <w:textAlignment w:val="center"/>
              <w:rPr>
                <w:rFonts w:hint="default" w:ascii="仿宋" w:hAnsi="仿宋" w:eastAsia="仿宋" w:cs="仿宋"/>
                <w:b w:val="0"/>
                <w:bCs w:val="0"/>
                <w:sz w:val="32"/>
                <w:szCs w:val="32"/>
                <w:lang w:val="en-US" w:eastAsia="zh-CN"/>
              </w:rPr>
            </w:pPr>
            <w:r>
              <w:rPr>
                <w:rFonts w:hint="eastAsia" w:ascii="宋体" w:hAnsi="宋体" w:eastAsia="宋体" w:cs="宋体"/>
                <w:i w:val="0"/>
                <w:iCs w:val="0"/>
                <w:color w:val="000000"/>
                <w:kern w:val="0"/>
                <w:sz w:val="24"/>
                <w:szCs w:val="24"/>
                <w:u w:val="none"/>
                <w:lang w:val="en-US" w:eastAsia="zh-CN" w:bidi="ar"/>
              </w:rPr>
              <w:t>目标4、劳动监察受理案件数350起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3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指标1：劳动监察受理案件结案率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指标1：劳动监察受理案件数</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350起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指标1：农民工工资给付及时性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不超过60天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指标1：劳动监察工作投入成本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指标1：拓展我县企业健康发展和农民工工资支付工作的良性循环</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指标1：可促进我县经济的可持续发展</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指标1：带动我县用工环境的健康良好发展</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7" w:type="dxa"/>
            <w:vMerge w:val="continue"/>
            <w:noWrap w:val="0"/>
            <w:vAlign w:val="center"/>
          </w:tcPr>
          <w:p>
            <w:pPr>
              <w:spacing w:line="320" w:lineRule="exact"/>
              <w:rPr>
                <w:rFonts w:hint="eastAsia" w:ascii="仿宋_GB2312" w:hAnsi="仿宋_GB2312" w:eastAsia="仿宋_GB2312" w:cs="仿宋_GB2312"/>
                <w:sz w:val="24"/>
              </w:rPr>
            </w:pPr>
          </w:p>
        </w:tc>
        <w:tc>
          <w:tcPr>
            <w:tcW w:w="1613"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指标1：办理案件服务满意率办理案件服务满意率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8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张昊</w:t>
            </w: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副局长</w:t>
            </w: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人社局</w:t>
            </w:r>
          </w:p>
        </w:tc>
        <w:tc>
          <w:tcPr>
            <w:tcW w:w="278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周进</w:t>
            </w: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华容县劳动保障监察大队大队长</w:t>
            </w: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劳动保障监察大队</w:t>
            </w:r>
          </w:p>
        </w:tc>
        <w:tc>
          <w:tcPr>
            <w:tcW w:w="278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8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5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8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一、部门（单位）概况</w:t>
            </w:r>
          </w:p>
          <w:p>
            <w:pPr>
              <w:snapToGrid w:val="0"/>
              <w:spacing w:line="520" w:lineRule="exact"/>
              <w:ind w:firstLine="480" w:firstLineChars="200"/>
              <w:rPr>
                <w:rFonts w:hint="eastAsia" w:ascii="仿宋_GB2312" w:hAnsi="宋体" w:eastAsia="仿宋_GB2312" w:cs="Times New Roman"/>
                <w:color w:val="333333"/>
                <w:kern w:val="0"/>
                <w:sz w:val="24"/>
                <w:szCs w:val="24"/>
                <w:lang w:val="en-US" w:eastAsia="zh-CN"/>
              </w:rPr>
            </w:pPr>
            <w:r>
              <w:rPr>
                <w:rFonts w:hint="eastAsia" w:ascii="仿宋_GB2312" w:hAnsi="宋体" w:eastAsia="仿宋_GB2312" w:cs="Times New Roman"/>
                <w:color w:val="333333"/>
                <w:kern w:val="0"/>
                <w:sz w:val="24"/>
                <w:szCs w:val="24"/>
                <w:lang w:val="en-US" w:eastAsia="zh-CN"/>
              </w:rPr>
              <w:t>本单位属于华容县人力资源和社会保障局的独立副科级单位，人员编制6人，实有工作人员11人。主要工作内容为：</w:t>
            </w:r>
          </w:p>
          <w:p>
            <w:pPr>
              <w:snapToGrid w:val="0"/>
              <w:spacing w:line="520" w:lineRule="exact"/>
              <w:ind w:firstLine="480" w:firstLineChars="200"/>
              <w:rPr>
                <w:rFonts w:hint="eastAsia" w:ascii="仿宋_GB2312" w:hAnsi="宋体" w:eastAsia="仿宋_GB2312" w:cs="Times New Roman"/>
                <w:color w:val="333333"/>
                <w:kern w:val="0"/>
                <w:sz w:val="24"/>
                <w:szCs w:val="24"/>
                <w:lang w:val="en-US" w:eastAsia="zh-CN"/>
              </w:rPr>
            </w:pPr>
            <w:r>
              <w:rPr>
                <w:rFonts w:hint="eastAsia" w:ascii="仿宋_GB2312" w:hAnsi="宋体" w:eastAsia="仿宋_GB2312" w:cs="Times New Roman"/>
                <w:color w:val="333333"/>
                <w:kern w:val="0"/>
                <w:sz w:val="24"/>
                <w:szCs w:val="24"/>
                <w:lang w:val="en-US" w:eastAsia="zh-CN"/>
              </w:rPr>
              <w:t>(一)宣传劳动保障法律、法规和规章，督促用人单位贯彻执行;</w:t>
            </w:r>
          </w:p>
          <w:p>
            <w:pPr>
              <w:snapToGrid w:val="0"/>
              <w:spacing w:line="520" w:lineRule="exact"/>
              <w:ind w:firstLine="480" w:firstLineChars="200"/>
              <w:rPr>
                <w:rFonts w:hint="eastAsia" w:ascii="仿宋_GB2312" w:hAnsi="宋体" w:eastAsia="仿宋_GB2312" w:cs="Times New Roman"/>
                <w:color w:val="333333"/>
                <w:kern w:val="0"/>
                <w:sz w:val="24"/>
                <w:szCs w:val="24"/>
                <w:lang w:val="en-US" w:eastAsia="zh-CN"/>
              </w:rPr>
            </w:pPr>
            <w:r>
              <w:rPr>
                <w:rFonts w:hint="eastAsia" w:ascii="仿宋_GB2312" w:hAnsi="宋体" w:eastAsia="仿宋_GB2312" w:cs="Times New Roman"/>
                <w:color w:val="333333"/>
                <w:kern w:val="0"/>
                <w:sz w:val="24"/>
                <w:szCs w:val="24"/>
                <w:lang w:val="en-US" w:eastAsia="zh-CN"/>
              </w:rPr>
              <w:t>(二)检查用人单位遵守劳动保障法律、法规和规章的情况;</w:t>
            </w:r>
          </w:p>
          <w:p>
            <w:pPr>
              <w:snapToGrid w:val="0"/>
              <w:spacing w:line="520" w:lineRule="exact"/>
              <w:ind w:firstLine="480" w:firstLineChars="200"/>
              <w:rPr>
                <w:rFonts w:hint="eastAsia" w:ascii="仿宋_GB2312" w:hAnsi="宋体" w:eastAsia="仿宋_GB2312" w:cs="Times New Roman"/>
                <w:color w:val="333333"/>
                <w:kern w:val="0"/>
                <w:sz w:val="24"/>
                <w:szCs w:val="24"/>
                <w:lang w:val="en-US" w:eastAsia="zh-CN"/>
              </w:rPr>
            </w:pPr>
            <w:r>
              <w:rPr>
                <w:rFonts w:hint="eastAsia" w:ascii="仿宋_GB2312" w:hAnsi="宋体" w:eastAsia="仿宋_GB2312" w:cs="Times New Roman"/>
                <w:color w:val="333333"/>
                <w:kern w:val="0"/>
                <w:sz w:val="24"/>
                <w:szCs w:val="24"/>
                <w:lang w:val="en-US" w:eastAsia="zh-CN"/>
              </w:rPr>
              <w:t>(三)受理对违反劳动保障法律、法规或者规章的行为的举报、投诉;</w:t>
            </w:r>
          </w:p>
          <w:p>
            <w:pPr>
              <w:snapToGrid w:val="0"/>
              <w:spacing w:line="520" w:lineRule="exact"/>
              <w:ind w:firstLine="480" w:firstLineChars="200"/>
              <w:rPr>
                <w:rFonts w:hint="eastAsia" w:ascii="仿宋_GB2312" w:hAnsi="宋体" w:eastAsia="仿宋_GB2312" w:cs="Times New Roman"/>
                <w:color w:val="333333"/>
                <w:kern w:val="0"/>
                <w:sz w:val="24"/>
                <w:szCs w:val="24"/>
                <w:lang w:val="en-US" w:eastAsia="zh-CN"/>
              </w:rPr>
            </w:pPr>
            <w:r>
              <w:rPr>
                <w:rFonts w:hint="eastAsia" w:ascii="仿宋_GB2312" w:hAnsi="宋体" w:eastAsia="仿宋_GB2312" w:cs="Times New Roman"/>
                <w:color w:val="333333"/>
                <w:kern w:val="0"/>
                <w:sz w:val="24"/>
                <w:szCs w:val="24"/>
                <w:lang w:val="en-US" w:eastAsia="zh-CN"/>
              </w:rPr>
              <w:t>(四)依法纠正和查处违反劳动保障法律、法规或者规章的行为。</w:t>
            </w:r>
          </w:p>
          <w:p>
            <w:pPr>
              <w:spacing w:line="560" w:lineRule="exact"/>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全年一般公共预算财政拔款收入为</w:t>
            </w:r>
            <w:r>
              <w:rPr>
                <w:rFonts w:hint="eastAsia" w:ascii="仿宋_GB2312" w:hAnsi="仿宋_GB2312" w:eastAsia="仿宋_GB2312" w:cs="仿宋_GB2312"/>
                <w:bCs/>
                <w:sz w:val="24"/>
                <w:szCs w:val="24"/>
                <w:lang w:val="en-US" w:eastAsia="zh-CN"/>
              </w:rPr>
              <w:t>110万，其中人员支出89万，公用支出21万。</w:t>
            </w:r>
          </w:p>
          <w:p>
            <w:pPr>
              <w:numPr>
                <w:ilvl w:val="0"/>
                <w:numId w:val="1"/>
              </w:numPr>
              <w:spacing w:line="560" w:lineRule="exact"/>
              <w:ind w:left="-560" w:leftChars="0" w:firstLine="560" w:firstLineChars="0"/>
              <w:rPr>
                <w:rFonts w:hint="eastAsia"/>
                <w:sz w:val="24"/>
                <w:szCs w:val="24"/>
              </w:rPr>
            </w:pPr>
            <w:r>
              <w:rPr>
                <w:rFonts w:hint="eastAsia" w:ascii="黑体" w:hAnsi="黑体" w:eastAsia="黑体" w:cs="黑体"/>
                <w:bCs/>
                <w:sz w:val="24"/>
                <w:szCs w:val="24"/>
              </w:rPr>
              <w:t>部门（单位）整体支出绩效情况</w:t>
            </w:r>
          </w:p>
          <w:p>
            <w:pPr>
              <w:snapToGrid w:val="0"/>
              <w:spacing w:line="520" w:lineRule="exact"/>
              <w:ind w:firstLine="480" w:firstLineChars="200"/>
              <w:rPr>
                <w:rFonts w:ascii="仿宋_GB2312" w:hAnsi="宋体" w:eastAsia="仿宋_GB2312"/>
                <w:color w:val="333333"/>
                <w:kern w:val="0"/>
                <w:sz w:val="24"/>
                <w:szCs w:val="24"/>
                <w:shd w:val="clear" w:color="auto" w:fill="FFFFFF"/>
              </w:rPr>
            </w:pPr>
            <w:r>
              <w:rPr>
                <w:rFonts w:hint="eastAsia" w:ascii="仿宋_GB2312" w:hAnsi="宋体" w:eastAsia="仿宋_GB2312"/>
                <w:color w:val="333333"/>
                <w:kern w:val="0"/>
                <w:sz w:val="24"/>
                <w:szCs w:val="24"/>
              </w:rPr>
              <w:t>为贯彻执行国家预算法，加强预算绩效管理，我</w:t>
            </w:r>
            <w:r>
              <w:rPr>
                <w:rFonts w:hint="eastAsia" w:ascii="仿宋_GB2312" w:hAnsi="宋体" w:eastAsia="仿宋_GB2312"/>
                <w:color w:val="333333"/>
                <w:kern w:val="0"/>
                <w:sz w:val="24"/>
                <w:szCs w:val="24"/>
                <w:lang w:eastAsia="zh-CN"/>
              </w:rPr>
              <w:t>大队</w:t>
            </w:r>
            <w:r>
              <w:rPr>
                <w:rFonts w:hint="eastAsia" w:ascii="仿宋_GB2312" w:hAnsi="宋体" w:eastAsia="仿宋_GB2312"/>
                <w:color w:val="333333"/>
                <w:kern w:val="0"/>
                <w:sz w:val="24"/>
                <w:szCs w:val="24"/>
              </w:rPr>
              <w:t>严格按预算绩效管理的相关要求开展预算工作，我</w:t>
            </w:r>
            <w:r>
              <w:rPr>
                <w:rFonts w:hint="eastAsia" w:ascii="仿宋_GB2312" w:hAnsi="宋体" w:eastAsia="仿宋_GB2312"/>
                <w:color w:val="333333"/>
                <w:kern w:val="0"/>
                <w:sz w:val="24"/>
                <w:szCs w:val="24"/>
                <w:lang w:eastAsia="zh-CN"/>
              </w:rPr>
              <w:t>大队</w:t>
            </w:r>
            <w:r>
              <w:rPr>
                <w:rFonts w:ascii="仿宋_GB2312" w:hAnsi="宋体" w:eastAsia="仿宋_GB2312"/>
                <w:color w:val="333333"/>
                <w:kern w:val="0"/>
                <w:sz w:val="24"/>
                <w:szCs w:val="24"/>
              </w:rPr>
              <w:t>20</w:t>
            </w:r>
            <w:r>
              <w:rPr>
                <w:rFonts w:hint="eastAsia" w:ascii="仿宋_GB2312" w:hAnsi="宋体" w:eastAsia="仿宋_GB2312"/>
                <w:color w:val="333333"/>
                <w:kern w:val="0"/>
                <w:sz w:val="24"/>
                <w:szCs w:val="24"/>
              </w:rPr>
              <w:t>21年总支出为</w:t>
            </w:r>
            <w:r>
              <w:rPr>
                <w:rFonts w:hint="eastAsia" w:ascii="仿宋_GB2312" w:hAnsi="仿宋_GB2312" w:eastAsia="仿宋_GB2312" w:cs="仿宋_GB2312"/>
                <w:color w:val="000000"/>
                <w:sz w:val="24"/>
                <w:szCs w:val="24"/>
                <w:lang w:val="en-US" w:eastAsia="zh-CN"/>
              </w:rPr>
              <w:t>110元</w:t>
            </w:r>
            <w:r>
              <w:rPr>
                <w:rFonts w:hint="eastAsia" w:ascii="仿宋_GB2312" w:hAnsi="宋体" w:eastAsia="仿宋_GB2312"/>
                <w:color w:val="333333"/>
                <w:kern w:val="0"/>
                <w:sz w:val="24"/>
                <w:szCs w:val="24"/>
              </w:rPr>
              <w:t>万元。其中：基本</w:t>
            </w:r>
            <w:r>
              <w:rPr>
                <w:rFonts w:hint="eastAsia" w:ascii="仿宋_GB2312" w:hAnsi="宋体" w:eastAsia="仿宋_GB2312"/>
                <w:color w:val="333333"/>
                <w:kern w:val="0"/>
                <w:sz w:val="24"/>
                <w:szCs w:val="24"/>
                <w:lang w:eastAsia="zh-CN"/>
              </w:rPr>
              <w:t>人员</w:t>
            </w:r>
            <w:r>
              <w:rPr>
                <w:rFonts w:hint="eastAsia" w:ascii="仿宋_GB2312" w:hAnsi="宋体" w:eastAsia="仿宋_GB2312"/>
                <w:color w:val="333333"/>
                <w:kern w:val="0"/>
                <w:sz w:val="24"/>
                <w:szCs w:val="24"/>
              </w:rPr>
              <w:t>支出</w:t>
            </w:r>
            <w:r>
              <w:rPr>
                <w:rFonts w:hint="eastAsia" w:ascii="仿宋_GB2312" w:hAnsi="宋体" w:eastAsia="仿宋_GB2312"/>
                <w:color w:val="333333"/>
                <w:kern w:val="0"/>
                <w:sz w:val="24"/>
                <w:szCs w:val="24"/>
                <w:lang w:val="en-US" w:eastAsia="zh-CN"/>
              </w:rPr>
              <w:t xml:space="preserve">89 </w:t>
            </w:r>
            <w:r>
              <w:rPr>
                <w:rFonts w:hint="eastAsia" w:ascii="仿宋_GB2312" w:hAnsi="宋体" w:eastAsia="仿宋_GB2312"/>
                <w:color w:val="333333"/>
                <w:kern w:val="0"/>
                <w:sz w:val="24"/>
                <w:szCs w:val="24"/>
              </w:rPr>
              <w:t>万元</w:t>
            </w:r>
            <w:r>
              <w:rPr>
                <w:rFonts w:ascii="仿宋_GB2312" w:hAnsi="宋体" w:eastAsia="仿宋_GB2312"/>
                <w:color w:val="333333"/>
                <w:kern w:val="0"/>
                <w:sz w:val="24"/>
                <w:szCs w:val="24"/>
              </w:rPr>
              <w:t>,</w:t>
            </w:r>
            <w:r>
              <w:rPr>
                <w:rFonts w:hint="eastAsia" w:ascii="仿宋_GB2312" w:hAnsi="宋体" w:eastAsia="仿宋_GB2312"/>
                <w:color w:val="333333"/>
                <w:kern w:val="0"/>
                <w:sz w:val="24"/>
                <w:szCs w:val="24"/>
              </w:rPr>
              <w:t>占总支出的</w:t>
            </w:r>
            <w:r>
              <w:rPr>
                <w:rFonts w:hint="eastAsia" w:ascii="仿宋_GB2312" w:hAnsi="宋体" w:eastAsia="仿宋_GB2312"/>
                <w:color w:val="333333"/>
                <w:kern w:val="0"/>
                <w:sz w:val="24"/>
                <w:szCs w:val="24"/>
                <w:lang w:val="en-US" w:eastAsia="zh-CN"/>
              </w:rPr>
              <w:t>80</w:t>
            </w:r>
            <w:r>
              <w:rPr>
                <w:rFonts w:ascii="仿宋_GB2312" w:hAnsi="宋体" w:eastAsia="仿宋_GB2312"/>
                <w:color w:val="333333"/>
                <w:kern w:val="0"/>
                <w:sz w:val="24"/>
                <w:szCs w:val="24"/>
              </w:rPr>
              <w:t>%;</w:t>
            </w:r>
            <w:r>
              <w:rPr>
                <w:rFonts w:hint="eastAsia" w:ascii="仿宋_GB2312" w:hAnsi="宋体" w:eastAsia="仿宋_GB2312"/>
                <w:color w:val="333333"/>
                <w:kern w:val="0"/>
                <w:sz w:val="24"/>
                <w:szCs w:val="24"/>
                <w:lang w:eastAsia="zh-CN"/>
              </w:rPr>
              <w:t>公用</w:t>
            </w:r>
            <w:r>
              <w:rPr>
                <w:rFonts w:hint="eastAsia" w:ascii="仿宋_GB2312" w:hAnsi="宋体" w:eastAsia="仿宋_GB2312"/>
                <w:color w:val="333333"/>
                <w:kern w:val="0"/>
                <w:sz w:val="24"/>
                <w:szCs w:val="24"/>
              </w:rPr>
              <w:t>支出</w:t>
            </w:r>
            <w:r>
              <w:rPr>
                <w:rFonts w:hint="eastAsia" w:ascii="仿宋_GB2312" w:hAnsi="宋体" w:eastAsia="仿宋_GB2312"/>
                <w:color w:val="333333"/>
                <w:kern w:val="0"/>
                <w:sz w:val="24"/>
                <w:szCs w:val="24"/>
                <w:lang w:val="en-US" w:eastAsia="zh-CN"/>
              </w:rPr>
              <w:t xml:space="preserve">21 </w:t>
            </w:r>
            <w:r>
              <w:rPr>
                <w:rFonts w:hint="eastAsia" w:ascii="仿宋_GB2312" w:hAnsi="宋体" w:eastAsia="仿宋_GB2312"/>
                <w:color w:val="333333"/>
                <w:kern w:val="0"/>
                <w:sz w:val="24"/>
                <w:szCs w:val="24"/>
              </w:rPr>
              <w:t>万元</w:t>
            </w:r>
            <w:r>
              <w:rPr>
                <w:rFonts w:ascii="仿宋_GB2312" w:hAnsi="宋体" w:eastAsia="仿宋_GB2312"/>
                <w:color w:val="333333"/>
                <w:kern w:val="0"/>
                <w:sz w:val="24"/>
                <w:szCs w:val="24"/>
              </w:rPr>
              <w:t>,</w:t>
            </w:r>
            <w:r>
              <w:rPr>
                <w:rFonts w:hint="eastAsia" w:ascii="仿宋_GB2312" w:hAnsi="宋体" w:eastAsia="仿宋_GB2312"/>
                <w:color w:val="333333"/>
                <w:kern w:val="0"/>
                <w:sz w:val="24"/>
                <w:szCs w:val="24"/>
              </w:rPr>
              <w:t>占总支出的</w:t>
            </w:r>
            <w:r>
              <w:rPr>
                <w:rFonts w:hint="eastAsia" w:ascii="仿宋_GB2312" w:hAnsi="宋体" w:eastAsia="仿宋_GB2312"/>
                <w:color w:val="333333"/>
                <w:kern w:val="0"/>
                <w:sz w:val="24"/>
                <w:szCs w:val="24"/>
                <w:lang w:val="en-US" w:eastAsia="zh-CN"/>
              </w:rPr>
              <w:t>20</w:t>
            </w:r>
            <w:r>
              <w:rPr>
                <w:rFonts w:ascii="仿宋_GB2312" w:hAnsi="宋体" w:eastAsia="仿宋_GB2312"/>
                <w:color w:val="333333"/>
                <w:kern w:val="0"/>
                <w:sz w:val="24"/>
                <w:szCs w:val="24"/>
              </w:rPr>
              <w:t>%</w:t>
            </w:r>
            <w:r>
              <w:rPr>
                <w:rFonts w:hint="eastAsia" w:ascii="仿宋_GB2312" w:hAnsi="宋体" w:eastAsia="仿宋_GB2312"/>
                <w:color w:val="333333"/>
                <w:kern w:val="0"/>
                <w:sz w:val="24"/>
                <w:szCs w:val="24"/>
              </w:rPr>
              <w:t>。</w:t>
            </w:r>
            <w:r>
              <w:rPr>
                <w:rFonts w:hint="eastAsia" w:ascii="仿宋_GB2312" w:hAnsi="宋体" w:eastAsia="仿宋_GB2312"/>
                <w:color w:val="333333"/>
                <w:kern w:val="0"/>
                <w:sz w:val="24"/>
                <w:szCs w:val="24"/>
                <w:shd w:val="clear" w:color="auto" w:fill="FFFFFF"/>
              </w:rPr>
              <w:t>我</w:t>
            </w:r>
            <w:r>
              <w:rPr>
                <w:rFonts w:hint="eastAsia" w:ascii="仿宋_GB2312" w:hAnsi="宋体" w:eastAsia="仿宋_GB2312"/>
                <w:color w:val="333333"/>
                <w:kern w:val="0"/>
                <w:sz w:val="24"/>
                <w:szCs w:val="24"/>
                <w:shd w:val="clear" w:color="auto" w:fill="FFFFFF"/>
                <w:lang w:eastAsia="zh-CN"/>
              </w:rPr>
              <w:t>大队</w:t>
            </w:r>
            <w:r>
              <w:rPr>
                <w:rFonts w:hint="eastAsia" w:ascii="仿宋_GB2312" w:hAnsi="宋体" w:eastAsia="仿宋_GB2312"/>
                <w:color w:val="333333"/>
                <w:kern w:val="0"/>
                <w:sz w:val="24"/>
                <w:szCs w:val="24"/>
                <w:shd w:val="clear" w:color="auto" w:fill="FFFFFF"/>
              </w:rPr>
              <w:t>切实以绩效管理为目标，健全单位绩效管理工作机制，明确责任，努力提高绩效管理工作水平；加强单位制度建设，提升预算管理质量。</w:t>
            </w:r>
          </w:p>
          <w:p>
            <w:pPr>
              <w:numPr>
                <w:ilvl w:val="0"/>
                <w:numId w:val="1"/>
              </w:numPr>
              <w:spacing w:line="560" w:lineRule="exact"/>
              <w:ind w:left="-560" w:leftChars="0" w:firstLine="560" w:firstLineChars="0"/>
              <w:rPr>
                <w:rFonts w:hint="eastAsia"/>
                <w:sz w:val="24"/>
                <w:szCs w:val="24"/>
              </w:rPr>
            </w:pPr>
            <w:r>
              <w:rPr>
                <w:rFonts w:hint="eastAsia" w:ascii="黑体" w:hAnsi="黑体" w:eastAsia="黑体" w:cs="黑体"/>
                <w:bCs/>
                <w:sz w:val="24"/>
                <w:szCs w:val="24"/>
              </w:rPr>
              <w:t>存在的主要问题</w:t>
            </w:r>
          </w:p>
          <w:p>
            <w:pPr>
              <w:snapToGrid w:val="0"/>
              <w:spacing w:line="520" w:lineRule="exact"/>
              <w:ind w:firstLine="480" w:firstLineChars="200"/>
              <w:jc w:val="left"/>
              <w:rPr>
                <w:rFonts w:hint="eastAsia" w:ascii="仿宋_GB2312" w:hAnsi="宋体" w:eastAsia="仿宋_GB2312" w:cs="Times New Roman"/>
                <w:color w:val="333333"/>
                <w:kern w:val="0"/>
                <w:sz w:val="24"/>
                <w:szCs w:val="24"/>
                <w:shd w:val="clear" w:color="auto" w:fill="FFFFFF"/>
              </w:rPr>
            </w:pPr>
            <w:r>
              <w:rPr>
                <w:rFonts w:hint="eastAsia" w:ascii="仿宋_GB2312" w:hAnsi="宋体" w:eastAsia="仿宋_GB2312" w:cs="Times New Roman"/>
                <w:color w:val="333333"/>
                <w:kern w:val="0"/>
                <w:sz w:val="24"/>
                <w:szCs w:val="24"/>
                <w:shd w:val="clear" w:color="auto" w:fill="FFFFFF"/>
                <w:lang w:val="en-US" w:eastAsia="zh-CN"/>
              </w:rPr>
              <w:t>1、资</w:t>
            </w:r>
            <w:r>
              <w:rPr>
                <w:rFonts w:hint="eastAsia" w:ascii="仿宋_GB2312" w:hAnsi="宋体" w:eastAsia="仿宋_GB2312" w:cs="Times New Roman"/>
                <w:color w:val="333333"/>
                <w:kern w:val="0"/>
                <w:sz w:val="24"/>
                <w:szCs w:val="24"/>
                <w:shd w:val="clear" w:color="auto" w:fill="FFFFFF"/>
              </w:rPr>
              <w:t>金预算刚性不够，预算编制与实际支出存在差异</w:t>
            </w:r>
          </w:p>
          <w:p>
            <w:pPr>
              <w:snapToGrid w:val="0"/>
              <w:spacing w:line="520" w:lineRule="exact"/>
              <w:ind w:firstLine="480" w:firstLineChars="200"/>
              <w:jc w:val="left"/>
              <w:rPr>
                <w:rFonts w:hint="eastAsia" w:ascii="仿宋_GB2312" w:hAnsi="宋体" w:eastAsia="仿宋_GB2312" w:cs="Times New Roman"/>
                <w:color w:val="333333"/>
                <w:kern w:val="0"/>
                <w:sz w:val="24"/>
                <w:szCs w:val="24"/>
                <w:shd w:val="clear" w:color="auto" w:fill="FFFFFF"/>
                <w:lang w:val="en-US" w:eastAsia="zh-CN"/>
              </w:rPr>
            </w:pPr>
            <w:r>
              <w:rPr>
                <w:rFonts w:hint="eastAsia" w:ascii="仿宋_GB2312" w:hAnsi="宋体" w:eastAsia="仿宋_GB2312" w:cs="Times New Roman"/>
                <w:color w:val="333333"/>
                <w:kern w:val="0"/>
                <w:sz w:val="24"/>
                <w:szCs w:val="24"/>
                <w:shd w:val="clear" w:color="auto" w:fill="FFFFFF"/>
                <w:lang w:val="en-US" w:eastAsia="zh-CN"/>
              </w:rPr>
              <w:t>2、资金预算量与劳动监察事业发展需求增加存在矛盾</w:t>
            </w:r>
          </w:p>
          <w:p>
            <w:pPr>
              <w:numPr>
                <w:ilvl w:val="0"/>
                <w:numId w:val="0"/>
              </w:numPr>
              <w:spacing w:line="560" w:lineRule="exact"/>
              <w:ind w:leftChars="0"/>
              <w:rPr>
                <w:rFonts w:hint="eastAsia" w:ascii="黑体" w:hAnsi="黑体" w:eastAsia="黑体" w:cs="黑体"/>
                <w:bCs/>
                <w:sz w:val="24"/>
                <w:szCs w:val="24"/>
              </w:rPr>
            </w:pPr>
            <w:r>
              <w:rPr>
                <w:rFonts w:hint="eastAsia" w:ascii="黑体" w:hAnsi="黑体" w:eastAsia="黑体" w:cs="黑体"/>
                <w:bCs/>
                <w:sz w:val="24"/>
                <w:szCs w:val="24"/>
                <w:lang w:eastAsia="zh-CN"/>
              </w:rPr>
              <w:t>六、</w:t>
            </w:r>
            <w:r>
              <w:rPr>
                <w:rFonts w:hint="eastAsia" w:ascii="黑体" w:hAnsi="黑体" w:eastAsia="黑体" w:cs="黑体"/>
                <w:bCs/>
                <w:sz w:val="24"/>
                <w:szCs w:val="24"/>
              </w:rPr>
              <w:t>改进措施和有关建议</w:t>
            </w:r>
          </w:p>
          <w:p>
            <w:pPr>
              <w:pStyle w:val="4"/>
              <w:ind w:firstLine="480" w:firstLineChars="200"/>
              <w:rPr>
                <w:rFonts w:hint="eastAsia" w:ascii="仿宋_GB2312" w:hAnsi="宋体" w:eastAsia="仿宋_GB2312" w:cs="Times New Roman"/>
                <w:color w:val="333333"/>
                <w:kern w:val="0"/>
                <w:sz w:val="24"/>
                <w:szCs w:val="24"/>
                <w:shd w:val="clear" w:color="auto" w:fill="FFFFFF"/>
                <w:lang w:val="en-US" w:eastAsia="zh-CN" w:bidi="ar-SA"/>
              </w:rPr>
            </w:pPr>
            <w:r>
              <w:rPr>
                <w:rFonts w:hint="eastAsia" w:ascii="仿宋" w:hAnsi="仿宋" w:eastAsia="仿宋" w:cs="仿宋"/>
                <w:sz w:val="24"/>
                <w:szCs w:val="24"/>
              </w:rPr>
              <w:t>1</w:t>
            </w:r>
            <w:r>
              <w:rPr>
                <w:rFonts w:hint="eastAsia" w:ascii="仿宋_GB2312" w:hAnsi="宋体" w:eastAsia="仿宋_GB2312" w:cs="Times New Roman"/>
                <w:color w:val="333333"/>
                <w:kern w:val="0"/>
                <w:sz w:val="24"/>
                <w:szCs w:val="24"/>
                <w:shd w:val="clear" w:color="auto" w:fill="FFFFFF"/>
                <w:lang w:val="en-US" w:eastAsia="zh-CN" w:bidi="ar-SA"/>
              </w:rPr>
              <w:t>、严格按预算安排支出，压缩非必要的机构运行经费、</w:t>
            </w:r>
          </w:p>
          <w:p>
            <w:pPr>
              <w:pStyle w:val="4"/>
              <w:ind w:firstLine="480" w:firstLineChars="200"/>
              <w:rPr>
                <w:rFonts w:hint="eastAsia" w:ascii="仿宋_GB2312" w:hAnsi="宋体" w:eastAsia="仿宋_GB2312" w:cs="Times New Roman"/>
                <w:color w:val="333333"/>
                <w:kern w:val="0"/>
                <w:sz w:val="24"/>
                <w:szCs w:val="24"/>
                <w:shd w:val="clear" w:color="auto" w:fill="FFFFFF"/>
                <w:lang w:val="en-US" w:eastAsia="zh-CN" w:bidi="ar-SA"/>
              </w:rPr>
            </w:pPr>
            <w:r>
              <w:rPr>
                <w:rFonts w:hint="eastAsia" w:ascii="仿宋_GB2312" w:hAnsi="宋体" w:eastAsia="仿宋_GB2312" w:cs="Times New Roman"/>
                <w:color w:val="333333"/>
                <w:kern w:val="0"/>
                <w:sz w:val="24"/>
                <w:szCs w:val="24"/>
                <w:shd w:val="clear" w:color="auto" w:fill="FFFFFF"/>
                <w:lang w:val="en-US" w:eastAsia="zh-CN" w:bidi="ar-SA"/>
              </w:rPr>
              <w:t>2、有效运用绩效评价结果，逐步增加预算资金，缓解资金不足与民政事业发展需求的矛盾。</w:t>
            </w:r>
          </w:p>
          <w:p>
            <w:pPr>
              <w:pStyle w:val="8"/>
              <w:widowControl/>
              <w:wordWrap w:val="0"/>
              <w:spacing w:line="560" w:lineRule="exact"/>
              <w:rPr>
                <w:rFonts w:hint="eastAsia" w:ascii="仿宋_GB2312" w:hAnsi="宋体" w:eastAsia="仿宋_GB2312" w:cs="Times New Roman"/>
                <w:color w:val="333333"/>
                <w:kern w:val="0"/>
                <w:sz w:val="24"/>
                <w:szCs w:val="24"/>
                <w:shd w:val="clear" w:color="auto" w:fill="FFFFFF"/>
                <w:lang w:val="en-US" w:eastAsia="zh-CN" w:bidi="ar-SA"/>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9"/>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hint="eastAsia" w:eastAsia="仿宋_GB2312"/>
                <w:sz w:val="30"/>
                <w:szCs w:val="30"/>
              </w:rPr>
            </w:pPr>
            <w:r>
              <w:rPr>
                <w:rFonts w:hint="eastAsia" w:eastAsia="仿宋_GB2312"/>
                <w:sz w:val="30"/>
                <w:szCs w:val="30"/>
              </w:rPr>
              <w:t>(三)绩效评价工作过程。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9"/>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9"/>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18</w:t>
    </w:r>
    <w:r>
      <w:rPr>
        <w:sz w:val="24"/>
        <w:szCs w:val="24"/>
      </w:rPr>
      <w:fldChar w:fldCharType="end"/>
    </w:r>
    <w:r>
      <w:rPr>
        <w:rStyle w:val="11"/>
        <w:rFonts w:hint="eastAsia"/>
        <w:sz w:val="24"/>
        <w:szCs w:val="24"/>
      </w:rPr>
      <w:t xml:space="preserve"> —</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0491F"/>
    <w:multiLevelType w:val="singleLevel"/>
    <w:tmpl w:val="D490491F"/>
    <w:lvl w:ilvl="0" w:tentative="0">
      <w:start w:val="4"/>
      <w:numFmt w:val="chineseCounting"/>
      <w:suff w:val="nothing"/>
      <w:lvlText w:val="%1、"/>
      <w:lvlJc w:val="left"/>
      <w:pPr>
        <w:ind w:left="-5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jY0NWRkYjJhNzdmYWQxZjdiODZiYzNhYTY5NDIifQ=="/>
  </w:docVars>
  <w:rsids>
    <w:rsidRoot w:val="2CE55C20"/>
    <w:rsid w:val="007B2063"/>
    <w:rsid w:val="083749E7"/>
    <w:rsid w:val="0CB679B8"/>
    <w:rsid w:val="0DE528CD"/>
    <w:rsid w:val="10054735"/>
    <w:rsid w:val="1336279F"/>
    <w:rsid w:val="18725427"/>
    <w:rsid w:val="254E2FC7"/>
    <w:rsid w:val="25B607B7"/>
    <w:rsid w:val="263C173A"/>
    <w:rsid w:val="27BE7AE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2B651B"/>
    <w:rsid w:val="49617FA5"/>
    <w:rsid w:val="4BAD6FBB"/>
    <w:rsid w:val="4CB9570C"/>
    <w:rsid w:val="4D171D42"/>
    <w:rsid w:val="4E261AA5"/>
    <w:rsid w:val="4E4F0BB0"/>
    <w:rsid w:val="5BE95901"/>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Body Text"/>
    <w:basedOn w:val="1"/>
    <w:qFormat/>
    <w:uiPriority w:val="0"/>
    <w:pPr>
      <w:spacing w:after="120"/>
    </w:p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rPr>
      <w:sz w:val="24"/>
    </w:rPr>
  </w:style>
  <w:style w:type="character" w:styleId="11">
    <w:name w:val="page number"/>
    <w:qFormat/>
    <w:uiPriority w:val="0"/>
  </w:style>
  <w:style w:type="character" w:customStyle="1" w:styleId="12">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7306</Words>
  <Characters>7719</Characters>
  <Lines>0</Lines>
  <Paragraphs>0</Paragraphs>
  <TotalTime>8</TotalTime>
  <ScaleCrop>false</ScaleCrop>
  <LinksUpToDate>false</LinksUpToDate>
  <CharactersWithSpaces>8894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郑朝盈</cp:lastModifiedBy>
  <cp:lastPrinted>2021-07-12T08:27:00Z</cp:lastPrinted>
  <dcterms:modified xsi:type="dcterms:W3CDTF">2022-10-24T03:13:27Z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D58AF8D14D97461490A12C1961310CFA</vt:lpwstr>
  </property>
</Properties>
</file>