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华容县交通运输综合行政执法大队</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304008</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孙明</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15576097333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Style w:val="10"/>
                <w:rFonts w:hint="default" w:ascii="Times New Roman" w:hAnsi="Times New Roman" w:eastAsia="楷体_GB2312" w:cs="楷体_GB2312"/>
                <w:sz w:val="28"/>
                <w:szCs w:val="28"/>
              </w:rPr>
              <w:t>负责农村公路管理行政应诉、路政管理、执法监督，调查处理路政案件，参与查处有关安全事故，协助交通主管部门做好公路</w:t>
            </w:r>
            <w:r>
              <w:rPr>
                <w:rStyle w:val="10"/>
                <w:rFonts w:hint="default" w:ascii="Times New Roman" w:hAnsi="Times New Roman" w:eastAsia="楷体_GB2312" w:cs="Times New Roman"/>
                <w:sz w:val="28"/>
                <w:szCs w:val="28"/>
              </w:rPr>
              <w:t>“</w:t>
            </w:r>
            <w:r>
              <w:rPr>
                <w:rStyle w:val="10"/>
                <w:rFonts w:hint="default" w:ascii="楷体_GB2312" w:hAnsi="Times New Roman" w:eastAsia="楷体_GB2312" w:cs="楷体_GB2312"/>
                <w:sz w:val="28"/>
                <w:szCs w:val="28"/>
              </w:rPr>
              <w:t>三乱</w:t>
            </w:r>
            <w:r>
              <w:rPr>
                <w:rStyle w:val="10"/>
                <w:rFonts w:hint="default" w:ascii="Times New Roman" w:hAnsi="Times New Roman" w:eastAsia="楷体_GB2312" w:cs="Times New Roman"/>
                <w:sz w:val="28"/>
                <w:szCs w:val="28"/>
              </w:rPr>
              <w:t>”</w:t>
            </w:r>
            <w:r>
              <w:rPr>
                <w:rStyle w:val="10"/>
                <w:rFonts w:hint="default" w:ascii="楷体_GB2312" w:hAnsi="Times New Roman" w:eastAsia="楷体_GB2312" w:cs="楷体_GB2312"/>
                <w:sz w:val="28"/>
                <w:szCs w:val="28"/>
              </w:rPr>
              <w:t>治理工作。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路域环境整治</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货运车辆超限超载治理</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Times New Roman" w:hAnsi="Times New Roman" w:eastAsia="仿宋_GB2312" w:cs="仿宋_GB2312"/>
                <w:color w:val="000000"/>
                <w:sz w:val="32"/>
                <w:szCs w:val="32"/>
                <w:lang w:val="en-US" w:eastAsia="zh-CN"/>
              </w:rPr>
              <w:t>县农村公路路政执法大队年内对管辖道路巡查54轮，出动执法人员394人次，发现安全隐患49处，当场监督整改32处，移交局安全监督股及相关部门单位17处。年内开展超限超载专项行动76次，出动执法人员380人次，检查车辆45台次，处置违法行为车辆15台、共卸载货物93.66吨，确保了路面安全畅通零事故。</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val="0"/>
                <w:bCs w:val="0"/>
                <w:color w:val="000000"/>
                <w:sz w:val="24"/>
              </w:rPr>
              <w:t>年度收入情况（万元）</w:t>
            </w:r>
            <w:r>
              <w:rPr>
                <w:rFonts w:hint="eastAsia" w:ascii="仿宋_GB2312" w:hAnsi="仿宋_GB2312" w:eastAsia="仿宋_GB2312" w:cs="仿宋_GB2312"/>
                <w:b w:val="0"/>
                <w:bCs w:val="0"/>
                <w:color w:val="000000"/>
                <w:sz w:val="24"/>
                <w:lang w:val="en-US" w:eastAsia="zh-CN"/>
              </w:rPr>
              <w:t>219.74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r>
              <w:rPr>
                <w:rFonts w:hint="eastAsia" w:ascii="仿宋_GB2312" w:hAnsi="仿宋_GB2312" w:eastAsia="仿宋_GB2312" w:cs="仿宋_GB2312"/>
                <w:color w:val="000000"/>
                <w:sz w:val="24"/>
                <w:lang w:val="en-US" w:eastAsia="zh-CN"/>
              </w:rPr>
              <w:t>219.74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交通运输综合行政执法大队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219.74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219.74</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rPr>
              <w:t>部门（单位）年度支出和结余情况（万元）</w:t>
            </w:r>
            <w:r>
              <w:rPr>
                <w:rFonts w:hint="eastAsia" w:ascii="仿宋_GB2312" w:hAnsi="仿宋_GB2312" w:eastAsia="仿宋_GB2312" w:cs="仿宋_GB2312"/>
                <w:b/>
                <w:bCs/>
                <w:color w:val="000000"/>
                <w:sz w:val="24"/>
                <w:lang w:val="en-US" w:eastAsia="zh-CN"/>
              </w:rPr>
              <w:t>219.74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交通运输综合行政执法大队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219.74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219.74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34.40</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交通运输综合行政执法大队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r>
              <w:rPr>
                <w:rFonts w:hint="eastAsia" w:ascii="仿宋_GB2312" w:hAnsi="仿宋_GB2312" w:eastAsia="仿宋_GB2312" w:cs="仿宋_GB2312"/>
                <w:color w:val="000000"/>
                <w:sz w:val="24"/>
                <w:lang w:val="en-US" w:eastAsia="zh-CN"/>
              </w:rPr>
              <w:t>232.73</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交通运输综合行政执法大队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232.73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232.73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Times New Roman" w:hAnsi="Times New Roman" w:eastAsia="仿宋_GB2312" w:cs="仿宋_GB2312"/>
                <w:color w:val="000000"/>
                <w:sz w:val="21"/>
                <w:szCs w:val="21"/>
                <w:lang w:val="en-US" w:eastAsia="zh-CN"/>
              </w:rPr>
              <w:t>年内对管辖道路巡查54轮，出动执法人员394人次，发现安全隐患49处，当场监督整改32处，移交局安全监督股及相关部门单位17处。年内开展超限超载专项行动76次，出动执法人员380人次，检查车辆45台次，处置违法行为车辆15台、</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Times New Roman" w:hAnsi="Times New Roman" w:eastAsia="仿宋_GB2312" w:cs="仿宋_GB2312"/>
                <w:color w:val="000000"/>
                <w:sz w:val="21"/>
                <w:szCs w:val="21"/>
                <w:lang w:val="en-US" w:eastAsia="zh-CN"/>
              </w:rPr>
              <w:t>年内对管辖道路巡查54轮，出动执法人员394人次，发现安全隐患49处，当场监督整改32处，移交局安全监督股及相关部门单位17处。年内开展超限超载专项行动76次，出动执法人员380人次，检查车辆45台次，处置违法行为车辆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行业服务质量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无重大服务质量投诉及集中上访事件。年度服务质量信誉考核顺利通过。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安全“隐患清零”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安全违法违规行为持续下降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路域环境建查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仿宋_GB2312"/>
                <w:color w:val="000000"/>
                <w:sz w:val="21"/>
                <w:szCs w:val="21"/>
                <w:lang w:val="en-US" w:eastAsia="zh-CN"/>
              </w:rPr>
              <w:t>年内对管辖道路巡查54轮，出动执法人员394人次，发现安全隐患49处，当场监督整改32处，移交局安全监督股及相关部门单位17处。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超限超载整治</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仿宋_GB2312"/>
                <w:color w:val="000000"/>
                <w:sz w:val="21"/>
                <w:szCs w:val="21"/>
                <w:lang w:val="en-US" w:eastAsia="zh-CN"/>
              </w:rPr>
              <w:t>内开展超限超载专项行动76次，出动执法人员380人次，检查车辆45台次，处置违法行为车辆15台、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安全生产</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未突破事故控制指标。建设施工、</w:t>
            </w:r>
            <w:r>
              <w:rPr>
                <w:rFonts w:hint="eastAsia" w:ascii="仿宋_GB2312" w:hAnsi="仿宋_GB2312" w:eastAsia="仿宋_GB2312" w:cs="仿宋_GB2312"/>
                <w:color w:val="000000"/>
                <w:szCs w:val="21"/>
                <w:lang w:val="en-US" w:eastAsia="zh-CN"/>
              </w:rPr>
              <w:t>无</w:t>
            </w:r>
            <w:r>
              <w:rPr>
                <w:rFonts w:hint="eastAsia" w:ascii="仿宋_GB2312" w:hAnsi="仿宋_GB2312" w:eastAsia="仿宋_GB2312" w:cs="仿宋_GB2312"/>
                <w:color w:val="000000"/>
                <w:szCs w:val="21"/>
              </w:rPr>
              <w:t>火灾事故。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路域环境建查</w:t>
            </w: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超限超载整治</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仿宋_GB2312"/>
                <w:color w:val="000000"/>
                <w:sz w:val="21"/>
                <w:szCs w:val="21"/>
                <w:lang w:val="en-US" w:eastAsia="zh-CN"/>
              </w:rPr>
              <w:t>年内对管辖道路巡查54轮，出动执法人员394人次，发现安全隐患49处，当场监督整改32处，移交局安全监督股及相关部门单位17处。年内开展超限超载专项行动76次，出动执法人员380人次，检查车辆45台次，处置违法行为车辆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转变价值观念，增强服务意识，逐步满足社会公众生态需求</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Cs w:val="21"/>
              </w:rPr>
              <w:t>完善生态管理制度体系，协调生态环境与经济社会发展的关系，使经济社会与生态环境协调发展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社会公众生态需求逐步满足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年度综合绩效考核公众评议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rPr>
              <w:t>公众评议</w:t>
            </w:r>
            <w:r>
              <w:rPr>
                <w:rFonts w:hint="eastAsia" w:ascii="仿宋_GB2312" w:hAnsi="仿宋_GB2312" w:eastAsia="仿宋_GB2312" w:cs="仿宋_GB2312"/>
                <w:color w:val="000000"/>
                <w:szCs w:val="21"/>
                <w:lang w:val="en-US" w:eastAsia="zh-CN"/>
              </w:rPr>
              <w:t>较</w:t>
            </w:r>
            <w:r>
              <w:rPr>
                <w:rFonts w:hint="eastAsia" w:ascii="仿宋_GB2312" w:hAnsi="仿宋_GB2312" w:eastAsia="仿宋_GB2312" w:cs="仿宋_GB2312"/>
                <w:color w:val="000000"/>
                <w:szCs w:val="21"/>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胡长新</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值班副大队长</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执法大队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程珈</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执法大队</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孙明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15576097333</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3"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600" w:lineRule="exact"/>
              <w:ind w:firstLine="560" w:firstLineChars="200"/>
              <w:rPr>
                <w:rFonts w:hint="eastAsia" w:ascii="仿宋_GB2312" w:hAnsi="仿宋_GB2312" w:eastAsia="仿宋_GB2312" w:cs="仿宋_GB2312"/>
                <w:bCs/>
                <w:sz w:val="28"/>
                <w:szCs w:val="28"/>
              </w:rPr>
            </w:pPr>
            <w:r>
              <w:rPr>
                <w:rFonts w:hint="eastAsia" w:ascii="仿宋" w:hAnsi="仿宋" w:eastAsia="仿宋"/>
                <w:sz w:val="28"/>
                <w:szCs w:val="28"/>
              </w:rPr>
              <w:t>华容县</w:t>
            </w:r>
            <w:r>
              <w:rPr>
                <w:rFonts w:hint="eastAsia" w:ascii="仿宋" w:hAnsi="仿宋" w:eastAsia="仿宋"/>
                <w:sz w:val="28"/>
                <w:szCs w:val="28"/>
                <w:lang w:val="en-US" w:eastAsia="zh-CN"/>
              </w:rPr>
              <w:t>农村公路路政大队</w:t>
            </w:r>
            <w:r>
              <w:rPr>
                <w:rFonts w:hint="eastAsia" w:ascii="仿宋" w:hAnsi="仿宋" w:eastAsia="仿宋"/>
                <w:sz w:val="28"/>
                <w:szCs w:val="28"/>
              </w:rPr>
              <w:t>系县财政全额预算拨款</w:t>
            </w:r>
            <w:r>
              <w:rPr>
                <w:rFonts w:hint="eastAsia" w:ascii="仿宋" w:hAnsi="仿宋" w:eastAsia="仿宋"/>
                <w:sz w:val="28"/>
                <w:szCs w:val="28"/>
                <w:lang w:val="en-US" w:eastAsia="zh-CN"/>
              </w:rPr>
              <w:t>事业</w:t>
            </w:r>
            <w:r>
              <w:rPr>
                <w:rFonts w:hint="eastAsia" w:ascii="仿宋" w:hAnsi="仿宋" w:eastAsia="仿宋"/>
                <w:sz w:val="28"/>
                <w:szCs w:val="28"/>
              </w:rPr>
              <w:t>单位。</w:t>
            </w:r>
            <w:r>
              <w:rPr>
                <w:rFonts w:hint="eastAsia" w:ascii="仿宋" w:hAnsi="仿宋" w:eastAsia="仿宋"/>
                <w:sz w:val="28"/>
                <w:szCs w:val="28"/>
                <w:lang w:val="en-US" w:eastAsia="zh-CN"/>
              </w:rPr>
              <w:t>2021</w:t>
            </w:r>
            <w:r>
              <w:rPr>
                <w:rFonts w:hint="eastAsia" w:ascii="仿宋" w:hAnsi="仿宋" w:eastAsia="仿宋"/>
                <w:sz w:val="28"/>
                <w:szCs w:val="28"/>
              </w:rPr>
              <w:t>年编制部门核实</w:t>
            </w:r>
            <w:r>
              <w:rPr>
                <w:rFonts w:hint="eastAsia" w:ascii="仿宋" w:hAnsi="仿宋" w:eastAsia="仿宋"/>
                <w:sz w:val="28"/>
                <w:szCs w:val="28"/>
                <w:lang w:val="en-US" w:eastAsia="zh-CN"/>
              </w:rPr>
              <w:t>农村公路路政大队</w:t>
            </w:r>
            <w:r>
              <w:rPr>
                <w:rFonts w:hint="eastAsia" w:ascii="仿宋" w:hAnsi="仿宋" w:eastAsia="仿宋"/>
                <w:sz w:val="28"/>
                <w:szCs w:val="28"/>
              </w:rPr>
              <w:t>人员编制</w:t>
            </w:r>
            <w:r>
              <w:rPr>
                <w:rFonts w:hint="eastAsia" w:ascii="仿宋" w:hAnsi="仿宋" w:eastAsia="仿宋"/>
                <w:sz w:val="28"/>
                <w:szCs w:val="28"/>
                <w:lang w:val="en-US" w:eastAsia="zh-CN"/>
              </w:rPr>
              <w:t>15</w:t>
            </w:r>
            <w:r>
              <w:rPr>
                <w:rFonts w:hint="eastAsia" w:ascii="仿宋" w:hAnsi="仿宋" w:eastAsia="仿宋"/>
                <w:sz w:val="28"/>
                <w:szCs w:val="28"/>
              </w:rPr>
              <w:t>人，实有人数为</w:t>
            </w:r>
            <w:r>
              <w:rPr>
                <w:rFonts w:hint="eastAsia" w:ascii="仿宋" w:hAnsi="仿宋" w:eastAsia="仿宋"/>
                <w:sz w:val="28"/>
                <w:szCs w:val="28"/>
                <w:lang w:val="en-US" w:eastAsia="zh-CN"/>
              </w:rPr>
              <w:t>18</w:t>
            </w:r>
            <w:r>
              <w:rPr>
                <w:rFonts w:hint="eastAsia" w:ascii="仿宋" w:hAnsi="仿宋" w:eastAsia="仿宋"/>
                <w:sz w:val="28"/>
                <w:szCs w:val="28"/>
              </w:rPr>
              <w:t>人。</w:t>
            </w:r>
          </w:p>
          <w:p>
            <w:pPr>
              <w:numPr>
                <w:ilvl w:val="0"/>
                <w:numId w:val="1"/>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部门</w:t>
            </w:r>
            <w:r>
              <w:rPr>
                <w:rFonts w:hint="eastAsia" w:ascii="仿宋_GB2312" w:hAnsi="仿宋_GB2312" w:eastAsia="仿宋_GB2312" w:cs="仿宋_GB2312"/>
                <w:bCs/>
                <w:sz w:val="28"/>
                <w:szCs w:val="28"/>
                <w:lang w:val="en-US" w:eastAsia="zh-CN"/>
              </w:rPr>
              <w:t>职能</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default" w:ascii="仿宋" w:hAnsi="仿宋" w:eastAsia="仿宋"/>
                <w:sz w:val="28"/>
                <w:szCs w:val="28"/>
              </w:rPr>
              <w:t>负责农村公路管理行政应诉、路政管理、执法监督，调查处理路政案件，参与查处有关安全事故，协助交通主管部门做好公路“三乱”治理工作。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支出情况</w:t>
            </w:r>
            <w:r>
              <w:rPr>
                <w:rFonts w:ascii="仿宋" w:hAnsi="仿宋" w:eastAsia="仿宋"/>
                <w:sz w:val="28"/>
                <w:szCs w:val="28"/>
              </w:rPr>
              <w:t>:</w:t>
            </w:r>
            <w:r>
              <w:rPr>
                <w:rFonts w:hint="eastAsia" w:ascii="仿宋" w:hAnsi="仿宋" w:eastAsia="仿宋"/>
                <w:sz w:val="28"/>
                <w:szCs w:val="28"/>
              </w:rPr>
              <w:t>全年支出</w:t>
            </w:r>
            <w:r>
              <w:rPr>
                <w:rFonts w:hint="eastAsia" w:ascii="仿宋_GB2312" w:hAnsi="仿宋_GB2312" w:eastAsia="仿宋_GB2312" w:cs="仿宋_GB2312"/>
                <w:color w:val="000000"/>
                <w:sz w:val="24"/>
                <w:lang w:val="en-US" w:eastAsia="zh-CN"/>
              </w:rPr>
              <w:t>219.74</w:t>
            </w:r>
            <w:r>
              <w:rPr>
                <w:rFonts w:hint="eastAsia" w:ascii="仿宋" w:hAnsi="仿宋" w:eastAsia="仿宋"/>
                <w:sz w:val="28"/>
                <w:szCs w:val="28"/>
              </w:rPr>
              <w:t>万元，其中：基本支出</w:t>
            </w:r>
            <w:r>
              <w:rPr>
                <w:rFonts w:hint="eastAsia" w:ascii="仿宋_GB2312" w:hAnsi="仿宋_GB2312" w:eastAsia="仿宋_GB2312" w:cs="仿宋_GB2312"/>
                <w:color w:val="000000"/>
                <w:sz w:val="24"/>
                <w:lang w:val="en-US" w:eastAsia="zh-CN"/>
              </w:rPr>
              <w:t>185.34</w:t>
            </w:r>
            <w:r>
              <w:rPr>
                <w:rFonts w:hint="eastAsia" w:ascii="仿宋" w:hAnsi="仿宋" w:eastAsia="仿宋"/>
                <w:sz w:val="28"/>
                <w:szCs w:val="28"/>
              </w:rPr>
              <w:t>万元，（人员经费</w:t>
            </w:r>
            <w:r>
              <w:rPr>
                <w:rFonts w:hint="eastAsia" w:ascii="仿宋_GB2312" w:hAnsi="仿宋_GB2312" w:eastAsia="仿宋_GB2312" w:cs="仿宋_GB2312"/>
                <w:color w:val="000000"/>
                <w:sz w:val="24"/>
                <w:lang w:val="en-US" w:eastAsia="zh-CN"/>
              </w:rPr>
              <w:t>185.34</w:t>
            </w:r>
            <w:r>
              <w:rPr>
                <w:rFonts w:hint="eastAsia" w:ascii="仿宋" w:hAnsi="仿宋" w:eastAsia="仿宋"/>
                <w:sz w:val="28"/>
                <w:szCs w:val="28"/>
              </w:rPr>
              <w:t>万元，日常公用经费</w:t>
            </w:r>
            <w:r>
              <w:rPr>
                <w:rFonts w:hint="eastAsia" w:ascii="仿宋_GB2312" w:hAnsi="仿宋_GB2312" w:eastAsia="仿宋_GB2312" w:cs="仿宋_GB2312"/>
                <w:color w:val="000000"/>
                <w:sz w:val="24"/>
                <w:lang w:val="en-US" w:eastAsia="zh-CN"/>
              </w:rPr>
              <w:t>34.40</w:t>
            </w:r>
            <w:r>
              <w:rPr>
                <w:rFonts w:hint="eastAsia" w:ascii="仿宋" w:hAnsi="仿宋" w:eastAsia="仿宋"/>
                <w:sz w:val="28"/>
                <w:szCs w:val="28"/>
              </w:rPr>
              <w:t>万元），</w:t>
            </w:r>
          </w:p>
          <w:p>
            <w:pPr>
              <w:tabs>
                <w:tab w:val="left" w:pos="7525"/>
              </w:tabs>
              <w:ind w:firstLine="562" w:firstLineChars="200"/>
              <w:rPr>
                <w:rFonts w:hint="eastAsia" w:ascii="仿宋_GB2312" w:hAnsi="仿宋_GB2312" w:eastAsia="仿宋_GB2312" w:cs="仿宋_GB2312"/>
                <w:bCs/>
                <w:sz w:val="28"/>
                <w:szCs w:val="28"/>
              </w:rPr>
            </w:pPr>
            <w:r>
              <w:rPr>
                <w:rFonts w:ascii="仿宋" w:hAnsi="仿宋" w:eastAsia="仿宋"/>
                <w:b/>
                <w:sz w:val="28"/>
                <w:szCs w:val="28"/>
              </w:rPr>
              <w:t>2</w:t>
            </w:r>
            <w:r>
              <w:rPr>
                <w:rFonts w:hint="eastAsia" w:ascii="仿宋" w:hAnsi="仿宋" w:eastAsia="仿宋"/>
                <w:b/>
                <w:sz w:val="28"/>
                <w:szCs w:val="28"/>
              </w:rPr>
              <w:t>、三公经费支出情况</w:t>
            </w:r>
            <w:r>
              <w:rPr>
                <w:rFonts w:hint="eastAsia" w:ascii="仿宋" w:hAnsi="仿宋" w:eastAsia="仿宋"/>
                <w:sz w:val="28"/>
                <w:szCs w:val="28"/>
              </w:rPr>
              <w:t>：</w:t>
            </w:r>
            <w:r>
              <w:rPr>
                <w:rFonts w:ascii="仿宋" w:hAnsi="仿宋" w:eastAsia="仿宋"/>
                <w:sz w:val="28"/>
                <w:szCs w:val="28"/>
              </w:rPr>
              <w:t>2017</w:t>
            </w:r>
            <w:r>
              <w:rPr>
                <w:rFonts w:hint="eastAsia" w:ascii="仿宋" w:hAnsi="仿宋" w:eastAsia="仿宋"/>
                <w:sz w:val="28"/>
                <w:szCs w:val="28"/>
              </w:rPr>
              <w:t>年“三公”经费实际支出</w:t>
            </w:r>
            <w:r>
              <w:rPr>
                <w:rFonts w:hint="eastAsia" w:ascii="仿宋" w:hAnsi="仿宋" w:eastAsia="仿宋"/>
                <w:sz w:val="28"/>
                <w:szCs w:val="28"/>
                <w:lang w:val="en-US" w:eastAsia="zh-CN"/>
              </w:rPr>
              <w:t>1.8</w:t>
            </w:r>
            <w:r>
              <w:rPr>
                <w:rFonts w:hint="eastAsia" w:ascii="仿宋" w:hAnsi="仿宋" w:eastAsia="仿宋"/>
                <w:sz w:val="28"/>
                <w:szCs w:val="28"/>
              </w:rPr>
              <w:t>万元，其中公务接待费</w:t>
            </w:r>
            <w:r>
              <w:rPr>
                <w:rFonts w:hint="eastAsia" w:ascii="仿宋" w:hAnsi="仿宋" w:eastAsia="仿宋"/>
                <w:sz w:val="28"/>
                <w:szCs w:val="28"/>
                <w:lang w:val="en-US" w:eastAsia="zh-CN"/>
              </w:rPr>
              <w:t>1.8</w:t>
            </w:r>
            <w:r>
              <w:rPr>
                <w:rFonts w:hint="eastAsia" w:ascii="仿宋" w:hAnsi="仿宋" w:eastAsia="仿宋"/>
                <w:sz w:val="28"/>
                <w:szCs w:val="28"/>
              </w:rPr>
              <w:t>万元。</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tabs>
                <w:tab w:val="left" w:pos="7525"/>
              </w:tabs>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项目</w:t>
            </w:r>
            <w:r>
              <w:rPr>
                <w:rFonts w:hint="eastAsia" w:ascii="仿宋" w:hAnsi="仿宋" w:eastAsia="仿宋"/>
                <w:sz w:val="28"/>
                <w:szCs w:val="28"/>
              </w:rPr>
              <w:t>资金安排落实、总投入等情况分析</w:t>
            </w:r>
          </w:p>
          <w:p>
            <w:pPr>
              <w:tabs>
                <w:tab w:val="left" w:pos="7525"/>
              </w:tabs>
              <w:ind w:firstLine="840" w:firstLineChars="300"/>
              <w:rPr>
                <w:rFonts w:hint="eastAsia" w:ascii="仿宋" w:hAnsi="仿宋" w:eastAsia="仿宋"/>
                <w:sz w:val="28"/>
                <w:szCs w:val="28"/>
              </w:rPr>
            </w:pPr>
            <w:r>
              <w:rPr>
                <w:rFonts w:hint="eastAsia" w:ascii="仿宋" w:hAnsi="仿宋" w:eastAsia="仿宋"/>
                <w:sz w:val="28"/>
                <w:szCs w:val="28"/>
              </w:rPr>
              <w:t>单位本年度无项目</w:t>
            </w:r>
          </w:p>
          <w:p>
            <w:pPr>
              <w:tabs>
                <w:tab w:val="left" w:pos="7525"/>
              </w:tabs>
              <w:ind w:firstLine="560" w:firstLineChars="200"/>
              <w:rPr>
                <w:rFonts w:hint="eastAsia" w:ascii="仿宋" w:hAnsi="仿宋" w:eastAsia="仿宋"/>
                <w:sz w:val="28"/>
                <w:szCs w:val="28"/>
              </w:rPr>
            </w:pPr>
            <w:r>
              <w:rPr>
                <w:rFonts w:hint="eastAsia" w:ascii="仿宋" w:hAnsi="仿宋" w:eastAsia="仿宋"/>
                <w:sz w:val="28"/>
                <w:szCs w:val="28"/>
                <w:lang w:eastAsia="zh-CN"/>
              </w:rPr>
              <w:t>项目</w:t>
            </w:r>
            <w:r>
              <w:rPr>
                <w:rFonts w:hint="eastAsia" w:ascii="仿宋" w:hAnsi="仿宋" w:eastAsia="仿宋"/>
                <w:sz w:val="28"/>
                <w:szCs w:val="28"/>
              </w:rPr>
              <w:t>资金实际使用情况分析</w:t>
            </w:r>
          </w:p>
          <w:p>
            <w:pPr>
              <w:tabs>
                <w:tab w:val="left" w:pos="7525"/>
              </w:tabs>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单位本年度无项目</w:t>
            </w:r>
          </w:p>
          <w:p>
            <w:pPr>
              <w:tabs>
                <w:tab w:val="left" w:pos="7525"/>
              </w:tabs>
              <w:ind w:firstLine="560" w:firstLineChars="200"/>
              <w:rPr>
                <w:rFonts w:hint="eastAsia" w:ascii="仿宋" w:hAnsi="仿宋" w:eastAsia="仿宋"/>
                <w:sz w:val="28"/>
                <w:szCs w:val="28"/>
              </w:rPr>
            </w:pPr>
            <w:r>
              <w:rPr>
                <w:rFonts w:hint="eastAsia" w:ascii="仿宋" w:hAnsi="仿宋" w:eastAsia="仿宋"/>
                <w:sz w:val="28"/>
                <w:szCs w:val="28"/>
                <w:lang w:eastAsia="zh-CN"/>
              </w:rPr>
              <w:t>项目</w:t>
            </w:r>
            <w:r>
              <w:rPr>
                <w:rFonts w:hint="eastAsia" w:ascii="仿宋" w:hAnsi="仿宋" w:eastAsia="仿宋"/>
                <w:sz w:val="28"/>
                <w:szCs w:val="28"/>
              </w:rPr>
              <w:t>资金管理情况分析</w:t>
            </w:r>
          </w:p>
          <w:p>
            <w:pPr>
              <w:tabs>
                <w:tab w:val="left" w:pos="7525"/>
              </w:tabs>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单位本年度无项目</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pStyle w:val="2"/>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4"/>
                <w:szCs w:val="24"/>
                <w:lang w:val="en-US" w:eastAsia="zh-CN"/>
              </w:rPr>
              <w:t>单位本年度无项目</w:t>
            </w:r>
          </w:p>
          <w:p>
            <w:pPr>
              <w:pStyle w:val="2"/>
              <w:numPr>
                <w:ilvl w:val="0"/>
                <w:numId w:val="0"/>
              </w:numPr>
              <w:ind w:left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二</w:t>
            </w:r>
            <w:r>
              <w:rPr>
                <w:rFonts w:hint="eastAsia" w:ascii="仿宋_GB2312" w:hAnsi="仿宋_GB2312" w:eastAsia="仿宋_GB2312" w:cs="仿宋_GB2312"/>
                <w:bCs/>
                <w:sz w:val="24"/>
                <w:szCs w:val="24"/>
                <w:lang w:eastAsia="zh-CN"/>
              </w:rPr>
              <w:t>）项目</w:t>
            </w:r>
            <w:r>
              <w:rPr>
                <w:rFonts w:hint="eastAsia" w:ascii="仿宋_GB2312" w:hAnsi="仿宋_GB2312" w:eastAsia="仿宋_GB2312" w:cs="仿宋_GB2312"/>
                <w:bCs/>
                <w:sz w:val="24"/>
                <w:szCs w:val="24"/>
              </w:rPr>
              <w:t>管理情况分析</w:t>
            </w:r>
          </w:p>
          <w:p>
            <w:pPr>
              <w:pStyle w:val="2"/>
              <w:numPr>
                <w:ilvl w:val="0"/>
                <w:numId w:val="0"/>
              </w:numPr>
              <w:ind w:leftChars="200" w:firstLine="240" w:firstLineChars="1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单位本年度无项目</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tabs>
                <w:tab w:val="left" w:pos="7525"/>
              </w:tabs>
              <w:ind w:left="838" w:leftChars="399" w:firstLine="280" w:firstLineChars="100"/>
              <w:rPr>
                <w:rFonts w:hint="eastAsia" w:ascii="仿宋" w:hAnsi="仿宋" w:eastAsia="仿宋"/>
                <w:sz w:val="28"/>
                <w:szCs w:val="28"/>
              </w:rPr>
            </w:pPr>
            <w:r>
              <w:rPr>
                <w:rFonts w:hint="eastAsia" w:ascii="仿宋" w:hAnsi="仿宋" w:eastAsia="仿宋"/>
                <w:sz w:val="28"/>
                <w:szCs w:val="28"/>
              </w:rPr>
              <w:t>根据考核评分细则，考评组认为华容县</w:t>
            </w:r>
            <w:r>
              <w:rPr>
                <w:rFonts w:hint="eastAsia" w:ascii="仿宋" w:hAnsi="仿宋" w:eastAsia="仿宋"/>
                <w:sz w:val="28"/>
                <w:szCs w:val="28"/>
                <w:lang w:val="en-US" w:eastAsia="zh-CN"/>
              </w:rPr>
              <w:t>农村公路路政大队</w:t>
            </w:r>
            <w:r>
              <w:rPr>
                <w:rFonts w:ascii="仿宋" w:hAnsi="仿宋" w:eastAsia="仿宋"/>
                <w:sz w:val="28"/>
                <w:szCs w:val="28"/>
              </w:rPr>
              <w:t>20</w:t>
            </w:r>
            <w:r>
              <w:rPr>
                <w:rFonts w:hint="eastAsia" w:ascii="仿宋" w:hAnsi="仿宋" w:eastAsia="仿宋"/>
                <w:sz w:val="28"/>
                <w:szCs w:val="28"/>
                <w:lang w:val="en-US" w:eastAsia="zh-CN"/>
              </w:rPr>
              <w:t>21</w:t>
            </w:r>
            <w:r>
              <w:rPr>
                <w:rFonts w:hint="eastAsia" w:ascii="仿宋" w:hAnsi="仿宋" w:eastAsia="仿宋"/>
                <w:sz w:val="28"/>
                <w:szCs w:val="28"/>
              </w:rPr>
              <w:t>年</w:t>
            </w:r>
          </w:p>
          <w:p>
            <w:pPr>
              <w:tabs>
                <w:tab w:val="left" w:pos="7525"/>
              </w:tabs>
              <w:rPr>
                <w:rFonts w:ascii="仿宋" w:hAnsi="仿宋" w:eastAsia="仿宋"/>
                <w:sz w:val="28"/>
                <w:szCs w:val="28"/>
              </w:rPr>
            </w:pPr>
            <w:r>
              <w:rPr>
                <w:rFonts w:hint="eastAsia" w:ascii="仿宋" w:hAnsi="仿宋" w:eastAsia="仿宋"/>
                <w:sz w:val="28"/>
                <w:szCs w:val="28"/>
                <w:lang w:val="en-US" w:eastAsia="zh-CN"/>
              </w:rPr>
              <w:t>整</w:t>
            </w:r>
            <w:r>
              <w:rPr>
                <w:rFonts w:hint="eastAsia" w:ascii="仿宋" w:hAnsi="仿宋" w:eastAsia="仿宋"/>
                <w:sz w:val="28"/>
                <w:szCs w:val="28"/>
              </w:rPr>
              <w:t>体支出，严格按照国家的相关财务管理制度规定，财务制度健全、会计核算规范，依照计划管理使用，交通部门的整体支出对保障交通部门工作的正常运行，贯彻执行国家和省办方针、政策、法律法规，发挥了重要作用，强化部门的责任，交通建设取得了一定的成绩。按照部门整体支出绩效评价指标体系对照打分的出结果为</w:t>
            </w:r>
            <w:r>
              <w:rPr>
                <w:rFonts w:hint="eastAsia" w:ascii="仿宋" w:hAnsi="仿宋" w:eastAsia="仿宋"/>
                <w:sz w:val="28"/>
                <w:szCs w:val="28"/>
                <w:lang w:val="en-US" w:eastAsia="zh-CN"/>
              </w:rPr>
              <w:t>98</w:t>
            </w:r>
            <w:r>
              <w:rPr>
                <w:rFonts w:hint="eastAsia" w:ascii="仿宋" w:hAnsi="仿宋" w:eastAsia="仿宋"/>
                <w:sz w:val="28"/>
                <w:szCs w:val="28"/>
              </w:rPr>
              <w:t>分，等级为优秀。</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ind w:left="718" w:leftChars="342" w:firstLine="0" w:firstLineChars="0"/>
              <w:rPr>
                <w:rFonts w:hint="eastAsia" w:ascii="黑体" w:hAnsi="黑体" w:eastAsia="黑体" w:cs="黑体"/>
                <w:bCs/>
                <w:sz w:val="28"/>
                <w:szCs w:val="28"/>
              </w:rPr>
            </w:pPr>
            <w:r>
              <w:rPr>
                <w:rFonts w:hint="eastAsia" w:ascii="仿宋" w:hAnsi="仿宋" w:eastAsia="仿宋"/>
                <w:sz w:val="28"/>
                <w:szCs w:val="28"/>
              </w:rPr>
              <w:t>预算编制有待更严格执行，预算编制与实际支出项目有的存在差异。</w:t>
            </w:r>
            <w:r>
              <w:rPr>
                <w:rFonts w:hint="eastAsia" w:ascii="仿宋" w:hAnsi="仿宋" w:eastAsia="仿宋"/>
                <w:sz w:val="28"/>
                <w:szCs w:val="28"/>
                <w:lang w:val="en-US" w:eastAsia="zh-CN"/>
              </w:rPr>
              <w:t xml:space="preserve"> </w:t>
            </w:r>
            <w:r>
              <w:rPr>
                <w:rFonts w:hint="eastAsia" w:ascii="黑体" w:hAnsi="黑体" w:eastAsia="黑体" w:cs="黑体"/>
                <w:bCs/>
                <w:sz w:val="28"/>
                <w:szCs w:val="28"/>
              </w:rPr>
              <w:t>六、改进措施和有关建议</w:t>
            </w:r>
          </w:p>
          <w:p>
            <w:pPr>
              <w:tabs>
                <w:tab w:val="left" w:pos="7525"/>
              </w:tabs>
              <w:ind w:left="840" w:hanging="840" w:hanging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一是按照预算规定的项目和用途严格财务审核，经费支出严格按预算规定项目的财务支出内容进行财务核算，在预算金额内严格控制费用的支出。</w:t>
            </w:r>
          </w:p>
          <w:p>
            <w:pPr>
              <w:tabs>
                <w:tab w:val="left" w:pos="7525"/>
              </w:tabs>
              <w:ind w:left="840" w:hanging="840" w:hanging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二是严格控制“三公”经费支出，杜绝挪用和挤占其他预算资金；进一步细化“三公”经费管理，压缩“三公”经费支出。</w:t>
            </w:r>
          </w:p>
          <w:p>
            <w:pPr>
              <w:tabs>
                <w:tab w:val="left" w:pos="7525"/>
              </w:tabs>
              <w:ind w:left="840" w:hanging="840" w:hanging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三是预算财务分析常态化，定期做好预算支出财务分析，做好部门整体支出预算评价工作。</w:t>
            </w:r>
          </w:p>
          <w:p>
            <w:pPr>
              <w:tabs>
                <w:tab w:val="left" w:pos="7525"/>
              </w:tabs>
              <w:rPr>
                <w:rFonts w:ascii="仿宋" w:hAnsi="仿宋" w:eastAsia="仿宋"/>
                <w:sz w:val="28"/>
                <w:szCs w:val="28"/>
              </w:rPr>
            </w:pPr>
          </w:p>
          <w:p>
            <w:pPr>
              <w:rPr>
                <w:rFonts w:eastAsia="楷体_GB2312"/>
                <w:bCs/>
                <w:sz w:val="28"/>
                <w:szCs w:val="28"/>
              </w:rPr>
            </w:pPr>
          </w:p>
        </w:tc>
      </w:tr>
    </w:tbl>
    <w:p>
      <w:pPr>
        <w:spacing w:line="348" w:lineRule="auto"/>
        <w:rPr>
          <w:rFonts w:eastAsia="楷体_GB2312"/>
          <w:bCs/>
          <w:sz w:val="28"/>
          <w:szCs w:val="28"/>
        </w:rPr>
      </w:pPr>
    </w:p>
    <w:p>
      <w:pPr>
        <w:spacing w:before="156" w:beforeLines="50" w:line="120" w:lineRule="exact"/>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2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84"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122A6"/>
    <w:multiLevelType w:val="singleLevel"/>
    <w:tmpl w:val="4DC122A6"/>
    <w:lvl w:ilvl="0" w:tentative="0">
      <w:start w:val="2"/>
      <w:numFmt w:val="chineseCounting"/>
      <w:suff w:val="nothing"/>
      <w:lvlText w:val="（%1）"/>
      <w:lvlJc w:val="left"/>
      <w:rPr>
        <w:rFonts w:hint="eastAsia"/>
      </w:rPr>
    </w:lvl>
  </w:abstractNum>
  <w:abstractNum w:abstractNumId="1">
    <w:nsid w:val="7B4B48FE"/>
    <w:multiLevelType w:val="singleLevel"/>
    <w:tmpl w:val="7B4B48F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MTFjNmZiYzZlMTNjNGMzMmVmMTc1ZGUwY2JhOWMifQ=="/>
  </w:docVars>
  <w:rsids>
    <w:rsidRoot w:val="2CE55C20"/>
    <w:rsid w:val="007B2063"/>
    <w:rsid w:val="083749E7"/>
    <w:rsid w:val="0CB679B8"/>
    <w:rsid w:val="0D1E1F7E"/>
    <w:rsid w:val="0DE528CD"/>
    <w:rsid w:val="10054735"/>
    <w:rsid w:val="1336279F"/>
    <w:rsid w:val="18725427"/>
    <w:rsid w:val="1889787E"/>
    <w:rsid w:val="1D25684F"/>
    <w:rsid w:val="24E8751E"/>
    <w:rsid w:val="254E2FC7"/>
    <w:rsid w:val="25B607B7"/>
    <w:rsid w:val="263C173A"/>
    <w:rsid w:val="289D055E"/>
    <w:rsid w:val="292C74F8"/>
    <w:rsid w:val="29D10B37"/>
    <w:rsid w:val="2A770606"/>
    <w:rsid w:val="2C9F197B"/>
    <w:rsid w:val="2CA33441"/>
    <w:rsid w:val="2CE55C20"/>
    <w:rsid w:val="2F287302"/>
    <w:rsid w:val="30426D13"/>
    <w:rsid w:val="3A43255A"/>
    <w:rsid w:val="3AD078B0"/>
    <w:rsid w:val="3D6201A1"/>
    <w:rsid w:val="3EC46785"/>
    <w:rsid w:val="3F8A6044"/>
    <w:rsid w:val="408B7B75"/>
    <w:rsid w:val="41197AF6"/>
    <w:rsid w:val="424D6786"/>
    <w:rsid w:val="43A702D9"/>
    <w:rsid w:val="44592EA4"/>
    <w:rsid w:val="46380D54"/>
    <w:rsid w:val="477245B4"/>
    <w:rsid w:val="49617FA5"/>
    <w:rsid w:val="4BAD6FBB"/>
    <w:rsid w:val="4D171D42"/>
    <w:rsid w:val="4E4F0BB0"/>
    <w:rsid w:val="5BE95901"/>
    <w:rsid w:val="68497BA1"/>
    <w:rsid w:val="6A0A15CD"/>
    <w:rsid w:val="6C0F7917"/>
    <w:rsid w:val="6D452F22"/>
    <w:rsid w:val="6DC85BA0"/>
    <w:rsid w:val="6DF352BD"/>
    <w:rsid w:val="705E3E6D"/>
    <w:rsid w:val="71C1048A"/>
    <w:rsid w:val="72C533ED"/>
    <w:rsid w:val="7396188C"/>
    <w:rsid w:val="73A6715E"/>
    <w:rsid w:val="73F35F5B"/>
    <w:rsid w:val="762E7315"/>
    <w:rsid w:val="79C04582"/>
    <w:rsid w:val="7A85005F"/>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widowControl w:val="0"/>
      <w:spacing w:after="200" w:line="276" w:lineRule="auto"/>
      <w:ind w:left="120" w:firstLine="420" w:firstLineChars="100"/>
      <w:jc w:val="both"/>
    </w:pPr>
    <w:rPr>
      <w:rFonts w:ascii="Arial Unicode MS" w:hAnsi="Arial Unicode MS" w:eastAsia="Arial Unicode MS" w:cs="Arial Unicode MS"/>
      <w:kern w:val="2"/>
      <w:sz w:val="30"/>
      <w:szCs w:val="30"/>
      <w:lang w:val="zh-CN" w:eastAsia="zh-CN" w:bidi="zh-CN"/>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character" w:customStyle="1" w:styleId="10">
    <w:name w:val="22"/>
    <w:basedOn w:val="7"/>
    <w:qFormat/>
    <w:uiPriority w:val="0"/>
    <w:rPr>
      <w:rFonts w:hint="default" w:ascii="Times New Roman" w:hAnsi="Times New Roman" w:eastAsia="楷体_GB2312" w:cs="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4026</Words>
  <Characters>4330</Characters>
  <Lines>0</Lines>
  <Paragraphs>0</Paragraphs>
  <TotalTime>7</TotalTime>
  <ScaleCrop>false</ScaleCrop>
  <LinksUpToDate>false</LinksUpToDate>
  <CharactersWithSpaces>4892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WPS_1651824744</cp:lastModifiedBy>
  <cp:lastPrinted>2021-07-12T08:27:00Z</cp:lastPrinted>
  <dcterms:modified xsi:type="dcterms:W3CDTF">2022-10-09T06:59:47Z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AD0A9F8A20514CF7B65ECF4EE8F047D2</vt:lpwstr>
  </property>
</Properties>
</file>