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中国共产主义青年团华容县委员会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eastAsia="仿宋_GB2312"/>
          <w:spacing w:val="20"/>
          <w:sz w:val="32"/>
          <w:szCs w:val="32"/>
          <w:u w:val="single"/>
        </w:rPr>
        <w:t>122001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报告日期：2022年6月10日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王敖</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sz w:val="24"/>
              </w:rPr>
              <w:t>13574846140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color w:val="000000"/>
                <w:sz w:val="17"/>
              </w:rPr>
            </w:pPr>
            <w:r>
              <w:rPr>
                <w:rFonts w:hint="eastAsia"/>
                <w:color w:val="000000"/>
                <w:sz w:val="17"/>
              </w:rPr>
              <w:t>1、行使中共华容县委赋予的领导全县共青团、青联和少先队工作的职权，对全县青年社团组织进行指导和管理。</w:t>
            </w:r>
          </w:p>
          <w:p>
            <w:pPr>
              <w:autoSpaceDN w:val="0"/>
              <w:spacing w:line="320" w:lineRule="exact"/>
              <w:jc w:val="left"/>
              <w:textAlignment w:val="center"/>
              <w:rPr>
                <w:color w:val="000000"/>
                <w:sz w:val="17"/>
              </w:rPr>
            </w:pPr>
            <w:r>
              <w:rPr>
                <w:rFonts w:hint="eastAsia"/>
                <w:color w:val="000000"/>
                <w:sz w:val="17"/>
              </w:rPr>
              <w:t>2、贯彻落实青少年工作方针、政策，参与制订青少年事业发展规划，对青少年活动阵地、青少年报刊、青少年服务机构的建设和青少年读物出版等事务进行规划和管理。</w:t>
            </w:r>
          </w:p>
          <w:p>
            <w:pPr>
              <w:autoSpaceDN w:val="0"/>
              <w:spacing w:line="320" w:lineRule="exact"/>
              <w:jc w:val="left"/>
              <w:textAlignment w:val="center"/>
              <w:rPr>
                <w:color w:val="000000"/>
                <w:sz w:val="17"/>
              </w:rPr>
            </w:pPr>
            <w:r>
              <w:rPr>
                <w:rFonts w:hint="eastAsia"/>
                <w:color w:val="000000"/>
                <w:sz w:val="17"/>
              </w:rPr>
              <w:t>3、参与有关青少年事务的法律、法规的制订和实施，协助县委、县政府处理、协调与青少年利益有关的事务。</w:t>
            </w:r>
          </w:p>
          <w:p>
            <w:pPr>
              <w:autoSpaceDN w:val="0"/>
              <w:spacing w:line="320" w:lineRule="exact"/>
              <w:jc w:val="left"/>
              <w:textAlignment w:val="center"/>
              <w:rPr>
                <w:color w:val="000000"/>
                <w:sz w:val="17"/>
              </w:rPr>
            </w:pPr>
            <w:r>
              <w:rPr>
                <w:rFonts w:hint="eastAsia"/>
                <w:color w:val="000000"/>
                <w:sz w:val="17"/>
              </w:rPr>
              <w:t>4、调查青少年思想动态和青年工作状况，研究青少年运动、青少年工作理论和青少年思想教育问题，提出相应的对策，开展各种有益的活动；研究青少年违法犯罪问题，协同有关部门开展青少年法制教育工作，预防青少年犯罪。</w:t>
            </w:r>
          </w:p>
          <w:p>
            <w:pPr>
              <w:autoSpaceDN w:val="0"/>
              <w:spacing w:line="320" w:lineRule="exact"/>
              <w:jc w:val="left"/>
              <w:textAlignment w:val="center"/>
              <w:rPr>
                <w:color w:val="000000"/>
                <w:sz w:val="17"/>
              </w:rPr>
            </w:pPr>
            <w:r>
              <w:rPr>
                <w:rFonts w:hint="eastAsia"/>
                <w:color w:val="000000"/>
                <w:sz w:val="17"/>
              </w:rPr>
              <w:t>5、协助教育部门做好学生的教育管理工作，维护学校稳定和社会安定团结。</w:t>
            </w:r>
          </w:p>
          <w:p>
            <w:pPr>
              <w:autoSpaceDN w:val="0"/>
              <w:spacing w:line="320" w:lineRule="exact"/>
              <w:jc w:val="left"/>
              <w:textAlignment w:val="center"/>
              <w:rPr>
                <w:color w:val="000000"/>
                <w:sz w:val="17"/>
              </w:rPr>
            </w:pPr>
            <w:r>
              <w:rPr>
                <w:rFonts w:hint="eastAsia"/>
                <w:color w:val="000000"/>
                <w:sz w:val="17"/>
              </w:rPr>
              <w:t>6、在全县经济建设中，组织和带领青少年发挥生力军和突击队的作用。</w:t>
            </w:r>
          </w:p>
          <w:p>
            <w:pPr>
              <w:autoSpaceDN w:val="0"/>
              <w:spacing w:line="320" w:lineRule="exact"/>
              <w:jc w:val="left"/>
              <w:textAlignment w:val="center"/>
              <w:rPr>
                <w:color w:val="000000"/>
                <w:sz w:val="17"/>
              </w:rPr>
            </w:pPr>
            <w:r>
              <w:rPr>
                <w:rFonts w:hint="eastAsia"/>
                <w:color w:val="000000"/>
                <w:sz w:val="17"/>
              </w:rPr>
              <w:t>7、会同有关部门负责青少年外事工作和县外青少年组织、团体的交流工作；做好青年统战对象的团结教育工作。</w:t>
            </w:r>
          </w:p>
          <w:p>
            <w:pPr>
              <w:autoSpaceDN w:val="0"/>
              <w:spacing w:line="320" w:lineRule="exact"/>
              <w:jc w:val="left"/>
              <w:textAlignment w:val="center"/>
              <w:rPr>
                <w:rFonts w:ascii="仿宋_GB2312" w:hAnsi="仿宋_GB2312" w:eastAsia="仿宋_GB2312" w:cs="仿宋_GB2312"/>
                <w:color w:val="000000"/>
                <w:sz w:val="24"/>
              </w:rPr>
            </w:pPr>
            <w:r>
              <w:rPr>
                <w:rFonts w:hint="eastAsia"/>
                <w:color w:val="000000"/>
                <w:sz w:val="17"/>
              </w:rPr>
              <w:t>8、承办县委、县政府交办的其他事项。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color w:val="auto"/>
                <w:sz w:val="17"/>
              </w:rPr>
            </w:pPr>
            <w:r>
              <w:rPr>
                <w:rFonts w:hint="eastAsia"/>
                <w:color w:val="auto"/>
                <w:sz w:val="17"/>
              </w:rPr>
              <w:t>任务1：实施青年培养工程，筑牢团员青年成长梦</w:t>
            </w:r>
          </w:p>
          <w:p>
            <w:pPr>
              <w:autoSpaceDN w:val="0"/>
              <w:spacing w:line="320" w:lineRule="exact"/>
              <w:jc w:val="left"/>
              <w:textAlignment w:val="center"/>
              <w:rPr>
                <w:color w:val="auto"/>
                <w:sz w:val="17"/>
              </w:rPr>
            </w:pPr>
            <w:r>
              <w:rPr>
                <w:rFonts w:hint="eastAsia"/>
                <w:color w:val="auto"/>
                <w:sz w:val="17"/>
              </w:rPr>
              <w:t>任务2：突出青年创新创业实践、招商引资实践、精准扶贫实践</w:t>
            </w:r>
          </w:p>
          <w:p>
            <w:pPr>
              <w:autoSpaceDN w:val="0"/>
              <w:spacing w:line="320" w:lineRule="exact"/>
              <w:jc w:val="left"/>
              <w:textAlignment w:val="center"/>
              <w:rPr>
                <w:color w:val="auto"/>
                <w:sz w:val="17"/>
              </w:rPr>
            </w:pPr>
            <w:r>
              <w:rPr>
                <w:rFonts w:hint="eastAsia"/>
                <w:color w:val="auto"/>
                <w:sz w:val="17"/>
              </w:rPr>
              <w:t>任务3：丰富和发展服务青年的载体，提升共青团的服务能力</w:t>
            </w:r>
          </w:p>
          <w:p>
            <w:pPr>
              <w:autoSpaceDN w:val="0"/>
              <w:spacing w:line="320" w:lineRule="exact"/>
              <w:jc w:val="left"/>
              <w:textAlignment w:val="center"/>
              <w:rPr>
                <w:color w:val="auto"/>
                <w:sz w:val="17"/>
              </w:rPr>
            </w:pPr>
            <w:r>
              <w:rPr>
                <w:rFonts w:hint="eastAsia"/>
                <w:color w:val="auto"/>
                <w:sz w:val="17"/>
              </w:rPr>
              <w:t>任务4：协助政府做好青年事务，积极推进社会建设和管理</w:t>
            </w:r>
          </w:p>
          <w:p>
            <w:pPr>
              <w:autoSpaceDN w:val="0"/>
              <w:spacing w:line="320" w:lineRule="exact"/>
              <w:jc w:val="left"/>
              <w:textAlignment w:val="center"/>
              <w:rPr>
                <w:rFonts w:ascii="仿宋_GB2312" w:hAnsi="仿宋_GB2312" w:eastAsia="仿宋_GB2312" w:cs="仿宋_GB2312"/>
                <w:color w:val="FF0000"/>
                <w:sz w:val="24"/>
              </w:rPr>
            </w:pPr>
            <w:r>
              <w:rPr>
                <w:rFonts w:hint="eastAsia"/>
                <w:color w:val="auto"/>
                <w:sz w:val="17"/>
              </w:rPr>
              <w:t>任务5：加强团的自身建设，不断增强共青团组织的吸引力、凝聚力和战斗力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FF0000"/>
                <w:sz w:val="24"/>
              </w:rPr>
            </w:pPr>
            <w:r>
              <w:rPr>
                <w:rFonts w:hint="eastAsia"/>
                <w:color w:val="auto"/>
                <w:sz w:val="17"/>
              </w:rPr>
              <w:t>团县委围绕县委、县政府中心任务和共青团重点工作，全面履行团组织各项职能。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65.8</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65.8</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27.4</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38.4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0.1</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0.1</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color w:val="auto"/>
                <w:sz w:val="17"/>
              </w:rPr>
            </w:pPr>
            <w:r>
              <w:rPr>
                <w:rFonts w:hint="eastAsia"/>
                <w:color w:val="auto"/>
                <w:sz w:val="17"/>
              </w:rPr>
              <w:t>目标</w:t>
            </w:r>
            <w:r>
              <w:rPr>
                <w:color w:val="auto"/>
                <w:sz w:val="17"/>
              </w:rPr>
              <w:t>1</w:t>
            </w:r>
            <w:r>
              <w:rPr>
                <w:rFonts w:hint="eastAsia"/>
                <w:color w:val="auto"/>
                <w:sz w:val="17"/>
              </w:rPr>
              <w:t>：实施青年培养工程，筑牢团员青年成长梦</w:t>
            </w:r>
          </w:p>
          <w:p>
            <w:pPr>
              <w:autoSpaceDN w:val="0"/>
              <w:spacing w:line="320" w:lineRule="exact"/>
              <w:jc w:val="left"/>
              <w:textAlignment w:val="center"/>
              <w:rPr>
                <w:color w:val="auto"/>
                <w:sz w:val="17"/>
              </w:rPr>
            </w:pPr>
            <w:r>
              <w:rPr>
                <w:rFonts w:hint="eastAsia"/>
                <w:color w:val="auto"/>
                <w:sz w:val="17"/>
              </w:rPr>
              <w:t>目标</w:t>
            </w:r>
            <w:r>
              <w:rPr>
                <w:color w:val="auto"/>
                <w:sz w:val="17"/>
              </w:rPr>
              <w:t>2</w:t>
            </w:r>
            <w:r>
              <w:rPr>
                <w:rFonts w:hint="eastAsia"/>
                <w:color w:val="auto"/>
                <w:sz w:val="17"/>
              </w:rPr>
              <w:t>：实施青年建功工程，谱写魅力华容新篇章</w:t>
            </w:r>
          </w:p>
          <w:p>
            <w:pPr>
              <w:autoSpaceDN w:val="0"/>
              <w:spacing w:line="320" w:lineRule="exact"/>
              <w:jc w:val="left"/>
              <w:textAlignment w:val="center"/>
              <w:rPr>
                <w:color w:val="auto"/>
                <w:sz w:val="17"/>
              </w:rPr>
            </w:pPr>
            <w:r>
              <w:rPr>
                <w:rFonts w:hint="eastAsia"/>
                <w:color w:val="auto"/>
                <w:sz w:val="17"/>
              </w:rPr>
              <w:t>目标</w:t>
            </w:r>
            <w:r>
              <w:rPr>
                <w:color w:val="auto"/>
                <w:sz w:val="17"/>
              </w:rPr>
              <w:t>3</w:t>
            </w:r>
            <w:r>
              <w:rPr>
                <w:rFonts w:hint="eastAsia"/>
                <w:color w:val="auto"/>
                <w:sz w:val="17"/>
              </w:rPr>
              <w:t>：实施青年圆梦工程，唱响关爱成长主旋律</w:t>
            </w:r>
          </w:p>
          <w:p>
            <w:pPr>
              <w:autoSpaceDN w:val="0"/>
              <w:spacing w:line="320" w:lineRule="exact"/>
              <w:jc w:val="left"/>
              <w:textAlignment w:val="center"/>
              <w:rPr>
                <w:color w:val="auto"/>
                <w:sz w:val="17"/>
              </w:rPr>
            </w:pPr>
            <w:r>
              <w:rPr>
                <w:rFonts w:hint="eastAsia"/>
                <w:color w:val="auto"/>
                <w:sz w:val="17"/>
              </w:rPr>
              <w:t>目标</w:t>
            </w:r>
            <w:r>
              <w:rPr>
                <w:color w:val="auto"/>
                <w:sz w:val="17"/>
              </w:rPr>
              <w:t>:4</w:t>
            </w:r>
            <w:r>
              <w:rPr>
                <w:rFonts w:hint="eastAsia"/>
                <w:color w:val="auto"/>
                <w:sz w:val="17"/>
              </w:rPr>
              <w:t>：实施青年和谐工程，传递文明新风正能量</w:t>
            </w:r>
          </w:p>
          <w:p>
            <w:pPr>
              <w:autoSpaceDN w:val="0"/>
              <w:spacing w:line="320" w:lineRule="exact"/>
              <w:jc w:val="left"/>
              <w:textAlignment w:val="center"/>
              <w:rPr>
                <w:rFonts w:ascii="仿宋_GB2312" w:hAnsi="仿宋_GB2312" w:eastAsia="仿宋_GB2312" w:cs="仿宋_GB2312"/>
                <w:color w:val="FF0000"/>
                <w:sz w:val="24"/>
              </w:rPr>
            </w:pPr>
            <w:r>
              <w:rPr>
                <w:rFonts w:hint="eastAsia"/>
                <w:color w:val="auto"/>
                <w:sz w:val="17"/>
              </w:rPr>
              <w:t>目标</w:t>
            </w:r>
            <w:r>
              <w:rPr>
                <w:color w:val="auto"/>
                <w:sz w:val="17"/>
              </w:rPr>
              <w:t>5</w:t>
            </w:r>
            <w:r>
              <w:rPr>
                <w:rFonts w:hint="eastAsia"/>
                <w:color w:val="auto"/>
                <w:sz w:val="17"/>
              </w:rPr>
              <w:t>：实施青年塑性工程，打造基层组织强堡垒</w:t>
            </w:r>
          </w:p>
        </w:tc>
        <w:tc>
          <w:tcPr>
            <w:tcW w:w="4585" w:type="dxa"/>
            <w:gridSpan w:val="9"/>
            <w:vAlign w:val="center"/>
          </w:tcPr>
          <w:p>
            <w:pPr>
              <w:numPr>
                <w:numId w:val="0"/>
              </w:numPr>
              <w:autoSpaceDN w:val="0"/>
              <w:spacing w:line="320" w:lineRule="exact"/>
              <w:jc w:val="left"/>
              <w:textAlignment w:val="center"/>
              <w:rPr>
                <w:rFonts w:hint="eastAsia"/>
                <w:lang w:val="en-US" w:eastAsia="zh-CN"/>
              </w:rPr>
            </w:pPr>
            <w:r>
              <w:rPr>
                <w:rFonts w:hint="default"/>
                <w:color w:val="auto"/>
                <w:sz w:val="17"/>
                <w:lang w:eastAsia="zh-Hans"/>
              </w:rPr>
              <w:t>1</w:t>
            </w:r>
            <w:r>
              <w:rPr>
                <w:rFonts w:hint="eastAsia"/>
                <w:color w:val="auto"/>
                <w:sz w:val="17"/>
                <w:lang w:val="en-US" w:eastAsia="zh-Hans"/>
              </w:rPr>
              <w:t>.强化思政教育引领青年</w:t>
            </w:r>
            <w:r>
              <w:rPr>
                <w:rFonts w:hint="default"/>
                <w:color w:val="auto"/>
                <w:sz w:val="17"/>
                <w:lang w:eastAsia="zh-Hans"/>
              </w:rPr>
              <w:t>。</w:t>
            </w:r>
            <w:r>
              <w:rPr>
                <w:rFonts w:hint="eastAsia"/>
                <w:color w:val="auto"/>
                <w:sz w:val="17"/>
                <w:lang w:val="en-US" w:eastAsia="zh-CN"/>
              </w:rPr>
              <w:t>充分运用华容“青年讲师团”，以“青年学党史”主题教育实践活动为载体，依托线下青少年综合服务平台，开展宣讲活动23场，覆盖青少年4000人次。组织各中小学开展“红领巾爱学习”“红领巾讲解员”等活动。以“华容青年”融媒体平台为主要阵地，将政策理论通俗化、声音化、图像化，用理论好声音打动青年心。今年以来，微信公众号工作动态152条，点击量达3.5万余次，抖音作品45条，浏览量达12万。持续推进“青年大学习”网上主题团课，累计学习团员突破20万人次。</w:t>
            </w:r>
          </w:p>
          <w:p>
            <w:pPr>
              <w:numPr>
                <w:ilvl w:val="0"/>
                <w:numId w:val="0"/>
              </w:numPr>
              <w:autoSpaceDN w:val="0"/>
              <w:spacing w:line="320" w:lineRule="exact"/>
              <w:jc w:val="left"/>
              <w:textAlignment w:val="center"/>
              <w:rPr>
                <w:rFonts w:hint="eastAsia"/>
                <w:color w:val="auto"/>
                <w:sz w:val="17"/>
                <w:lang w:val="en-US" w:eastAsia="zh-CN"/>
              </w:rPr>
            </w:pPr>
            <w:r>
              <w:rPr>
                <w:rFonts w:hint="default"/>
                <w:color w:val="auto"/>
                <w:sz w:val="17"/>
                <w:lang w:eastAsia="zh-Hans"/>
              </w:rPr>
              <w:t>2</w:t>
            </w:r>
            <w:r>
              <w:rPr>
                <w:rFonts w:hint="eastAsia"/>
                <w:color w:val="auto"/>
                <w:sz w:val="17"/>
                <w:lang w:val="en-US" w:eastAsia="zh-Hans"/>
              </w:rPr>
              <w:t>.固本夯基强化阵地建设</w:t>
            </w:r>
            <w:r>
              <w:rPr>
                <w:rFonts w:hint="default"/>
                <w:color w:val="auto"/>
                <w:sz w:val="17"/>
                <w:lang w:eastAsia="zh-Hans"/>
              </w:rPr>
              <w:t>。</w:t>
            </w:r>
            <w:r>
              <w:rPr>
                <w:rFonts w:hint="eastAsia"/>
                <w:color w:val="auto"/>
                <w:sz w:val="17"/>
                <w:lang w:val="en-US" w:eastAsia="zh-Hans"/>
              </w:rPr>
              <w:t>一是</w:t>
            </w:r>
            <w:r>
              <w:rPr>
                <w:rFonts w:hint="eastAsia"/>
                <w:color w:val="auto"/>
                <w:sz w:val="17"/>
                <w:lang w:val="en-US" w:eastAsia="zh-CN"/>
              </w:rPr>
              <w:t>完成基层团组织换届，通过澄清团员底数打基础、制定换届工作流程促规范、加强业务培训推落实，实行重点问题重点分析、重要节点重点调度，圆满完成全县203个村（社区）团支部换届工作。二是全县34所中学全面落实团校建设工作，各学校结合自身实际，充分发挥团校阵地作用，陆续开展团校“第一课”，提高团课教育质量。三是推动团前、队前教育全覆盖，实行“积分制入团”，形成“少先队员—入团积极分子—新发展团员”全过程培养机制。2021年新发展团员1210人，带动了更多青年向团组织靠拢，团组织覆盖面进一步扩大。</w:t>
            </w:r>
          </w:p>
          <w:p>
            <w:pPr>
              <w:numPr>
                <w:ilvl w:val="0"/>
                <w:numId w:val="0"/>
              </w:numPr>
              <w:autoSpaceDN w:val="0"/>
              <w:spacing w:line="320" w:lineRule="exact"/>
              <w:jc w:val="left"/>
              <w:textAlignment w:val="center"/>
              <w:rPr>
                <w:rFonts w:ascii="仿宋_GB2312" w:hAnsi="仿宋_GB2312" w:eastAsia="仿宋_GB2312" w:cs="仿宋_GB2312"/>
                <w:color w:val="FF0000"/>
                <w:sz w:val="24"/>
              </w:rPr>
            </w:pPr>
            <w:r>
              <w:rPr>
                <w:rFonts w:hint="default"/>
                <w:color w:val="auto"/>
                <w:sz w:val="17"/>
                <w:lang w:eastAsia="zh-Hans"/>
              </w:rPr>
              <w:t>3</w:t>
            </w:r>
            <w:r>
              <w:rPr>
                <w:rFonts w:hint="eastAsia"/>
                <w:color w:val="auto"/>
                <w:sz w:val="17"/>
                <w:lang w:val="en-US" w:eastAsia="zh-Hans"/>
              </w:rPr>
              <w:t>.凝聚</w:t>
            </w:r>
            <w:r>
              <w:rPr>
                <w:rFonts w:hint="eastAsia"/>
                <w:color w:val="auto"/>
                <w:sz w:val="17"/>
                <w:lang w:val="en-US" w:eastAsia="zh-CN"/>
              </w:rPr>
              <w:t>青年</w:t>
            </w:r>
            <w:r>
              <w:rPr>
                <w:rFonts w:hint="eastAsia"/>
                <w:color w:val="auto"/>
                <w:sz w:val="17"/>
                <w:lang w:val="en-US" w:eastAsia="zh-Hans"/>
              </w:rPr>
              <w:t>服务中心大局</w:t>
            </w:r>
            <w:r>
              <w:rPr>
                <w:rFonts w:hint="default"/>
                <w:color w:val="auto"/>
                <w:sz w:val="17"/>
                <w:lang w:eastAsia="zh-Hans"/>
              </w:rPr>
              <w:t>。</w:t>
            </w:r>
            <w:r>
              <w:rPr>
                <w:rFonts w:hint="eastAsia"/>
                <w:color w:val="auto"/>
                <w:sz w:val="17"/>
                <w:lang w:val="en-US" w:eastAsia="zh-CN"/>
              </w:rPr>
              <w:t>将志愿服务作为凝聚“团”力量、贡献“青”智慧的重要手段和重要内容，坚持不懈推动全县共青团组织充分发挥社会功能，肩负起引领凝聚青年、组织动员青年、联系服务青年的职责使命。一是广泛开展志愿服务活动。打造“情暖童心”“七彩假期”“扶残助残”“与你童行”“普法课堂”等志愿服务品牌活动，动员青年志愿者3000余人次，开展活动70余场，关爱留守儿童4000余人。关心关爱青少年成长，畅通青少年服务“最后一公里”，依托线下青少年综合服务平台，开展活动473场，覆盖青少年达6000人。联合县妇联、兔湖垸村开展“我在兔湖垸•等你”单身青年交友活动，解决社会各界普遍关注关心的大龄单身青年的婚恋问题。开展“返家乡”大学生社会实践活动，本年度共计为63位大学生提供实践岗位，前期积极对接实践单位，根据岗位需求链接大学生，提供“量身定制”的实践锻炼岗位。充分发挥未成年人保护联席会议成员单位作用，协同相关部门推进法治教育、权利维护、心理辅导进校园、进家庭，构建了家庭、学校、社会、政府四位一体的青少年法治教育格局。二是积极助力乡村振兴。切实加强困境青少年帮扶引导工作，积极向上对接“希望工程一元捐”“湘窖”“芙蓉学子”“团团心灵驿站”“团团希望小屋”等省市级项目资源，争取各类资金共19万余元，资助贫困学子103名。利用本地社会化资源，推动青年之家社会化运营，摸索“共青团+青年之家+社会组织+青年志愿者”工作模式，在全县打造15个“团团希望小屋”，改善了乡村困难青少年居住和学习环境。试点打造2个“团团心灵驿站”项目，为农村学校留守儿童群体提供专业心理辅导。以“撬动社会力量，打造共青团品牌”为目标，推进“1+100+1”联系青年工作制度，精心打造鲇鱼须镇中心小学“青联希望小屋”，改善乡镇小学办学条件。开展系列关爱留守儿童系列活动，助力留守儿童健康成长。三是推动青年创新创业。团县委主导成立“华容县农村青年致富带头人协会”，共计吸引55位农村致富带头人入驻，致力于团结和凝聚全县农村青年致富带头人，促进农村青年致富带头人发展壮大，服务大扶贫战略行动，带动县域农村经济提质提量。以创业就业、电商培训为中心，搭建平台助力电商培训、直播带货，打造“青年之家”旗舰店。四是打造青少年权益工作新格局。团县委深入贯彻落实青少年权益保护工作，牢牢把握“在青年身边，护青年成长”工作导向，聚焦青少年权益维护工作，积极拓展关爱保护工作的深度和广度，全面提升青少年关爱保护工作服务水平，工作取得良好的成效。不断深化青少年领域普法教育工作，积极构建“政府推动，学校联动，家庭带动，社会互动”四位一体大普法格局，持续推进青少年普法走深走实。利用微信公众号、视频号、抖音等新媒体，大力宣传《未成年人保护法》等相关信息。全年推送普法图文共计6条，阅读点击量达8000余人次；打造“情暖童心 ”、“红领巾手拉手”等一系列青字头品牌。广泛动员团员、少先队员参与进法治宣讲的事业中；指导学校、乡镇、县直、社会领域各级团组织，分类别成立青年志愿者服务队，结合职能职责开展法治宣传活动，懂法用法社会氛围日益浓厚。华容县落实《中长期青年发展规划（2016—2025年）》联席会议第一次全体会议召开于11月30日召开，县委副书记李乐、县委常委、组织部部长陈胜、副县长毛彦景及相关部门负责人参加，会议听取了《规划》及2022年工作思路汇报，与会人员结合本单位工作职责发表了意见建议，共同推动我县青年工作再上新台阶。扎实推进禁毒防艾工作、预防青少年犯罪工作、平安建设工作，运用“共青团+”思维，联合公检法司各方资源，常态化开展法律援助、心理预防、权益维护等专业服务，</w:t>
            </w:r>
            <w:r>
              <w:rPr>
                <w:rFonts w:hint="default"/>
                <w:color w:val="auto"/>
                <w:sz w:val="17"/>
                <w:lang w:val="en-US" w:eastAsia="zh-CN"/>
              </w:rPr>
              <w:t>2021</w:t>
            </w:r>
            <w:r>
              <w:rPr>
                <w:rFonts w:hint="eastAsia"/>
                <w:color w:val="auto"/>
                <w:sz w:val="17"/>
                <w:lang w:val="en-US" w:eastAsia="zh-CN"/>
              </w:rPr>
              <w:t>年团县委禁毒工作、预青工作、平安建设工作获评先进单位；2021年县委、县政府绩效考核一类单位；共青团岳阳市委授予华容共青团</w:t>
            </w:r>
            <w:r>
              <w:rPr>
                <w:rFonts w:hint="eastAsia"/>
                <w:color w:val="auto"/>
                <w:sz w:val="17"/>
                <w:lang w:val="en-US" w:eastAsia="zh-Hans"/>
              </w:rPr>
              <w:t>“</w:t>
            </w:r>
            <w:r>
              <w:rPr>
                <w:rFonts w:hint="eastAsia"/>
                <w:color w:val="auto"/>
                <w:sz w:val="17"/>
                <w:lang w:val="en-US" w:eastAsia="zh-CN"/>
              </w:rPr>
              <w:t>2021年</w:t>
            </w:r>
            <w:r>
              <w:rPr>
                <w:rFonts w:hint="eastAsia"/>
                <w:color w:val="auto"/>
                <w:sz w:val="17"/>
                <w:lang w:val="en-US" w:eastAsia="zh-Hans"/>
              </w:rPr>
              <w:t>度共青团工作优秀单位”</w:t>
            </w:r>
            <w:r>
              <w:rPr>
                <w:rFonts w:hint="default"/>
                <w:color w:val="auto"/>
                <w:sz w:val="17"/>
                <w:lang w:val="en-US"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 w:hAnsi="仿宋" w:eastAsia="仿宋" w:cs="仿宋"/>
                <w:color w:val="auto"/>
                <w:szCs w:val="21"/>
              </w:rPr>
            </w:pPr>
            <w:r>
              <w:rPr>
                <w:rFonts w:hint="eastAsia" w:ascii="仿宋_GB2312" w:hAnsi="仿宋_GB2312" w:eastAsia="仿宋_GB2312" w:cs="仿宋_GB2312"/>
                <w:color w:val="auto"/>
                <w:sz w:val="24"/>
              </w:rPr>
              <w:t>指标1：</w:t>
            </w:r>
            <w:r>
              <w:rPr>
                <w:rFonts w:hint="eastAsia"/>
                <w:color w:val="auto"/>
                <w:sz w:val="17"/>
              </w:rPr>
              <w:t>做好共青团工作；</w:t>
            </w:r>
          </w:p>
          <w:p>
            <w:pPr>
              <w:autoSpaceDN w:val="0"/>
              <w:spacing w:line="320" w:lineRule="exact"/>
              <w:jc w:val="left"/>
              <w:textAlignment w:val="center"/>
              <w:rPr>
                <w:color w:val="auto"/>
                <w:sz w:val="17"/>
              </w:rPr>
            </w:pPr>
            <w:r>
              <w:rPr>
                <w:rFonts w:hint="eastAsia" w:ascii="仿宋_GB2312" w:hAnsi="仿宋_GB2312" w:eastAsia="仿宋_GB2312" w:cs="仿宋_GB2312"/>
                <w:color w:val="auto"/>
                <w:sz w:val="24"/>
              </w:rPr>
              <w:t>指标2：</w:t>
            </w:r>
            <w:r>
              <w:rPr>
                <w:rFonts w:hint="eastAsia"/>
                <w:color w:val="auto"/>
                <w:sz w:val="17"/>
              </w:rPr>
              <w:t>开展志愿服务活动；</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rPr>
              <w:t>指标3：</w:t>
            </w:r>
            <w:r>
              <w:rPr>
                <w:rFonts w:hint="eastAsia"/>
                <w:color w:val="auto"/>
                <w:sz w:val="17"/>
              </w:rPr>
              <w:t xml:space="preserve"> ；</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FF0000"/>
                <w:sz w:val="24"/>
                <w:lang w:val="en-US" w:eastAsia="zh-Hans"/>
              </w:rPr>
            </w:pPr>
            <w:r>
              <w:rPr>
                <w:rFonts w:hint="eastAsia"/>
                <w:color w:val="auto"/>
                <w:sz w:val="17"/>
                <w:lang w:val="en-US" w:eastAsia="zh-Hans"/>
              </w:rPr>
              <w:t>按期完成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color w:val="auto"/>
                <w:sz w:val="17"/>
              </w:rPr>
            </w:pPr>
            <w:r>
              <w:rPr>
                <w:rFonts w:hint="eastAsia" w:ascii="仿宋_GB2312" w:hAnsi="仿宋_GB2312" w:eastAsia="仿宋_GB2312" w:cs="仿宋_GB2312"/>
                <w:color w:val="auto"/>
                <w:sz w:val="24"/>
              </w:rPr>
              <w:t>指标1：</w:t>
            </w:r>
            <w:r>
              <w:rPr>
                <w:rFonts w:hint="eastAsia"/>
                <w:color w:val="auto"/>
                <w:sz w:val="17"/>
              </w:rPr>
              <w:t>举办青少年思想引领活动次数；</w:t>
            </w:r>
          </w:p>
          <w:p>
            <w:pPr>
              <w:autoSpaceDN w:val="0"/>
              <w:spacing w:line="320" w:lineRule="exact"/>
              <w:jc w:val="left"/>
              <w:textAlignment w:val="center"/>
              <w:rPr>
                <w:color w:val="auto"/>
                <w:sz w:val="17"/>
              </w:rPr>
            </w:pPr>
            <w:r>
              <w:rPr>
                <w:rFonts w:hint="eastAsia" w:ascii="仿宋_GB2312" w:hAnsi="仿宋_GB2312" w:eastAsia="仿宋_GB2312" w:cs="仿宋_GB2312"/>
                <w:color w:val="auto"/>
                <w:sz w:val="24"/>
              </w:rPr>
              <w:t>指标2：</w:t>
            </w:r>
            <w:r>
              <w:rPr>
                <w:rFonts w:hint="eastAsia"/>
                <w:color w:val="auto"/>
                <w:sz w:val="17"/>
              </w:rPr>
              <w:t>开展志愿服务活动次数；</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指标3：</w:t>
            </w:r>
            <w:r>
              <w:rPr>
                <w:rFonts w:hint="eastAsia"/>
                <w:color w:val="auto"/>
                <w:sz w:val="17"/>
              </w:rPr>
              <w:t>开展返乡大学生暑期社会实践活动批次数；</w:t>
            </w:r>
          </w:p>
          <w:p>
            <w:pPr>
              <w:autoSpaceDN w:val="0"/>
              <w:spacing w:line="320" w:lineRule="exact"/>
              <w:jc w:val="left"/>
              <w:textAlignment w:val="center"/>
              <w:rPr>
                <w:color w:val="auto"/>
                <w:sz w:val="17"/>
              </w:rPr>
            </w:pPr>
            <w:r>
              <w:rPr>
                <w:rFonts w:hint="eastAsia" w:ascii="仿宋_GB2312" w:hAnsi="仿宋_GB2312" w:eastAsia="仿宋_GB2312" w:cs="仿宋_GB2312"/>
                <w:color w:val="auto"/>
                <w:sz w:val="24"/>
              </w:rPr>
              <w:t>指标4：</w:t>
            </w:r>
            <w:r>
              <w:rPr>
                <w:rFonts w:hint="eastAsia"/>
                <w:color w:val="auto"/>
                <w:sz w:val="17"/>
              </w:rPr>
              <w:t xml:space="preserve"> ；</w:t>
            </w:r>
          </w:p>
          <w:p>
            <w:pPr>
              <w:autoSpaceDN w:val="0"/>
              <w:spacing w:line="320" w:lineRule="exact"/>
              <w:jc w:val="left"/>
              <w:textAlignment w:val="center"/>
              <w:rPr>
                <w:color w:val="auto"/>
                <w:sz w:val="17"/>
              </w:rPr>
            </w:pPr>
            <w:r>
              <w:rPr>
                <w:rFonts w:hint="eastAsia" w:ascii="仿宋_GB2312" w:hAnsi="仿宋_GB2312" w:eastAsia="仿宋_GB2312" w:cs="仿宋_GB2312"/>
                <w:color w:val="auto"/>
                <w:sz w:val="24"/>
              </w:rPr>
              <w:t>指标5：</w:t>
            </w:r>
            <w:r>
              <w:rPr>
                <w:rFonts w:hint="eastAsia"/>
                <w:color w:val="auto"/>
                <w:sz w:val="17"/>
              </w:rPr>
              <w:t xml:space="preserve"> ；</w:t>
            </w:r>
          </w:p>
          <w:p>
            <w:pPr>
              <w:autoSpaceDN w:val="0"/>
              <w:spacing w:line="320" w:lineRule="exact"/>
              <w:jc w:val="left"/>
              <w:textAlignment w:val="center"/>
              <w:rPr>
                <w:rFonts w:ascii="仿宋_GB2312" w:hAnsi="仿宋_GB2312" w:eastAsia="仿宋_GB2312" w:cs="仿宋_GB2312"/>
                <w:color w:val="FF0000"/>
                <w:sz w:val="24"/>
              </w:rPr>
            </w:pP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FF0000"/>
                <w:sz w:val="24"/>
                <w:lang w:val="en-US" w:eastAsia="zh-Hans"/>
              </w:rPr>
            </w:pPr>
            <w:r>
              <w:rPr>
                <w:rFonts w:hint="eastAsia"/>
                <w:color w:val="auto"/>
                <w:sz w:val="17"/>
                <w:lang w:val="en-US" w:eastAsia="zh-Hans"/>
              </w:rPr>
              <w:t>按期</w:t>
            </w:r>
            <w:bookmarkStart w:id="0" w:name="_GoBack"/>
            <w:bookmarkEnd w:id="0"/>
            <w:r>
              <w:rPr>
                <w:rFonts w:hint="eastAsia"/>
                <w:color w:val="auto"/>
                <w:sz w:val="17"/>
                <w:lang w:val="en-US" w:eastAsia="zh-Hans"/>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年度内完成目标。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8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预算内控制成本。</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color w:val="auto"/>
                <w:sz w:val="17"/>
              </w:rPr>
              <w:t>进一步提高预防青少年违法犯罪工作实效；</w:t>
            </w:r>
          </w:p>
          <w:p>
            <w:pPr>
              <w:autoSpaceDN w:val="0"/>
              <w:spacing w:line="320" w:lineRule="exact"/>
              <w:jc w:val="left"/>
              <w:textAlignment w:val="center"/>
              <w:rPr>
                <w:color w:val="auto"/>
                <w:sz w:val="17"/>
              </w:rPr>
            </w:pPr>
            <w:r>
              <w:rPr>
                <w:rFonts w:hint="eastAsia" w:ascii="仿宋_GB2312" w:hAnsi="仿宋_GB2312" w:eastAsia="仿宋_GB2312" w:cs="仿宋_GB2312"/>
                <w:color w:val="auto"/>
                <w:sz w:val="24"/>
              </w:rPr>
              <w:t>指标2：</w:t>
            </w:r>
            <w:r>
              <w:rPr>
                <w:rFonts w:hint="eastAsia"/>
                <w:color w:val="auto"/>
                <w:sz w:val="17"/>
              </w:rPr>
              <w:t xml:space="preserve"> ；</w:t>
            </w:r>
          </w:p>
          <w:p>
            <w:pPr>
              <w:autoSpaceDN w:val="0"/>
              <w:spacing w:line="320" w:lineRule="exact"/>
              <w:jc w:val="left"/>
              <w:textAlignment w:val="center"/>
              <w:rPr>
                <w:rFonts w:ascii="仿宋_GB2312" w:hAnsi="仿宋_GB2312" w:eastAsia="仿宋_GB2312" w:cs="仿宋_GB2312"/>
                <w:color w:val="FF0000"/>
                <w:sz w:val="24"/>
              </w:rPr>
            </w:pP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color w:val="auto"/>
                <w:sz w:val="17"/>
              </w:rPr>
            </w:pPr>
            <w:r>
              <w:rPr>
                <w:rFonts w:hint="eastAsia" w:ascii="仿宋_GB2312" w:hAnsi="仿宋_GB2312" w:eastAsia="仿宋_GB2312" w:cs="仿宋_GB2312"/>
                <w:color w:val="auto"/>
                <w:sz w:val="24"/>
              </w:rPr>
              <w:t>指标1：</w:t>
            </w:r>
            <w:r>
              <w:rPr>
                <w:rFonts w:hint="eastAsia"/>
                <w:color w:val="auto"/>
                <w:sz w:val="17"/>
              </w:rPr>
              <w:t>开展扶贫助学活动。</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w:t>
            </w:r>
          </w:p>
          <w:p>
            <w:pPr>
              <w:autoSpaceDN w:val="0"/>
              <w:spacing w:line="320" w:lineRule="exact"/>
              <w:jc w:val="left"/>
              <w:textAlignment w:val="center"/>
              <w:rPr>
                <w:rFonts w:ascii="仿宋_GB2312" w:hAnsi="仿宋_GB2312" w:eastAsia="仿宋_GB2312" w:cs="仿宋_GB2312"/>
                <w:color w:val="FF0000"/>
                <w:sz w:val="24"/>
              </w:rPr>
            </w:pPr>
            <w:r>
              <w:rPr>
                <w:rFonts w:hint="eastAsia" w:ascii="仿宋_GB2312" w:hAnsi="仿宋_GB2312" w:eastAsia="仿宋_GB2312" w:cs="仿宋_GB2312"/>
                <w:color w:val="auto"/>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color w:val="000000"/>
                <w:sz w:val="17"/>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color w:val="000000"/>
                <w:sz w:val="17"/>
              </w:rPr>
              <w:t>社会公众或服务对象满意度大于95%。</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color w:val="000000"/>
                <w:sz w:val="17"/>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陈超</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书记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团县委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谢龙</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副书记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团县委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王敖</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办公室主任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Hans"/>
              </w:rPr>
            </w:pPr>
            <w:r>
              <w:rPr>
                <w:rFonts w:hint="eastAsia" w:ascii="仿宋_GB2312" w:hAnsi="仿宋_GB2312" w:eastAsia="仿宋_GB2312" w:cs="仿宋_GB2312"/>
                <w:color w:val="000000"/>
                <w:sz w:val="24"/>
                <w:lang w:val="en-US" w:eastAsia="zh-Hans"/>
              </w:rPr>
              <w:t>团县委</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rPr>
      </w:pPr>
      <w:r>
        <w:rPr>
          <w:rFonts w:hint="eastAsia" w:eastAsia="仿宋_GB2312" w:cs="仿宋_GB2312"/>
          <w:bCs/>
          <w:sz w:val="28"/>
          <w:szCs w:val="28"/>
        </w:rPr>
        <w:t>填报人（签名）：</w:t>
      </w:r>
      <w:r>
        <w:rPr>
          <w:rFonts w:hint="eastAsia" w:eastAsia="仿宋_GB2312" w:cs="仿宋_GB2312"/>
          <w:bCs/>
          <w:sz w:val="28"/>
          <w:szCs w:val="28"/>
          <w:lang w:val="en-US" w:eastAsia="zh-Hans"/>
        </w:rPr>
        <w:t>王敖</w:t>
      </w:r>
      <w:r>
        <w:rPr>
          <w:rFonts w:hint="eastAsia" w:eastAsia="仿宋_GB2312" w:cs="仿宋_GB2312"/>
          <w:bCs/>
          <w:sz w:val="28"/>
          <w:szCs w:val="28"/>
        </w:rPr>
        <w:t xml:space="preserve">                          联系电话：</w:t>
      </w:r>
      <w:r>
        <w:rPr>
          <w:rFonts w:hint="default" w:eastAsia="仿宋_GB2312" w:cs="仿宋_GB2312"/>
          <w:bCs/>
          <w:sz w:val="28"/>
          <w:szCs w:val="28"/>
        </w:rPr>
        <w:t>1357486140</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单位为财政全额预算拨款单位，核定人员编制4人，实有人数为4人。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）职责职能：</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、行使中共华容县委赋予的领导全县共青团、青联和少先队工作的职权，对全县青年社团组织进行指导和管理。</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、贯彻落实青少年工作方针、政策，参与制订青少年事业发展规划，对青少年活动阵地、青少年报刊、青少年服务机构的建设和青少年读物出版等事务进行规划和管理。</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、参与有关青少年事务的法律、法规的制订和实施，协助县委、县政府处理、协调与青少年利益有关的事务。</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调查青少年思想动态和青年工作状况，研究青少年运动、青少年工作理论和青少年思想教育问题，提出相应的对策，开展各种有益的活动；研究青少年违法犯罪问题，协同有关部门开展青少年法制教育工作，预防青少年犯罪。</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、协助教育部门做好学生的教育管理工作，维护学校稳定和社会安定团结。</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、在全县经济建设中，组织和带领青少年发挥生力军和突击队的作用。</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、会同有关部门负责青少年外事工作和县外青少年组织、团体的交流工作；做好青年统战对象的团结教育工作。</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、承办县委、县政府交办的其他事项。</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）内设机构：未设置内设机构。</w:t>
            </w:r>
          </w:p>
          <w:p>
            <w:pPr>
              <w:spacing w:line="560" w:lineRule="exact"/>
              <w:ind w:firstLine="560" w:firstLineChars="200"/>
              <w:rPr>
                <w:rFonts w:ascii="仿宋_GB2312" w:hAnsi="宋体" w:eastAsia="仿宋_GB2312" w:cs="宋体"/>
                <w:sz w:val="28"/>
                <w:szCs w:val="28"/>
                <w:shd w:val="clear" w:color="auto" w:fill="FFFFFF"/>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、收入情况：全年收入65.8万元，其中：财政拨款收入65.8万元。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65.8万元，其中：基本支出65.8万元（人员支出27.4万元，公用支出38.4万元）；项目支出0万元。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2021年整体支出65.8万元，其中基本支出65.8万元，人员支出27.4万元，占基本支出41</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，公用支出38.4万元，占基本支出59</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，项目支出0万元。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2021年“三公经费”预算0.1万元，实际开支0.1万元，“三公经费”控制在预算成本之内。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21年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月末固定资产6.4万元。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二是预算财务分析常态化，定期做好预算支出财务分析，做好部门整体支出预算评价工作。</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方正小标宋简体">
    <w:panose1 w:val="03000509000000000000"/>
    <w:charset w:val="86"/>
    <w:family w:val="script"/>
    <w:pitch w:val="default"/>
    <w:sig w:usb0="00000000" w:usb1="00000000" w:usb2="00000000" w:usb3="00000000" w:csb0="000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18030">
    <w:altName w:val="苹方-简"/>
    <w:panose1 w:val="00000000000000000000"/>
    <w:charset w:val="00"/>
    <w:family w:val="auto"/>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2</w:t>
    </w:r>
    <w:r>
      <w:rPr>
        <w:sz w:val="24"/>
        <w:szCs w:val="24"/>
      </w:rPr>
      <w:fldChar w:fldCharType="end"/>
    </w:r>
    <w:r>
      <w:rPr>
        <w:rStyle w:val="9"/>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0130E4"/>
    <w:rsid w:val="000C1D32"/>
    <w:rsid w:val="000C54E9"/>
    <w:rsid w:val="001D516B"/>
    <w:rsid w:val="001D6DB9"/>
    <w:rsid w:val="001D77F2"/>
    <w:rsid w:val="00236C25"/>
    <w:rsid w:val="002C5263"/>
    <w:rsid w:val="002C6D03"/>
    <w:rsid w:val="002F5C62"/>
    <w:rsid w:val="00311646"/>
    <w:rsid w:val="00397D48"/>
    <w:rsid w:val="003F4085"/>
    <w:rsid w:val="00476BE8"/>
    <w:rsid w:val="00556181"/>
    <w:rsid w:val="0057666C"/>
    <w:rsid w:val="005C0337"/>
    <w:rsid w:val="005E5B2E"/>
    <w:rsid w:val="006037B1"/>
    <w:rsid w:val="00664AF6"/>
    <w:rsid w:val="006A1432"/>
    <w:rsid w:val="00701D79"/>
    <w:rsid w:val="0070251B"/>
    <w:rsid w:val="00792218"/>
    <w:rsid w:val="007B2063"/>
    <w:rsid w:val="007C3874"/>
    <w:rsid w:val="007E20B0"/>
    <w:rsid w:val="008C2EB7"/>
    <w:rsid w:val="00925404"/>
    <w:rsid w:val="009B584E"/>
    <w:rsid w:val="00AA2705"/>
    <w:rsid w:val="00B17E9E"/>
    <w:rsid w:val="00B27DE7"/>
    <w:rsid w:val="00B8315A"/>
    <w:rsid w:val="00BF74F8"/>
    <w:rsid w:val="00C06EE5"/>
    <w:rsid w:val="00C72CC4"/>
    <w:rsid w:val="00C7661D"/>
    <w:rsid w:val="00CC2826"/>
    <w:rsid w:val="00D06579"/>
    <w:rsid w:val="00D36DD4"/>
    <w:rsid w:val="00D41914"/>
    <w:rsid w:val="00DC51DF"/>
    <w:rsid w:val="00E95E1E"/>
    <w:rsid w:val="00EF3FEB"/>
    <w:rsid w:val="00F135D1"/>
    <w:rsid w:val="00F812B4"/>
    <w:rsid w:val="00F95DB5"/>
    <w:rsid w:val="083749E7"/>
    <w:rsid w:val="0CB679B8"/>
    <w:rsid w:val="0DE528CD"/>
    <w:rsid w:val="1336279F"/>
    <w:rsid w:val="18725427"/>
    <w:rsid w:val="254E2FC7"/>
    <w:rsid w:val="25B607B7"/>
    <w:rsid w:val="263C173A"/>
    <w:rsid w:val="289D055E"/>
    <w:rsid w:val="2C9F197B"/>
    <w:rsid w:val="2CA33441"/>
    <w:rsid w:val="2CE55C20"/>
    <w:rsid w:val="2F287302"/>
    <w:rsid w:val="30426D13"/>
    <w:rsid w:val="379F790C"/>
    <w:rsid w:val="3A43255A"/>
    <w:rsid w:val="3D6201A1"/>
    <w:rsid w:val="3EC46785"/>
    <w:rsid w:val="3F8A6044"/>
    <w:rsid w:val="43A702D9"/>
    <w:rsid w:val="44592EA4"/>
    <w:rsid w:val="477245B4"/>
    <w:rsid w:val="49617FA5"/>
    <w:rsid w:val="4D171D42"/>
    <w:rsid w:val="4E4F0BB0"/>
    <w:rsid w:val="5BE95901"/>
    <w:rsid w:val="6A0A15CD"/>
    <w:rsid w:val="6D452F22"/>
    <w:rsid w:val="6DF352BD"/>
    <w:rsid w:val="705E3E6D"/>
    <w:rsid w:val="71C1048A"/>
    <w:rsid w:val="7396188C"/>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next w:val="3"/>
    <w:qFormat/>
    <w:uiPriority w:val="0"/>
    <w:pPr>
      <w:widowControl/>
      <w:spacing w:before="100" w:beforeAutospacing="1" w:after="120" w:line="560" w:lineRule="exact"/>
      <w:ind w:firstLine="640" w:firstLineChars="200"/>
      <w:jc w:val="both"/>
      <w:textAlignment w:val="baseline"/>
    </w:pPr>
    <w:rPr>
      <w:rFonts w:ascii="Times New Roman" w:hAnsi="Times New Roman" w:eastAsia="仿宋_GB2312" w:cs="Times New Roman"/>
      <w:kern w:val="2"/>
      <w:sz w:val="32"/>
      <w:szCs w:val="32"/>
      <w:lang w:val="en-US" w:eastAsia="zh-CN" w:bidi="ar-SA"/>
    </w:rPr>
  </w:style>
  <w:style w:type="paragraph" w:customStyle="1" w:styleId="3">
    <w:name w:val="UserStyle_3"/>
    <w:qFormat/>
    <w:uiPriority w:val="0"/>
    <w:pPr>
      <w:widowControl/>
      <w:pBdr>
        <w:top w:val="single" w:color="000000" w:sz="4" w:space="0"/>
        <w:left w:val="single" w:color="000000" w:sz="8" w:space="0"/>
        <w:bottom w:val="single" w:color="000000" w:sz="4" w:space="0"/>
        <w:right w:val="single" w:color="000000" w:sz="4" w:space="0"/>
      </w:pBdr>
      <w:spacing w:before="100" w:beforeAutospacing="1" w:after="100" w:afterAutospacing="1" w:line="560" w:lineRule="exact"/>
      <w:ind w:firstLine="640" w:firstLineChars="200"/>
      <w:jc w:val="center"/>
      <w:textAlignment w:val="baseline"/>
    </w:pPr>
    <w:rPr>
      <w:rFonts w:ascii="???-18030" w:hAnsi="???-18030" w:eastAsia="仿宋_GB2312" w:cs="Times New Roman"/>
      <w:kern w:val="0"/>
      <w:sz w:val="32"/>
      <w:szCs w:val="22"/>
      <w:lang w:val="en-US" w:eastAsia="zh-CN" w:bidi="ar-SA"/>
    </w:rPr>
  </w:style>
  <w:style w:type="paragraph" w:styleId="4">
    <w:name w:val="Body Text Indent 2"/>
    <w:basedOn w:val="1"/>
    <w:unhideWhenUsed/>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984</Words>
  <Characters>5614</Characters>
  <Lines>46</Lines>
  <Paragraphs>13</Paragraphs>
  <TotalTime>6</TotalTime>
  <ScaleCrop>false</ScaleCrop>
  <LinksUpToDate>false</LinksUpToDate>
  <CharactersWithSpaces>6585</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2019-05-08T09:00:00Z</dcterms:created>
  <dc:creator>Administrator</dc:creator>
  <cp:lastModifiedBy>Destiny</cp:lastModifiedBy>
  <cp:lastPrinted>2022-06-14T01:21:00Z</cp:lastPrinted>
  <dcterms:modified xsi:type="dcterms:W3CDTF">2022-06-20T10:08:44Z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76FCF1A4BCCEFC1FACD6AF62E80D1229</vt:lpwstr>
  </property>
</Properties>
</file>