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华容县市场建设管理中心2021年度部门整体支出绩效评价自评报告</w:t>
      </w:r>
    </w:p>
    <w:p>
      <w:pPr>
        <w:rPr>
          <w:rFonts w:eastAsia="仿宋_GB2312"/>
          <w:b/>
          <w:sz w:val="32"/>
        </w:rPr>
      </w:pPr>
      <w:bookmarkStart w:id="0" w:name="_GoBack"/>
      <w:bookmarkEnd w:id="0"/>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部门(单位)名称：华容县市场建设管理中心</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码：305005</w:t>
      </w:r>
    </w:p>
    <w:p>
      <w:pPr>
        <w:spacing w:beforeLines="50" w:line="348" w:lineRule="auto"/>
        <w:ind w:firstLine="476" w:firstLineChars="150"/>
        <w:rPr>
          <w:rFonts w:eastAsia="仿宋_GB2312"/>
          <w:sz w:val="32"/>
          <w:szCs w:val="32"/>
        </w:rPr>
      </w:pPr>
      <w:r>
        <w:rPr>
          <w:rFonts w:hint="eastAsia" w:eastAsia="仿宋_GB2312"/>
          <w:sz w:val="32"/>
          <w:szCs w:val="32"/>
        </w:rPr>
        <w:t>评价方式：单位绩效自评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2022 年  10 月 13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黎芳</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13874092702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 w:val="18"/>
                <w:szCs w:val="18"/>
              </w:rPr>
              <w:t>参与编制全县农贸市场发展规划，市场建设和日常经营行为监督管理，以及周边市容与环境卫生的监督管理，负责所辖农贸市场基本设施的维护维修工作。承担所辖市场物业管理费、有偿服务费及相关税费收缴的事务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任务1：对全县农贸市场的建设和日常经营行为进行监督管理。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任务2：负责所辖市场各物业管理费、有偿服务费及相关税费收缴的事务性工作。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任务3：负现所辖市场公用设施维修维护 ，及周边市常态化管理工作。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完成了所辖市场各项非税项目的收缴工作，完成了市场各项公用设施维修维护工作，保证市场有序正常运转，完成配合创建文明县城各项工作。监督和管理县城各市场的市容与环境卫生工作。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2、华容县市场建设管理中心</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826.93</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710.93</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116</w:t>
            </w: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2、华容县市场建设管理中心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826.93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826.93</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686.84</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140.09</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2、华容县市场建设管理中心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2、华容县市场建设管理中心</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1027.75</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279.11</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748.64</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3774" w:type="dxa"/>
            <w:gridSpan w:val="7"/>
            <w:noWrap/>
            <w:vAlign w:val="center"/>
          </w:tcPr>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目标1：维护市场交易秩序，负责市场公用设施维修和管理 。</w:t>
            </w:r>
          </w:p>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目标2：各项非税收入的收缴</w:t>
            </w:r>
          </w:p>
          <w:p>
            <w:pPr>
              <w:autoSpaceDN w:val="0"/>
              <w:spacing w:line="320" w:lineRule="exact"/>
              <w:jc w:val="left"/>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目标3：拟订全县农贸市场管理目标责任管理制度，促进市场建设和发展。</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完成各项非税收缴工作，完成市场各项公用设施的维修维护工作，保证市场正常运营。完成市场卫生监督管理工作，配合完成全年创建文明县城工作。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指标1：市场维修</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完成所辖市场公用设施维修，市场正常运营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指标2：市场保洁</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 xml:space="preserve">完成全年市场保洁任务，达到创建文明县城标准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spacing w:line="320" w:lineRule="exact"/>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指标3：常态化管理</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完成所辖及周边市场秩序管理，卫生监督日常事务等。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指标1：市场维修</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完成南门市场等顶棚维修共计8个小项目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指标2：市场保洁</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完成市场保洁1个项目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指标3：市场常态化管理</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完成各市场日常管理5个小项目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指标1：市场维修</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申请报告及时审批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指标2：市场保洁</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申请报告及时审批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指标3:常态化管理</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申请报告及时审批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指标1：市场维修</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单位采购成本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指标2：市场保洁</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纯劳务没成本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指村3：常态化管理</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单位采购成本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指标1：市场维修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指标2：市场保洁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指标3:常态化管理</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对创建文明卫生县城有很大的效益，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指标1：市场维修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指标2：市场保洁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指标3：市场常态化管理</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市场正常运营，为老百姓农副产品带来了一定的经济效益。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指标1：市场维修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指标2：市场保洁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指标3：市场常态化管理</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对持生态平衡也有一定的效益。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指标1：市场维修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指标2：市场保洁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指标3：市场常态化管理</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社会满意度越来越高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黎芳</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市场中心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黎芳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王林</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建管股长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市场中心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徐立军</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市场中心</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评价组组长（签字）：白帮波</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2022     年   10 月   8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黎芳                      联系电话：13874092702</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560" w:lineRule="exact"/>
              <w:ind w:firstLine="560" w:firstLineChars="200"/>
              <w:rPr>
                <w:rFonts w:eastAsia="仿宋_GB2312"/>
                <w:kern w:val="0"/>
                <w:sz w:val="28"/>
                <w:szCs w:val="28"/>
              </w:rPr>
            </w:pPr>
            <w:r>
              <w:rPr>
                <w:rFonts w:hint="eastAsia" w:ascii="仿宋_GB2312" w:hAnsi="仿宋_GB2312" w:eastAsia="仿宋_GB2312" w:cs="仿宋_GB2312"/>
                <w:bCs/>
                <w:sz w:val="28"/>
                <w:szCs w:val="28"/>
              </w:rPr>
              <w:t>1、主要职责：</w:t>
            </w:r>
            <w:r>
              <w:rPr>
                <w:rFonts w:hint="eastAsia" w:eastAsia="仿宋_GB2312"/>
                <w:kern w:val="0"/>
                <w:sz w:val="28"/>
                <w:szCs w:val="28"/>
              </w:rPr>
              <w:t>参与编制全县农贸市场发展规划，市场建设和日常经营行为监督管理，以及周边市容与环境卫生的监督管理，负责所辖农贸市场基本设施的维护维修工作。承担所辖市场物业管理费、有偿服务费及相关税费收缴的事务性工作。</w:t>
            </w:r>
          </w:p>
          <w:p>
            <w:pPr>
              <w:spacing w:line="560" w:lineRule="exact"/>
              <w:ind w:firstLine="560" w:firstLineChars="200"/>
              <w:rPr>
                <w:rFonts w:eastAsia="仿宋_GB2312"/>
                <w:kern w:val="0"/>
                <w:sz w:val="28"/>
                <w:szCs w:val="28"/>
              </w:rPr>
            </w:pPr>
            <w:r>
              <w:rPr>
                <w:rFonts w:hint="eastAsia" w:eastAsia="仿宋_GB2312"/>
                <w:kern w:val="0"/>
                <w:sz w:val="28"/>
                <w:szCs w:val="28"/>
              </w:rPr>
              <w:t>1、机构情况：独立编制机构1个，独立核算机构1个。</w:t>
            </w:r>
          </w:p>
          <w:p>
            <w:pPr>
              <w:spacing w:line="560" w:lineRule="exact"/>
              <w:ind w:firstLine="560" w:firstLineChars="200"/>
              <w:rPr>
                <w:rFonts w:ascii="仿宋_GB2312" w:hAnsi="仿宋_GB2312" w:eastAsia="仿宋_GB2312" w:cs="仿宋_GB2312"/>
                <w:bCs/>
                <w:sz w:val="28"/>
                <w:szCs w:val="28"/>
              </w:rPr>
            </w:pPr>
            <w:r>
              <w:rPr>
                <w:rFonts w:hint="eastAsia" w:eastAsia="仿宋_GB2312"/>
                <w:kern w:val="0"/>
                <w:sz w:val="28"/>
                <w:szCs w:val="28"/>
              </w:rPr>
              <w:t>3、人员情况：编制数54人，末实有人数67人，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全年总支出：826.93万元，其中人员经费686.84万元，公用经费140.09万元。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（二）项目支出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2021年市场建设管理中心全年没有项目支出。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三、单位项目组织实施情况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2021年市场建设管理中心全年没有项目支出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四、单位整体支出绩效情况</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整体绩效情况：本单位严格按相关财务制度执行，加强绩效管理，精心组织预决算编报、审核等工作。市场中心全体干部职工在县委县政府的正确领导下，聚焦“六稳”“六保”，在坚持疫情防控和市场管理工作双线作战的情况下，团洁一心，敢打敢拼，在逆境中艰难前行，破解了一系列难题，较好地完成了市场建设管理服务各项工作和县委县政府及城管局交办的各项中心工作任务。</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存在的问题：资金不能及时到位，日常维护不能及时到位，工作难度大，市场公用设施维护属于日常化动态管理，致使无法编制设施计划。</w:t>
            </w:r>
          </w:p>
          <w:p>
            <w:pPr>
              <w:spacing w:line="560" w:lineRule="exact"/>
              <w:rPr>
                <w:rFonts w:ascii="黑体" w:hAnsi="黑体" w:eastAsia="黑体" w:cs="黑体"/>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改进措施和建议：加大财政投入，多加宣传集贸市场卫生、秩序等管理工作，进一步同章华镇和各社区沟通协调，尽可能编制与实际工作相符的市场公用设施维修维护实施计划。</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华容县财政支出绩效评价自评报告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p>
    <w:p>
      <w:pPr>
        <w:spacing w:beforeLines="50" w:line="760" w:lineRule="exact"/>
        <w:ind w:firstLine="480" w:firstLineChars="150"/>
        <w:rPr>
          <w:rFonts w:eastAsia="仿宋_GB2312"/>
          <w:sz w:val="32"/>
        </w:rPr>
      </w:pPr>
      <w:r>
        <w:rPr>
          <w:rFonts w:hint="eastAsia" w:eastAsia="仿宋_GB2312"/>
          <w:sz w:val="32"/>
        </w:rPr>
        <w:t>项目单位：</w:t>
      </w:r>
    </w:p>
    <w:p>
      <w:pPr>
        <w:spacing w:beforeLines="50" w:line="760" w:lineRule="exact"/>
        <w:ind w:firstLine="480" w:firstLineChars="150"/>
        <w:rPr>
          <w:rFonts w:eastAsia="仿宋_GB2312"/>
          <w:sz w:val="32"/>
          <w:u w:val="single"/>
        </w:rPr>
      </w:pPr>
      <w:r>
        <w:rPr>
          <w:rFonts w:hint="eastAsia" w:eastAsia="仿宋_GB2312"/>
          <w:sz w:val="32"/>
        </w:rPr>
        <w:t>主管部门：</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   年   月   日</w:t>
      </w:r>
    </w:p>
    <w:p>
      <w:pPr>
        <w:spacing w:line="348" w:lineRule="auto"/>
        <w:jc w:val="center"/>
        <w:rPr>
          <w:rFonts w:eastAsia="仿宋_GB2312"/>
          <w:sz w:val="32"/>
        </w:rPr>
      </w:pPr>
      <w:r>
        <w:rPr>
          <w:rFonts w:hint="eastAsia" w:eastAsia="仿宋_GB2312"/>
          <w:sz w:val="32"/>
        </w:rPr>
        <w:t>华容县财政局（制）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项目负责人</w:t>
            </w:r>
          </w:p>
        </w:tc>
        <w:tc>
          <w:tcPr>
            <w:tcW w:w="3240" w:type="dxa"/>
            <w:gridSpan w:val="6"/>
            <w:noWrap/>
            <w:vAlign w:val="center"/>
          </w:tcPr>
          <w:p>
            <w:pPr>
              <w:rPr>
                <w:rFonts w:eastAsia="仿宋_GB2312"/>
                <w:sz w:val="24"/>
              </w:rPr>
            </w:pPr>
          </w:p>
        </w:tc>
        <w:tc>
          <w:tcPr>
            <w:tcW w:w="1347" w:type="dxa"/>
            <w:gridSpan w:val="2"/>
            <w:noWrap/>
            <w:vAlign w:val="center"/>
          </w:tcPr>
          <w:p>
            <w:pPr>
              <w:rPr>
                <w:rFonts w:eastAsia="仿宋_GB2312"/>
                <w:sz w:val="24"/>
              </w:rPr>
            </w:pPr>
            <w:r>
              <w:rPr>
                <w:rFonts w:hint="eastAsia" w:eastAsia="仿宋_GB2312"/>
                <w:sz w:val="24"/>
              </w:rPr>
              <w:t>联系电话</w:t>
            </w:r>
          </w:p>
        </w:tc>
        <w:tc>
          <w:tcPr>
            <w:tcW w:w="3333" w:type="dxa"/>
            <w:gridSpan w:val="4"/>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项目地址</w:t>
            </w:r>
          </w:p>
        </w:tc>
        <w:tc>
          <w:tcPr>
            <w:tcW w:w="3240" w:type="dxa"/>
            <w:gridSpan w:val="6"/>
            <w:noWrap/>
            <w:vAlign w:val="center"/>
          </w:tcPr>
          <w:p>
            <w:pPr>
              <w:rPr>
                <w:rFonts w:eastAsia="仿宋_GB2312"/>
                <w:sz w:val="24"/>
              </w:rPr>
            </w:pPr>
          </w:p>
        </w:tc>
        <w:tc>
          <w:tcPr>
            <w:tcW w:w="1347" w:type="dxa"/>
            <w:gridSpan w:val="2"/>
            <w:noWrap/>
            <w:vAlign w:val="center"/>
          </w:tcPr>
          <w:p>
            <w:pPr>
              <w:rPr>
                <w:rFonts w:eastAsia="仿宋_GB2312"/>
                <w:sz w:val="24"/>
              </w:rPr>
            </w:pPr>
            <w:r>
              <w:rPr>
                <w:rFonts w:hint="eastAsia" w:eastAsia="仿宋_GB2312"/>
                <w:sz w:val="24"/>
              </w:rPr>
              <w:t>邮  编</w:t>
            </w:r>
          </w:p>
        </w:tc>
        <w:tc>
          <w:tcPr>
            <w:tcW w:w="3333" w:type="dxa"/>
            <w:gridSpan w:val="4"/>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ign w:val="center"/>
          </w:tcPr>
          <w:p>
            <w:pPr>
              <w:rPr>
                <w:rFonts w:eastAsia="仿宋_GB2312"/>
                <w:sz w:val="24"/>
              </w:rPr>
            </w:pPr>
            <w:r>
              <w:rPr>
                <w:rFonts w:hint="eastAsia" w:eastAsia="仿宋_GB2312"/>
                <w:sz w:val="24"/>
              </w:rPr>
              <w:t>项目起止时间</w:t>
            </w:r>
          </w:p>
        </w:tc>
        <w:tc>
          <w:tcPr>
            <w:tcW w:w="7920" w:type="dxa"/>
            <w:gridSpan w:val="12"/>
            <w:noWrap/>
            <w:vAlign w:val="center"/>
          </w:tcPr>
          <w:p>
            <w:pPr>
              <w:ind w:firstLine="1190" w:firstLineChars="496"/>
              <w:rPr>
                <w:rFonts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noWrap/>
            <w:vAlign w:val="center"/>
          </w:tcPr>
          <w:p>
            <w:pPr>
              <w:spacing w:line="360" w:lineRule="exact"/>
              <w:jc w:val="center"/>
              <w:rPr>
                <w:rFonts w:eastAsia="仿宋_GB2312"/>
                <w:sz w:val="24"/>
              </w:rPr>
            </w:pPr>
          </w:p>
        </w:tc>
        <w:tc>
          <w:tcPr>
            <w:tcW w:w="1800" w:type="dxa"/>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noWrap/>
            <w:vAlign w:val="center"/>
          </w:tcPr>
          <w:p>
            <w:pPr>
              <w:spacing w:line="360" w:lineRule="exact"/>
              <w:jc w:val="center"/>
              <w:rPr>
                <w:rFonts w:eastAsia="仿宋_GB2312"/>
                <w:sz w:val="24"/>
              </w:rPr>
            </w:pPr>
          </w:p>
        </w:tc>
        <w:tc>
          <w:tcPr>
            <w:tcW w:w="1644"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noWrap/>
            <w:vAlign w:val="center"/>
          </w:tcPr>
          <w:p>
            <w:pPr>
              <w:spacing w:line="400" w:lineRule="exact"/>
              <w:jc w:val="center"/>
              <w:rPr>
                <w:rFonts w:eastAsia="仿宋_GB2312"/>
                <w:sz w:val="24"/>
              </w:rPr>
            </w:pPr>
          </w:p>
        </w:tc>
        <w:tc>
          <w:tcPr>
            <w:tcW w:w="1620" w:type="dxa"/>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ign w:val="center"/>
          </w:tcPr>
          <w:p>
            <w:pPr>
              <w:rPr>
                <w:rFonts w:eastAsia="仿宋_GB2312"/>
                <w:spacing w:val="-6"/>
                <w:sz w:val="24"/>
              </w:rPr>
            </w:pPr>
          </w:p>
        </w:tc>
        <w:tc>
          <w:tcPr>
            <w:tcW w:w="1800" w:type="dxa"/>
            <w:tcBorders>
              <w:bottom w:val="single" w:color="auto" w:sz="4" w:space="0"/>
            </w:tcBorders>
            <w:noWrap/>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ign w:val="center"/>
          </w:tcPr>
          <w:p>
            <w:pPr>
              <w:rPr>
                <w:rFonts w:eastAsia="仿宋_GB2312"/>
                <w:spacing w:val="-6"/>
                <w:sz w:val="24"/>
              </w:rPr>
            </w:pPr>
          </w:p>
        </w:tc>
        <w:tc>
          <w:tcPr>
            <w:tcW w:w="1644" w:type="dxa"/>
            <w:gridSpan w:val="3"/>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ign w:val="center"/>
          </w:tcPr>
          <w:p>
            <w:pPr>
              <w:rPr>
                <w:rFonts w:eastAsia="仿宋_GB2312"/>
                <w:spacing w:val="-6"/>
                <w:sz w:val="24"/>
              </w:rPr>
            </w:pPr>
          </w:p>
        </w:tc>
        <w:tc>
          <w:tcPr>
            <w:tcW w:w="1620" w:type="dxa"/>
            <w:tcBorders>
              <w:bottom w:val="single" w:color="auto" w:sz="4" w:space="0"/>
            </w:tcBorders>
            <w:noWrap/>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noWrap/>
            <w:vAlign w:val="center"/>
          </w:tcPr>
          <w:p>
            <w:pPr>
              <w:rPr>
                <w:rFonts w:eastAsia="仿宋_GB2312"/>
                <w:sz w:val="24"/>
              </w:rPr>
            </w:pPr>
          </w:p>
        </w:tc>
        <w:tc>
          <w:tcPr>
            <w:tcW w:w="1800"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noWrap/>
            <w:vAlign w:val="center"/>
          </w:tcPr>
          <w:p>
            <w:pPr>
              <w:rPr>
                <w:rFonts w:eastAsia="仿宋_GB2312"/>
                <w:sz w:val="24"/>
              </w:rPr>
            </w:pPr>
          </w:p>
        </w:tc>
        <w:tc>
          <w:tcPr>
            <w:tcW w:w="1644" w:type="dxa"/>
            <w:gridSpan w:val="3"/>
            <w:tcBorders>
              <w:bottom w:val="single" w:color="auto" w:sz="4" w:space="0"/>
            </w:tcBorders>
            <w:noWrap/>
            <w:vAlign w:val="center"/>
          </w:tcPr>
          <w:p>
            <w:pPr>
              <w:rPr>
                <w:rFonts w:eastAsia="仿宋_GB2312"/>
                <w:sz w:val="24"/>
              </w:rPr>
            </w:pPr>
            <w:r>
              <w:rPr>
                <w:rFonts w:hint="eastAsia" w:eastAsia="仿宋_GB2312"/>
                <w:sz w:val="24"/>
              </w:rPr>
              <w:t>其它</w:t>
            </w:r>
          </w:p>
        </w:tc>
        <w:tc>
          <w:tcPr>
            <w:tcW w:w="720" w:type="dxa"/>
            <w:tcBorders>
              <w:bottom w:val="single" w:color="auto" w:sz="4" w:space="0"/>
            </w:tcBorders>
            <w:noWrap/>
            <w:vAlign w:val="center"/>
          </w:tcPr>
          <w:p>
            <w:pPr>
              <w:rPr>
                <w:rFonts w:eastAsia="仿宋_GB2312"/>
                <w:sz w:val="24"/>
              </w:rPr>
            </w:pPr>
          </w:p>
        </w:tc>
        <w:tc>
          <w:tcPr>
            <w:tcW w:w="1620" w:type="dxa"/>
            <w:tcBorders>
              <w:bottom w:val="single" w:color="auto" w:sz="4" w:space="0"/>
            </w:tcBorders>
            <w:noWrap/>
            <w:vAlign w:val="center"/>
          </w:tcPr>
          <w:p>
            <w:pPr>
              <w:rPr>
                <w:rFonts w:eastAsia="仿宋_GB2312"/>
                <w:sz w:val="24"/>
              </w:rPr>
            </w:pPr>
            <w:r>
              <w:rPr>
                <w:rFonts w:hint="eastAsia" w:eastAsia="仿宋_GB2312"/>
                <w:sz w:val="24"/>
              </w:rPr>
              <w:t>其它</w:t>
            </w:r>
          </w:p>
        </w:tc>
        <w:tc>
          <w:tcPr>
            <w:tcW w:w="696" w:type="dxa"/>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noWrap/>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noWrap/>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noWrap/>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sz w:val="24"/>
              </w:rPr>
            </w:pPr>
          </w:p>
        </w:tc>
        <w:tc>
          <w:tcPr>
            <w:tcW w:w="1822" w:type="dxa"/>
            <w:gridSpan w:val="2"/>
            <w:tcBorders>
              <w:bottom w:val="single" w:color="auto" w:sz="4" w:space="0"/>
            </w:tcBorders>
            <w:noWrap/>
            <w:vAlign w:val="center"/>
          </w:tcPr>
          <w:p>
            <w:pPr>
              <w:jc w:val="center"/>
              <w:rPr>
                <w:rFonts w:eastAsia="仿宋_GB2312"/>
                <w:sz w:val="24"/>
              </w:rPr>
            </w:pPr>
          </w:p>
        </w:tc>
        <w:tc>
          <w:tcPr>
            <w:tcW w:w="2342" w:type="dxa"/>
            <w:gridSpan w:val="5"/>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noWrap/>
            <w:vAlign w:val="center"/>
          </w:tcPr>
          <w:p>
            <w:pPr>
              <w:jc w:val="center"/>
              <w:rPr>
                <w:rFonts w:eastAsia="仿宋_GB2312"/>
                <w:b/>
                <w:sz w:val="24"/>
              </w:rPr>
            </w:pPr>
          </w:p>
        </w:tc>
        <w:tc>
          <w:tcPr>
            <w:tcW w:w="2342" w:type="dxa"/>
            <w:gridSpan w:val="5"/>
            <w:tcBorders>
              <w:bottom w:val="single" w:color="auto" w:sz="4" w:space="0"/>
            </w:tcBorders>
            <w:noWrap/>
            <w:vAlign w:val="center"/>
          </w:tcPr>
          <w:p>
            <w:pPr>
              <w:jc w:val="center"/>
              <w:rPr>
                <w:rFonts w:eastAsia="仿宋_GB2312"/>
                <w:b/>
                <w:sz w:val="24"/>
              </w:rPr>
            </w:pPr>
          </w:p>
        </w:tc>
        <w:tc>
          <w:tcPr>
            <w:tcW w:w="3036" w:type="dxa"/>
            <w:gridSpan w:val="3"/>
            <w:tcBorders>
              <w:bottom w:val="single" w:color="auto" w:sz="4" w:space="0"/>
            </w:tcBorders>
            <w:noWrap/>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noWrap/>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ign w:val="center"/>
          </w:tcPr>
          <w:p>
            <w:pPr>
              <w:jc w:val="center"/>
              <w:rPr>
                <w:rFonts w:eastAsia="仿宋_GB2312"/>
                <w:b/>
                <w:sz w:val="24"/>
              </w:rPr>
            </w:pPr>
          </w:p>
        </w:tc>
        <w:tc>
          <w:tcPr>
            <w:tcW w:w="5073" w:type="dxa"/>
            <w:gridSpan w:val="10"/>
            <w:tcBorders>
              <w:bottom w:val="single" w:color="auto" w:sz="4" w:space="0"/>
            </w:tcBorders>
            <w:noWrap/>
            <w:vAlign w:val="center"/>
          </w:tcPr>
          <w:p>
            <w:pPr>
              <w:jc w:val="center"/>
              <w:rPr>
                <w:rFonts w:eastAsia="仿宋_GB2312"/>
                <w:b/>
                <w:sz w:val="24"/>
              </w:rPr>
            </w:pPr>
          </w:p>
        </w:tc>
        <w:tc>
          <w:tcPr>
            <w:tcW w:w="3036" w:type="dxa"/>
            <w:gridSpan w:val="3"/>
            <w:tcBorders>
              <w:bottom w:val="single" w:color="auto" w:sz="4" w:space="0"/>
            </w:tcBorders>
            <w:noWrap/>
            <w:vAlign w:val="center"/>
          </w:tcPr>
          <w:p>
            <w:pPr>
              <w:spacing w:line="400" w:lineRule="exact"/>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noWrap/>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noWrap/>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noWrap/>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项目产出指标</w:t>
            </w: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restart"/>
            <w:noWrap/>
            <w:vAlign w:val="center"/>
          </w:tcPr>
          <w:p>
            <w:pPr>
              <w:jc w:val="center"/>
              <w:rPr>
                <w:rFonts w:eastAsia="仿宋_GB2312"/>
                <w:sz w:val="24"/>
              </w:rPr>
            </w:pPr>
            <w:r>
              <w:rPr>
                <w:rFonts w:hint="eastAsia" w:eastAsia="仿宋_GB2312"/>
                <w:sz w:val="24"/>
              </w:rPr>
              <w:t>项目效益指标</w:t>
            </w: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restart"/>
            <w:noWrap/>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ign w:val="center"/>
          </w:tcPr>
          <w:p>
            <w:pPr>
              <w:jc w:val="center"/>
              <w:rPr>
                <w:rFonts w:eastAsia="仿宋_GB2312"/>
                <w:sz w:val="24"/>
              </w:rPr>
            </w:pPr>
          </w:p>
        </w:tc>
        <w:tc>
          <w:tcPr>
            <w:tcW w:w="909" w:type="dxa"/>
            <w:gridSpan w:val="3"/>
            <w:vMerge w:val="continue"/>
            <w:noWrap/>
            <w:vAlign w:val="center"/>
          </w:tcPr>
          <w:p>
            <w:pPr>
              <w:jc w:val="center"/>
              <w:rPr>
                <w:rFonts w:eastAsia="仿宋_GB2312"/>
                <w:sz w:val="24"/>
              </w:rPr>
            </w:pPr>
          </w:p>
        </w:tc>
        <w:tc>
          <w:tcPr>
            <w:tcW w:w="1822" w:type="dxa"/>
            <w:gridSpan w:val="2"/>
            <w:vMerge w:val="continue"/>
            <w:noWrap/>
            <w:vAlign w:val="center"/>
          </w:tcPr>
          <w:p>
            <w:pPr>
              <w:spacing w:line="360" w:lineRule="exact"/>
              <w:jc w:val="center"/>
              <w:rPr>
                <w:rFonts w:eastAsia="仿宋_GB2312"/>
                <w:sz w:val="24"/>
              </w:rPr>
            </w:pPr>
          </w:p>
        </w:tc>
        <w:tc>
          <w:tcPr>
            <w:tcW w:w="1260" w:type="dxa"/>
            <w:gridSpan w:val="3"/>
            <w:tcBorders>
              <w:bottom w:val="single" w:color="auto" w:sz="4" w:space="0"/>
            </w:tcBorders>
            <w:noWrap/>
            <w:vAlign w:val="center"/>
          </w:tcPr>
          <w:p>
            <w:pPr>
              <w:spacing w:line="360" w:lineRule="exact"/>
              <w:jc w:val="center"/>
              <w:rPr>
                <w:rFonts w:eastAsia="仿宋_GB2312"/>
                <w:sz w:val="24"/>
              </w:rPr>
            </w:pPr>
          </w:p>
        </w:tc>
        <w:tc>
          <w:tcPr>
            <w:tcW w:w="1082" w:type="dxa"/>
            <w:gridSpan w:val="2"/>
            <w:tcBorders>
              <w:bottom w:val="single" w:color="auto" w:sz="4" w:space="0"/>
            </w:tcBorders>
            <w:noWrap/>
            <w:vAlign w:val="center"/>
          </w:tcPr>
          <w:p>
            <w:pPr>
              <w:jc w:val="center"/>
              <w:rPr>
                <w:rFonts w:eastAsia="仿宋_GB2312"/>
                <w:sz w:val="24"/>
              </w:rPr>
            </w:pPr>
          </w:p>
        </w:tc>
        <w:tc>
          <w:tcPr>
            <w:tcW w:w="3036" w:type="dxa"/>
            <w:gridSpan w:val="3"/>
            <w:tcBorders>
              <w:bottom w:val="single" w:color="auto" w:sz="4" w:space="0"/>
            </w:tcBorders>
            <w:noWrap/>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jc w:val="center"/>
              <w:rPr>
                <w:rFonts w:eastAsia="仿宋_GB2312"/>
                <w:sz w:val="24"/>
              </w:rPr>
            </w:pPr>
            <w:r>
              <w:rPr>
                <w:rFonts w:hint="eastAsia" w:eastAsia="仿宋_GB2312"/>
                <w:sz w:val="24"/>
              </w:rPr>
              <w:t>姓名</w:t>
            </w:r>
          </w:p>
        </w:tc>
        <w:tc>
          <w:tcPr>
            <w:tcW w:w="2332" w:type="dxa"/>
            <w:gridSpan w:val="4"/>
            <w:noWrap/>
            <w:vAlign w:val="center"/>
          </w:tcPr>
          <w:p>
            <w:pPr>
              <w:jc w:val="center"/>
              <w:rPr>
                <w:rFonts w:eastAsia="仿宋_GB2312"/>
                <w:sz w:val="24"/>
              </w:rPr>
            </w:pPr>
            <w:r>
              <w:rPr>
                <w:rFonts w:hint="eastAsia" w:eastAsia="仿宋_GB2312"/>
                <w:sz w:val="24"/>
              </w:rPr>
              <w:t>职称/职务</w:t>
            </w:r>
          </w:p>
        </w:tc>
        <w:tc>
          <w:tcPr>
            <w:tcW w:w="1950" w:type="dxa"/>
            <w:gridSpan w:val="4"/>
            <w:noWrap/>
            <w:vAlign w:val="center"/>
          </w:tcPr>
          <w:p>
            <w:pPr>
              <w:jc w:val="center"/>
              <w:rPr>
                <w:rFonts w:eastAsia="仿宋_GB2312"/>
                <w:sz w:val="24"/>
              </w:rPr>
            </w:pPr>
            <w:r>
              <w:rPr>
                <w:rFonts w:hint="eastAsia" w:eastAsia="仿宋_GB2312"/>
                <w:sz w:val="24"/>
              </w:rPr>
              <w:t>单  位</w:t>
            </w:r>
          </w:p>
        </w:tc>
        <w:tc>
          <w:tcPr>
            <w:tcW w:w="3036" w:type="dxa"/>
            <w:gridSpan w:val="3"/>
            <w:noWrap/>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eastAsia="仿宋_GB2312"/>
                <w:sz w:val="24"/>
              </w:rPr>
            </w:pPr>
          </w:p>
        </w:tc>
        <w:tc>
          <w:tcPr>
            <w:tcW w:w="2332" w:type="dxa"/>
            <w:gridSpan w:val="4"/>
            <w:noWrap/>
            <w:vAlign w:val="center"/>
          </w:tcPr>
          <w:p>
            <w:pPr>
              <w:rPr>
                <w:rFonts w:eastAsia="仿宋_GB2312"/>
                <w:sz w:val="24"/>
              </w:rPr>
            </w:pPr>
          </w:p>
        </w:tc>
        <w:tc>
          <w:tcPr>
            <w:tcW w:w="1950" w:type="dxa"/>
            <w:gridSpan w:val="4"/>
            <w:noWrap/>
            <w:vAlign w:val="center"/>
          </w:tcPr>
          <w:p>
            <w:pPr>
              <w:rPr>
                <w:rFonts w:eastAsia="仿宋_GB2312"/>
                <w:sz w:val="24"/>
              </w:rPr>
            </w:pP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eastAsia="仿宋_GB2312"/>
                <w:sz w:val="24"/>
              </w:rPr>
            </w:pPr>
          </w:p>
        </w:tc>
        <w:tc>
          <w:tcPr>
            <w:tcW w:w="2332" w:type="dxa"/>
            <w:gridSpan w:val="4"/>
            <w:noWrap/>
            <w:vAlign w:val="center"/>
          </w:tcPr>
          <w:p>
            <w:pPr>
              <w:rPr>
                <w:rFonts w:eastAsia="仿宋_GB2312"/>
                <w:sz w:val="24"/>
              </w:rPr>
            </w:pPr>
          </w:p>
        </w:tc>
        <w:tc>
          <w:tcPr>
            <w:tcW w:w="1950" w:type="dxa"/>
            <w:gridSpan w:val="4"/>
            <w:noWrap/>
            <w:vAlign w:val="center"/>
          </w:tcPr>
          <w:p>
            <w:pPr>
              <w:rPr>
                <w:rFonts w:eastAsia="仿宋_GB2312"/>
                <w:sz w:val="24"/>
              </w:rPr>
            </w:pP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ign w:val="center"/>
          </w:tcPr>
          <w:p>
            <w:pPr>
              <w:rPr>
                <w:rFonts w:eastAsia="仿宋_GB2312"/>
                <w:sz w:val="24"/>
              </w:rPr>
            </w:pPr>
          </w:p>
        </w:tc>
        <w:tc>
          <w:tcPr>
            <w:tcW w:w="2332" w:type="dxa"/>
            <w:gridSpan w:val="4"/>
            <w:noWrap/>
            <w:vAlign w:val="center"/>
          </w:tcPr>
          <w:p>
            <w:pPr>
              <w:rPr>
                <w:rFonts w:eastAsia="仿宋_GB2312"/>
                <w:sz w:val="24"/>
              </w:rPr>
            </w:pPr>
          </w:p>
        </w:tc>
        <w:tc>
          <w:tcPr>
            <w:tcW w:w="1950" w:type="dxa"/>
            <w:gridSpan w:val="4"/>
            <w:noWrap/>
            <w:vAlign w:val="center"/>
          </w:tcPr>
          <w:p>
            <w:pPr>
              <w:rPr>
                <w:rFonts w:eastAsia="仿宋_GB2312"/>
                <w:sz w:val="24"/>
              </w:rPr>
            </w:pPr>
          </w:p>
        </w:tc>
        <w:tc>
          <w:tcPr>
            <w:tcW w:w="3036" w:type="dxa"/>
            <w:gridSpan w:val="3"/>
            <w:noWrap/>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eastAsia="仿宋_GB2312"/>
                <w:sz w:val="30"/>
                <w:szCs w:val="30"/>
              </w:rPr>
            </w:pPr>
            <w:r>
              <w:rPr>
                <w:rFonts w:hint="eastAsia" w:eastAsia="仿宋_GB2312"/>
                <w:sz w:val="30"/>
                <w:szCs w:val="30"/>
              </w:rPr>
              <w:t>(二)项目绩效目标。包括总体目标和阶段性目标。</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eastAsia="仿宋_GB2312"/>
                <w:sz w:val="30"/>
                <w:szCs w:val="30"/>
              </w:rPr>
            </w:pPr>
            <w:r>
              <w:rPr>
                <w:rFonts w:hint="eastAsia" w:eastAsia="仿宋_GB2312"/>
                <w:sz w:val="30"/>
                <w:szCs w:val="30"/>
              </w:rPr>
              <w:t>(二)绩效评价原则、评价指标体系(附表说明)、评价方法、 评价标准等。</w:t>
            </w:r>
          </w:p>
          <w:p>
            <w:pPr>
              <w:spacing w:line="560" w:lineRule="exact"/>
              <w:ind w:firstLine="600" w:firstLineChars="200"/>
              <w:rPr>
                <w:rFonts w:eastAsia="仿宋_GB2312"/>
                <w:sz w:val="30"/>
                <w:szCs w:val="30"/>
              </w:rPr>
            </w:pPr>
            <w:r>
              <w:rPr>
                <w:rFonts w:hint="eastAsia" w:eastAsia="仿宋_GB2312"/>
                <w:sz w:val="30"/>
                <w:szCs w:val="30"/>
              </w:rPr>
              <w:t>(三)绩效评价工作过程。</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三、综合评价情况及评价结论 (附相关评分表)</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eastAsia="仿宋_GB2312"/>
                <w:sz w:val="30"/>
                <w:szCs w:val="30"/>
              </w:rPr>
            </w:pPr>
            <w:r>
              <w:rPr>
                <w:rFonts w:hint="eastAsia" w:eastAsia="仿宋_GB2312"/>
                <w:sz w:val="30"/>
                <w:szCs w:val="30"/>
              </w:rPr>
              <w:t>(一)项目决策情况。</w:t>
            </w:r>
          </w:p>
          <w:p>
            <w:pPr>
              <w:spacing w:line="560" w:lineRule="exact"/>
              <w:ind w:firstLine="600" w:firstLineChars="200"/>
              <w:rPr>
                <w:rFonts w:eastAsia="仿宋_GB2312"/>
                <w:sz w:val="30"/>
                <w:szCs w:val="30"/>
              </w:rPr>
            </w:pPr>
            <w:r>
              <w:rPr>
                <w:rFonts w:hint="eastAsia" w:eastAsia="仿宋_GB2312"/>
                <w:sz w:val="30"/>
                <w:szCs w:val="30"/>
              </w:rPr>
              <w:t>(二)项目过程情况。</w:t>
            </w:r>
          </w:p>
          <w:p>
            <w:pPr>
              <w:spacing w:line="560" w:lineRule="exact"/>
              <w:ind w:firstLine="600" w:firstLineChars="200"/>
              <w:rPr>
                <w:rFonts w:eastAsia="仿宋_GB2312"/>
                <w:sz w:val="30"/>
                <w:szCs w:val="30"/>
              </w:rPr>
            </w:pPr>
            <w:r>
              <w:rPr>
                <w:rFonts w:hint="eastAsia" w:eastAsia="仿宋_GB2312"/>
                <w:sz w:val="30"/>
                <w:szCs w:val="30"/>
              </w:rPr>
              <w:t>(三)项目产出情况。</w:t>
            </w:r>
          </w:p>
          <w:p>
            <w:pPr>
              <w:spacing w:line="560" w:lineRule="exact"/>
              <w:ind w:firstLine="600" w:firstLineChars="200"/>
              <w:rPr>
                <w:rFonts w:eastAsia="仿宋_GB2312"/>
                <w:sz w:val="30"/>
                <w:szCs w:val="30"/>
              </w:rPr>
            </w:pPr>
            <w:r>
              <w:rPr>
                <w:rFonts w:hint="eastAsia" w:eastAsia="仿宋_GB2312"/>
                <w:sz w:val="30"/>
                <w:szCs w:val="30"/>
              </w:rPr>
              <w:t>(四)项目效益情况。</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五、主要经验及做法、存在的问题及原因分析</w:t>
            </w:r>
          </w:p>
          <w:p>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六、有关建议</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资金到达不及时</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没能严格执行</w:t>
            </w: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有个别资产利用少</w:t>
            </w: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缺少资金</w:t>
            </w: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效益不明显</w:t>
            </w: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效益显著</w:t>
            </w: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效益不显著</w:t>
            </w: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缺少资金，达不到社会满意度</w:t>
            </w: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92.5</w:t>
            </w: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92.5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②目标明确（1分）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②符合经济社会发展规划（1分）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③部门年度工作计划（1分）</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②办法健全、规范（1分）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textDirection w:val="tbLrV"/>
            <w:vAlign w:val="center"/>
          </w:tcPr>
          <w:p>
            <w:pPr>
              <w:widowControl/>
              <w:spacing w:line="240" w:lineRule="exact"/>
              <w:ind w:left="113" w:right="113" w:firstLine="2520" w:firstLineChars="1400"/>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p>
        </w:tc>
        <w:tc>
          <w:tcPr>
            <w:tcW w:w="540" w:type="dxa"/>
            <w:vMerge w:val="restart"/>
            <w:tcBorders>
              <w:top w:val="nil"/>
              <w:left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p>
          <w:p>
            <w:pPr>
              <w:widowControl/>
              <w:spacing w:line="240" w:lineRule="exact"/>
              <w:jc w:val="left"/>
              <w:rPr>
                <w:rFonts w:ascii="仿宋_GB2312" w:hAnsi="宋体" w:eastAsia="仿宋_GB2312" w:cs="宋体"/>
                <w:spacing w:val="-10"/>
                <w:kern w:val="0"/>
                <w:sz w:val="18"/>
                <w:szCs w:val="18"/>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②依据不合规扣2分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③截留、挤占、挪用扣3-6分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②严格执行制度（1分）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3</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453FD"/>
    <w:rsid w:val="000959FC"/>
    <w:rsid w:val="000F448C"/>
    <w:rsid w:val="0011592F"/>
    <w:rsid w:val="00126F2D"/>
    <w:rsid w:val="00351742"/>
    <w:rsid w:val="003C36CD"/>
    <w:rsid w:val="00470A69"/>
    <w:rsid w:val="0056349A"/>
    <w:rsid w:val="005C3CA5"/>
    <w:rsid w:val="00610F39"/>
    <w:rsid w:val="00676C53"/>
    <w:rsid w:val="006C2D2A"/>
    <w:rsid w:val="0075606D"/>
    <w:rsid w:val="007B2063"/>
    <w:rsid w:val="007C5CC3"/>
    <w:rsid w:val="00834038"/>
    <w:rsid w:val="008508D8"/>
    <w:rsid w:val="009410DE"/>
    <w:rsid w:val="00A07958"/>
    <w:rsid w:val="00A129D8"/>
    <w:rsid w:val="00A47B42"/>
    <w:rsid w:val="00AC4470"/>
    <w:rsid w:val="00AE0508"/>
    <w:rsid w:val="00B67E10"/>
    <w:rsid w:val="00B737D4"/>
    <w:rsid w:val="00BB4A51"/>
    <w:rsid w:val="00BE23B1"/>
    <w:rsid w:val="00BE33E7"/>
    <w:rsid w:val="00C20E6A"/>
    <w:rsid w:val="00C94075"/>
    <w:rsid w:val="00CB3563"/>
    <w:rsid w:val="00CC5B9C"/>
    <w:rsid w:val="00CF461B"/>
    <w:rsid w:val="00D36424"/>
    <w:rsid w:val="00D95575"/>
    <w:rsid w:val="00DC3717"/>
    <w:rsid w:val="00E05D53"/>
    <w:rsid w:val="00E90D73"/>
    <w:rsid w:val="00EA7175"/>
    <w:rsid w:val="00ED311A"/>
    <w:rsid w:val="00F17DC7"/>
    <w:rsid w:val="00F5082A"/>
    <w:rsid w:val="083749E7"/>
    <w:rsid w:val="0CB679B8"/>
    <w:rsid w:val="0DE528CD"/>
    <w:rsid w:val="10054735"/>
    <w:rsid w:val="1336279F"/>
    <w:rsid w:val="1872542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9B07859"/>
    <w:rsid w:val="6A0A15CD"/>
    <w:rsid w:val="6D452F22"/>
    <w:rsid w:val="6DC85BA0"/>
    <w:rsid w:val="6DF352BD"/>
    <w:rsid w:val="705E3E6D"/>
    <w:rsid w:val="71C1048A"/>
    <w:rsid w:val="7396188C"/>
    <w:rsid w:val="73A6715E"/>
    <w:rsid w:val="73F35F5B"/>
    <w:rsid w:val="79C04582"/>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6303</Words>
  <Characters>6607</Characters>
  <Lines>63</Lines>
  <Paragraphs>17</Paragraphs>
  <TotalTime>219</TotalTime>
  <ScaleCrop>false</ScaleCrop>
  <LinksUpToDate>false</LinksUpToDate>
  <CharactersWithSpaces>7584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2022-10-24T02:42:01Z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