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中共华容县委统战部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117001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唐孟朗</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0730-4188009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8"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宋体" w:eastAsia="仿宋_GB2312" w:cs="仿宋_GB2312"/>
                <w:color w:val="000000"/>
                <w:sz w:val="24"/>
                <w:szCs w:val="24"/>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2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ind w:firstLine="240" w:firstLineChars="1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　</w:t>
            </w: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任务4：着眼联络交流，把港澳台侨工作抓得更实。</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任务5：着眼提升水平，把自身建设工作抓得更优。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snapToGrid w:val="0"/>
              <w:spacing w:line="53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民族宗教工作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集中开展专项整治。抓实《湖南省宗教事务条例》和《宗教教职人员管理办法》学习宣传，持续开展宗教领域五项专项治理，强化宗教场所规范化管理。</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民营经济统战工作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举办民营经济政策报告会和理想信念教育培训班2期。开展民营企业“家家行”活动，走访县内重点民营企业，出台《县领导联系服务民营企业和商协会工作制度》，县领导与联点企业开展一次谈心交流、出席一次重大活动、进行一次走访调研和解决一个难点问题得到落实。</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党外知识分子和新的社会阶层人士统战工作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开展“凝聚新力量、筑梦新时代”主题活动，积极宣传党外知识分子和新阶联重点人物。建设县芥菜产业园新的社会阶层人士统战工作实践创新基地，启动了县知联会代表人士工作室建设。</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党外代表人士队伍建设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着眼市县人大、政府、政协换届，加强对党外代表人士的教育培养，选派14名党外干部参加县科干部和县青干班党校集中学习。进一步完善党外代表人士分级分类管理办法，开展党外代表人士的履职考核工作。健全党外后备干部人才库，并实行动态管理。坚持“凡进必评”原则，规范党外人大代表、党外政协委员安排使用。</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港澳台海外统战工作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认真贯彻《归侨侨眷保护法》，完善侨情信息库，完成人民法院调解平台入驻工作，建立侨联与涉侨企业、重点侨胞侨眷常态化联系制度。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3"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8"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6"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9"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303.62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190.83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112.79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1"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304.62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303.62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190.83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112.79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教育培养做好党外代表人士工作。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服务大局，做好非公经济工作。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3：和谐稳定，做好民族宗教工作。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4：联络交流，做好港澳台侨工作。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5：提升水平，做好自身建设工作。</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szCs w:val="24"/>
                <w:lang w:eastAsia="zh-CN"/>
              </w:rPr>
              <w:t>全面履行</w:t>
            </w:r>
            <w:r>
              <w:rPr>
                <w:rFonts w:hint="eastAsia" w:ascii="仿宋_GB2312" w:hAnsi="Calibri" w:eastAsia="仿宋_GB2312" w:cs="仿宋_GB2312"/>
                <w:color w:val="000000"/>
                <w:sz w:val="24"/>
                <w:szCs w:val="24"/>
              </w:rPr>
              <w:t>统战部门职责，助推</w:t>
            </w:r>
            <w:r>
              <w:rPr>
                <w:rFonts w:hint="eastAsia" w:ascii="仿宋_GB2312" w:hAnsi="Calibri" w:eastAsia="仿宋_GB2312" w:cs="仿宋_GB2312"/>
                <w:color w:val="000000"/>
                <w:sz w:val="24"/>
                <w:szCs w:val="24"/>
                <w:lang w:eastAsia="zh-CN"/>
              </w:rPr>
              <w:t>经济</w:t>
            </w:r>
            <w:r>
              <w:rPr>
                <w:rFonts w:hint="eastAsia" w:ascii="仿宋_GB2312" w:hAnsi="Calibri" w:eastAsia="仿宋_GB2312" w:cs="仿宋_GB2312"/>
                <w:color w:val="000000"/>
                <w:sz w:val="24"/>
                <w:szCs w:val="24"/>
              </w:rPr>
              <w:t>社会发展</w:t>
            </w:r>
            <w:r>
              <w:rPr>
                <w:rFonts w:hint="eastAsia" w:ascii="仿宋_GB2312" w:hAnsi="Calibri" w:eastAsia="仿宋_GB2312" w:cs="仿宋_GB2312"/>
                <w:color w:val="000000"/>
                <w:sz w:val="24"/>
                <w:szCs w:val="24"/>
                <w:lang w:eastAsia="zh-CN"/>
              </w:rPr>
              <w:t>，统战地位进一步提升，社会影响进一步扩大。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Calibri" w:eastAsia="仿宋_GB2312" w:cs="仿宋_GB2312"/>
                <w:color w:val="000000"/>
                <w:sz w:val="24"/>
                <w:szCs w:val="24"/>
              </w:rPr>
              <w:t>确保市</w:t>
            </w:r>
            <w:r>
              <w:rPr>
                <w:rFonts w:hint="eastAsia" w:ascii="仿宋_GB2312" w:hAnsi="Calibri" w:eastAsia="仿宋_GB2312" w:cs="仿宋_GB2312"/>
                <w:color w:val="000000"/>
                <w:sz w:val="24"/>
                <w:szCs w:val="24"/>
                <w:lang w:eastAsia="zh-CN"/>
              </w:rPr>
              <w:t>县</w:t>
            </w:r>
            <w:r>
              <w:rPr>
                <w:rFonts w:hint="eastAsia" w:ascii="仿宋_GB2312" w:hAnsi="Calibri" w:eastAsia="仿宋_GB2312" w:cs="仿宋_GB2312"/>
                <w:color w:val="000000"/>
                <w:sz w:val="24"/>
                <w:szCs w:val="24"/>
              </w:rPr>
              <w:t>绩效考评项目</w:t>
            </w:r>
            <w:r>
              <w:rPr>
                <w:rFonts w:hint="eastAsia" w:ascii="仿宋_GB2312" w:hAnsi="Calibri" w:eastAsia="仿宋_GB2312" w:cs="仿宋_GB2312"/>
                <w:color w:val="000000"/>
                <w:sz w:val="24"/>
                <w:szCs w:val="24"/>
                <w:lang w:eastAsia="zh-CN"/>
              </w:rPr>
              <w:t>的完成。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指标1：党外代表人士队伍建设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建立了后备干部人才库，</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民营经济统战工作</w:t>
            </w:r>
            <w:r>
              <w:rPr>
                <w:rFonts w:hint="eastAsia" w:ascii="仿宋_GB2312" w:hAnsi="仿宋_GB2312" w:eastAsia="仿宋_GB2312" w:cs="仿宋_GB2312"/>
                <w:color w:val="000000"/>
                <w:sz w:val="24"/>
              </w:rPr>
              <w:t>走访企业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发放调查问卷，召开座谈会，收集企业反映的困难问题，当场解决问题，向相关部门反映问题。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民族宗教工作：</w:t>
            </w:r>
            <w:r>
              <w:rPr>
                <w:rFonts w:hint="eastAsia" w:ascii="仿宋_GB2312" w:hAnsi="仿宋_GB2312" w:eastAsia="仿宋_GB2312" w:cs="仿宋_GB2312"/>
                <w:color w:val="000000"/>
                <w:sz w:val="24"/>
              </w:rPr>
              <w:t>受理少数民族成份变更事项，少数民族高考考生加分申报，走访慰问特困少数民族居民</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谈心谈话</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发放宣传资料，举办培训班，宗教政策法规测试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港澳台侨工作：</w:t>
            </w:r>
            <w:r>
              <w:rPr>
                <w:rFonts w:hint="eastAsia" w:ascii="仿宋_GB2312" w:hAnsi="仿宋_GB2312" w:eastAsia="仿宋_GB2312" w:cs="仿宋_GB2312"/>
                <w:color w:val="000000"/>
                <w:sz w:val="24"/>
                <w:lang w:val="en-US" w:eastAsia="zh-CN"/>
              </w:rPr>
              <w:t>发放宣传资料，侨眷侨属协调解决困难问题。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Calibri" w:eastAsia="仿宋_GB2312" w:cs="仿宋_GB2312"/>
                <w:color w:val="000000"/>
                <w:sz w:val="24"/>
                <w:szCs w:val="24"/>
              </w:rPr>
              <w:t>年底前完成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Calibri" w:eastAsia="仿宋_GB2312" w:cs="仿宋_GB2312"/>
                <w:color w:val="000000"/>
                <w:sz w:val="24"/>
                <w:szCs w:val="24"/>
              </w:rPr>
              <w:t>已按时按质完成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全年财政整体支出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304.62万元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促进五大关系和谐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szCs w:val="24"/>
              </w:rPr>
              <w:t>促进县域非公经济发展；</w:t>
            </w:r>
            <w:r>
              <w:rPr>
                <w:rFonts w:hint="eastAsia" w:ascii="仿宋_GB2312" w:hAnsi="仿宋_GB2312" w:eastAsia="仿宋_GB2312" w:cs="仿宋_GB2312"/>
                <w:color w:val="000000"/>
                <w:sz w:val="24"/>
              </w:rPr>
              <w:t>指标2：</w:t>
            </w:r>
            <w:r>
              <w:rPr>
                <w:rFonts w:hint="eastAsia" w:ascii="仿宋_GB2312" w:hAnsi="Calibri" w:eastAsia="仿宋_GB2312" w:cs="仿宋_GB2312"/>
                <w:color w:val="000000"/>
                <w:sz w:val="24"/>
                <w:szCs w:val="24"/>
              </w:rPr>
              <w:t>引导全县党外人士参与县域经济发展，非公经济发展明显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指标1：转变价值观念，增强服务意识，逐步满足社会公众生态需求。指标2：完善生态管理制度体系，协调生态环境与经济社会发展的关系，使经济社会与生态环境协调发展。</w:t>
            </w: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建立健全政府生态管理创新机制，培育生态文化、学习文化、法治文化和责任文化，为公众创造良好的生存环境。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社会公众生态需求逐步满足、经济社会与生态环境协调发展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指标1：根据社会公众的申请内容，向申请人提供依法应当或可以公开的政府信息。指标2：向社会公众提供法律法规及相关政策的咨询意见。</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政府信息及时有效公开、社会公众满意达9</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张军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蔡丽</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干部室主任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何为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政策法规室主任</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宗教执法队长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唐孟朗</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0730-4188009</w:t>
      </w:r>
    </w:p>
    <w:p>
      <w:pPr>
        <w:rPr>
          <w:rFonts w:hint="eastAsia" w:eastAsia="仿宋_GB2312" w:cs="仿宋_GB2312"/>
          <w:bCs/>
          <w:sz w:val="28"/>
          <w:szCs w:val="28"/>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1、人员编制：机关共有人员编制25人（行政编制14名，事业编制11人）。实有人数20人（行政编制14名，事业编制6人），退休人员10人。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机构设置：内设职能办公室7个：办公室、干部室、民族宗教事务室、政策法规室（行政审批室）、非公有制经济工作室、党外知识分子和新的社会阶层人士统战工作室、港澳台侨统战工作室。其他机构2个：县归国华侨联合会（简称县侨联）、县宗教执法队。</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3、职能职责概述：</w:t>
            </w:r>
            <w:r>
              <w:rPr>
                <w:rFonts w:hint="eastAsia" w:ascii="仿宋_GB2312" w:hAnsi="仿宋_GB2312" w:eastAsia="仿宋_GB2312" w:cs="仿宋_GB2312"/>
                <w:bCs/>
                <w:sz w:val="28"/>
                <w:szCs w:val="28"/>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本年实现年度收入304.62万元，其中公共财政预算拨款304.62万元，本年度实际支出304.62万元，主要是基本支出303.62万元，其中人员经费支出190.83万元，公用经费支出113.79万元。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480" w:firstLineChars="20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本年度实现年度收入304.62万元，实际支出304.62万元，其中人员支出190.83万元，公用支出113.79万元。主要是用于工资福利、行政运行、日常公用支出等。</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numPr>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没有专项支出。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80"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一是强化思想政治引领。深入开展《条例》学习宣传</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全力开展集中培训，共培训各级各类干部670多人次，培训党外代表人士和各类统战对象1000人次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举办全县统一战线学习贯彻《条例》精神专题研讨班2期。</w:t>
            </w:r>
            <w:r>
              <w:rPr>
                <w:rFonts w:hint="eastAsia" w:ascii="仿宋_GB2312" w:hAnsi="仿宋_GB2312" w:eastAsia="仿宋_GB2312" w:cs="仿宋_GB2312"/>
                <w:b/>
                <w:bCs/>
                <w:sz w:val="28"/>
                <w:szCs w:val="28"/>
              </w:rPr>
              <w:t>深入开展谈心谈话。</w:t>
            </w:r>
            <w:r>
              <w:rPr>
                <w:rFonts w:hint="eastAsia" w:ascii="仿宋_GB2312" w:hAnsi="仿宋_GB2312" w:eastAsia="仿宋_GB2312" w:cs="仿宋_GB2312"/>
                <w:sz w:val="28"/>
                <w:szCs w:val="28"/>
              </w:rPr>
              <w:t>县委常委与党外代表人士联系交友和县领导与党外人士谈心谈话制度化规范化。县委书记陶伟军</w:t>
            </w:r>
            <w:r>
              <w:rPr>
                <w:rFonts w:hint="eastAsia" w:ascii="仿宋_GB2312" w:hAnsi="仿宋_GB2312" w:eastAsia="仿宋_GB2312" w:cs="仿宋_GB2312"/>
                <w:sz w:val="28"/>
                <w:szCs w:val="28"/>
                <w:lang w:eastAsia="zh-CN"/>
              </w:rPr>
              <w:t>先后与</w:t>
            </w:r>
            <w:r>
              <w:rPr>
                <w:rFonts w:hint="eastAsia" w:ascii="仿宋_GB2312" w:hAnsi="仿宋_GB2312" w:eastAsia="仿宋_GB2312" w:cs="仿宋_GB2312"/>
                <w:sz w:val="28"/>
                <w:szCs w:val="28"/>
              </w:rPr>
              <w:t>党外干部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县工商联新当选兼职副主席副会长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党外代表人士集体谈心谈话活动。建立与宗教界人士谈话和交流制度。县委书记陶伟军与全县3个宗教团体负责人开展集体谈心谈话，县委统战部部务会成员与宗教界代表人士分片区谈心，共谈心谈话200多人次。</w:t>
            </w:r>
            <w:r>
              <w:rPr>
                <w:rFonts w:hint="eastAsia" w:ascii="仿宋_GB2312" w:hAnsi="仿宋_GB2312" w:eastAsia="仿宋_GB2312" w:cs="仿宋_GB2312"/>
                <w:b/>
                <w:bCs/>
                <w:sz w:val="28"/>
                <w:szCs w:val="28"/>
                <w:lang w:eastAsia="zh-CN"/>
              </w:rPr>
              <w:t>深入开展主题教育活动。</w:t>
            </w:r>
            <w:r>
              <w:rPr>
                <w:rFonts w:hint="eastAsia" w:ascii="仿宋_GB2312" w:hAnsi="仿宋_GB2312" w:eastAsia="仿宋_GB2312" w:cs="仿宋_GB2312"/>
                <w:sz w:val="28"/>
                <w:szCs w:val="28"/>
              </w:rPr>
              <w:t>以“筑同心·跟党走”为主题，组织全县统一战线开展形式多样的庆祝活动。</w:t>
            </w:r>
            <w:r>
              <w:rPr>
                <w:rFonts w:hint="eastAsia" w:ascii="仿宋_GB2312" w:hAnsi="仿宋_GB2312" w:eastAsia="仿宋_GB2312" w:cs="仿宋_GB2312"/>
                <w:sz w:val="28"/>
                <w:szCs w:val="28"/>
                <w:lang w:eastAsia="zh-CN"/>
              </w:rPr>
              <w:t>在新的社会阶层人士中广泛开展</w:t>
            </w:r>
            <w:r>
              <w:rPr>
                <w:rFonts w:hint="eastAsia" w:ascii="仿宋_GB2312" w:hAnsi="仿宋_GB2312" w:eastAsia="仿宋_GB2312" w:cs="仿宋_GB2312"/>
                <w:sz w:val="28"/>
                <w:szCs w:val="28"/>
              </w:rPr>
              <w:t>开展“凝聚新力量、筑梦新时代”主题活动</w:t>
            </w:r>
            <w:r>
              <w:rPr>
                <w:rFonts w:hint="eastAsia" w:ascii="仿宋_GB2312" w:hAnsi="仿宋_GB2312" w:eastAsia="仿宋_GB2312" w:cs="仿宋_GB2312"/>
                <w:b/>
                <w:bCs/>
                <w:sz w:val="28"/>
                <w:szCs w:val="28"/>
                <w:lang w:eastAsia="zh-CN"/>
              </w:rPr>
              <w:t>。</w:t>
            </w:r>
          </w:p>
          <w:p>
            <w:pPr>
              <w:spacing w:line="61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二是推动《条例》落地见效。</w:t>
            </w:r>
            <w:r>
              <w:rPr>
                <w:rFonts w:hint="eastAsia" w:ascii="仿宋_GB2312" w:hAnsi="仿宋_GB2312" w:eastAsia="仿宋_GB2312" w:cs="仿宋_GB2312"/>
                <w:b/>
                <w:bCs/>
                <w:sz w:val="28"/>
                <w:szCs w:val="28"/>
                <w:lang w:eastAsia="zh-CN"/>
              </w:rPr>
              <w:t>加强宗教领域专项治理。</w:t>
            </w:r>
            <w:r>
              <w:rPr>
                <w:rFonts w:hint="eastAsia" w:ascii="仿宋_GB2312" w:hAnsi="仿宋_GB2312" w:eastAsia="仿宋_GB2312" w:cs="仿宋_GB2312"/>
                <w:sz w:val="28"/>
                <w:szCs w:val="28"/>
              </w:rPr>
              <w:t>开展贯彻落实1月25日习近平总书记重要批示精神落实情况督查，出台《宗教工作三级网络两级责任制建设管理责任清单》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力推进宗教领域专项治理。深入推进整治非法宗教活动遏制宗教渗透蔓延工作，扎实开展依法打击境外宗教渗透活动、制止非法宗教活动、治理基督教私设聚会点、打击互联网非法宗教活动四大专项整治行动，突出问题列出“负面清单”，下发督办函，实行重点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加强对民营企业的联系服务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先后举办民营经济政策报告会和理想信念教育培训班，组织开展民营企业“家家行”活动，及时掌握民营企业反映的困难诉求。</w:t>
            </w:r>
            <w:r>
              <w:rPr>
                <w:rFonts w:hint="eastAsia" w:ascii="仿宋_GB2312" w:hAnsi="仿宋_GB2312" w:eastAsia="仿宋_GB2312" w:cs="仿宋_GB2312"/>
                <w:b/>
                <w:bCs/>
                <w:sz w:val="28"/>
                <w:szCs w:val="28"/>
              </w:rPr>
              <w:t>加强党外</w:t>
            </w:r>
            <w:r>
              <w:rPr>
                <w:rFonts w:hint="eastAsia" w:ascii="仿宋_GB2312" w:hAnsi="仿宋_GB2312" w:eastAsia="仿宋_GB2312" w:cs="仿宋_GB2312"/>
                <w:b/>
                <w:bCs/>
                <w:sz w:val="28"/>
                <w:szCs w:val="28"/>
                <w:lang w:eastAsia="zh-CN"/>
              </w:rPr>
              <w:t>代表</w:t>
            </w:r>
            <w:r>
              <w:rPr>
                <w:rFonts w:hint="eastAsia" w:ascii="仿宋_GB2312" w:hAnsi="仿宋_GB2312" w:eastAsia="仿宋_GB2312" w:cs="仿宋_GB2312"/>
                <w:b/>
                <w:bCs/>
                <w:sz w:val="28"/>
                <w:szCs w:val="28"/>
              </w:rPr>
              <w:t>人士队伍建设。</w:t>
            </w:r>
            <w:r>
              <w:rPr>
                <w:rFonts w:hint="eastAsia" w:ascii="仿宋_GB2312" w:hAnsi="仿宋_GB2312" w:eastAsia="仿宋_GB2312" w:cs="仿宋_GB2312"/>
                <w:sz w:val="28"/>
                <w:szCs w:val="28"/>
              </w:rPr>
              <w:t>顺利完成县工商联（总商会）换届选举。创建“容城荟”新的社会阶层人士统战工作实践创新基地，启动县知联会代表人士工作室建设。落实党外干部使用和党外人大代表、政协委员比例和数量规定。完善党外代表人士分级分类管理办法，开展党外代表人士的履职考核工作，健全党外后备干部人才库，并实行动态管理。</w:t>
            </w:r>
            <w:r>
              <w:rPr>
                <w:rFonts w:hint="eastAsia" w:ascii="仿宋_GB2312" w:hAnsi="仿宋_GB2312" w:eastAsia="仿宋_GB2312" w:cs="仿宋_GB2312"/>
                <w:b/>
                <w:bCs/>
                <w:sz w:val="28"/>
                <w:szCs w:val="28"/>
              </w:rPr>
              <w:t>加强港澳台海外统战工作</w:t>
            </w:r>
            <w:r>
              <w:rPr>
                <w:rFonts w:hint="eastAsia" w:ascii="仿宋_GB2312" w:hAnsi="仿宋_GB2312" w:eastAsia="仿宋_GB2312" w:cs="仿宋_GB2312"/>
                <w:b/>
                <w:bCs/>
                <w:sz w:val="28"/>
                <w:szCs w:val="28"/>
                <w:lang w:eastAsia="zh-CN"/>
              </w:rPr>
              <w:t>和侨务工作</w:t>
            </w:r>
            <w:r>
              <w:rPr>
                <w:rFonts w:hint="eastAsia" w:ascii="仿宋_GB2312" w:hAnsi="仿宋_GB2312" w:eastAsia="仿宋_GB2312" w:cs="仿宋_GB2312"/>
                <w:b/>
                <w:bCs/>
                <w:sz w:val="28"/>
                <w:szCs w:val="28"/>
              </w:rPr>
              <w:t>。</w:t>
            </w:r>
            <w:r>
              <w:rPr>
                <w:rFonts w:hint="eastAsia" w:ascii="仿宋_GB2312" w:hAnsi="仿宋_GB2312" w:eastAsia="仿宋_GB2312" w:cs="仿宋_GB2312"/>
                <w:bCs/>
                <w:sz w:val="28"/>
                <w:szCs w:val="28"/>
              </w:rPr>
              <w:t>依法维护侨权侨益，开展侨法宣传5场次，发放宣传资料21</w:t>
            </w:r>
            <w:r>
              <w:rPr>
                <w:rFonts w:hint="eastAsia" w:ascii="仿宋_GB2312" w:hAnsi="仿宋_GB2312" w:eastAsia="仿宋_GB2312" w:cs="仿宋_GB2312"/>
                <w:sz w:val="28"/>
                <w:szCs w:val="28"/>
              </w:rPr>
              <w:t>00多份。</w:t>
            </w:r>
          </w:p>
          <w:p>
            <w:pPr>
              <w:snapToGrid w:val="0"/>
              <w:spacing w:line="580" w:lineRule="exact"/>
              <w:ind w:firstLine="562"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sz w:val="28"/>
                <w:szCs w:val="28"/>
              </w:rPr>
              <w:t>三是凝聚推动发展合力。在乡村振兴中</w:t>
            </w:r>
            <w:r>
              <w:rPr>
                <w:rFonts w:hint="eastAsia" w:ascii="仿宋_GB2312" w:hAnsi="仿宋_GB2312" w:eastAsia="仿宋_GB2312" w:cs="仿宋_GB2312"/>
                <w:b/>
                <w:bCs/>
                <w:sz w:val="28"/>
                <w:szCs w:val="28"/>
                <w:lang w:eastAsia="zh-CN"/>
              </w:rPr>
              <w:t>主动作为</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引导统战资源和统战力量下沉基层，主动对接乡村需求。启动实施“万企兴万村”行动，42家民营企业结对帮扶14个乡村振兴示范村。</w:t>
            </w:r>
            <w:r>
              <w:rPr>
                <w:rFonts w:hint="eastAsia" w:ascii="仿宋_GB2312" w:hAnsi="仿宋_GB2312" w:eastAsia="仿宋_GB2312" w:cs="仿宋_GB2312"/>
                <w:b/>
                <w:bCs/>
                <w:sz w:val="28"/>
                <w:szCs w:val="28"/>
              </w:rPr>
              <w:t>在招商引资中主动作为。</w:t>
            </w:r>
            <w:r>
              <w:rPr>
                <w:rFonts w:hint="eastAsia" w:ascii="仿宋_GB2312" w:hAnsi="仿宋_GB2312" w:eastAsia="仿宋_GB2312" w:cs="仿宋_GB2312"/>
                <w:b/>
                <w:bCs/>
                <w:sz w:val="28"/>
                <w:szCs w:val="28"/>
                <w:lang w:eastAsia="zh-CN"/>
              </w:rPr>
              <w:t>在维护稳定中主动作为。</w:t>
            </w:r>
            <w:r>
              <w:rPr>
                <w:rFonts w:hint="eastAsia" w:ascii="仿宋_GB2312" w:hAnsi="仿宋_GB2312" w:eastAsia="仿宋_GB2312" w:cs="仿宋_GB2312"/>
                <w:sz w:val="28"/>
                <w:szCs w:val="28"/>
              </w:rPr>
              <w:t>严密防范风险隐患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完成省委巡视组交办的涉宗教领域意识形态问题整改。慎终如始抓好疫情防控，严格落实疫情期间宗教场所“两个暂停”。</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黑体" w:hAnsi="黑体" w:eastAsia="黑体" w:cs="黑体"/>
                <w:bCs/>
                <w:sz w:val="28"/>
                <w:szCs w:val="28"/>
              </w:rPr>
            </w:pPr>
            <w:r>
              <w:rPr>
                <w:rFonts w:hint="eastAsia" w:ascii="仿宋_GB2312" w:hAnsi="仿宋_GB2312" w:eastAsia="仿宋_GB2312" w:cs="仿宋_GB2312"/>
                <w:b/>
                <w:bCs/>
                <w:sz w:val="28"/>
                <w:szCs w:val="28"/>
                <w:lang w:val="en-US" w:eastAsia="zh-CN"/>
              </w:rPr>
              <w:t>四是突出打造特色亮点。</w:t>
            </w:r>
            <w:r>
              <w:rPr>
                <w:rFonts w:hint="eastAsia" w:ascii="仿宋_GB2312" w:hAnsi="仿宋_GB2312" w:eastAsia="仿宋_GB2312" w:cs="仿宋_GB2312"/>
                <w:b/>
                <w:bCs/>
                <w:sz w:val="28"/>
                <w:szCs w:val="28"/>
                <w:lang w:eastAsia="zh-CN"/>
              </w:rPr>
              <w:t>深入开展“三建设一创新”，乡镇统战工作活力有效激发。</w:t>
            </w:r>
            <w:r>
              <w:rPr>
                <w:rFonts w:hint="eastAsia" w:ascii="仿宋_GB2312" w:hAnsi="仿宋_GB2312" w:eastAsia="仿宋_GB2312" w:cs="仿宋_GB2312"/>
                <w:sz w:val="28"/>
                <w:szCs w:val="28"/>
                <w:lang w:eastAsia="zh-CN"/>
              </w:rPr>
              <w:t>着力加强乡镇统战队伍建设、阵地建设和工作机制建设，大力开展乡镇统战工作实践创新，在推动统战工作重心下沉、整合基层统战工作资源、有效应对基层统战面临新情况</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lang w:eastAsia="zh-CN"/>
              </w:rPr>
              <w:t>了积极探索，得到省委统战部调研组认可，评为全省统战工作实践创新优秀案例。</w:t>
            </w:r>
            <w:r>
              <w:rPr>
                <w:rFonts w:hint="eastAsia" w:ascii="仿宋_GB2312" w:hAnsi="仿宋_GB2312" w:eastAsia="仿宋_GB2312" w:cs="仿宋_GB2312"/>
                <w:b/>
                <w:bCs/>
                <w:sz w:val="28"/>
                <w:szCs w:val="28"/>
                <w:lang w:val="en-US" w:eastAsia="zh-CN"/>
              </w:rPr>
              <w:t>稳步推行备案登记制度，民间信仰场所管理有效规范。</w:t>
            </w:r>
            <w:r>
              <w:rPr>
                <w:rFonts w:hint="eastAsia" w:ascii="仿宋_GB2312" w:hAnsi="仿宋_GB2312" w:eastAsia="仿宋_GB2312" w:cs="仿宋_GB2312"/>
                <w:sz w:val="28"/>
                <w:szCs w:val="28"/>
                <w:lang w:eastAsia="zh-CN"/>
              </w:rPr>
              <w:t>对全县</w:t>
            </w:r>
            <w:r>
              <w:rPr>
                <w:rFonts w:hint="eastAsia" w:ascii="仿宋_GB2312" w:hAnsi="仿宋_GB2312" w:eastAsia="仿宋_GB2312" w:cs="仿宋_GB2312"/>
                <w:sz w:val="28"/>
                <w:szCs w:val="28"/>
                <w:lang w:val="en-US" w:eastAsia="zh-CN"/>
              </w:rPr>
              <w:t>192个民间信仰场所进行全面排查，对建筑面积超过100平方米、有较大影响的59个场所实行备案登记，</w:t>
            </w:r>
            <w:r>
              <w:rPr>
                <w:rFonts w:hint="eastAsia" w:ascii="仿宋_GB2312" w:hAnsi="仿宋_GB2312" w:eastAsia="仿宋_GB2312" w:cs="仿宋_GB2312"/>
                <w:sz w:val="28"/>
                <w:szCs w:val="28"/>
                <w:lang w:eastAsia="zh-CN"/>
              </w:rPr>
              <w:t>一同纳入宗教工作三级网络两级责任制建设管理，</w:t>
            </w:r>
            <w:r>
              <w:rPr>
                <w:rFonts w:hint="eastAsia" w:ascii="仿宋_GB2312" w:hAnsi="仿宋_GB2312" w:eastAsia="仿宋_GB2312" w:cs="仿宋_GB2312"/>
                <w:sz w:val="28"/>
                <w:szCs w:val="28"/>
                <w:lang w:val="en-US" w:eastAsia="zh-CN"/>
              </w:rPr>
              <w:t>确保</w:t>
            </w:r>
            <w:r>
              <w:rPr>
                <w:rFonts w:hint="eastAsia" w:ascii="仿宋_GB2312" w:hAnsi="仿宋_GB2312" w:eastAsia="仿宋_GB2312" w:cs="仿宋_GB2312"/>
                <w:sz w:val="28"/>
                <w:szCs w:val="28"/>
                <w:lang w:eastAsia="zh-CN"/>
              </w:rPr>
              <w:t>了宗教领域和谐稳定，</w:t>
            </w:r>
            <w:r>
              <w:rPr>
                <w:rFonts w:hint="eastAsia" w:ascii="仿宋_GB2312" w:hAnsi="仿宋_GB2312" w:eastAsia="仿宋_GB2312" w:cs="仿宋_GB2312"/>
                <w:b w:val="0"/>
                <w:i w:val="0"/>
                <w:caps w:val="0"/>
                <w:color w:val="000000"/>
                <w:spacing w:val="0"/>
                <w:w w:val="100"/>
                <w:sz w:val="28"/>
                <w:szCs w:val="28"/>
                <w:lang w:eastAsia="zh-CN"/>
              </w:rPr>
              <w:t>无一起被市以上通报事件，无一起到市以上举报信访事件，无一起负面舆论新闻</w:t>
            </w:r>
            <w:r>
              <w:rPr>
                <w:rFonts w:hint="eastAsia" w:ascii="仿宋_GB2312" w:hAnsi="仿宋_GB2312" w:eastAsia="仿宋_GB2312" w:cs="仿宋_GB2312"/>
                <w:b w:val="0"/>
                <w:i w:val="0"/>
                <w:caps w:val="0"/>
                <w:color w:val="000000"/>
                <w:spacing w:val="0"/>
                <w:w w:val="100"/>
                <w:sz w:val="28"/>
                <w:szCs w:val="28"/>
              </w:rPr>
              <w:t>。</w:t>
            </w:r>
            <w:r>
              <w:rPr>
                <w:rFonts w:hint="eastAsia" w:ascii="仿宋_GB2312" w:hAnsi="仿宋_GB2312" w:eastAsia="仿宋_GB2312" w:cs="仿宋_GB2312"/>
                <w:b w:val="0"/>
                <w:i w:val="0"/>
                <w:caps w:val="0"/>
                <w:color w:val="000000"/>
                <w:spacing w:val="0"/>
                <w:w w:val="100"/>
                <w:sz w:val="28"/>
                <w:szCs w:val="28"/>
                <w:lang w:eastAsia="zh-CN"/>
              </w:rPr>
              <w:t>全省宗教工作会议充分肯定我县</w:t>
            </w:r>
            <w:r>
              <w:rPr>
                <w:rFonts w:hint="eastAsia" w:ascii="仿宋_GB2312" w:hAnsi="仿宋_GB2312" w:eastAsia="仿宋_GB2312" w:cs="仿宋_GB2312"/>
                <w:sz w:val="28"/>
                <w:szCs w:val="28"/>
                <w:lang w:eastAsia="zh-CN"/>
              </w:rPr>
              <w:t>宗教工作三级网络两级责任制建设管理工作。</w:t>
            </w:r>
            <w:r>
              <w:rPr>
                <w:rFonts w:hint="eastAsia" w:ascii="仿宋_GB2312" w:hAnsi="仿宋_GB2312" w:eastAsia="仿宋_GB2312" w:cs="仿宋_GB2312"/>
                <w:b/>
                <w:bCs/>
                <w:sz w:val="28"/>
                <w:szCs w:val="28"/>
                <w:lang w:val="en-US" w:eastAsia="zh-CN"/>
              </w:rPr>
              <w:t>大力支持异地商会建设，助推县域发展有效提升。</w:t>
            </w:r>
            <w:r>
              <w:rPr>
                <w:rFonts w:hint="eastAsia" w:ascii="仿宋_GB2312" w:hAnsi="仿宋_GB2312" w:eastAsia="仿宋_GB2312" w:cs="仿宋_GB2312"/>
                <w:sz w:val="28"/>
                <w:szCs w:val="28"/>
                <w:lang w:val="en-US" w:eastAsia="zh-CN"/>
              </w:rPr>
              <w:t>建立县领导服务异地华容商会制度，定期开展走访交流，围绕产业链建设，引导更多寓外乡友回乡创业。</w:t>
            </w:r>
            <w:r>
              <w:rPr>
                <w:rFonts w:hint="eastAsia" w:ascii="仿宋_GB2312" w:hAnsi="仿宋_GB2312" w:eastAsia="仿宋_GB2312" w:cs="仿宋_GB2312"/>
                <w:sz w:val="28"/>
                <w:szCs w:val="28"/>
              </w:rPr>
              <w:t>先后4次组织县招商考察团到东莞市湖南华容商会、深圳市湖南华容商会等异地商会开展考察招商活动，组织东莞市湖南华容商会企业家回华容开展投资考察。</w:t>
            </w:r>
            <w:r>
              <w:rPr>
                <w:rFonts w:hint="eastAsia" w:ascii="仿宋_GB2312" w:hAnsi="仿宋_GB2312" w:eastAsia="仿宋_GB2312" w:cs="仿宋_GB2312"/>
                <w:sz w:val="28"/>
                <w:szCs w:val="28"/>
                <w:lang w:eastAsia="zh-CN"/>
              </w:rPr>
              <w:t>县工商联获评全国“五好”工商联。</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虽然取得新的成就，但是问题仍然存在，</w:t>
            </w:r>
            <w:r>
              <w:rPr>
                <w:rFonts w:hint="eastAsia" w:ascii="仿宋_GB2312" w:hAnsi="仿宋_GB2312" w:eastAsia="仿宋_GB2312" w:cs="仿宋_GB2312"/>
                <w:sz w:val="28"/>
                <w:szCs w:val="28"/>
                <w:lang w:val="en-US" w:eastAsia="zh-CN"/>
              </w:rPr>
              <w:t>创新意识和学习意识依然有待加强，统战工作需要与时俱进。</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jc w:val="both"/>
              <w:rPr>
                <w:rFonts w:eastAsia="楷体_GB2312"/>
                <w:bCs/>
                <w:sz w:val="28"/>
                <w:szCs w:val="28"/>
              </w:rPr>
            </w:pPr>
            <w:r>
              <w:rPr>
                <w:rFonts w:hint="eastAsia" w:ascii="仿宋_GB2312" w:hAnsi="仿宋_GB2312" w:eastAsia="仿宋_GB2312" w:cs="仿宋_GB2312"/>
                <w:color w:val="000000"/>
                <w:sz w:val="28"/>
                <w:szCs w:val="28"/>
              </w:rPr>
              <w:t>以习近平新时代中国特色社会主义思想为指导，全面贯彻党的十九大和十九届二中、三中、四中、五中</w:t>
            </w:r>
            <w:r>
              <w:rPr>
                <w:rFonts w:hint="eastAsia" w:ascii="仿宋_GB2312" w:hAnsi="仿宋_GB2312" w:eastAsia="仿宋_GB2312" w:cs="仿宋_GB2312"/>
                <w:color w:val="000000"/>
                <w:sz w:val="28"/>
                <w:szCs w:val="28"/>
                <w:lang w:eastAsia="zh-CN"/>
              </w:rPr>
              <w:t>、六中</w:t>
            </w:r>
            <w:r>
              <w:rPr>
                <w:rFonts w:hint="eastAsia" w:ascii="仿宋_GB2312" w:hAnsi="仿宋_GB2312" w:eastAsia="仿宋_GB2312" w:cs="仿宋_GB2312"/>
                <w:color w:val="000000"/>
                <w:sz w:val="28"/>
                <w:szCs w:val="28"/>
              </w:rPr>
              <w:t>全会精神，以学习宣传贯彻习近平总书记关于加强和改进统一战线工作的重要思想为主线，以进一步发挥新时代统一战线法宝作用为目标，坚持守正创新，着力抓思想引领、抓服务大局、抓风险防范、抓能力提升，推动新时代统战工作高质量发展</w:t>
            </w:r>
            <w:r>
              <w:rPr>
                <w:rFonts w:hint="eastAsia" w:ascii="仿宋_GB2312" w:hAnsi="仿宋_GB2312" w:eastAsia="仿宋_GB2312" w:cs="仿宋_GB2312"/>
                <w:color w:val="000000"/>
                <w:sz w:val="28"/>
                <w:szCs w:val="28"/>
                <w:lang w:eastAsia="zh-CN"/>
              </w:rPr>
              <w:t>，以优异的成绩迎接党的二十大召开。</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sectPr>
          <w:footerReference r:id="rId5" w:type="default"/>
          <w:footerReference r:id="rId6" w:type="even"/>
          <w:pgSz w:w="11906" w:h="16838"/>
          <w:pgMar w:top="1588" w:right="1588" w:bottom="1588" w:left="1588" w:header="851" w:footer="992" w:gutter="0"/>
          <w:cols w:space="720"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p>
      <w:pPr>
        <w:widowControl/>
        <w:spacing w:line="240" w:lineRule="exact"/>
        <w:jc w:val="center"/>
        <w:rPr>
          <w:rFonts w:hint="eastAsia" w:ascii="仿宋_GB2312" w:hAnsi="宋体" w:eastAsia="仿宋_GB2312" w:cs="宋体"/>
          <w:b/>
          <w:bCs/>
          <w:kern w:val="0"/>
          <w:sz w:val="18"/>
          <w:szCs w:val="18"/>
        </w:rPr>
        <w:sectPr>
          <w:footerReference r:id="rId7" w:type="default"/>
          <w:pgSz w:w="11906" w:h="16838"/>
          <w:pgMar w:top="1588" w:right="1588" w:bottom="1588" w:left="1588" w:header="851" w:footer="992" w:gutter="0"/>
          <w:cols w:space="720" w:num="1"/>
          <w:docGrid w:type="lines" w:linePitch="312" w:charSpace="0"/>
        </w:sectPr>
      </w:pPr>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bookmarkStart w:id="0" w:name="_GoBack"/>
      <w:bookmarkEnd w:id="0"/>
      <w:r>
        <w:rPr>
          <w:rFonts w:hint="eastAsia" w:ascii="仿宋_GB2312" w:eastAsia="仿宋_GB2312"/>
          <w:lang w:eastAsia="zh-CN"/>
        </w:rPr>
        <w:t>。</w:t>
      </w:r>
    </w:p>
    <w:p>
      <w:pPr>
        <w:spacing w:before="156" w:beforeLines="50" w:line="560" w:lineRule="exact"/>
        <w:rPr>
          <w:rFonts w:hint="eastAsia" w:ascii="黑体" w:hAnsi="黑体" w:eastAsia="黑体"/>
          <w:sz w:val="32"/>
          <w:szCs w:val="32"/>
        </w:rPr>
        <w:sectPr>
          <w:footerReference r:id="rId8" w:type="default"/>
          <w:pgSz w:w="11906" w:h="16838"/>
          <w:pgMar w:top="1588" w:right="1588" w:bottom="1588" w:left="1588" w:header="851" w:footer="992" w:gutter="0"/>
          <w:cols w:space="720" w:num="1"/>
          <w:docGrid w:type="lines" w:linePitch="312" w:charSpace="0"/>
        </w:sect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9"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23ACE"/>
    <w:multiLevelType w:val="singleLevel"/>
    <w:tmpl w:val="3DD23ACE"/>
    <w:lvl w:ilvl="0" w:tentative="0">
      <w:start w:val="2"/>
      <w:numFmt w:val="chineseCounting"/>
      <w:suff w:val="nothing"/>
      <w:lvlText w:val="（%1）"/>
      <w:lvlJc w:val="left"/>
      <w:rPr>
        <w:rFonts w:hint="eastAsia"/>
      </w:rPr>
    </w:lvl>
  </w:abstractNum>
  <w:abstractNum w:abstractNumId="1">
    <w:nsid w:val="44128DBA"/>
    <w:multiLevelType w:val="singleLevel"/>
    <w:tmpl w:val="44128DB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83749E7"/>
    <w:rsid w:val="0CB679B8"/>
    <w:rsid w:val="0D1578DA"/>
    <w:rsid w:val="0DE528CD"/>
    <w:rsid w:val="1336279F"/>
    <w:rsid w:val="18725427"/>
    <w:rsid w:val="1E2B2F4A"/>
    <w:rsid w:val="254E2FC7"/>
    <w:rsid w:val="25B607B7"/>
    <w:rsid w:val="263C173A"/>
    <w:rsid w:val="289D055E"/>
    <w:rsid w:val="29CA43CD"/>
    <w:rsid w:val="2C9F197B"/>
    <w:rsid w:val="2CA33441"/>
    <w:rsid w:val="2CE55C20"/>
    <w:rsid w:val="2F287302"/>
    <w:rsid w:val="30426D13"/>
    <w:rsid w:val="31044BCF"/>
    <w:rsid w:val="311C6E40"/>
    <w:rsid w:val="3A43255A"/>
    <w:rsid w:val="3D6201A1"/>
    <w:rsid w:val="3EC46785"/>
    <w:rsid w:val="3F8A6044"/>
    <w:rsid w:val="43A702D9"/>
    <w:rsid w:val="44592EA4"/>
    <w:rsid w:val="477245B4"/>
    <w:rsid w:val="49617FA5"/>
    <w:rsid w:val="4D171D42"/>
    <w:rsid w:val="4E4F0BB0"/>
    <w:rsid w:val="5BE95901"/>
    <w:rsid w:val="5E37516D"/>
    <w:rsid w:val="5FF56649"/>
    <w:rsid w:val="6A0A15CD"/>
    <w:rsid w:val="6D452F22"/>
    <w:rsid w:val="6DF352BD"/>
    <w:rsid w:val="6F6F35F4"/>
    <w:rsid w:val="704B4F70"/>
    <w:rsid w:val="705E3E6D"/>
    <w:rsid w:val="71C1048A"/>
    <w:rsid w:val="7396188C"/>
    <w:rsid w:val="73F35F5B"/>
    <w:rsid w:val="79C04582"/>
    <w:rsid w:val="7D1F0DA2"/>
    <w:rsid w:val="7E08713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4799</Words>
  <Characters>4985</Characters>
  <Lines>0</Lines>
  <Paragraphs>0</Paragraphs>
  <TotalTime>1</TotalTime>
  <ScaleCrop>false</ScaleCrop>
  <LinksUpToDate>false</LinksUpToDate>
  <CharactersWithSpaces>6143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2022-06-07T12:24:22Z</cp:lastPrinted>
  <dcterms:modified xsi:type="dcterms:W3CDTF">2022-06-07T12:25:17Z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377A56B318954603893BD5B869B7BB42</vt:lpwstr>
  </property>
</Properties>
</file>