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中国共产党华容县纪律检查委员会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110</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15</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1206"/>
        <w:gridCol w:w="1307"/>
        <w:gridCol w:w="148"/>
        <w:gridCol w:w="442"/>
        <w:gridCol w:w="945"/>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959"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刘建芳</w:t>
            </w:r>
          </w:p>
        </w:tc>
        <w:tc>
          <w:tcPr>
            <w:tcW w:w="145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732"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15873095838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959"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132</w:t>
            </w:r>
          </w:p>
        </w:tc>
        <w:tc>
          <w:tcPr>
            <w:tcW w:w="145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732"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4"/>
            <w:noWrap w:val="0"/>
            <w:vAlign w:val="center"/>
          </w:tcPr>
          <w:p>
            <w:pPr>
              <w:autoSpaceDE w:val="0"/>
              <w:autoSpaceDN w:val="0"/>
              <w:adjustRightInd w:val="0"/>
              <w:ind w:firstLine="360" w:firstLineChars="150"/>
              <w:jc w:val="left"/>
              <w:rPr>
                <w:rFonts w:ascii="仿宋" w:eastAsia="仿宋"/>
                <w:kern w:val="0"/>
                <w:sz w:val="24"/>
              </w:rPr>
            </w:pPr>
            <w:r>
              <w:rPr>
                <w:rFonts w:hint="eastAsia" w:ascii="仿宋_GB2312" w:hAnsi="仿宋_GB2312" w:eastAsia="仿宋_GB2312" w:cs="仿宋_GB2312"/>
                <w:color w:val="000000"/>
                <w:sz w:val="24"/>
                <w:lang w:val="en-US" w:eastAsia="zh-CN"/>
              </w:rPr>
              <w:t xml:space="preserve"> </w:t>
            </w:r>
            <w:r>
              <w:rPr>
                <w:rFonts w:hint="eastAsia" w:ascii="仿宋" w:eastAsia="仿宋"/>
                <w:kern w:val="0"/>
                <w:sz w:val="24"/>
              </w:rPr>
              <w:t>1.负责全县党的纪律检查工作。贯彻落实党中央、中央纪委、省纪委、市纪委和县委关于纪律检查工作的决定，维护党的章程和其他党内法规，检查党的路线方针政策和决议的执行情况，协助县委推进全面从严治党、加强党风建设和组织协调反腐败工作。</w:t>
            </w:r>
          </w:p>
          <w:p>
            <w:pPr>
              <w:autoSpaceDE w:val="0"/>
              <w:autoSpaceDN w:val="0"/>
              <w:adjustRightInd w:val="0"/>
              <w:ind w:firstLine="360" w:firstLineChars="150"/>
              <w:jc w:val="left"/>
              <w:rPr>
                <w:rFonts w:ascii="仿宋" w:eastAsia="仿宋"/>
                <w:kern w:val="0"/>
                <w:sz w:val="24"/>
              </w:rPr>
            </w:pPr>
            <w:r>
              <w:rPr>
                <w:rFonts w:hint="eastAsia" w:ascii="仿宋" w:eastAsia="仿宋"/>
                <w:kern w:val="0"/>
                <w:sz w:val="24"/>
              </w:rPr>
              <w:t>2.依照党的章程和其他党内法规履行监督、执纪、问责职责。负责经常对党员进行遵守纪律的教育，作出关于维护党纪的决定；对县委工作机关、县委批准设立的党委(党组)，各乡镇和县工业集中区、县田家湖生态新区党(工）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autoSpaceDE w:val="0"/>
              <w:autoSpaceDN w:val="0"/>
              <w:adjustRightInd w:val="0"/>
              <w:ind w:firstLine="360" w:firstLineChars="150"/>
              <w:jc w:val="left"/>
              <w:rPr>
                <w:rFonts w:ascii="仿宋" w:eastAsia="仿宋"/>
                <w:kern w:val="0"/>
                <w:sz w:val="24"/>
              </w:rPr>
            </w:pPr>
            <w:r>
              <w:rPr>
                <w:rFonts w:hint="eastAsia" w:ascii="仿宋" w:eastAsia="仿宋"/>
                <w:kern w:val="0"/>
                <w:sz w:val="24"/>
              </w:rPr>
              <w:t>3.在县委领导下组织开展巡察工作。配合县委巡察工作领导小组指导巡察工作。负责与县委巡察工作领导小组办公室的统筹协调和有关问题线索的处置工作。</w:t>
            </w:r>
          </w:p>
          <w:p>
            <w:pPr>
              <w:autoSpaceDE w:val="0"/>
              <w:autoSpaceDN w:val="0"/>
              <w:adjustRightInd w:val="0"/>
              <w:ind w:firstLine="360" w:firstLineChars="150"/>
              <w:jc w:val="left"/>
              <w:rPr>
                <w:rFonts w:ascii="仿宋" w:eastAsia="仿宋"/>
                <w:kern w:val="0"/>
                <w:sz w:val="24"/>
              </w:rPr>
            </w:pPr>
            <w:r>
              <w:rPr>
                <w:rFonts w:hint="eastAsia" w:ascii="仿宋" w:eastAsia="仿宋"/>
                <w:kern w:val="0"/>
                <w:sz w:val="24"/>
              </w:rPr>
              <w:t>4.负责全县监察工作。贯彻落实党中央、中央纪委国家监委、省纪委省监委、市纪委市监委和县委关于监察工作的决定，维护宪法法律，依法对县委管理的行使公权力的公职人员进行监察，调查职务违法和职务犯罪，开展廉政建设和反腐败工作。</w:t>
            </w:r>
          </w:p>
          <w:p>
            <w:pPr>
              <w:autoSpaceDE w:val="0"/>
              <w:autoSpaceDN w:val="0"/>
              <w:adjustRightInd w:val="0"/>
              <w:ind w:firstLine="360" w:firstLineChars="150"/>
              <w:jc w:val="left"/>
              <w:rPr>
                <w:rFonts w:ascii="仿宋" w:eastAsia="仿宋"/>
                <w:kern w:val="0"/>
                <w:sz w:val="24"/>
              </w:rPr>
            </w:pPr>
            <w:r>
              <w:rPr>
                <w:rFonts w:hint="eastAsia" w:ascii="仿宋" w:eastAsia="仿宋"/>
                <w:kern w:val="0"/>
                <w:sz w:val="24"/>
              </w:rPr>
              <w:t>5.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autoSpaceDE w:val="0"/>
              <w:autoSpaceDN w:val="0"/>
              <w:adjustRightInd w:val="0"/>
              <w:ind w:firstLine="360" w:firstLineChars="150"/>
              <w:jc w:val="left"/>
              <w:rPr>
                <w:rFonts w:ascii="仿宋" w:eastAsia="仿宋"/>
                <w:kern w:val="0"/>
                <w:sz w:val="24"/>
              </w:rPr>
            </w:pPr>
            <w:r>
              <w:rPr>
                <w:rFonts w:hint="eastAsia" w:ascii="仿宋" w:eastAsia="仿宋"/>
                <w:kern w:val="0"/>
                <w:sz w:val="24"/>
              </w:rPr>
              <w:t>6.负责组织协调全县全面从严治党、党风廉政建设和反腐败宣传教育工作。</w:t>
            </w:r>
          </w:p>
          <w:p>
            <w:pPr>
              <w:autoSpaceDE w:val="0"/>
              <w:autoSpaceDN w:val="0"/>
              <w:adjustRightInd w:val="0"/>
              <w:ind w:firstLine="360" w:firstLineChars="150"/>
              <w:jc w:val="left"/>
              <w:rPr>
                <w:rFonts w:ascii="仿宋" w:eastAsia="仿宋"/>
                <w:kern w:val="0"/>
                <w:sz w:val="24"/>
              </w:rPr>
            </w:pPr>
            <w:r>
              <w:rPr>
                <w:rFonts w:hint="eastAsia" w:ascii="仿宋" w:eastAsia="仿宋"/>
                <w:kern w:val="0"/>
                <w:sz w:val="24"/>
              </w:rPr>
              <w:t>7.负责综合分析全县全面从严治党、党风廉政建设和腐败工作情况，对纪检监察工作重要理论及实践问题进行调查研究；制定或者修改本县纪检监察制度规定，参与制定本县相关规范性文件。</w:t>
            </w:r>
          </w:p>
          <w:p>
            <w:pPr>
              <w:autoSpaceDE w:val="0"/>
              <w:autoSpaceDN w:val="0"/>
              <w:adjustRightInd w:val="0"/>
              <w:ind w:firstLine="360" w:firstLineChars="150"/>
              <w:jc w:val="left"/>
              <w:rPr>
                <w:rFonts w:ascii="仿宋" w:eastAsia="仿宋"/>
                <w:kern w:val="0"/>
                <w:sz w:val="24"/>
              </w:rPr>
            </w:pPr>
            <w:r>
              <w:rPr>
                <w:rFonts w:hint="eastAsia" w:ascii="仿宋" w:eastAsia="仿宋"/>
                <w:kern w:val="0"/>
                <w:sz w:val="24"/>
              </w:rPr>
              <w:t>8.负责协调落实上级纪委监委交办的反腐败国际交流、合作等方面事宜；加强对全县反腐败国际追逃追赃和防逃工作的组织协调，督促有关单位做好相关工作。</w:t>
            </w:r>
          </w:p>
          <w:p>
            <w:pPr>
              <w:autoSpaceDE w:val="0"/>
              <w:autoSpaceDN w:val="0"/>
              <w:adjustRightInd w:val="0"/>
              <w:ind w:firstLine="360" w:firstLineChars="150"/>
              <w:jc w:val="left"/>
              <w:rPr>
                <w:rFonts w:ascii="仿宋" w:eastAsia="仿宋"/>
                <w:kern w:val="0"/>
                <w:sz w:val="24"/>
              </w:rPr>
            </w:pPr>
            <w:r>
              <w:rPr>
                <w:rFonts w:hint="eastAsia" w:ascii="仿宋" w:eastAsia="仿宋"/>
                <w:kern w:val="0"/>
                <w:sz w:val="24"/>
              </w:rPr>
              <w:t>9.根据干部管理权限，负责全县纪检监察系统领导班子建设、干部队伍建设和组织建设的综合规划、政策研究、制度建设和业务指导；会同有关方面做好县纪委县监委派驻机构、下级纪检监察机构(含相关医院、学校）领导班子建设有关工作；组织和指导全县纪检监察系统干部教育培训工作等。</w:t>
            </w:r>
          </w:p>
          <w:p>
            <w:pPr>
              <w:autoSpaceDE w:val="0"/>
              <w:autoSpaceDN w:val="0"/>
              <w:adjustRightInd w:val="0"/>
              <w:ind w:firstLine="360" w:firstLineChars="150"/>
              <w:jc w:val="left"/>
              <w:rPr>
                <w:rFonts w:ascii="仿宋" w:eastAsia="仿宋"/>
                <w:kern w:val="0"/>
                <w:sz w:val="24"/>
              </w:rPr>
            </w:pPr>
            <w:r>
              <w:rPr>
                <w:rFonts w:hint="eastAsia" w:ascii="仿宋" w:eastAsia="仿宋"/>
                <w:kern w:val="0"/>
                <w:sz w:val="24"/>
              </w:rPr>
              <w:t>10.负责本单位安全生产和应急管理工作。</w:t>
            </w:r>
          </w:p>
          <w:p>
            <w:pPr>
              <w:autoSpaceDE w:val="0"/>
              <w:autoSpaceDN w:val="0"/>
              <w:adjustRightInd w:val="0"/>
              <w:ind w:firstLine="360" w:firstLineChars="150"/>
              <w:jc w:val="left"/>
              <w:rPr>
                <w:rFonts w:ascii="仿宋" w:eastAsia="仿宋"/>
                <w:kern w:val="0"/>
                <w:sz w:val="24"/>
              </w:rPr>
            </w:pPr>
            <w:r>
              <w:rPr>
                <w:rFonts w:hint="eastAsia" w:ascii="仿宋" w:eastAsia="仿宋"/>
                <w:kern w:val="0"/>
                <w:sz w:val="24"/>
              </w:rPr>
              <w:t>11.负责反腐倡廉警示教育场所的建设与管理，组织开展对全县党员干部的警示教育；负责反腐倡廉警示教育场所的安全运行、后勤保障工作及日常维护和服务。</w:t>
            </w:r>
          </w:p>
          <w:p>
            <w:pPr>
              <w:autoSpaceDE w:val="0"/>
              <w:autoSpaceDN w:val="0"/>
              <w:adjustRightInd w:val="0"/>
              <w:ind w:firstLine="360" w:firstLineChars="150"/>
              <w:jc w:val="left"/>
              <w:rPr>
                <w:rFonts w:ascii="仿宋" w:eastAsia="仿宋"/>
                <w:kern w:val="0"/>
                <w:sz w:val="24"/>
              </w:rPr>
            </w:pPr>
            <w:r>
              <w:rPr>
                <w:rFonts w:hint="eastAsia" w:ascii="仿宋" w:eastAsia="仿宋"/>
                <w:kern w:val="0"/>
                <w:sz w:val="24"/>
              </w:rPr>
              <w:t>12.向县委巡察工作领导小组、市委巡察工作领导小组办公室报告巡察工作情况，传达贯彻中央、省委、市委、县委及县委巡察工作领导小组的决策和部署。</w:t>
            </w:r>
          </w:p>
          <w:p>
            <w:pPr>
              <w:autoSpaceDE w:val="0"/>
              <w:autoSpaceDN w:val="0"/>
              <w:adjustRightInd w:val="0"/>
              <w:ind w:firstLine="360" w:firstLineChars="150"/>
              <w:jc w:val="left"/>
              <w:rPr>
                <w:rFonts w:ascii="仿宋" w:eastAsia="仿宋"/>
                <w:kern w:val="0"/>
                <w:sz w:val="24"/>
              </w:rPr>
            </w:pPr>
            <w:r>
              <w:rPr>
                <w:rFonts w:hint="eastAsia" w:ascii="仿宋" w:eastAsia="仿宋"/>
                <w:kern w:val="0"/>
                <w:sz w:val="24"/>
              </w:rPr>
              <w:t>13.承担巡察工作有关的政策研究、制度建设等工作。</w:t>
            </w:r>
          </w:p>
          <w:p>
            <w:pPr>
              <w:autoSpaceDE w:val="0"/>
              <w:autoSpaceDN w:val="0"/>
              <w:adjustRightInd w:val="0"/>
              <w:ind w:firstLine="360" w:firstLineChars="150"/>
              <w:jc w:val="left"/>
              <w:rPr>
                <w:rFonts w:ascii="仿宋" w:eastAsia="仿宋"/>
                <w:kern w:val="0"/>
                <w:sz w:val="24"/>
              </w:rPr>
            </w:pPr>
            <w:r>
              <w:rPr>
                <w:rFonts w:hint="eastAsia" w:ascii="仿宋" w:eastAsia="仿宋"/>
                <w:kern w:val="0"/>
                <w:sz w:val="24"/>
              </w:rPr>
              <w:t>14.统筹、协调、指导县委巡察组开展工作。</w:t>
            </w:r>
          </w:p>
          <w:p>
            <w:pPr>
              <w:autoSpaceDE w:val="0"/>
              <w:autoSpaceDN w:val="0"/>
              <w:adjustRightInd w:val="0"/>
              <w:ind w:firstLine="360" w:firstLineChars="150"/>
              <w:jc w:val="left"/>
              <w:rPr>
                <w:rFonts w:ascii="仿宋" w:eastAsia="仿宋"/>
                <w:kern w:val="0"/>
                <w:sz w:val="24"/>
              </w:rPr>
            </w:pPr>
            <w:r>
              <w:rPr>
                <w:rFonts w:hint="eastAsia" w:ascii="仿宋" w:eastAsia="仿宋"/>
                <w:kern w:val="0"/>
                <w:sz w:val="24"/>
              </w:rPr>
              <w:t>15.对县委和县委巡察工作领导小组决定的事项及巡察移交事项进行督办。</w:t>
            </w:r>
          </w:p>
          <w:p>
            <w:pPr>
              <w:autoSpaceDE w:val="0"/>
              <w:autoSpaceDN w:val="0"/>
              <w:adjustRightInd w:val="0"/>
              <w:ind w:firstLine="360" w:firstLineChars="150"/>
              <w:jc w:val="left"/>
              <w:rPr>
                <w:rFonts w:hint="eastAsia" w:ascii="仿宋" w:eastAsia="仿宋"/>
                <w:kern w:val="0"/>
                <w:sz w:val="24"/>
              </w:rPr>
            </w:pPr>
            <w:r>
              <w:rPr>
                <w:rFonts w:hint="eastAsia" w:ascii="仿宋" w:eastAsia="仿宋"/>
                <w:kern w:val="0"/>
                <w:sz w:val="24"/>
              </w:rPr>
              <w:t>16.配合有关部门对巡察工作人员进行培训、考核、监督和管理。</w:t>
            </w:r>
          </w:p>
          <w:p>
            <w:pPr>
              <w:autoSpaceDE w:val="0"/>
              <w:autoSpaceDN w:val="0"/>
              <w:adjustRightInd w:val="0"/>
              <w:ind w:firstLine="360" w:firstLineChars="150"/>
              <w:jc w:val="left"/>
              <w:rPr>
                <w:rFonts w:hint="eastAsia" w:ascii="仿宋_GB2312" w:hAnsi="仿宋_GB2312" w:eastAsia="仿宋_GB2312" w:cs="仿宋_GB2312"/>
                <w:color w:val="000000"/>
                <w:sz w:val="24"/>
                <w:lang w:val="en-US" w:eastAsia="zh-CN"/>
              </w:rPr>
            </w:pPr>
            <w:r>
              <w:rPr>
                <w:rFonts w:hint="eastAsia" w:ascii="仿宋" w:eastAsia="仿宋"/>
                <w:kern w:val="0"/>
                <w:sz w:val="24"/>
              </w:rPr>
              <w:t>17.完成上级纪委监委和县委交办的其他任务。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全力保障“十四五”规划开好局起好步；</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全面提升监督治理效能；</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纵深推进“三不”体制机制建设；</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让人民群众获得感幸福感成色更足；</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不断充盈求真务实、清正廉洁的新风正气；</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构建巡视巡察上下联动工作格局；</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着力打造高素质、专业化铁军队伍。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4"/>
            <w:noWrap w:val="0"/>
            <w:vAlign w:val="center"/>
          </w:tcPr>
          <w:p>
            <w:pPr>
              <w:autoSpaceDE w:val="0"/>
              <w:autoSpaceDN w:val="0"/>
              <w:adjustRightInd w:val="0"/>
              <w:ind w:firstLine="360" w:firstLineChars="150"/>
              <w:jc w:val="left"/>
              <w:rPr>
                <w:rFonts w:hint="eastAsia" w:ascii="仿宋_GB2312" w:hAnsi="仿宋_GB2312" w:eastAsia="仿宋_GB2312" w:cs="仿宋_GB2312"/>
                <w:color w:val="000000"/>
                <w:sz w:val="24"/>
              </w:rPr>
            </w:pPr>
            <w:r>
              <w:rPr>
                <w:rFonts w:hint="eastAsia" w:ascii="仿宋" w:eastAsia="仿宋"/>
                <w:kern w:val="0"/>
                <w:sz w:val="24"/>
              </w:rPr>
              <w:t>华容县纪委监委在市纪委监委和县委的坚强领导下，认真贯彻落实全面从严治党战略方针，坚决扛起管党治党政治责任，深入推进党风廉政建设和反腐败斗争，坚持把纪律规矩挺在前面，以上率下，严要求、强落实，带动形成并持续巩固涵养全县风清气正的良好政治生态；全县各级纪检监察组织忠诚履职尽责、敢于担当作为，切实发挥监督保障执行、促进完善发展作用，为加快推进富美华容现代化强县建设提供了坚强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47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307"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lang w:val="en-US" w:eastAsia="zh-CN"/>
              </w:rPr>
            </w:pPr>
            <w:r>
              <w:rPr>
                <w:rFonts w:hint="eastAsia"/>
                <w:lang w:val="en-US" w:eastAsia="zh-CN"/>
              </w:rPr>
              <w:t>2395.28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8"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2395.28</w:t>
            </w:r>
          </w:p>
        </w:tc>
        <w:tc>
          <w:tcPr>
            <w:tcW w:w="1307"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Times New Roman" w:hAnsi="Times New Roman" w:eastAsia="宋体" w:cs="Times New Roman"/>
                <w:kern w:val="2"/>
                <w:sz w:val="21"/>
                <w:szCs w:val="24"/>
                <w:lang w:val="en-US" w:eastAsia="zh-CN" w:bidi="ar-SA"/>
              </w:rPr>
            </w:pPr>
            <w:r>
              <w:rPr>
                <w:rFonts w:hint="eastAsia"/>
                <w:lang w:val="en-US" w:eastAsia="zh-CN"/>
              </w:rPr>
              <w:t>2395.28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47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2395.28</w:t>
            </w:r>
          </w:p>
        </w:tc>
        <w:tc>
          <w:tcPr>
            <w:tcW w:w="1307"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478"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07"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478"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07"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8"/>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375" w:type="dxa"/>
            <w:gridSpan w:val="5"/>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5"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897"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945"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2395.28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1680.14</w:t>
            </w:r>
          </w:p>
        </w:tc>
        <w:tc>
          <w:tcPr>
            <w:tcW w:w="1478"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1303.74</w:t>
            </w:r>
          </w:p>
        </w:tc>
        <w:tc>
          <w:tcPr>
            <w:tcW w:w="1897"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376.40</w:t>
            </w:r>
          </w:p>
        </w:tc>
        <w:tc>
          <w:tcPr>
            <w:tcW w:w="945"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715.14</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2395.28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1680.14</w:t>
            </w:r>
          </w:p>
        </w:tc>
        <w:tc>
          <w:tcPr>
            <w:tcW w:w="1478"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1303.74</w:t>
            </w:r>
          </w:p>
        </w:tc>
        <w:tc>
          <w:tcPr>
            <w:tcW w:w="1897"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376.40</w:t>
            </w:r>
          </w:p>
        </w:tc>
        <w:tc>
          <w:tcPr>
            <w:tcW w:w="945"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715.14</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97"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97"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47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897"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2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18.16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6.10</w:t>
            </w:r>
          </w:p>
        </w:tc>
        <w:tc>
          <w:tcPr>
            <w:tcW w:w="1478"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12.06</w:t>
            </w:r>
          </w:p>
        </w:tc>
        <w:tc>
          <w:tcPr>
            <w:tcW w:w="1897"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2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18.16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6.10</w:t>
            </w:r>
          </w:p>
        </w:tc>
        <w:tc>
          <w:tcPr>
            <w:tcW w:w="147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12.06</w:t>
            </w:r>
          </w:p>
        </w:tc>
        <w:tc>
          <w:tcPr>
            <w:tcW w:w="1897"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22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97"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2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8"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97"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2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0"/>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833"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246" w:type="dxa"/>
            <w:gridSpan w:val="6"/>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1191.25</w:t>
            </w:r>
          </w:p>
        </w:tc>
        <w:tc>
          <w:tcPr>
            <w:tcW w:w="2833"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1191.25</w:t>
            </w:r>
          </w:p>
        </w:tc>
        <w:tc>
          <w:tcPr>
            <w:tcW w:w="324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1191.25</w:t>
            </w:r>
          </w:p>
        </w:tc>
        <w:tc>
          <w:tcPr>
            <w:tcW w:w="2833"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1191.25</w:t>
            </w:r>
          </w:p>
        </w:tc>
        <w:tc>
          <w:tcPr>
            <w:tcW w:w="324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833"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24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833"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24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4172"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187"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4172" w:type="dxa"/>
            <w:gridSpan w:val="7"/>
            <w:noWrap w:val="0"/>
            <w:vAlign w:val="center"/>
          </w:tcPr>
          <w:p>
            <w:pPr>
              <w:autoSpaceDN w:val="0"/>
              <w:spacing w:line="320" w:lineRule="exact"/>
              <w:jc w:val="left"/>
              <w:textAlignment w:val="center"/>
              <w:rPr>
                <w:rFonts w:ascii="仿宋" w:eastAsia="仿宋"/>
                <w:kern w:val="0"/>
                <w:sz w:val="21"/>
                <w:szCs w:val="21"/>
              </w:rPr>
            </w:pPr>
            <w:r>
              <w:rPr>
                <w:rFonts w:hint="eastAsia" w:ascii="仿宋_GB2312" w:hAnsi="仿宋_GB2312" w:eastAsia="仿宋_GB2312" w:cs="仿宋_GB2312"/>
                <w:color w:val="000000"/>
                <w:sz w:val="21"/>
                <w:szCs w:val="21"/>
              </w:rPr>
              <w:t>目标1：</w:t>
            </w:r>
            <w:r>
              <w:rPr>
                <w:rFonts w:hint="eastAsia" w:ascii="仿宋" w:eastAsia="仿宋"/>
                <w:kern w:val="0"/>
                <w:sz w:val="21"/>
                <w:szCs w:val="21"/>
              </w:rPr>
              <w:t>受理信访举报办结达90%以上；</w:t>
            </w:r>
          </w:p>
          <w:p>
            <w:pPr>
              <w:autoSpaceDN w:val="0"/>
              <w:spacing w:line="320" w:lineRule="exact"/>
              <w:jc w:val="left"/>
              <w:textAlignment w:val="center"/>
              <w:rPr>
                <w:rFonts w:ascii="仿宋" w:eastAsia="仿宋"/>
                <w:kern w:val="0"/>
                <w:sz w:val="21"/>
                <w:szCs w:val="21"/>
              </w:rPr>
            </w:pPr>
            <w:r>
              <w:rPr>
                <w:rFonts w:hint="eastAsia" w:ascii="仿宋_GB2312" w:hAnsi="仿宋_GB2312" w:eastAsia="仿宋_GB2312" w:cs="仿宋_GB2312"/>
                <w:color w:val="000000"/>
                <w:sz w:val="21"/>
                <w:szCs w:val="21"/>
              </w:rPr>
              <w:t>目标2</w:t>
            </w:r>
            <w:r>
              <w:rPr>
                <w:rFonts w:hint="eastAsia" w:ascii="仿宋" w:eastAsia="仿宋"/>
                <w:kern w:val="0"/>
                <w:sz w:val="21"/>
                <w:szCs w:val="21"/>
              </w:rPr>
              <w:t>：纪律审查结案率达80%以上；</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1"/>
                <w:szCs w:val="21"/>
              </w:rPr>
              <w:t>目标3</w:t>
            </w:r>
            <w:r>
              <w:rPr>
                <w:rFonts w:hint="eastAsia" w:ascii="仿宋" w:eastAsia="仿宋"/>
                <w:kern w:val="0"/>
                <w:sz w:val="21"/>
                <w:szCs w:val="21"/>
              </w:rPr>
              <w:t>：践行“四种形态”，第一、二种形态占比达70%以上。</w:t>
            </w:r>
          </w:p>
        </w:tc>
        <w:tc>
          <w:tcPr>
            <w:tcW w:w="4187" w:type="dxa"/>
            <w:gridSpan w:val="8"/>
            <w:noWrap w:val="0"/>
            <w:vAlign w:val="center"/>
          </w:tcPr>
          <w:p>
            <w:pPr>
              <w:autoSpaceDN w:val="0"/>
              <w:spacing w:line="320" w:lineRule="exact"/>
              <w:jc w:val="left"/>
              <w:textAlignment w:val="center"/>
              <w:rPr>
                <w:rFonts w:ascii="仿宋" w:eastAsia="仿宋"/>
                <w:kern w:val="0"/>
                <w:sz w:val="21"/>
                <w:szCs w:val="21"/>
              </w:rPr>
            </w:pPr>
            <w:r>
              <w:rPr>
                <w:rFonts w:hint="eastAsia" w:ascii="仿宋" w:eastAsia="仿宋"/>
                <w:kern w:val="0"/>
                <w:sz w:val="21"/>
                <w:szCs w:val="21"/>
              </w:rPr>
              <w:t>1、受理信访举报办结达</w:t>
            </w:r>
            <w:r>
              <w:rPr>
                <w:rFonts w:hint="eastAsia" w:ascii="仿宋" w:eastAsia="仿宋"/>
                <w:kern w:val="0"/>
                <w:sz w:val="21"/>
                <w:szCs w:val="21"/>
                <w:lang w:val="en-US" w:eastAsia="zh-CN"/>
              </w:rPr>
              <w:t>97.7</w:t>
            </w:r>
            <w:r>
              <w:rPr>
                <w:rFonts w:hint="eastAsia" w:ascii="仿宋" w:eastAsia="仿宋"/>
                <w:kern w:val="0"/>
                <w:sz w:val="21"/>
                <w:szCs w:val="21"/>
              </w:rPr>
              <w:t>%；</w:t>
            </w:r>
          </w:p>
          <w:p>
            <w:pPr>
              <w:autoSpaceDN w:val="0"/>
              <w:spacing w:line="320" w:lineRule="exact"/>
              <w:jc w:val="left"/>
              <w:textAlignment w:val="center"/>
              <w:rPr>
                <w:rFonts w:ascii="仿宋" w:eastAsia="仿宋"/>
                <w:kern w:val="0"/>
                <w:sz w:val="21"/>
                <w:szCs w:val="21"/>
              </w:rPr>
            </w:pPr>
            <w:r>
              <w:rPr>
                <w:rFonts w:hint="eastAsia" w:ascii="仿宋" w:eastAsia="仿宋"/>
                <w:kern w:val="0"/>
                <w:sz w:val="21"/>
                <w:szCs w:val="21"/>
              </w:rPr>
              <w:t>2、结案率达到</w:t>
            </w:r>
            <w:r>
              <w:rPr>
                <w:rFonts w:hint="eastAsia" w:ascii="仿宋" w:eastAsia="仿宋"/>
                <w:kern w:val="0"/>
                <w:sz w:val="21"/>
                <w:szCs w:val="21"/>
                <w:lang w:val="en-US" w:eastAsia="zh-CN"/>
              </w:rPr>
              <w:t>90.87</w:t>
            </w:r>
            <w:r>
              <w:rPr>
                <w:rFonts w:hint="eastAsia" w:ascii="仿宋" w:eastAsia="仿宋"/>
                <w:kern w:val="0"/>
                <w:sz w:val="21"/>
                <w:szCs w:val="21"/>
              </w:rPr>
              <w:t>%；</w:t>
            </w:r>
          </w:p>
          <w:p>
            <w:pPr>
              <w:autoSpaceDN w:val="0"/>
              <w:spacing w:line="320" w:lineRule="exact"/>
              <w:jc w:val="left"/>
              <w:textAlignment w:val="center"/>
              <w:rPr>
                <w:rFonts w:ascii="仿宋" w:eastAsia="仿宋"/>
                <w:kern w:val="0"/>
                <w:sz w:val="21"/>
                <w:szCs w:val="21"/>
              </w:rPr>
            </w:pPr>
            <w:r>
              <w:rPr>
                <w:rFonts w:hint="eastAsia" w:ascii="仿宋" w:eastAsia="仿宋"/>
                <w:kern w:val="0"/>
                <w:sz w:val="21"/>
                <w:szCs w:val="21"/>
              </w:rPr>
              <w:t>3、第一、二种形态占比达</w:t>
            </w:r>
            <w:r>
              <w:rPr>
                <w:rFonts w:hint="eastAsia" w:ascii="仿宋" w:eastAsia="仿宋"/>
                <w:kern w:val="0"/>
                <w:sz w:val="21"/>
                <w:szCs w:val="21"/>
                <w:lang w:val="en-US" w:eastAsia="zh-CN"/>
              </w:rPr>
              <w:t>87</w:t>
            </w:r>
            <w:r>
              <w:rPr>
                <w:rFonts w:hint="eastAsia" w:ascii="仿宋" w:eastAsia="仿宋"/>
                <w:kern w:val="0"/>
                <w:sz w:val="21"/>
                <w:szCs w:val="21"/>
              </w:rPr>
              <w:t>%。</w:t>
            </w:r>
          </w:p>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3103"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2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3103" w:type="dxa"/>
            <w:gridSpan w:val="4"/>
            <w:noWrap w:val="0"/>
            <w:vAlign w:val="center"/>
          </w:tcPr>
          <w:p>
            <w:pPr>
              <w:autoSpaceDN w:val="0"/>
              <w:spacing w:line="32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olor w:val="000000"/>
                <w:szCs w:val="21"/>
              </w:rPr>
              <w:t>政府采购执行率</w:t>
            </w:r>
          </w:p>
        </w:tc>
        <w:tc>
          <w:tcPr>
            <w:tcW w:w="2290" w:type="dxa"/>
            <w:gridSpan w:val="5"/>
            <w:noWrap w:val="0"/>
            <w:vAlign w:val="center"/>
          </w:tcPr>
          <w:p>
            <w:pPr>
              <w:autoSpaceDN w:val="0"/>
              <w:spacing w:line="320" w:lineRule="exac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olor w:val="000000"/>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3103"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 w:hAnsi="仿宋" w:eastAsia="仿宋"/>
                <w:color w:val="000000"/>
                <w:szCs w:val="21"/>
              </w:rPr>
              <w:t>固定资产利用率（%）</w:t>
            </w:r>
          </w:p>
        </w:tc>
        <w:tc>
          <w:tcPr>
            <w:tcW w:w="2290"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 w:hAnsi="仿宋" w:eastAsia="仿宋"/>
                <w:color w:val="000000"/>
                <w:szCs w:val="21"/>
              </w:rPr>
              <w:t>9</w:t>
            </w:r>
            <w:r>
              <w:rPr>
                <w:rFonts w:hint="eastAsia" w:ascii="仿宋" w:hAnsi="仿宋" w:eastAsia="仿宋"/>
                <w:color w:val="000000"/>
                <w:szCs w:val="21"/>
                <w:lang w:val="en-US" w:eastAsia="zh-CN"/>
              </w:rPr>
              <w:t>9</w:t>
            </w:r>
            <w:r>
              <w:rPr>
                <w:rFonts w:hint="eastAsia" w:ascii="仿宋" w:hAnsi="仿宋" w:eastAsia="仿宋"/>
                <w:color w:val="00000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3103"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 w:hAnsi="仿宋" w:eastAsia="仿宋"/>
                <w:color w:val="000000"/>
                <w:szCs w:val="21"/>
              </w:rPr>
              <w:t>公务卡刷卡率（%）</w:t>
            </w:r>
          </w:p>
        </w:tc>
        <w:tc>
          <w:tcPr>
            <w:tcW w:w="2290"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 w:hAnsi="仿宋" w:eastAsia="仿宋"/>
                <w:color w:val="000000"/>
                <w:szCs w:val="21"/>
                <w:lang w:val="en-US" w:eastAsia="zh-CN"/>
              </w:rPr>
              <w:t>91</w:t>
            </w:r>
            <w:r>
              <w:rPr>
                <w:rFonts w:hint="eastAsia" w:ascii="仿宋" w:hAnsi="仿宋" w:eastAsia="仿宋"/>
                <w:color w:val="00000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3103" w:type="dxa"/>
            <w:gridSpan w:val="4"/>
            <w:noWrap w:val="0"/>
            <w:vAlign w:val="center"/>
          </w:tcPr>
          <w:p>
            <w:pPr>
              <w:autoSpaceDN w:val="0"/>
              <w:spacing w:line="320" w:lineRule="exact"/>
              <w:jc w:val="left"/>
              <w:textAlignment w:val="center"/>
              <w:rPr>
                <w:rFonts w:hint="eastAsia" w:ascii="仿宋" w:hAnsi="仿宋" w:eastAsia="仿宋"/>
                <w:color w:val="000000"/>
                <w:szCs w:val="21"/>
                <w:lang w:val="en-US" w:eastAsia="zh-CN"/>
              </w:rPr>
            </w:pPr>
            <w:r>
              <w:rPr>
                <w:rFonts w:hint="eastAsia" w:ascii="仿宋" w:hAnsi="仿宋" w:eastAsia="仿宋"/>
                <w:color w:val="000000"/>
                <w:szCs w:val="21"/>
              </w:rPr>
              <w:t>开展法定节假日</w:t>
            </w:r>
            <w:r>
              <w:rPr>
                <w:rFonts w:hint="eastAsia" w:ascii="仿宋" w:hAnsi="仿宋" w:eastAsia="仿宋"/>
                <w:color w:val="000000"/>
                <w:szCs w:val="21"/>
                <w:lang w:eastAsia="zh-CN"/>
              </w:rPr>
              <w:t>作风</w:t>
            </w:r>
            <w:r>
              <w:rPr>
                <w:rFonts w:hint="eastAsia" w:ascii="仿宋" w:hAnsi="仿宋" w:eastAsia="仿宋"/>
                <w:color w:val="000000"/>
                <w:szCs w:val="21"/>
              </w:rPr>
              <w:t>督查次数</w:t>
            </w:r>
          </w:p>
        </w:tc>
        <w:tc>
          <w:tcPr>
            <w:tcW w:w="2290" w:type="dxa"/>
            <w:gridSpan w:val="5"/>
            <w:noWrap w:val="0"/>
            <w:vAlign w:val="center"/>
          </w:tcPr>
          <w:p>
            <w:pPr>
              <w:autoSpaceDN w:val="0"/>
              <w:spacing w:line="320" w:lineRule="exact"/>
              <w:jc w:val="center"/>
              <w:textAlignment w:val="center"/>
              <w:rPr>
                <w:rFonts w:hint="eastAsia" w:ascii="仿宋" w:hAnsi="仿宋" w:eastAsia="仿宋"/>
                <w:color w:val="000000"/>
                <w:szCs w:val="21"/>
                <w:lang w:val="en-US" w:eastAsia="zh-CN"/>
              </w:rPr>
            </w:pPr>
            <w:r>
              <w:rPr>
                <w:rFonts w:hint="eastAsia" w:ascii="仿宋" w:hAnsi="仿宋" w:eastAsia="仿宋"/>
                <w:color w:val="000000"/>
                <w:szCs w:val="21"/>
              </w:rPr>
              <w:t>≥</w:t>
            </w:r>
            <w:r>
              <w:rPr>
                <w:rFonts w:hint="eastAsia" w:ascii="仿宋" w:hAnsi="仿宋" w:eastAsia="仿宋"/>
                <w:color w:val="000000"/>
                <w:szCs w:val="21"/>
                <w:lang w:val="en-US" w:eastAsia="zh-CN"/>
              </w:rPr>
              <w:t>6</w:t>
            </w:r>
            <w:r>
              <w:rPr>
                <w:rFonts w:hint="eastAsia" w:ascii="仿宋" w:hAnsi="仿宋" w:eastAsia="仿宋"/>
                <w:color w:val="000000"/>
                <w:szCs w:val="21"/>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3103" w:type="dxa"/>
            <w:gridSpan w:val="4"/>
            <w:noWrap w:val="0"/>
            <w:vAlign w:val="top"/>
          </w:tcPr>
          <w:p>
            <w:pPr>
              <w:autoSpaceDN w:val="0"/>
              <w:spacing w:line="320" w:lineRule="exact"/>
              <w:jc w:val="left"/>
              <w:textAlignment w:val="center"/>
              <w:rPr>
                <w:rFonts w:hint="eastAsia" w:ascii="仿宋" w:hAnsi="仿宋" w:eastAsia="仿宋"/>
                <w:color w:val="000000"/>
                <w:szCs w:val="21"/>
                <w:lang w:val="en-US" w:eastAsia="zh-CN"/>
              </w:rPr>
            </w:pPr>
            <w:r>
              <w:rPr>
                <w:rFonts w:hint="eastAsia" w:ascii="仿宋" w:hAnsi="仿宋" w:eastAsia="仿宋"/>
                <w:color w:val="000000"/>
                <w:szCs w:val="21"/>
              </w:rPr>
              <w:t>开展对乡镇和重点单位全面从严治党主体责任落实情况检查单位个数</w:t>
            </w:r>
          </w:p>
        </w:tc>
        <w:tc>
          <w:tcPr>
            <w:tcW w:w="2290" w:type="dxa"/>
            <w:gridSpan w:val="5"/>
            <w:noWrap w:val="0"/>
            <w:vAlign w:val="center"/>
          </w:tcPr>
          <w:p>
            <w:pPr>
              <w:autoSpaceDN w:val="0"/>
              <w:spacing w:line="320" w:lineRule="exact"/>
              <w:jc w:val="center"/>
              <w:textAlignment w:val="center"/>
              <w:rPr>
                <w:rFonts w:hint="eastAsia" w:ascii="仿宋" w:hAnsi="仿宋" w:eastAsia="仿宋"/>
                <w:color w:val="000000"/>
                <w:szCs w:val="21"/>
                <w:lang w:val="en-US" w:eastAsia="zh-CN"/>
              </w:rPr>
            </w:pPr>
            <w:r>
              <w:rPr>
                <w:rFonts w:hint="eastAsia" w:ascii="仿宋" w:hAnsi="仿宋" w:eastAsia="仿宋"/>
                <w:color w:val="000000"/>
                <w:szCs w:val="21"/>
              </w:rPr>
              <w:t>≥</w:t>
            </w:r>
            <w:r>
              <w:rPr>
                <w:rFonts w:hint="eastAsia" w:ascii="仿宋" w:hAnsi="仿宋" w:eastAsia="仿宋"/>
                <w:color w:val="000000"/>
                <w:szCs w:val="21"/>
                <w:lang w:val="en-US" w:eastAsia="zh-CN"/>
              </w:rPr>
              <w:t>81</w:t>
            </w:r>
            <w:r>
              <w:rPr>
                <w:rFonts w:hint="eastAsia" w:ascii="仿宋" w:hAnsi="仿宋" w:eastAsia="仿宋"/>
                <w:color w:val="000000"/>
                <w:szCs w:val="21"/>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3103" w:type="dxa"/>
            <w:gridSpan w:val="4"/>
            <w:noWrap w:val="0"/>
            <w:vAlign w:val="center"/>
          </w:tcPr>
          <w:p>
            <w:pPr>
              <w:autoSpaceDN w:val="0"/>
              <w:spacing w:line="320" w:lineRule="exact"/>
              <w:jc w:val="left"/>
              <w:textAlignment w:val="center"/>
              <w:rPr>
                <w:rFonts w:hint="eastAsia" w:ascii="仿宋" w:hAnsi="仿宋" w:eastAsia="仿宋"/>
                <w:color w:val="000000"/>
                <w:szCs w:val="21"/>
                <w:lang w:val="en-US" w:eastAsia="zh-CN"/>
              </w:rPr>
            </w:pPr>
            <w:r>
              <w:rPr>
                <w:rFonts w:hint="eastAsia" w:ascii="仿宋" w:hAnsi="仿宋" w:eastAsia="仿宋"/>
                <w:color w:val="000000"/>
                <w:szCs w:val="21"/>
              </w:rPr>
              <w:t>落实中央八项规定精神查处人数</w:t>
            </w:r>
          </w:p>
        </w:tc>
        <w:tc>
          <w:tcPr>
            <w:tcW w:w="2290" w:type="dxa"/>
            <w:gridSpan w:val="5"/>
            <w:noWrap w:val="0"/>
            <w:vAlign w:val="center"/>
          </w:tcPr>
          <w:p>
            <w:pPr>
              <w:autoSpaceDN w:val="0"/>
              <w:spacing w:line="320" w:lineRule="exact"/>
              <w:jc w:val="center"/>
              <w:textAlignment w:val="center"/>
              <w:rPr>
                <w:rFonts w:hint="eastAsia" w:ascii="仿宋" w:hAnsi="仿宋" w:eastAsia="仿宋"/>
                <w:color w:val="000000"/>
                <w:szCs w:val="21"/>
                <w:lang w:val="en-US" w:eastAsia="zh-CN"/>
              </w:rPr>
            </w:pPr>
            <w:r>
              <w:rPr>
                <w:rFonts w:hint="eastAsia" w:ascii="仿宋" w:hAnsi="仿宋" w:eastAsia="仿宋"/>
                <w:color w:val="000000"/>
                <w:szCs w:val="21"/>
              </w:rPr>
              <w:t>≥</w:t>
            </w:r>
            <w:r>
              <w:rPr>
                <w:rFonts w:hint="eastAsia" w:ascii="仿宋" w:hAnsi="仿宋" w:eastAsia="仿宋"/>
                <w:color w:val="000000"/>
                <w:szCs w:val="21"/>
                <w:lang w:val="en-US" w:eastAsia="zh-CN"/>
              </w:rPr>
              <w:t>13</w:t>
            </w:r>
            <w:r>
              <w:rPr>
                <w:rFonts w:hint="eastAsia" w:ascii="仿宋" w:hAnsi="仿宋" w:eastAsia="仿宋"/>
                <w:color w:val="000000"/>
                <w:szCs w:val="21"/>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3103" w:type="dxa"/>
            <w:gridSpan w:val="4"/>
            <w:noWrap w:val="0"/>
            <w:vAlign w:val="center"/>
          </w:tcPr>
          <w:p>
            <w:pPr>
              <w:autoSpaceDN w:val="0"/>
              <w:spacing w:line="32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olor w:val="000000"/>
                <w:szCs w:val="21"/>
              </w:rPr>
              <w:t>按时间节点完成目标任务</w:t>
            </w:r>
          </w:p>
        </w:tc>
        <w:tc>
          <w:tcPr>
            <w:tcW w:w="2290" w:type="dxa"/>
            <w:gridSpan w:val="5"/>
            <w:noWrap w:val="0"/>
            <w:vAlign w:val="center"/>
          </w:tcPr>
          <w:p>
            <w:pPr>
              <w:autoSpaceDN w:val="0"/>
              <w:spacing w:line="320" w:lineRule="exac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olor w:val="000000"/>
                <w:szCs w:val="21"/>
              </w:rPr>
              <w:t>按时按质完成任务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3" w:type="dxa"/>
            <w:gridSpan w:val="4"/>
            <w:noWrap w:val="0"/>
            <w:vAlign w:val="center"/>
          </w:tcPr>
          <w:p>
            <w:pPr>
              <w:autoSpaceDN w:val="0"/>
              <w:spacing w:line="320" w:lineRule="exact"/>
              <w:jc w:val="left"/>
              <w:textAlignment w:val="center"/>
              <w:rPr>
                <w:rFonts w:hint="eastAsia" w:ascii="仿宋" w:hAnsi="仿宋" w:eastAsia="仿宋" w:cs="仿宋"/>
                <w:kern w:val="2"/>
                <w:sz w:val="24"/>
                <w:szCs w:val="24"/>
                <w:lang w:val="en-US" w:eastAsia="zh-CN" w:bidi="ar-SA"/>
              </w:rPr>
            </w:pPr>
            <w:r>
              <w:rPr>
                <w:rFonts w:hint="eastAsia" w:ascii="仿宋" w:hAnsi="仿宋" w:eastAsia="仿宋"/>
                <w:color w:val="000000"/>
                <w:szCs w:val="21"/>
              </w:rPr>
              <w:t>公用经费保障性支出及时性</w:t>
            </w:r>
          </w:p>
        </w:tc>
        <w:tc>
          <w:tcPr>
            <w:tcW w:w="2290" w:type="dxa"/>
            <w:gridSpan w:val="5"/>
            <w:noWrap w:val="0"/>
            <w:vAlign w:val="center"/>
          </w:tcPr>
          <w:p>
            <w:pPr>
              <w:autoSpaceDN w:val="0"/>
              <w:spacing w:line="320" w:lineRule="exac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olor w:val="000000"/>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3103"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 w:hAnsi="仿宋" w:eastAsia="仿宋"/>
                <w:color w:val="000000"/>
                <w:szCs w:val="21"/>
              </w:rPr>
              <w:t>专项资金支付进度</w:t>
            </w:r>
          </w:p>
        </w:tc>
        <w:tc>
          <w:tcPr>
            <w:tcW w:w="2290"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 w:hAnsi="仿宋" w:eastAsia="仿宋"/>
                <w:color w:val="000000"/>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9"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3103"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 w:hAnsi="仿宋" w:eastAsia="仿宋"/>
                <w:color w:val="000000"/>
                <w:szCs w:val="21"/>
              </w:rPr>
              <w:t>人员费用金额</w:t>
            </w:r>
          </w:p>
        </w:tc>
        <w:tc>
          <w:tcPr>
            <w:tcW w:w="2290"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 w:hAnsi="仿宋" w:eastAsia="仿宋"/>
                <w:color w:val="000000"/>
                <w:szCs w:val="21"/>
                <w:lang w:val="en-US" w:eastAsia="zh-CN"/>
              </w:rPr>
              <w:t>1303.74</w:t>
            </w:r>
            <w:r>
              <w:rPr>
                <w:rFonts w:hint="eastAsia" w:ascii="仿宋" w:hAnsi="仿宋" w:eastAsia="仿宋"/>
                <w:color w:val="000000"/>
                <w:szCs w:val="2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3"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 w:hAnsi="仿宋" w:eastAsia="仿宋"/>
                <w:color w:val="000000"/>
                <w:szCs w:val="21"/>
              </w:rPr>
              <w:t>公用费用金额</w:t>
            </w:r>
          </w:p>
        </w:tc>
        <w:tc>
          <w:tcPr>
            <w:tcW w:w="2290"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 w:hAnsi="仿宋" w:eastAsia="仿宋"/>
                <w:color w:val="000000"/>
                <w:szCs w:val="21"/>
                <w:lang w:val="en-US" w:eastAsia="zh-CN"/>
              </w:rPr>
              <w:t>376.40</w:t>
            </w:r>
            <w:r>
              <w:rPr>
                <w:rFonts w:hint="eastAsia" w:ascii="仿宋" w:hAnsi="仿宋" w:eastAsia="仿宋"/>
                <w:color w:val="000000"/>
                <w:szCs w:val="2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3103"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290"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3103" w:type="dxa"/>
            <w:gridSpan w:val="4"/>
            <w:noWrap w:val="0"/>
            <w:vAlign w:val="center"/>
          </w:tcPr>
          <w:p>
            <w:pPr>
              <w:autoSpaceDN w:val="0"/>
              <w:spacing w:line="320" w:lineRule="exact"/>
              <w:jc w:val="left"/>
              <w:textAlignment w:val="center"/>
              <w:rPr>
                <w:rFonts w:hint="eastAsia" w:ascii="仿宋" w:hAnsi="仿宋" w:eastAsia="仿宋" w:cs="仿宋_GB2312"/>
                <w:color w:val="000000"/>
                <w:kern w:val="2"/>
                <w:sz w:val="21"/>
                <w:szCs w:val="21"/>
                <w:lang w:val="en-US" w:eastAsia="zh-CN" w:bidi="ar-SA"/>
              </w:rPr>
            </w:pPr>
            <w:r>
              <w:rPr>
                <w:rFonts w:hint="eastAsia" w:ascii="仿宋" w:hAnsi="仿宋" w:eastAsia="仿宋"/>
                <w:color w:val="000000"/>
                <w:szCs w:val="21"/>
              </w:rPr>
              <w:t>确保党中央政令畅通，党内政治生态明显好转，全面从严治党取得重大成果</w:t>
            </w:r>
          </w:p>
        </w:tc>
        <w:tc>
          <w:tcPr>
            <w:tcW w:w="2290" w:type="dxa"/>
            <w:gridSpan w:val="5"/>
            <w:noWrap w:val="0"/>
            <w:vAlign w:val="center"/>
          </w:tcPr>
          <w:p>
            <w:pPr>
              <w:autoSpaceDN w:val="0"/>
              <w:spacing w:line="320" w:lineRule="exact"/>
              <w:jc w:val="center"/>
              <w:textAlignment w:val="center"/>
              <w:rPr>
                <w:rFonts w:hint="eastAsia" w:ascii="仿宋" w:hAnsi="仿宋" w:eastAsia="仿宋" w:cs="Times New Roman"/>
                <w:color w:val="000000"/>
                <w:kern w:val="2"/>
                <w:sz w:val="21"/>
                <w:szCs w:val="21"/>
                <w:lang w:val="en-US" w:eastAsia="zh-CN" w:bidi="ar-SA"/>
              </w:rPr>
            </w:pPr>
            <w:r>
              <w:rPr>
                <w:rFonts w:hint="eastAsia" w:ascii="仿宋" w:hAnsi="仿宋" w:eastAsia="仿宋"/>
                <w:color w:val="000000"/>
                <w:szCs w:val="21"/>
              </w:rPr>
              <w:t>效果显著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3103"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 w:hAnsi="仿宋" w:eastAsia="仿宋"/>
                <w:color w:val="000000"/>
                <w:szCs w:val="21"/>
                <w:lang w:eastAsia="zh-CN"/>
              </w:rPr>
              <w:t>贡献财政收入</w:t>
            </w:r>
          </w:p>
        </w:tc>
        <w:tc>
          <w:tcPr>
            <w:tcW w:w="2290" w:type="dxa"/>
            <w:gridSpan w:val="5"/>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 w:hAnsi="仿宋" w:eastAsia="仿宋"/>
                <w:color w:val="000000"/>
                <w:szCs w:val="21"/>
                <w:lang w:val="en-US" w:eastAsia="zh-CN"/>
              </w:rPr>
              <w:t>1161.87万元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3103"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 w:hAnsi="仿宋" w:eastAsia="仿宋"/>
                <w:color w:val="000000"/>
                <w:szCs w:val="21"/>
              </w:rPr>
              <w:t>严明党的政治纪律、政治规矩，净化政治生态</w:t>
            </w:r>
          </w:p>
        </w:tc>
        <w:tc>
          <w:tcPr>
            <w:tcW w:w="2290"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 w:hAnsi="仿宋" w:eastAsia="仿宋"/>
                <w:color w:val="000000"/>
                <w:szCs w:val="21"/>
              </w:rPr>
              <w:t>效果显著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3103"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 w:hAnsi="仿宋" w:eastAsia="仿宋"/>
                <w:color w:val="000000"/>
                <w:szCs w:val="21"/>
              </w:rPr>
              <w:t>加大群众身边腐败问题的处理力度，增强人民群众获得感</w:t>
            </w:r>
          </w:p>
        </w:tc>
        <w:tc>
          <w:tcPr>
            <w:tcW w:w="2290"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 w:hAnsi="仿宋" w:eastAsia="仿宋"/>
                <w:color w:val="000000"/>
                <w:szCs w:val="21"/>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1"/>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1"/>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959"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5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732"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成</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星</w:t>
            </w:r>
          </w:p>
        </w:tc>
        <w:tc>
          <w:tcPr>
            <w:tcW w:w="3959"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县纪委副书记、监委副主任</w:t>
            </w:r>
          </w:p>
        </w:tc>
        <w:tc>
          <w:tcPr>
            <w:tcW w:w="145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县纪委监委</w:t>
            </w:r>
          </w:p>
        </w:tc>
        <w:tc>
          <w:tcPr>
            <w:tcW w:w="2732"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华中军</w:t>
            </w:r>
          </w:p>
        </w:tc>
        <w:tc>
          <w:tcPr>
            <w:tcW w:w="3959"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县监委委员</w:t>
            </w:r>
          </w:p>
        </w:tc>
        <w:tc>
          <w:tcPr>
            <w:tcW w:w="145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县纪委监委</w:t>
            </w:r>
          </w:p>
        </w:tc>
        <w:tc>
          <w:tcPr>
            <w:tcW w:w="2732"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刘建芳</w:t>
            </w:r>
          </w:p>
        </w:tc>
        <w:tc>
          <w:tcPr>
            <w:tcW w:w="3959"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县纪委监委办公室主任</w:t>
            </w:r>
          </w:p>
        </w:tc>
        <w:tc>
          <w:tcPr>
            <w:tcW w:w="145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县纪委监委</w:t>
            </w:r>
          </w:p>
        </w:tc>
        <w:tc>
          <w:tcPr>
            <w:tcW w:w="2732"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陈</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璨</w:t>
            </w:r>
          </w:p>
        </w:tc>
        <w:tc>
          <w:tcPr>
            <w:tcW w:w="3959"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县纪委监委办公室干部</w:t>
            </w:r>
          </w:p>
        </w:tc>
        <w:tc>
          <w:tcPr>
            <w:tcW w:w="145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县纪委监委</w:t>
            </w:r>
          </w:p>
        </w:tc>
        <w:tc>
          <w:tcPr>
            <w:tcW w:w="2732"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bookmarkStart w:id="0" w:name="_GoBack"/>
            <w:bookmarkEnd w:id="0"/>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6"/>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陈璨</w:t>
      </w:r>
      <w:r>
        <w:rPr>
          <w:rFonts w:hint="eastAsia" w:eastAsia="仿宋_GB2312" w:cs="仿宋_GB2312"/>
          <w:bCs/>
          <w:sz w:val="28"/>
          <w:szCs w:val="28"/>
        </w:rPr>
        <w:t xml:space="preserve">     </w:t>
      </w:r>
      <w:r>
        <w:rPr>
          <w:rFonts w:hint="eastAsia" w:eastAsia="仿宋_GB2312" w:cs="仿宋_GB2312"/>
          <w:bCs/>
          <w:sz w:val="28"/>
          <w:szCs w:val="28"/>
          <w:lang w:val="en-US" w:eastAsia="zh-CN"/>
        </w:rPr>
        <w:t xml:space="preserve">         </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19573032008</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eastAsia" w:ascii="仿宋" w:hAnsi="仿宋" w:eastAsia="仿宋" w:cs="仿宋_GB2312"/>
                <w:b w:val="0"/>
                <w:bCs/>
                <w:sz w:val="28"/>
                <w:szCs w:val="28"/>
              </w:rPr>
            </w:pPr>
            <w:r>
              <w:rPr>
                <w:rFonts w:hint="eastAsia" w:ascii="仿宋" w:hAnsi="仿宋" w:eastAsia="仿宋" w:cs="仿宋_GB2312"/>
                <w:b w:val="0"/>
                <w:bCs/>
                <w:sz w:val="28"/>
                <w:szCs w:val="28"/>
              </w:rPr>
              <w:t>中国共产党华容县纪律检查委员会与华容县监察委员会合署办公，辖事业单位1个、内设部室13个、派驻纪检监察组13个。县委巡察办、县委巡察组为独立正科级单位，办公地点设在县纪委监委，其财务由县纪委监委统一核算。根据编委核定，我部门共有编制132名 (其中：纪委机关50名，派驻组59名，警教中心8名，巡察办15名) ，年末实有在编在岗人员1</w:t>
            </w:r>
            <w:r>
              <w:rPr>
                <w:rFonts w:hint="eastAsia" w:ascii="仿宋" w:hAnsi="仿宋" w:eastAsia="仿宋" w:cs="仿宋_GB2312"/>
                <w:b w:val="0"/>
                <w:bCs/>
                <w:sz w:val="28"/>
                <w:szCs w:val="28"/>
                <w:lang w:val="en-US" w:eastAsia="zh-CN"/>
              </w:rPr>
              <w:t>21</w:t>
            </w:r>
            <w:r>
              <w:rPr>
                <w:rFonts w:hint="eastAsia" w:ascii="仿宋" w:hAnsi="仿宋" w:eastAsia="仿宋" w:cs="仿宋_GB2312"/>
                <w:b w:val="0"/>
                <w:bCs/>
                <w:sz w:val="28"/>
                <w:szCs w:val="28"/>
              </w:rPr>
              <w:t>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（二）</w:t>
            </w:r>
            <w:r>
              <w:rPr>
                <w:rFonts w:hint="eastAsia" w:ascii="仿宋_GB2312" w:hAnsi="仿宋_GB2312" w:eastAsia="仿宋_GB2312" w:cs="仿宋_GB2312"/>
                <w:bCs/>
                <w:sz w:val="28"/>
                <w:szCs w:val="28"/>
              </w:rPr>
              <w:t>部门（单位）整体支出规模、使用方向和主要内容、涉及范围等</w:t>
            </w:r>
          </w:p>
          <w:p>
            <w:pPr>
              <w:spacing w:line="560" w:lineRule="exact"/>
              <w:ind w:firstLine="560" w:firstLineChars="200"/>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2021年度支出总计2395.28万元，其中：工资福利支出1113.80万元，商品和服务支出376.40万元，对个人和家庭的补助189.94万元，公用项目支出715.14万元。本部门预算支出均按财政部门要求进行使用和管理，主要用于保障部门机构正常运转、完成日常工作任务以及本部门承担的全县纪检监察、党风廉政建设及巡察等工作。</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2021年度本部门基本支出1680.14万元，其中人员支出1113.80万元、公用支出376.40万元，对个人和家庭补助支出189.94万元。主要是用于保障机构正常运转的日常支出，包括基本工资、津贴补贴、社保缴费、住房公积金和日常公用经费等。</w:t>
            </w:r>
          </w:p>
          <w:p>
            <w:pPr>
              <w:numPr>
                <w:ilvl w:val="0"/>
                <w:numId w:val="2"/>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专项支出</w:t>
            </w:r>
          </w:p>
          <w:p>
            <w:pPr>
              <w:spacing w:line="560" w:lineRule="exact"/>
              <w:ind w:firstLine="560" w:firstLineChars="200"/>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2021年度本部门专项资金支出715.14万元，其中专案经费314.04万元、专项清理整治103.21万元、党风廉政刊物53.92万元、纪检监察移动安全平台建设96.79万元、办案场所管理及警示教育96.56万元、专项巡察50.62万元。主要用于全县的党风廉政建设和反腐败斗争工作，办案工作的软硬件建设、查处各种违纪违法案件和配合上级纪委查办各类案件，特别是大案要案的查处工作。</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 w:val="0"/>
                <w:bCs/>
                <w:sz w:val="28"/>
                <w:szCs w:val="28"/>
                <w:lang w:val="en-US" w:eastAsia="zh-CN"/>
              </w:rPr>
              <w:t>2021年，全县纪检监察组织不断强化责任担当，积极主动作为，有力发挥了监督保障执行。促进发展完善作用，以纪检监察工作的高质量发展保障了县域经济高质量发展。</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（二）</w:t>
            </w:r>
            <w:r>
              <w:rPr>
                <w:rFonts w:hint="eastAsia" w:ascii="仿宋_GB2312" w:hAnsi="仿宋_GB2312" w:eastAsia="仿宋_GB2312" w:cs="仿宋_GB2312"/>
                <w:bCs/>
                <w:sz w:val="28"/>
                <w:szCs w:val="28"/>
              </w:rPr>
              <w:t>专项管理情况分析</w:t>
            </w:r>
          </w:p>
          <w:p>
            <w:pPr>
              <w:pStyle w:val="2"/>
              <w:numPr>
                <w:ilvl w:val="0"/>
                <w:numId w:val="0"/>
              </w:numPr>
              <w:ind w:firstLine="560" w:firstLineChars="200"/>
              <w:rPr>
                <w:rFonts w:hint="eastAsia" w:ascii="仿宋" w:hAnsi="仿宋" w:eastAsia="仿宋" w:cs="Times New Roman"/>
                <w:color w:val="333333"/>
                <w:kern w:val="2"/>
                <w:sz w:val="28"/>
                <w:szCs w:val="28"/>
                <w:shd w:val="clear" w:color="auto" w:fill="FFFFFF"/>
                <w:lang w:val="en-US" w:eastAsia="zh-CN" w:bidi="ar-SA"/>
              </w:rPr>
            </w:pPr>
            <w:r>
              <w:rPr>
                <w:rFonts w:hint="eastAsia" w:ascii="仿宋" w:hAnsi="仿宋" w:eastAsia="仿宋" w:cs="仿宋_GB2312"/>
                <w:b w:val="0"/>
                <w:bCs/>
                <w:kern w:val="2"/>
                <w:sz w:val="28"/>
                <w:szCs w:val="28"/>
                <w:lang w:val="en-US" w:eastAsia="zh-CN" w:bidi="ar-SA"/>
              </w:rPr>
              <w:t>本单位履职及履职效益情况良好。对各项支出严格安全预算额度进行控制，单位整体支出使用效果达到了预期。</w:t>
            </w: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spacing w:line="560" w:lineRule="exact"/>
              <w:ind w:firstLine="560" w:firstLineChars="200"/>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一）心怀“国之大者”强化政治忠诚，落实“两个维护”坚定自觉。坚持把学习贯彻习近平新时代中国特色社会主义思想作为主线，落实“两个维护”的自觉性和坚定性更加有力。强力推进“洞庭清波”专项行动，共组织开展8轮专项监督检查，针对市纪委监委指出的问题逐一整改销号。加强脱贫攻坚成果与乡村振兴有效衔接专项监督。扎实推进“一领域一专题”治理，确定11个专题，深入全县14个乡镇、55个村（社区）开展“解剖式”监督。在疫情防控大考中践行政治使命。抓紧抓实常态化疫情防控监督，制定出台疫情防控“十必须”纪律规定，严肃查处工作不到位背后的责任和作风问题。在服务中心大局中彰显政治担当。严明换届工作纪律，加强换届风气监督，确保县乡村三级换届风清气正、顺利圆满；全力支持上级纪委监委工作，努力克服本级办案力量不足等困难，选派优秀办案人员40人次，参与查办省纪委监委办理的“3.27”“7.16”专案、市纪委监委办理的“11.12”专案等大案要案，办案人员受到省、市纪委监委高度肯定。</w:t>
            </w:r>
          </w:p>
          <w:p>
            <w:pPr>
              <w:spacing w:line="560" w:lineRule="exact"/>
              <w:ind w:firstLine="560" w:firstLineChars="200"/>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二）坚持推进“三不”一体拓展深化，治腐效能显著提升。“不敢腐”的震慑更强烈。持续推动扫黑除恶“打伞破网”工作常态化、机制化，确保人民群众获得感、幸福感、安全感成色更足；协同开展政法队伍教育整顿，聚焦工程建设招投标领域突出问题，加大集中整治力度。“不能腐”的笼子更严密。严格落实“三会两书一通报” 工作机制，下发纪检（监察）建议书17份，推动相关案发单位制定和完善规章制度，既医其受病之处、又断其起弊之源。“不想腐”的堤坝更牢固。强化警示教育，组织全县党员领导干部、公职人员和村支“两委”人员1900余人次赴县警示教育中心开展案例教育，促进全县党员干部知敬畏、存戒惧、守底线；跟进落实回访教育，坚持“惩前毖后、治病救人”，推行“三查三谈三问” 回访机制，对受处分的党员干部开展回访教育，充分体现组织关怀，有效巩固教育成果。</w:t>
            </w:r>
          </w:p>
          <w:p>
            <w:pPr>
              <w:spacing w:line="560" w:lineRule="exact"/>
              <w:ind w:firstLine="560" w:firstLineChars="200"/>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三）持之以恒落实中央八项规定精神，纠治“四风”力度不减、尺度不松。深入纠治“四风”突出问题。严格按照省纪委监委“十严禁”要求，对违规收送礼品礼金、违规公款吃喝、大操大办、酒驾醉驾、打牌赌博等问题开展专项督查。有力整治形式主义、官僚主义。加大对“督检考”过多过频、“懒散推脱”等问题的整治力度，在全县形成了强有力的震慑；督促持续推进“治陋习、树新风”专项工作，从严查处党员干部违规操办婚丧喜庆事宜等问题，以优良党风带政风促民风。</w:t>
            </w:r>
          </w:p>
          <w:p>
            <w:pPr>
              <w:spacing w:line="560" w:lineRule="exact"/>
              <w:ind w:firstLine="560" w:firstLineChars="200"/>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四）持续破解民生难点痛点堵点，维护群众利益坚决有力。用心用情做好信访举报工作。深入开展“访民情、化积案、解难题、促和谐”活动，我县越级访万人比实现连续三年全市最低值，办理结果群众满意度明显提升。雷霆惩处侵害群众利益问题。开展社会保险基金管理防风险堵漏洞专项整治，开展“清廉医保”专项整治，开展惠民惠农财政补贴资金“一卡通”专项整治，开展农村乱占耕地建房专项治理等。充分发挥“互联网+监督”平台作用。通过大数据比对查找公职人员和已去世人员领取低保、社会保障兜底等群众关注的问题。</w:t>
            </w:r>
          </w:p>
          <w:p>
            <w:pPr>
              <w:spacing w:line="560" w:lineRule="exact"/>
              <w:ind w:firstLine="560" w:firstLineChars="200"/>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五）切实履行监督基本职责，公权监督网络进一步织密织牢。贯通联动“两个责任”。积极协助县委出台《关于进一步明确县处级领导党风廉政建设“一岗双责”的意见》（华委〔2021〕7号），明确县级领导10项职责和各级党组织9项重点任务，逐步形成一级抓一级、层层抓落实的管党治党工作局面。强化“关键少数”日常监督。严格执行省纪委监委“十必严”措施，对全县各县直单位“一把手”开展精准“廉政画像”，严把党风廉政意见回复关；深入开展谈话提醒，全县共开展谈话提醒2163人次，谈话函询“一把手”及班子成员等“关键少数”16人次。精准运用“四种形态”。同时，严格落实《纪检监察机关处理检举控告工作规则》，建立健全信访举报工作规程，推动检举举报平台应用提档升级，实现信访举报受理、问题线索处置、立案案件办理等业务环节全流程闭环管理，有效发挥信访检举举报监督作用。</w:t>
            </w:r>
          </w:p>
          <w:p>
            <w:pPr>
              <w:spacing w:line="560" w:lineRule="exact"/>
              <w:ind w:firstLine="560" w:firstLineChars="200"/>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六）始终坚持巡改并重，党内监督利剑作用有力彰显。巩固提升，攻坚“清零”。对十二届县委巡察发现却未办结的问题线索开展“大起底”专项督。常规巡察，全面启动。高质量启动并完成十三届县委第一轮巡察。对标对表，扎实整改。对省委巡视反馈的问题整改落实情况逐一检视；全力配合做好涉粮问题专项巡察，推动粮食购销领域腐败问题专项整治走深走实，持续跟踪督办市委反馈问题及立行立改事项。</w:t>
            </w:r>
          </w:p>
          <w:p>
            <w:pPr>
              <w:spacing w:line="560" w:lineRule="exact"/>
              <w:ind w:firstLine="560" w:firstLineChars="200"/>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七）从严从实强化自身建设，干部队伍履职能力得到全面提高。注重以上率下，县纪委常委会带头加强党的政治建设，提高政治能力，严格落实“第一议题”制度，扎实开展党史学习教育和“我为群众办实事”实践活动；抓好纪委换届工作，选优配强新一届纪委监委领导班子。注重机关建设，部署推进机关“大起底、大讨论、大学习、大比武、大创建”系列活动，实现“内强素质、外树形象”目标；加强机关党建，建强支部堡垒，坚持以强有力的党建工作引领业务工作开展。注重素质提升，教育引导全县纪检监察干部自觉做到讲政治、讲规矩、讲感情、讲奉献、讲团结。注重自我监督，严格执行个人重大事项报告制度，恪守纪检监察干部负面清单“十二条”；完善机关内控制度机制建设，出台《县纪委监委有关办公会议议事规则》《华容县纪检监察系统提升执行力工作方案》等内部管理文件16项；开展纪检监察干部“八小时”以外的监督，加强纪检监察干部廉政档案管理。</w:t>
            </w:r>
          </w:p>
          <w:p>
            <w:pPr>
              <w:numPr>
                <w:ilvl w:val="0"/>
                <w:numId w:val="3"/>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spacing w:line="560" w:lineRule="exact"/>
              <w:ind w:firstLine="560" w:firstLineChars="200"/>
              <w:rPr>
                <w:rFonts w:hint="eastAsia" w:ascii="仿宋" w:hAnsi="仿宋" w:eastAsia="仿宋" w:cs="仿宋_GB2312"/>
                <w:b w:val="0"/>
                <w:bCs/>
                <w:sz w:val="28"/>
                <w:szCs w:val="28"/>
                <w:lang w:val="en-US" w:eastAsia="zh-CN"/>
              </w:rPr>
            </w:pPr>
            <w:r>
              <w:rPr>
                <w:rFonts w:hint="eastAsia" w:ascii="仿宋" w:hAnsi="仿宋" w:eastAsia="仿宋" w:cs="仿宋_GB2312"/>
                <w:b w:val="0"/>
                <w:bCs/>
                <w:sz w:val="28"/>
                <w:szCs w:val="28"/>
                <w:lang w:val="en-US" w:eastAsia="zh-CN"/>
              </w:rPr>
              <w:t>绩效目标设立不够明确、细化和量化。</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ind w:firstLine="560" w:firstLineChars="200"/>
              <w:rPr>
                <w:rFonts w:eastAsia="楷体_GB2312"/>
                <w:bCs/>
                <w:sz w:val="28"/>
                <w:szCs w:val="28"/>
              </w:rPr>
            </w:pPr>
            <w:r>
              <w:rPr>
                <w:rFonts w:hint="eastAsia" w:ascii="仿宋" w:hAnsi="仿宋" w:eastAsia="仿宋" w:cs="仿宋_GB2312"/>
                <w:b w:val="0"/>
                <w:bCs/>
                <w:sz w:val="28"/>
                <w:szCs w:val="28"/>
                <w:lang w:val="en-US" w:eastAsia="zh-CN"/>
              </w:rPr>
              <w:t>建议财政部门加强预决算的指导，预算执行情况直接影响部门整体支出绩效，重视预算执行效果，严格把控资金运行，使财政资金发挥更大的效益。</w:t>
            </w: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eastAsia="zh-CN"/>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eastAsia="zh-CN"/>
              </w:rPr>
              <w:t>部分项目支出未经评估认证</w:t>
            </w: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pPr>
        <w:rPr>
          <w:rFonts w:hint="eastAsia" w:eastAsia="宋体"/>
          <w:lang w:val="en-US" w:eastAsia="zh-CN"/>
        </w:rPr>
      </w:pPr>
    </w:p>
    <w:tbl>
      <w:tblPr>
        <w:tblStyle w:val="6"/>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2.9</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违规违纪资金应收尽收，应缴尽缴。</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提高干部队伍素质，促进社会健康发展。</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坚守人民立场，有效维护人民利益。</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96.9</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embedRegular r:id="rId1" w:fontKey="{1BDBB785-7C74-49C7-ABAA-19FE37ADC64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A987FBAA-0C44-4E79-BDB3-B0FDC053D8F8}"/>
  </w:font>
  <w:font w:name="仿宋">
    <w:panose1 w:val="02010609060101010101"/>
    <w:charset w:val="86"/>
    <w:family w:val="auto"/>
    <w:pitch w:val="default"/>
    <w:sig w:usb0="800002BF" w:usb1="38CF7CFA" w:usb2="00000016" w:usb3="00000000" w:csb0="00040001" w:csb1="00000000"/>
    <w:embedRegular r:id="rId3" w:fontKey="{D73FBC41-B25D-4D4E-BF0A-3B0383E720DE}"/>
  </w:font>
  <w:font w:name="楷体_GB2312">
    <w:altName w:val="楷体"/>
    <w:panose1 w:val="02010609030101010101"/>
    <w:charset w:val="86"/>
    <w:family w:val="modern"/>
    <w:pitch w:val="default"/>
    <w:sig w:usb0="00000000" w:usb1="00000000" w:usb2="00000000" w:usb3="00000000" w:csb0="00040000" w:csb1="00000000"/>
    <w:embedRegular r:id="rId4" w:fontKey="{33A3A056-BB68-4A88-99A8-91FC21289E12}"/>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5" w:fontKey="{52C60177-CF63-4CEC-A8FE-5FA96A504C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18</w:t>
    </w:r>
    <w:r>
      <w:rPr>
        <w:sz w:val="24"/>
        <w:szCs w:val="24"/>
      </w:rPr>
      <w:fldChar w:fldCharType="end"/>
    </w:r>
    <w:r>
      <w:rPr>
        <w:rStyle w:val="8"/>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2A787"/>
    <w:multiLevelType w:val="singleLevel"/>
    <w:tmpl w:val="9582A787"/>
    <w:lvl w:ilvl="0" w:tentative="0">
      <w:start w:val="4"/>
      <w:numFmt w:val="chineseCounting"/>
      <w:suff w:val="nothing"/>
      <w:lvlText w:val="%1、"/>
      <w:lvlJc w:val="left"/>
      <w:rPr>
        <w:rFonts w:hint="eastAsia"/>
      </w:rPr>
    </w:lvl>
  </w:abstractNum>
  <w:abstractNum w:abstractNumId="1">
    <w:nsid w:val="60BF2674"/>
    <w:multiLevelType w:val="singleLevel"/>
    <w:tmpl w:val="60BF2674"/>
    <w:lvl w:ilvl="0" w:tentative="0">
      <w:start w:val="1"/>
      <w:numFmt w:val="decimal"/>
      <w:pStyle w:val="2"/>
      <w:lvlText w:val="%1."/>
      <w:lvlJc w:val="left"/>
      <w:pPr>
        <w:tabs>
          <w:tab w:val="left" w:pos="360"/>
        </w:tabs>
        <w:ind w:left="360" w:hanging="360"/>
      </w:pPr>
    </w:lvl>
  </w:abstractNum>
  <w:abstractNum w:abstractNumId="2">
    <w:nsid w:val="6614E94E"/>
    <w:multiLevelType w:val="singleLevel"/>
    <w:tmpl w:val="6614E94E"/>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zZDU5OWIzMDExZDRiOWYxZGQ2ZTRkZjcwOGFlMTQifQ=="/>
  </w:docVars>
  <w:rsids>
    <w:rsidRoot w:val="2CE55C20"/>
    <w:rsid w:val="007B2063"/>
    <w:rsid w:val="0131666B"/>
    <w:rsid w:val="01F74A61"/>
    <w:rsid w:val="027F3D8B"/>
    <w:rsid w:val="02927177"/>
    <w:rsid w:val="04753641"/>
    <w:rsid w:val="053A55BC"/>
    <w:rsid w:val="061736ED"/>
    <w:rsid w:val="083749E7"/>
    <w:rsid w:val="08A21FC3"/>
    <w:rsid w:val="08E43B13"/>
    <w:rsid w:val="09871E40"/>
    <w:rsid w:val="0B7F5D75"/>
    <w:rsid w:val="0BC33EB3"/>
    <w:rsid w:val="0C454DF3"/>
    <w:rsid w:val="0CB679B8"/>
    <w:rsid w:val="0D084C75"/>
    <w:rsid w:val="0DE528CD"/>
    <w:rsid w:val="0DF32E35"/>
    <w:rsid w:val="0FC25650"/>
    <w:rsid w:val="108154AD"/>
    <w:rsid w:val="115B06EA"/>
    <w:rsid w:val="1336279F"/>
    <w:rsid w:val="13904FC3"/>
    <w:rsid w:val="14B77545"/>
    <w:rsid w:val="176C53FF"/>
    <w:rsid w:val="18725427"/>
    <w:rsid w:val="18FC27B3"/>
    <w:rsid w:val="197103BF"/>
    <w:rsid w:val="19AA2511"/>
    <w:rsid w:val="1A1467FB"/>
    <w:rsid w:val="1A1D1D05"/>
    <w:rsid w:val="1A7647E7"/>
    <w:rsid w:val="1C6E0C72"/>
    <w:rsid w:val="1E1318A3"/>
    <w:rsid w:val="1FB32E4A"/>
    <w:rsid w:val="20566C4C"/>
    <w:rsid w:val="2163106E"/>
    <w:rsid w:val="244C4833"/>
    <w:rsid w:val="24A47CD8"/>
    <w:rsid w:val="24CB3761"/>
    <w:rsid w:val="24EA7087"/>
    <w:rsid w:val="253B3382"/>
    <w:rsid w:val="254E2FC7"/>
    <w:rsid w:val="25B607B7"/>
    <w:rsid w:val="25E1336D"/>
    <w:rsid w:val="263C173A"/>
    <w:rsid w:val="26FA5C04"/>
    <w:rsid w:val="27725924"/>
    <w:rsid w:val="279A1B15"/>
    <w:rsid w:val="289D055E"/>
    <w:rsid w:val="28ED3EC6"/>
    <w:rsid w:val="2C414C55"/>
    <w:rsid w:val="2C90798A"/>
    <w:rsid w:val="2C9F197B"/>
    <w:rsid w:val="2CA33441"/>
    <w:rsid w:val="2CE55C20"/>
    <w:rsid w:val="2D0042B6"/>
    <w:rsid w:val="2F123F97"/>
    <w:rsid w:val="2F287302"/>
    <w:rsid w:val="30426D13"/>
    <w:rsid w:val="304C0BD8"/>
    <w:rsid w:val="30611072"/>
    <w:rsid w:val="30816F0D"/>
    <w:rsid w:val="31DC5FB5"/>
    <w:rsid w:val="358B2DCB"/>
    <w:rsid w:val="39BA6046"/>
    <w:rsid w:val="3A43255A"/>
    <w:rsid w:val="3B051543"/>
    <w:rsid w:val="3D6201A1"/>
    <w:rsid w:val="3DCC00F6"/>
    <w:rsid w:val="3EC46785"/>
    <w:rsid w:val="3F8A6044"/>
    <w:rsid w:val="3FAA26B9"/>
    <w:rsid w:val="40454E7C"/>
    <w:rsid w:val="42133F97"/>
    <w:rsid w:val="431672A6"/>
    <w:rsid w:val="43A702D9"/>
    <w:rsid w:val="44592EA4"/>
    <w:rsid w:val="460E6159"/>
    <w:rsid w:val="46FD03FA"/>
    <w:rsid w:val="477245B4"/>
    <w:rsid w:val="482C010F"/>
    <w:rsid w:val="49617FA5"/>
    <w:rsid w:val="4A5971B6"/>
    <w:rsid w:val="4B992026"/>
    <w:rsid w:val="4CD869FF"/>
    <w:rsid w:val="4D171D42"/>
    <w:rsid w:val="4E4F0BB0"/>
    <w:rsid w:val="4EB42C0C"/>
    <w:rsid w:val="4F52337D"/>
    <w:rsid w:val="4FBA3BB3"/>
    <w:rsid w:val="501977E2"/>
    <w:rsid w:val="51243744"/>
    <w:rsid w:val="53915C12"/>
    <w:rsid w:val="54176117"/>
    <w:rsid w:val="54520EFE"/>
    <w:rsid w:val="545729B8"/>
    <w:rsid w:val="5516017D"/>
    <w:rsid w:val="55B845C8"/>
    <w:rsid w:val="569963E0"/>
    <w:rsid w:val="574F042A"/>
    <w:rsid w:val="578A4E52"/>
    <w:rsid w:val="58913FBE"/>
    <w:rsid w:val="5BE95901"/>
    <w:rsid w:val="5D311D22"/>
    <w:rsid w:val="5D574DAC"/>
    <w:rsid w:val="5D5D6057"/>
    <w:rsid w:val="5D7B1E32"/>
    <w:rsid w:val="5E052DAA"/>
    <w:rsid w:val="5E5166CA"/>
    <w:rsid w:val="5E631301"/>
    <w:rsid w:val="684150B9"/>
    <w:rsid w:val="6A0A15CD"/>
    <w:rsid w:val="6C4B6506"/>
    <w:rsid w:val="6C841A18"/>
    <w:rsid w:val="6D452F22"/>
    <w:rsid w:val="6DF352BD"/>
    <w:rsid w:val="6E1B2ABC"/>
    <w:rsid w:val="6FA41084"/>
    <w:rsid w:val="705E3E6D"/>
    <w:rsid w:val="71C1048A"/>
    <w:rsid w:val="72A30CDA"/>
    <w:rsid w:val="7396188C"/>
    <w:rsid w:val="73F35F5B"/>
    <w:rsid w:val="74D1206C"/>
    <w:rsid w:val="75746408"/>
    <w:rsid w:val="75911282"/>
    <w:rsid w:val="76733464"/>
    <w:rsid w:val="781B1CB3"/>
    <w:rsid w:val="79C04582"/>
    <w:rsid w:val="7A5944E4"/>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List Number"/>
    <w:basedOn w:val="1"/>
    <w:qFormat/>
    <w:uiPriority w:val="0"/>
    <w:pPr>
      <w:numPr>
        <w:ilvl w:val="0"/>
        <w:numId w:val="1"/>
      </w:numPr>
    </w:p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7415</Words>
  <Characters>7894</Characters>
  <Lines>0</Lines>
  <Paragraphs>0</Paragraphs>
  <TotalTime>172</TotalTime>
  <ScaleCrop>false</ScaleCrop>
  <LinksUpToDate>false</LinksUpToDate>
  <CharactersWithSpaces>8400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陈璨</cp:lastModifiedBy>
  <cp:lastPrinted>2022-06-27T01:41:00Z</cp:lastPrinted>
  <dcterms:modified xsi:type="dcterms:W3CDTF">2022-06-27T09:44:50Z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377A56B318954603893BD5B869B7BB42</vt:lpwstr>
  </property>
</Properties>
</file>