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华容县农业农村事务中心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401010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13</w:t>
      </w:r>
      <w:bookmarkStart w:id="0" w:name="_GoBack"/>
      <w:bookmarkEnd w:id="0"/>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11"/>
        <w:gridCol w:w="102"/>
        <w:gridCol w:w="1276"/>
        <w:gridCol w:w="60"/>
        <w:gridCol w:w="1262"/>
        <w:gridCol w:w="155"/>
        <w:gridCol w:w="1154"/>
        <w:gridCol w:w="1133"/>
        <w:gridCol w:w="226"/>
        <w:gridCol w:w="114"/>
        <w:gridCol w:w="82"/>
        <w:gridCol w:w="1453"/>
        <w:gridCol w:w="290"/>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0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肖宇</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17382045070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0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开展种植业、农村能源、农业机械化行业成果和应用技术推广;开展农业技术和农业经济信息服务;组织实施农村能源项目建设;负责农业科技人员的培训和业务指导;负责农机驾考、牌证发放、技术检验和安全监管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对全县的沼气工程进行安全生产大排查，杜绝安全隐患。</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在操军镇、禹山镇安装太阳能路灯</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完成了秸秆综合利用项目，使秸秆综合利用率提高至</w:t>
            </w:r>
            <w:r>
              <w:rPr>
                <w:rFonts w:hint="eastAsia" w:ascii="仿宋_GB2312" w:hAnsi="仿宋_GB2312" w:eastAsia="仿宋_GB2312" w:cs="仿宋_GB2312"/>
                <w:color w:val="000000"/>
                <w:sz w:val="24"/>
                <w:lang w:val="en-US" w:eastAsia="zh-CN"/>
              </w:rPr>
              <w:t>90%。</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4：完成了机构改革。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3"/>
            <w:noWrap w:val="0"/>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安装太阳能路灯为老百姓出行提供了方便。</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有效杜绝了秸秆的焚烧，保护了县域生态环境，提高了综合利用率，为农户创造了收益。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52"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7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7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552"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7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64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552"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78" w:type="dxa"/>
            <w:gridSpan w:val="2"/>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22"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4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31"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52"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78" w:type="dxa"/>
            <w:gridSpan w:val="2"/>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4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31"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52"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1136.73</w:t>
            </w:r>
          </w:p>
        </w:tc>
        <w:tc>
          <w:tcPr>
            <w:tcW w:w="1322"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1136.73</w:t>
            </w:r>
          </w:p>
        </w:tc>
        <w:tc>
          <w:tcPr>
            <w:tcW w:w="13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4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31"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52"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78" w:type="dxa"/>
            <w:gridSpan w:val="2"/>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9"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64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31"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7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39"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31" w:type="dxa"/>
            <w:gridSpan w:val="3"/>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37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782"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35"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06" w:type="dxa"/>
            <w:gridSpan w:val="2"/>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37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535"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6" w:type="dxa"/>
            <w:gridSpan w:val="2"/>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309" w:type="dxa"/>
            <w:gridSpan w:val="2"/>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473" w:type="dxa"/>
            <w:gridSpan w:val="3"/>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153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6"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6"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1136.73</w:t>
            </w:r>
          </w:p>
        </w:tc>
        <w:tc>
          <w:tcPr>
            <w:tcW w:w="132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655.37</w:t>
            </w:r>
          </w:p>
        </w:tc>
        <w:tc>
          <w:tcPr>
            <w:tcW w:w="130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468.60</w:t>
            </w:r>
          </w:p>
        </w:tc>
        <w:tc>
          <w:tcPr>
            <w:tcW w:w="1473"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186.77</w:t>
            </w:r>
          </w:p>
        </w:tc>
        <w:tc>
          <w:tcPr>
            <w:tcW w:w="153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481.36</w:t>
            </w:r>
          </w:p>
        </w:tc>
        <w:tc>
          <w:tcPr>
            <w:tcW w:w="606"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06"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7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7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37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w:t>
            </w:r>
          </w:p>
        </w:tc>
        <w:tc>
          <w:tcPr>
            <w:tcW w:w="132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w:t>
            </w: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2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6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37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2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37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98"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9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9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120.14</w:t>
            </w:r>
          </w:p>
        </w:tc>
        <w:tc>
          <w:tcPr>
            <w:tcW w:w="2631"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120.14</w:t>
            </w:r>
          </w:p>
        </w:tc>
        <w:tc>
          <w:tcPr>
            <w:tcW w:w="329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52"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37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31"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9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39"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120"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对全县的沼气工程进行安全生产大排查，杜绝安全隐患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在操军镇、禹山镇安装太阳能路灯</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完成秸秆综合利用项目，使秸秆综合利用率提高至</w:t>
            </w:r>
            <w:r>
              <w:rPr>
                <w:rFonts w:hint="eastAsia" w:ascii="仿宋_GB2312" w:hAnsi="仿宋_GB2312" w:eastAsia="仿宋_GB2312" w:cs="仿宋_GB2312"/>
                <w:color w:val="000000"/>
                <w:sz w:val="24"/>
                <w:lang w:val="en-US" w:eastAsia="zh-CN"/>
              </w:rPr>
              <w:t>90%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目标4：完成机构改革</w:t>
            </w:r>
          </w:p>
        </w:tc>
        <w:tc>
          <w:tcPr>
            <w:tcW w:w="4239" w:type="dxa"/>
            <w:gridSpan w:val="8"/>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目标1：已完成全县大排查</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目标2：太阳能路灯安装完成</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目标3：完成了秸秆综合利用项目</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目标4：完成了机构改革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指标1：确保质量</w:t>
            </w:r>
            <w:r>
              <w:rPr>
                <w:rFonts w:ascii="仿宋_GB2312" w:hAnsi="仿宋_GB2312" w:eastAsia="仿宋_GB2312" w:cs="仿宋_GB2312"/>
                <w:color w:val="000000"/>
                <w:sz w:val="24"/>
              </w:rPr>
              <w:t>100%</w:t>
            </w:r>
          </w:p>
        </w:tc>
        <w:tc>
          <w:tcPr>
            <w:tcW w:w="2684" w:type="dxa"/>
            <w:gridSpan w:val="4"/>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对全县的沼气工程进行安全生产大排查700户</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已完成全县700户大排查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在操军镇、禹山镇安装太阳能路灯98盏</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太阳能路灯98盏安装完成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w:t>
            </w:r>
            <w:r>
              <w:rPr>
                <w:rFonts w:hint="eastAsia" w:ascii="仿宋_GB2312" w:hAnsi="仿宋_GB2312" w:eastAsia="仿宋_GB2312" w:cs="仿宋_GB2312"/>
                <w:color w:val="000000"/>
                <w:sz w:val="24"/>
                <w:lang w:eastAsia="zh-CN"/>
              </w:rPr>
              <w:t>完成秸秆综合利用项目的</w:t>
            </w:r>
            <w:r>
              <w:rPr>
                <w:rFonts w:hint="eastAsia" w:ascii="仿宋_GB2312" w:hAnsi="仿宋_GB2312" w:eastAsia="仿宋_GB2312" w:cs="仿宋_GB2312"/>
                <w:color w:val="000000"/>
                <w:sz w:val="24"/>
                <w:lang w:val="en-US" w:eastAsia="zh-CN"/>
              </w:rPr>
              <w:t>95%</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完成了秸秆综合利用项目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12月底对全县的沼气工程进行安全生产大排查</w:t>
            </w:r>
          </w:p>
        </w:tc>
        <w:tc>
          <w:tcPr>
            <w:tcW w:w="2684" w:type="dxa"/>
            <w:gridSpan w:val="4"/>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2021年12月初完成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1月底完成操军镇、禹山镇太阳能路灯安装</w:t>
            </w:r>
          </w:p>
        </w:tc>
        <w:tc>
          <w:tcPr>
            <w:tcW w:w="2684" w:type="dxa"/>
            <w:gridSpan w:val="4"/>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2021年1月完成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指标3：2021年</w:t>
            </w:r>
            <w:r>
              <w:rPr>
                <w:rFonts w:hint="eastAsia" w:ascii="仿宋_GB2312" w:hAnsi="仿宋_GB2312" w:eastAsia="仿宋_GB2312" w:cs="仿宋_GB2312"/>
                <w:color w:val="000000"/>
                <w:sz w:val="24"/>
                <w:lang w:eastAsia="zh-CN"/>
              </w:rPr>
              <w:t>完成秸秆综合利用项目</w:t>
            </w:r>
            <w:r>
              <w:rPr>
                <w:rFonts w:hint="eastAsia" w:ascii="仿宋_GB2312" w:hAnsi="仿宋_GB2312" w:eastAsia="仿宋_GB2312" w:cs="仿宋_GB2312"/>
                <w:color w:val="000000"/>
                <w:sz w:val="24"/>
                <w:lang w:val="en-US" w:eastAsia="zh-CN"/>
              </w:rPr>
              <w:t>95%</w:t>
            </w:r>
          </w:p>
        </w:tc>
        <w:tc>
          <w:tcPr>
            <w:tcW w:w="2684" w:type="dxa"/>
            <w:gridSpan w:val="4"/>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2021年完成总项目的95%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 xml:space="preserve">  485</w:t>
            </w:r>
            <w:r>
              <w:rPr>
                <w:rFonts w:hint="eastAsia" w:ascii="仿宋" w:hAnsi="仿宋" w:eastAsia="仿宋" w:cs="仿宋"/>
                <w:color w:val="000000"/>
                <w:sz w:val="24"/>
                <w:szCs w:val="24"/>
              </w:rPr>
              <w:t>万元</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仿宋" w:hAnsi="仿宋" w:eastAsia="仿宋" w:cs="仿宋"/>
                <w:color w:val="000000"/>
                <w:sz w:val="24"/>
                <w:szCs w:val="24"/>
              </w:rPr>
              <w:t>按项目实施完成投资</w:t>
            </w:r>
            <w:r>
              <w:rPr>
                <w:rFonts w:hint="eastAsia" w:ascii="仿宋" w:hAnsi="仿宋" w:eastAsia="仿宋" w:cs="仿宋"/>
                <w:color w:val="000000"/>
                <w:sz w:val="24"/>
                <w:szCs w:val="24"/>
                <w:lang w:val="en-US" w:eastAsia="zh-CN"/>
              </w:rPr>
              <w:t>485</w:t>
            </w:r>
            <w:r>
              <w:rPr>
                <w:rFonts w:hint="eastAsia" w:ascii="仿宋" w:hAnsi="仿宋" w:eastAsia="仿宋" w:cs="仿宋"/>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lang w:val="en-US" w:eastAsia="zh-CN"/>
              </w:rPr>
              <w:t>杜绝安全隐患</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color w:val="000000"/>
                <w:sz w:val="24"/>
                <w:szCs w:val="24"/>
              </w:rPr>
              <w:t>提高生活品质</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指标3：取得较好社会效益</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color w:val="000000"/>
                <w:sz w:val="24"/>
                <w:szCs w:val="24"/>
              </w:rPr>
              <w:t>提高生活品质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每年约产生经济效益66万元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太阳能路灯节每年约用能开支0.6万元</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4"/>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保护人民生命财产安全，节约用能开支。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减少二氧化碳排放量。</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改善土质，提升土壤肥力。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保护人民生命财产安全，节约用能开支，保护了县域生态环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sz w:val="24"/>
                <w:szCs w:val="24"/>
              </w:rPr>
              <w:t>服务态度服务质量业主满意率100%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Cs/>
                <w:color w:val="000000"/>
                <w:sz w:val="24"/>
                <w:szCs w:val="24"/>
              </w:rPr>
              <w:t>9</w:t>
            </w:r>
            <w:r>
              <w:rPr>
                <w:rFonts w:hint="eastAsia" w:ascii="仿宋" w:hAnsi="仿宋" w:eastAsia="仿宋" w:cs="仿宋"/>
                <w:bCs/>
                <w:color w:val="000000"/>
                <w:sz w:val="24"/>
                <w:szCs w:val="24"/>
                <w:lang w:val="en-US" w:eastAsia="zh-CN"/>
              </w:rPr>
              <w:t>0</w:t>
            </w:r>
            <w:r>
              <w:rPr>
                <w:rFonts w:hint="eastAsia" w:ascii="仿宋" w:hAnsi="仿宋" w:eastAsia="仿宋" w:cs="仿宋"/>
                <w:bCs/>
                <w:color w:val="000000"/>
                <w:sz w:val="24"/>
                <w:szCs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07"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王安全</w:t>
            </w:r>
          </w:p>
        </w:tc>
        <w:tc>
          <w:tcPr>
            <w:tcW w:w="390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  任</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伍  超</w:t>
            </w:r>
          </w:p>
        </w:tc>
        <w:tc>
          <w:tcPr>
            <w:tcW w:w="390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5" w:hRule="atLeast"/>
          <w:jc w:val="center"/>
        </w:trPr>
        <w:tc>
          <w:tcPr>
            <w:tcW w:w="1654"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陈朝辉</w:t>
            </w:r>
          </w:p>
        </w:tc>
        <w:tc>
          <w:tcPr>
            <w:tcW w:w="3907"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副主任</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吴跃辉</w:t>
            </w:r>
          </w:p>
        </w:tc>
        <w:tc>
          <w:tcPr>
            <w:tcW w:w="3907"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113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2" w:hRule="atLeast"/>
          <w:jc w:val="center"/>
        </w:trPr>
        <w:tc>
          <w:tcPr>
            <w:tcW w:w="9558" w:type="dxa"/>
            <w:noWrap w:val="0"/>
            <w:vAlign w:val="top"/>
          </w:tcPr>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center"/>
              <w:textAlignment w:val="auto"/>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keepNext w:val="0"/>
              <w:keepLines w:val="0"/>
              <w:pageBreakBefore w:val="0"/>
              <w:kinsoku/>
              <w:wordWrap/>
              <w:overflowPunct/>
              <w:topLinePunct w:val="0"/>
              <w:autoSpaceDE/>
              <w:autoSpaceDN/>
              <w:bidi w:val="0"/>
              <w:adjustRightInd/>
              <w:snapToGrid/>
              <w:spacing w:line="240" w:lineRule="auto"/>
              <w:ind w:firstLine="883" w:firstLineChars="200"/>
              <w:jc w:val="center"/>
              <w:textAlignment w:val="auto"/>
              <w:rPr>
                <w:rFonts w:hint="eastAsia" w:ascii="仿宋_GB2312" w:hAnsi="方正小标" w:eastAsia="仿宋_GB2312" w:cs="方正小标"/>
                <w:b/>
                <w:bCs/>
                <w:sz w:val="44"/>
                <w:szCs w:val="44"/>
              </w:rPr>
            </w:pPr>
            <w:r>
              <w:rPr>
                <w:rFonts w:hint="eastAsia" w:ascii="仿宋_GB2312" w:hAnsi="方正小标" w:eastAsia="仿宋_GB2312" w:cs="方正小标"/>
                <w:b/>
                <w:bCs/>
                <w:sz w:val="44"/>
                <w:szCs w:val="44"/>
              </w:rPr>
              <w:t>华容县</w:t>
            </w:r>
            <w:r>
              <w:rPr>
                <w:rFonts w:hint="eastAsia" w:ascii="仿宋_GB2312" w:hAnsi="方正小标" w:eastAsia="仿宋_GB2312" w:cs="方正小标"/>
                <w:b/>
                <w:bCs/>
                <w:sz w:val="44"/>
                <w:szCs w:val="44"/>
                <w:lang w:val="en-US" w:eastAsia="zh-CN"/>
              </w:rPr>
              <w:t>农业农村事务</w:t>
            </w:r>
            <w:r>
              <w:rPr>
                <w:rFonts w:hint="eastAsia" w:ascii="仿宋_GB2312" w:hAnsi="方正小标" w:eastAsia="仿宋_GB2312" w:cs="方正小标"/>
                <w:b/>
                <w:bCs/>
                <w:sz w:val="44"/>
                <w:szCs w:val="44"/>
              </w:rPr>
              <w:t>中心</w:t>
            </w:r>
            <w:r>
              <w:rPr>
                <w:rFonts w:hint="eastAsia" w:ascii="仿宋_GB2312" w:hAnsi="方正小标" w:eastAsia="仿宋_GB2312" w:cs="方正小标"/>
                <w:b/>
                <w:bCs/>
                <w:sz w:val="44"/>
                <w:szCs w:val="44"/>
                <w:lang w:val="en-US" w:eastAsia="zh-CN"/>
              </w:rPr>
              <w:t>2022</w:t>
            </w:r>
            <w:r>
              <w:rPr>
                <w:rFonts w:hint="eastAsia" w:ascii="仿宋_GB2312" w:hAnsi="方正小标" w:eastAsia="仿宋_GB2312" w:cs="方正小标"/>
                <w:b/>
                <w:bCs/>
                <w:sz w:val="44"/>
                <w:szCs w:val="44"/>
              </w:rPr>
              <w:t>年部门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rPr>
                <w:rFonts w:hint="eastAsia" w:ascii="仿宋_GB2312" w:hAnsi="方正小标" w:eastAsia="仿宋_GB2312" w:cs="方正小标"/>
                <w:b/>
                <w:bCs/>
                <w:sz w:val="44"/>
                <w:szCs w:val="44"/>
              </w:rPr>
            </w:pPr>
            <w:r>
              <w:rPr>
                <w:rFonts w:hint="eastAsia" w:ascii="仿宋_GB2312" w:hAnsi="方正小标" w:eastAsia="仿宋_GB2312" w:cs="方正小标"/>
                <w:b/>
                <w:bCs/>
                <w:sz w:val="44"/>
                <w:szCs w:val="44"/>
              </w:rPr>
              <w:t>整体支出绩效评价报告</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83" w:firstLineChars="200"/>
              <w:jc w:val="center"/>
              <w:textAlignment w:val="auto"/>
              <w:rPr>
                <w:rFonts w:hint="eastAsia" w:ascii="仿宋_GB2312" w:hAnsi="方正小标" w:eastAsia="仿宋_GB2312" w:cs="方正小标"/>
                <w:b/>
                <w:bCs/>
                <w:sz w:val="44"/>
                <w:szCs w:val="44"/>
              </w:rPr>
            </w:pP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eastAsia="仿宋_GB2312"/>
                <w:sz w:val="32"/>
                <w:szCs w:val="32"/>
              </w:rPr>
            </w:pPr>
            <w:r>
              <w:rPr>
                <w:rFonts w:hint="eastAsia" w:ascii="仿宋_GB2312" w:hAnsi="仿宋_GB2312" w:eastAsia="仿宋_GB2312" w:cs="仿宋_GB2312"/>
                <w:sz w:val="32"/>
                <w:szCs w:val="32"/>
              </w:rPr>
              <w:t>根据华容县财政局关于开展</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年度部门整体支出绩效自评工作的通知，现对</w:t>
            </w:r>
            <w:r>
              <w:rPr>
                <w:rFonts w:hint="eastAsia" w:ascii="仿宋_GB2312" w:hAnsi="方正小标" w:eastAsia="仿宋_GB2312" w:cs="方正小标"/>
                <w:bCs/>
                <w:sz w:val="32"/>
                <w:szCs w:val="32"/>
              </w:rPr>
              <w:t>华容县</w:t>
            </w:r>
            <w:r>
              <w:rPr>
                <w:rFonts w:hint="eastAsia" w:ascii="仿宋_GB2312" w:hAnsi="方正小标" w:eastAsia="仿宋_GB2312" w:cs="方正小标"/>
                <w:bCs/>
                <w:sz w:val="32"/>
                <w:szCs w:val="32"/>
                <w:lang w:val="en-US" w:eastAsia="zh-CN"/>
              </w:rPr>
              <w:t>农业农村事务中心2021</w:t>
            </w:r>
            <w:r>
              <w:rPr>
                <w:rFonts w:hint="eastAsia" w:ascii="仿宋_GB2312" w:hAnsi="仿宋_GB2312" w:eastAsia="仿宋_GB2312" w:cs="仿宋_GB2312"/>
                <w:sz w:val="32"/>
                <w:szCs w:val="32"/>
              </w:rPr>
              <w:t>年度的部门整体支出开展绩效自评，现将情况汇报如下：</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ascii="仿宋_GB2312" w:hAnsi="Arial" w:eastAsia="仿宋_GB2312" w:cs="仿宋_GB2312"/>
                <w:kern w:val="0"/>
                <w:sz w:val="32"/>
                <w:szCs w:val="32"/>
                <w:shd w:val="clear" w:color="auto" w:fill="FFFFFF"/>
                <w:lang w:bidi="ar"/>
              </w:rPr>
            </w:pPr>
            <w:r>
              <w:rPr>
                <w:rFonts w:hint="eastAsia" w:ascii="仿宋_GB2312" w:hAnsi="仿宋_GB2312" w:eastAsia="仿宋_GB2312" w:cs="仿宋_GB2312"/>
                <w:bCs/>
                <w:sz w:val="28"/>
                <w:szCs w:val="28"/>
                <w:lang w:val="en-US" w:eastAsia="zh-CN"/>
              </w:rPr>
              <w:t>华容县农业农村事务中心现有人员编制49名，</w:t>
            </w:r>
            <w:r>
              <w:rPr>
                <w:rFonts w:ascii="仿宋_GB2312" w:hAnsi="Arial" w:eastAsia="仿宋_GB2312" w:cs="仿宋_GB2312"/>
                <w:kern w:val="0"/>
                <w:sz w:val="32"/>
                <w:szCs w:val="32"/>
                <w:shd w:val="clear" w:color="auto" w:fill="FFFFFF"/>
                <w:lang w:bidi="ar"/>
              </w:rPr>
              <w:t>(其中：行政编制</w:t>
            </w:r>
            <w:r>
              <w:rPr>
                <w:rFonts w:hint="eastAsia" w:ascii="仿宋_GB2312" w:hAnsi="Arial" w:eastAsia="仿宋_GB2312" w:cs="仿宋_GB2312"/>
                <w:kern w:val="0"/>
                <w:sz w:val="32"/>
                <w:szCs w:val="32"/>
                <w:shd w:val="clear" w:color="auto" w:fill="FFFFFF"/>
                <w:lang w:bidi="ar"/>
              </w:rPr>
              <w:t>0</w:t>
            </w:r>
            <w:r>
              <w:rPr>
                <w:rFonts w:ascii="仿宋_GB2312" w:hAnsi="Arial" w:eastAsia="仿宋_GB2312" w:cs="仿宋_GB2312"/>
                <w:kern w:val="0"/>
                <w:sz w:val="32"/>
                <w:szCs w:val="32"/>
                <w:shd w:val="clear" w:color="auto" w:fill="FFFFFF"/>
                <w:lang w:bidi="ar"/>
              </w:rPr>
              <w:t xml:space="preserve"> 名；事业全额编制</w:t>
            </w:r>
            <w:r>
              <w:rPr>
                <w:rFonts w:hint="eastAsia" w:ascii="仿宋_GB2312" w:hAnsi="Arial" w:eastAsia="仿宋_GB2312" w:cs="仿宋_GB2312"/>
                <w:kern w:val="0"/>
                <w:sz w:val="32"/>
                <w:szCs w:val="32"/>
                <w:shd w:val="clear" w:color="auto" w:fill="FFFFFF"/>
                <w:lang w:val="en-US" w:eastAsia="zh-CN" w:bidi="ar"/>
              </w:rPr>
              <w:t>49</w:t>
            </w:r>
            <w:r>
              <w:rPr>
                <w:rFonts w:ascii="仿宋_GB2312" w:hAnsi="Arial" w:eastAsia="仿宋_GB2312" w:cs="仿宋_GB2312"/>
                <w:kern w:val="0"/>
                <w:sz w:val="32"/>
                <w:szCs w:val="32"/>
                <w:shd w:val="clear" w:color="auto" w:fill="FFFFFF"/>
                <w:lang w:bidi="ar"/>
              </w:rPr>
              <w:t>名;事业差额编制</w:t>
            </w:r>
            <w:r>
              <w:rPr>
                <w:rFonts w:hint="eastAsia" w:ascii="仿宋_GB2312" w:hAnsi="Arial" w:eastAsia="仿宋_GB2312" w:cs="仿宋_GB2312"/>
                <w:kern w:val="0"/>
                <w:sz w:val="32"/>
                <w:szCs w:val="32"/>
                <w:shd w:val="clear" w:color="auto" w:fill="FFFFFF"/>
                <w:lang w:bidi="ar"/>
              </w:rPr>
              <w:t>0</w:t>
            </w:r>
            <w:r>
              <w:rPr>
                <w:rFonts w:ascii="仿宋_GB2312" w:hAnsi="Arial" w:eastAsia="仿宋_GB2312" w:cs="仿宋_GB2312"/>
                <w:kern w:val="0"/>
                <w:sz w:val="32"/>
                <w:szCs w:val="32"/>
                <w:shd w:val="clear" w:color="auto" w:fill="FFFFFF"/>
                <w:lang w:bidi="ar"/>
              </w:rPr>
              <w:t xml:space="preserve">名；自收自支编制 </w:t>
            </w:r>
            <w:r>
              <w:rPr>
                <w:rFonts w:hint="eastAsia" w:ascii="仿宋_GB2312" w:hAnsi="Arial" w:eastAsia="仿宋_GB2312" w:cs="仿宋_GB2312"/>
                <w:kern w:val="0"/>
                <w:sz w:val="32"/>
                <w:szCs w:val="32"/>
                <w:shd w:val="clear" w:color="auto" w:fill="FFFFFF"/>
                <w:lang w:bidi="ar"/>
              </w:rPr>
              <w:t>0</w:t>
            </w:r>
            <w:r>
              <w:rPr>
                <w:rFonts w:ascii="仿宋_GB2312" w:hAnsi="Arial" w:eastAsia="仿宋_GB2312" w:cs="仿宋_GB2312"/>
                <w:kern w:val="0"/>
                <w:sz w:val="32"/>
                <w:szCs w:val="32"/>
                <w:shd w:val="clear" w:color="auto" w:fill="FFFFFF"/>
                <w:lang w:bidi="ar"/>
              </w:rPr>
              <w:t>名；工勤编制</w:t>
            </w:r>
            <w:r>
              <w:rPr>
                <w:rFonts w:hint="eastAsia" w:ascii="仿宋_GB2312" w:hAnsi="Arial" w:eastAsia="仿宋_GB2312" w:cs="仿宋_GB2312"/>
                <w:kern w:val="0"/>
                <w:sz w:val="32"/>
                <w:szCs w:val="32"/>
                <w:shd w:val="clear" w:color="auto" w:fill="FFFFFF"/>
                <w:lang w:bidi="ar"/>
              </w:rPr>
              <w:t>0</w:t>
            </w:r>
            <w:r>
              <w:rPr>
                <w:rFonts w:ascii="仿宋_GB2312" w:hAnsi="Arial" w:eastAsia="仿宋_GB2312" w:cs="仿宋_GB2312"/>
                <w:kern w:val="0"/>
                <w:sz w:val="32"/>
                <w:szCs w:val="32"/>
                <w:shd w:val="clear" w:color="auto" w:fill="FFFFFF"/>
                <w:lang w:bidi="ar"/>
              </w:rPr>
              <w:t>名)；实有人员</w:t>
            </w:r>
            <w:r>
              <w:rPr>
                <w:rFonts w:hint="eastAsia" w:ascii="仿宋_GB2312" w:hAnsi="Arial" w:eastAsia="仿宋_GB2312" w:cs="仿宋_GB2312"/>
                <w:kern w:val="0"/>
                <w:sz w:val="32"/>
                <w:szCs w:val="32"/>
                <w:shd w:val="clear" w:color="auto" w:fill="FFFFFF"/>
                <w:lang w:val="en-US" w:eastAsia="zh-CN" w:bidi="ar"/>
              </w:rPr>
              <w:t>47</w:t>
            </w:r>
            <w:r>
              <w:rPr>
                <w:rFonts w:ascii="仿宋_GB2312" w:hAnsi="Arial" w:eastAsia="仿宋_GB2312" w:cs="仿宋_GB2312"/>
                <w:kern w:val="0"/>
                <w:sz w:val="32"/>
                <w:szCs w:val="32"/>
                <w:shd w:val="clear" w:color="auto" w:fill="FFFFFF"/>
                <w:lang w:bidi="ar"/>
              </w:rPr>
              <w:t>人（其中：全额人员</w:t>
            </w:r>
            <w:r>
              <w:rPr>
                <w:rFonts w:hint="eastAsia" w:ascii="仿宋_GB2312" w:hAnsi="Arial" w:eastAsia="仿宋_GB2312" w:cs="仿宋_GB2312"/>
                <w:kern w:val="0"/>
                <w:sz w:val="32"/>
                <w:szCs w:val="32"/>
                <w:shd w:val="clear" w:color="auto" w:fill="FFFFFF"/>
                <w:lang w:val="en-US" w:eastAsia="zh-CN" w:bidi="ar"/>
              </w:rPr>
              <w:t>47</w:t>
            </w:r>
            <w:r>
              <w:rPr>
                <w:rFonts w:ascii="仿宋_GB2312" w:hAnsi="Arial" w:eastAsia="仿宋_GB2312" w:cs="仿宋_GB2312"/>
                <w:kern w:val="0"/>
                <w:sz w:val="32"/>
                <w:szCs w:val="32"/>
                <w:shd w:val="clear" w:color="auto" w:fill="FFFFFF"/>
                <w:lang w:bidi="ar"/>
              </w:rPr>
              <w:t>人；差额人员</w:t>
            </w:r>
            <w:r>
              <w:rPr>
                <w:rFonts w:hint="eastAsia" w:ascii="仿宋_GB2312" w:hAnsi="Arial" w:eastAsia="仿宋_GB2312" w:cs="仿宋_GB2312"/>
                <w:kern w:val="0"/>
                <w:sz w:val="32"/>
                <w:szCs w:val="32"/>
                <w:shd w:val="clear" w:color="auto" w:fill="FFFFFF"/>
                <w:lang w:bidi="ar"/>
              </w:rPr>
              <w:t>0</w:t>
            </w:r>
            <w:r>
              <w:rPr>
                <w:rFonts w:ascii="仿宋_GB2312" w:hAnsi="Arial" w:eastAsia="仿宋_GB2312" w:cs="仿宋_GB2312"/>
                <w:kern w:val="0"/>
                <w:sz w:val="32"/>
                <w:szCs w:val="32"/>
                <w:shd w:val="clear" w:color="auto" w:fill="FFFFFF"/>
                <w:lang w:bidi="ar"/>
              </w:rPr>
              <w:t>人）。</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部门整体收支情况</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rPr>
              <w:t>（1）收入情况：全年收入</w:t>
            </w:r>
            <w:r>
              <w:rPr>
                <w:rFonts w:hint="eastAsia" w:ascii="仿宋_GB2312" w:hAnsi="仿宋_GB2312" w:eastAsia="仿宋_GB2312" w:cs="仿宋_GB2312"/>
                <w:sz w:val="32"/>
                <w:szCs w:val="32"/>
                <w:lang w:val="en-US" w:eastAsia="zh-CN"/>
              </w:rPr>
              <w:t>1136.73</w:t>
            </w:r>
            <w:r>
              <w:rPr>
                <w:rFonts w:hint="eastAsia" w:ascii="仿宋_GB2312" w:hAnsi="仿宋_GB2312" w:eastAsia="仿宋_GB2312" w:cs="仿宋_GB2312"/>
                <w:sz w:val="32"/>
                <w:szCs w:val="32"/>
              </w:rPr>
              <w:t>万元，其中：财政预算</w:t>
            </w:r>
            <w:r>
              <w:rPr>
                <w:rFonts w:hint="eastAsia" w:ascii="仿宋_GB2312" w:hAnsi="仿宋_GB2312" w:eastAsia="仿宋_GB2312" w:cs="仿宋_GB2312"/>
                <w:sz w:val="32"/>
                <w:szCs w:val="32"/>
                <w:lang w:val="en-US" w:eastAsia="zh-CN"/>
              </w:rPr>
              <w:t>1136.73</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省级专项481.36万元</w:t>
            </w:r>
            <w:r>
              <w:rPr>
                <w:rFonts w:hint="eastAsia" w:ascii="仿宋_GB2312" w:hAnsi="宋体" w:eastAsia="仿宋_GB2312" w:cs="宋体"/>
                <w:sz w:val="32"/>
                <w:szCs w:val="32"/>
              </w:rPr>
              <w:t>（2）支出情况:全年支出</w:t>
            </w:r>
            <w:r>
              <w:rPr>
                <w:rFonts w:hint="eastAsia" w:ascii="仿宋_GB2312" w:hAnsi="仿宋_GB2312" w:eastAsia="仿宋_GB2312" w:cs="仿宋_GB2312"/>
                <w:sz w:val="32"/>
                <w:szCs w:val="32"/>
                <w:lang w:val="en-US" w:eastAsia="zh-CN"/>
              </w:rPr>
              <w:t>1136.73</w:t>
            </w:r>
            <w:r>
              <w:rPr>
                <w:rFonts w:hint="eastAsia" w:ascii="仿宋_GB2312" w:hAnsi="宋体" w:eastAsia="仿宋_GB2312" w:cs="宋体"/>
                <w:sz w:val="32"/>
                <w:szCs w:val="32"/>
              </w:rPr>
              <w:t>万元,其中：基本支出</w:t>
            </w:r>
            <w:r>
              <w:rPr>
                <w:rFonts w:hint="eastAsia" w:ascii="仿宋_GB2312" w:hAnsi="方正小标" w:eastAsia="仿宋_GB2312" w:cs="方正小标"/>
                <w:bCs/>
                <w:sz w:val="32"/>
                <w:szCs w:val="32"/>
                <w:lang w:val="en-US" w:eastAsia="zh-CN"/>
              </w:rPr>
              <w:t>655.37</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项目支出481.36万元。</w:t>
            </w:r>
            <w:r>
              <w:rPr>
                <w:rFonts w:hint="eastAsia" w:ascii="仿宋_GB2312" w:hAnsi="宋体" w:eastAsia="仿宋_GB2312" w:cs="宋体"/>
                <w:sz w:val="32"/>
                <w:szCs w:val="32"/>
              </w:rPr>
              <w:t>（工资福利支出</w:t>
            </w:r>
            <w:r>
              <w:rPr>
                <w:rFonts w:hint="eastAsia" w:ascii="仿宋_GB2312" w:hAnsi="方正小标" w:eastAsia="仿宋_GB2312" w:cs="方正小标"/>
                <w:bCs/>
                <w:sz w:val="32"/>
                <w:szCs w:val="32"/>
                <w:lang w:val="en-US" w:eastAsia="zh-CN"/>
              </w:rPr>
              <w:t>453.16</w:t>
            </w:r>
            <w:r>
              <w:rPr>
                <w:rFonts w:hint="eastAsia" w:ascii="仿宋_GB2312" w:hAnsi="宋体" w:eastAsia="仿宋_GB2312" w:cs="宋体"/>
                <w:sz w:val="32"/>
                <w:szCs w:val="32"/>
              </w:rPr>
              <w:t>万元;商品和服务支出</w:t>
            </w:r>
            <w:r>
              <w:rPr>
                <w:rFonts w:hint="eastAsia" w:ascii="仿宋_GB2312" w:hAnsi="方正小标" w:eastAsia="仿宋_GB2312" w:cs="方正小标"/>
                <w:bCs/>
                <w:sz w:val="32"/>
                <w:szCs w:val="32"/>
                <w:lang w:val="en-US" w:eastAsia="zh-CN"/>
              </w:rPr>
              <w:t>408.13</w:t>
            </w:r>
            <w:r>
              <w:rPr>
                <w:rFonts w:hint="eastAsia" w:ascii="仿宋_GB2312" w:hAnsi="宋体" w:eastAsia="仿宋_GB2312" w:cs="宋体"/>
                <w:sz w:val="32"/>
                <w:szCs w:val="32"/>
              </w:rPr>
              <w:t>万元：其中公务接待费</w:t>
            </w:r>
            <w:r>
              <w:rPr>
                <w:rFonts w:hint="eastAsia" w:ascii="仿宋_GB2312" w:hAnsi="宋体" w:eastAsia="仿宋_GB2312" w:cs="宋体"/>
                <w:sz w:val="32"/>
                <w:szCs w:val="32"/>
                <w:lang w:val="en-US" w:eastAsia="zh-CN"/>
              </w:rPr>
              <w:t>2.27</w:t>
            </w:r>
            <w:r>
              <w:rPr>
                <w:rFonts w:hint="eastAsia" w:ascii="仿宋_GB2312" w:hAnsi="宋体" w:eastAsia="仿宋_GB2312" w:cs="宋体"/>
                <w:sz w:val="32"/>
                <w:szCs w:val="32"/>
              </w:rPr>
              <w:t>万元,车改补贴</w:t>
            </w:r>
            <w:r>
              <w:rPr>
                <w:rFonts w:hint="eastAsia" w:ascii="仿宋_GB2312" w:hAnsi="宋体" w:eastAsia="仿宋_GB2312" w:cs="宋体"/>
                <w:sz w:val="32"/>
                <w:szCs w:val="32"/>
                <w:lang w:val="en-US" w:eastAsia="zh-CN"/>
              </w:rPr>
              <w:t>7.9</w:t>
            </w:r>
            <w:r>
              <w:rPr>
                <w:rFonts w:hint="eastAsia" w:ascii="仿宋_GB2312" w:hAnsi="宋体" w:eastAsia="仿宋_GB2312" w:cs="宋体"/>
                <w:sz w:val="32"/>
                <w:szCs w:val="32"/>
              </w:rPr>
              <w:t>万元;对个人和家庭补助支出</w:t>
            </w:r>
            <w:r>
              <w:rPr>
                <w:rFonts w:hint="eastAsia" w:ascii="仿宋_GB2312" w:hAnsi="方正小标" w:eastAsia="仿宋_GB2312" w:cs="方正小标"/>
                <w:bCs/>
                <w:sz w:val="32"/>
                <w:szCs w:val="32"/>
                <w:lang w:val="en-US" w:eastAsia="zh-CN"/>
              </w:rPr>
              <w:t>15.44</w:t>
            </w:r>
            <w:r>
              <w:rPr>
                <w:rFonts w:hint="eastAsia" w:ascii="仿宋_GB2312" w:hAnsi="宋体" w:eastAsia="仿宋_GB2312" w:cs="宋体"/>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（1）为机关提供支持保障的职能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auto"/>
                <w:sz w:val="32"/>
                <w:szCs w:val="32"/>
                <w:highlight w:val="none"/>
                <w:lang w:val="en-US" w:eastAsia="zh-CN"/>
              </w:rPr>
              <w:t>.协助制订农业产业发展规划，组织农业项目评审等行政辅助工作；承担全县基层农业技术推广体系和农业广播电视学校体系建设、业务指导和工作考评；协助建立农业综合技术推广体系建设和农业信息化网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2.承担种植业、农机、生态能源等高质量发展的事务性工作；承担产业规划与布局、标准生产等技术支撑工作。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3.承担指导农机社会化服务和农机装备产业化发展等技术支撑工作。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4.承担生态能源调查研究工作，研究制定全县生态能源中长期发展规划和技术措施；承担农村生产和生活能源开发、利用与节约管理等技术支撑工作。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5.承担农作物种子的研究，对粮油和蔬菜种子进行品比、区试、筛选、示范；承担农业技术开发和研究项目等技术支撑工作。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（2）面向社会提供公益服务的职能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1.宣传贯彻执行农业技术推广、生态能源建设相关法律法规；制定全县农业技术推广计划，编制行业标准及技术规程，组织实施农业技术推广项目；组织开展生态能源建设和节能及安全用气宣传教育工作。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2.开展种植业、生态能源、农业机械化行业的成果和实用技术推广，通过试验、示范、培训、指导以及咨询服务等方式，将农业新技术、新模式、新品种、新机具、新设施的引进推广应用于农业生产全过程。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建设和培育农业综合科技示范基地，运用现代农业综合技术手段树立高产优质增产增收样板，利用现代信息化服务手段开展观摩和培训学习；办好农业科技示范点，开展农业产前、产中、产后服务；承担农业科技项目申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4.开展农业技术和农业经济信息服务，承担全县种植业和市场信息监测和统计分析工作，研究提出种植业、农机产业发展的政策建议和资源保护政策措施建议，承担种植业、农机发展项目相关服务性工作。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5.负责对农业机械牌证和驾驶员证件的核发，负责对驾驶员进行考试、考核和审验；负责农业机械报废审验和“平安农机”创建工作；负责农业机械的安全技术检验及驾驶员的安全监督检查，协助处理农机事故。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负责全县生态能源项目的申报、实施与指导；负责行业内安全生产宣传及技术培训；负责全县沼气工程、城市污水净化工程、秸秆综合利用、太阳能、风能、生物质能、地热能等开发利用与管理；完善全县生态能源服务体系、技术体系，规范技术队伍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负责培训农业科技人员，组织学员开展技术服务、技术承包，推广优良品种和农业科学技术，举办各种实用技术培训班；负责农村劳动力技能培训、就业培训，组织引导农民进入第三产业，进城务工，促进农民增收。适时开展、组织、举办参与农民体育赛事，促进农村精神文明建设。</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宋体" w:eastAsia="仿宋_GB2312" w:cs="宋体"/>
                <w:sz w:val="32"/>
                <w:szCs w:val="32"/>
                <w:lang w:val="en-US" w:eastAsia="zh-CN"/>
              </w:rPr>
            </w:pPr>
            <w:r>
              <w:rPr>
                <w:rFonts w:hint="eastAsia" w:ascii="仿宋" w:hAnsi="仿宋" w:eastAsia="仿宋" w:cs="仿宋"/>
                <w:sz w:val="32"/>
                <w:szCs w:val="32"/>
                <w:lang w:val="en-US" w:eastAsia="zh-CN"/>
              </w:rPr>
              <w:t>（3）承担县农业农村局交办的其他工作。</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华容县农业农村事务中心2021年基本支出为</w:t>
            </w:r>
            <w:r>
              <w:rPr>
                <w:rFonts w:hint="eastAsia" w:ascii="仿宋_GB2312" w:hAnsi="方正小标" w:eastAsia="仿宋_GB2312" w:cs="方正小标"/>
                <w:bCs/>
                <w:sz w:val="32"/>
                <w:szCs w:val="32"/>
                <w:lang w:val="en-US" w:eastAsia="zh-CN"/>
              </w:rPr>
              <w:t>655.37</w:t>
            </w:r>
            <w:r>
              <w:rPr>
                <w:rFonts w:hint="eastAsia" w:ascii="仿宋_GB2312" w:hAnsi="仿宋_GB2312" w:eastAsia="仿宋_GB2312" w:cs="仿宋_GB2312"/>
                <w:bCs/>
                <w:sz w:val="28"/>
                <w:szCs w:val="28"/>
                <w:lang w:val="en-US" w:eastAsia="zh-CN"/>
              </w:rPr>
              <w:t>万元，其中人员支出468.60万元，公用支出186.77万元。</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Cs/>
                <w:sz w:val="28"/>
                <w:szCs w:val="28"/>
                <w:lang w:val="en-US" w:eastAsia="zh-CN"/>
              </w:rPr>
            </w:pPr>
            <w:r>
              <w:rPr>
                <w:rFonts w:hint="eastAsia" w:ascii="仿宋" w:hAnsi="仿宋" w:eastAsia="仿宋" w:cs="仿宋"/>
                <w:sz w:val="28"/>
                <w:szCs w:val="28"/>
              </w:rPr>
              <w:t>2021年度项目支出</w:t>
            </w:r>
            <w:r>
              <w:rPr>
                <w:rFonts w:hint="eastAsia" w:ascii="仿宋" w:hAnsi="仿宋" w:eastAsia="仿宋" w:cs="仿宋"/>
                <w:sz w:val="28"/>
                <w:szCs w:val="28"/>
                <w:lang w:val="en-US" w:eastAsia="zh-CN"/>
              </w:rPr>
              <w:t>481.36</w:t>
            </w:r>
            <w:r>
              <w:rPr>
                <w:rFonts w:hint="eastAsia" w:ascii="仿宋" w:hAnsi="仿宋" w:eastAsia="仿宋" w:cs="仿宋"/>
                <w:sz w:val="28"/>
                <w:szCs w:val="28"/>
              </w:rPr>
              <w:t>万元（财政拨款</w:t>
            </w:r>
            <w:r>
              <w:rPr>
                <w:rFonts w:hint="eastAsia" w:ascii="仿宋" w:hAnsi="仿宋" w:eastAsia="仿宋" w:cs="仿宋"/>
                <w:sz w:val="28"/>
                <w:szCs w:val="28"/>
                <w:lang w:val="en-US" w:eastAsia="zh-CN"/>
              </w:rPr>
              <w:t>481.36</w:t>
            </w:r>
            <w:r>
              <w:rPr>
                <w:rFonts w:hint="eastAsia" w:ascii="仿宋" w:hAnsi="仿宋" w:eastAsia="仿宋" w:cs="仿宋"/>
                <w:sz w:val="28"/>
                <w:szCs w:val="28"/>
              </w:rPr>
              <w:t>万元），其中商品和服务支出</w:t>
            </w:r>
            <w:r>
              <w:rPr>
                <w:rFonts w:hint="eastAsia" w:ascii="仿宋" w:hAnsi="仿宋" w:eastAsia="仿宋" w:cs="仿宋"/>
                <w:sz w:val="28"/>
                <w:szCs w:val="28"/>
                <w:lang w:val="en-US" w:eastAsia="zh-CN"/>
              </w:rPr>
              <w:t>221.36</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资本性支出260.00万元。</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专项资金实际使用情况分析</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2021年度项目支出481.36万元，主要项目包括：咨询费20.00万元，差旅费5.20万元，劳务费52.16万元，委托业务费78.00万元，其他商品和服务支出66.00万元，基础设施建设260.00万元。</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专项资金管理情况分析</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资金拨付严格按照中央财政专项资金使用管理办法，有完整的审批程序，符合项目预算批复要求，无截留、挤占、挪用、虚列支出等情况，会计核算准确，财务资料完整，符合国家财经法规和财务管理及相关专项资金管理办法的规定。</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本单位</w:t>
            </w:r>
            <w:r>
              <w:rPr>
                <w:rFonts w:hint="eastAsia" w:ascii="仿宋" w:hAnsi="仿宋" w:eastAsia="仿宋" w:cs="仿宋"/>
                <w:sz w:val="28"/>
                <w:szCs w:val="28"/>
              </w:rPr>
              <w:t>项目根据</w:t>
            </w:r>
            <w:r>
              <w:rPr>
                <w:rFonts w:hint="eastAsia" w:ascii="仿宋" w:hAnsi="仿宋" w:eastAsia="仿宋" w:cs="仿宋"/>
                <w:sz w:val="28"/>
                <w:szCs w:val="28"/>
                <w:lang w:val="en-US" w:eastAsia="zh-CN"/>
              </w:rPr>
              <w:t>相关要求进行</w:t>
            </w:r>
            <w:r>
              <w:rPr>
                <w:rFonts w:hint="eastAsia" w:ascii="仿宋" w:hAnsi="仿宋" w:eastAsia="仿宋" w:cs="仿宋"/>
                <w:sz w:val="28"/>
                <w:szCs w:val="28"/>
              </w:rPr>
              <w:t>开展。通过调研项目情况、收集项目资料、完善评价指标、实施现场评价、审核评价报告等一系列规范有序的程序，项目执行情况较好，能够按照制定的计划完成，预期绩效目标也基本实现，在经济效益和社会效益等方面都取得了明显成效，同时各项目的运行均按相关规章制度执行，不存在违法违规等现象</w:t>
            </w:r>
            <w:r>
              <w:rPr>
                <w:rFonts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专项实施后实现了预定的绩效目标，项目依据充分，并且目标明确，工作步骤清晰，预定目标设置合理，符合要求。</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2021年度支出总额</w:t>
            </w:r>
            <w:r>
              <w:rPr>
                <w:rFonts w:hint="eastAsia" w:ascii="仿宋" w:hAnsi="仿宋" w:eastAsia="仿宋" w:cs="仿宋"/>
                <w:sz w:val="28"/>
                <w:szCs w:val="28"/>
                <w:lang w:val="en-US" w:eastAsia="zh-CN"/>
              </w:rPr>
              <w:t>1136.73</w:t>
            </w:r>
            <w:r>
              <w:rPr>
                <w:rFonts w:hint="eastAsia" w:ascii="仿宋" w:hAnsi="仿宋" w:eastAsia="仿宋" w:cs="仿宋"/>
                <w:sz w:val="28"/>
                <w:szCs w:val="28"/>
              </w:rPr>
              <w:t>万元，其中基本支出</w:t>
            </w:r>
            <w:r>
              <w:rPr>
                <w:rFonts w:hint="eastAsia" w:ascii="仿宋" w:hAnsi="仿宋" w:eastAsia="仿宋" w:cs="仿宋"/>
                <w:sz w:val="28"/>
                <w:szCs w:val="28"/>
                <w:lang w:val="en-US" w:eastAsia="zh-CN"/>
              </w:rPr>
              <w:t>655.37</w:t>
            </w:r>
            <w:r>
              <w:rPr>
                <w:rFonts w:hint="eastAsia" w:ascii="仿宋" w:hAnsi="仿宋" w:eastAsia="仿宋" w:cs="仿宋"/>
                <w:sz w:val="28"/>
                <w:szCs w:val="28"/>
              </w:rPr>
              <w:t>万元，基本支出保障了单位正常运转的日常支出，包括基本工资、津贴补贴等人员经费以及办公费、水电费、差旅费等日常公用经费；项目支出金额</w:t>
            </w:r>
            <w:r>
              <w:rPr>
                <w:rFonts w:hint="eastAsia" w:ascii="仿宋" w:hAnsi="仿宋" w:eastAsia="仿宋" w:cs="仿宋"/>
                <w:sz w:val="28"/>
                <w:szCs w:val="28"/>
                <w:lang w:val="en-US" w:eastAsia="zh-CN"/>
              </w:rPr>
              <w:t>481.36</w:t>
            </w:r>
            <w:r>
              <w:rPr>
                <w:rFonts w:hint="eastAsia" w:ascii="仿宋" w:hAnsi="仿宋" w:eastAsia="仿宋" w:cs="仿宋"/>
                <w:sz w:val="28"/>
                <w:szCs w:val="28"/>
              </w:rPr>
              <w:t>万元，项目支出主要用于</w:t>
            </w:r>
            <w:r>
              <w:rPr>
                <w:rFonts w:hint="eastAsia" w:ascii="仿宋" w:hAnsi="仿宋" w:eastAsia="仿宋" w:cs="仿宋"/>
                <w:sz w:val="28"/>
                <w:szCs w:val="28"/>
                <w:lang w:val="en-US" w:eastAsia="zh-CN"/>
              </w:rPr>
              <w:t>咨询费、差旅费、劳务费、委托业务费、其他商品和服务支出、基础设施建设</w:t>
            </w:r>
            <w:r>
              <w:rPr>
                <w:rFonts w:hint="eastAsia" w:ascii="仿宋" w:hAnsi="仿宋" w:eastAsia="仿宋" w:cs="仿宋"/>
                <w:sz w:val="28"/>
                <w:szCs w:val="28"/>
              </w:rPr>
              <w:t>等。</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目前我</w:t>
            </w:r>
            <w:r>
              <w:rPr>
                <w:rFonts w:hint="eastAsia" w:ascii="仿宋" w:hAnsi="仿宋" w:eastAsia="仿宋" w:cs="仿宋"/>
                <w:sz w:val="28"/>
                <w:szCs w:val="28"/>
                <w:lang w:val="en-US" w:eastAsia="zh-CN"/>
              </w:rPr>
              <w:t>单位</w:t>
            </w:r>
            <w:r>
              <w:rPr>
                <w:rFonts w:hint="eastAsia" w:ascii="仿宋" w:hAnsi="仿宋" w:eastAsia="仿宋" w:cs="仿宋"/>
                <w:sz w:val="28"/>
                <w:szCs w:val="28"/>
              </w:rPr>
              <w:t>在项目绩效目标设定、预算执行、资金使用等方面，不同程度地存在一些操作不够规范、跟踪不够及时、衔接不够充分、监督不到位等问题。</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eastAsia="楷体_GB2312"/>
                <w:bCs/>
                <w:sz w:val="28"/>
                <w:szCs w:val="28"/>
              </w:rPr>
            </w:pPr>
            <w:r>
              <w:rPr>
                <w:rFonts w:hint="eastAsia" w:ascii="仿宋" w:hAnsi="仿宋" w:eastAsia="仿宋" w:cs="仿宋"/>
                <w:sz w:val="28"/>
                <w:szCs w:val="28"/>
              </w:rPr>
              <w:t>我</w:t>
            </w:r>
            <w:r>
              <w:rPr>
                <w:rFonts w:hint="eastAsia" w:ascii="仿宋" w:hAnsi="仿宋" w:eastAsia="仿宋" w:cs="仿宋"/>
                <w:sz w:val="28"/>
                <w:szCs w:val="28"/>
                <w:lang w:val="en-US" w:eastAsia="zh-CN"/>
              </w:rPr>
              <w:t>单位</w:t>
            </w:r>
            <w:r>
              <w:rPr>
                <w:rFonts w:hint="eastAsia" w:ascii="仿宋" w:hAnsi="仿宋" w:eastAsia="仿宋" w:cs="仿宋"/>
                <w:sz w:val="28"/>
                <w:szCs w:val="28"/>
              </w:rPr>
              <w:t>应立足实际，坚持推行精细化管理，强化预算绩效目标管理、细化绩效目标，并将绩效目标细化分解为具体工作计划，同时，计划应明确规定在一定时间内完成的目标、任务和和应达到的要求，任务和要求应具体明确任务数量、质量。建立健全各项资金管理制度，严格执行财务管理制度，做到了财务处理及时，会计核算规范，严格按照计划进度支付。各项目资金严格实行专款专用，保证更规范严要求使用资金。在下年度的预算编制工作中，我们会时刻跟踪项目的进度，更好地完成预算资金，做好绩效评价工作。</w:t>
            </w:r>
          </w:p>
        </w:tc>
      </w:tr>
    </w:tbl>
    <w:p>
      <w:pPr>
        <w:spacing w:line="348" w:lineRule="auto"/>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714C3"/>
    <w:multiLevelType w:val="singleLevel"/>
    <w:tmpl w:val="C06714C3"/>
    <w:lvl w:ilvl="0" w:tentative="0">
      <w:start w:val="5"/>
      <w:numFmt w:val="chineseCounting"/>
      <w:suff w:val="nothing"/>
      <w:lvlText w:val="%1、"/>
      <w:lvlJc w:val="left"/>
      <w:rPr>
        <w:rFonts w:hint="eastAsia"/>
      </w:rPr>
    </w:lvl>
  </w:abstractNum>
  <w:abstractNum w:abstractNumId="1">
    <w:nsid w:val="426D6979"/>
    <w:multiLevelType w:val="singleLevel"/>
    <w:tmpl w:val="426D697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MjVhYjFhMTY4YzZjNTcxODdlZjZlMWRhOTQxZjkifQ=="/>
  </w:docVars>
  <w:rsids>
    <w:rsidRoot w:val="2CE55C20"/>
    <w:rsid w:val="007B2063"/>
    <w:rsid w:val="01F8440D"/>
    <w:rsid w:val="034F2AD5"/>
    <w:rsid w:val="0499496D"/>
    <w:rsid w:val="06C63E61"/>
    <w:rsid w:val="083749E7"/>
    <w:rsid w:val="0CA7468B"/>
    <w:rsid w:val="0CB679B8"/>
    <w:rsid w:val="0DE528CD"/>
    <w:rsid w:val="0F116A08"/>
    <w:rsid w:val="1336279F"/>
    <w:rsid w:val="18725427"/>
    <w:rsid w:val="214C5014"/>
    <w:rsid w:val="254E2FC7"/>
    <w:rsid w:val="25B607B7"/>
    <w:rsid w:val="263C173A"/>
    <w:rsid w:val="289D055E"/>
    <w:rsid w:val="2C1B4DF1"/>
    <w:rsid w:val="2C9F197B"/>
    <w:rsid w:val="2CA33441"/>
    <w:rsid w:val="2CE55C20"/>
    <w:rsid w:val="2F287302"/>
    <w:rsid w:val="30426D13"/>
    <w:rsid w:val="326775E9"/>
    <w:rsid w:val="3414570A"/>
    <w:rsid w:val="347B3B29"/>
    <w:rsid w:val="3A43255A"/>
    <w:rsid w:val="3AF72DBC"/>
    <w:rsid w:val="3D6201A1"/>
    <w:rsid w:val="3EC46785"/>
    <w:rsid w:val="3F8A6044"/>
    <w:rsid w:val="3F9C09BE"/>
    <w:rsid w:val="43A702D9"/>
    <w:rsid w:val="44592EA4"/>
    <w:rsid w:val="477245B4"/>
    <w:rsid w:val="49617FA5"/>
    <w:rsid w:val="4999206A"/>
    <w:rsid w:val="4D171D42"/>
    <w:rsid w:val="4E4F0BB0"/>
    <w:rsid w:val="5BE95901"/>
    <w:rsid w:val="5C8F348F"/>
    <w:rsid w:val="5F5C5C1B"/>
    <w:rsid w:val="61120EF7"/>
    <w:rsid w:val="63FD56C6"/>
    <w:rsid w:val="67E41E29"/>
    <w:rsid w:val="681E7359"/>
    <w:rsid w:val="6A0A15CD"/>
    <w:rsid w:val="6B52165F"/>
    <w:rsid w:val="6CAB169B"/>
    <w:rsid w:val="6D452F22"/>
    <w:rsid w:val="6D90478B"/>
    <w:rsid w:val="6DF352BD"/>
    <w:rsid w:val="6E090B68"/>
    <w:rsid w:val="705E3E6D"/>
    <w:rsid w:val="71C1048A"/>
    <w:rsid w:val="7396188C"/>
    <w:rsid w:val="73F35F5B"/>
    <w:rsid w:val="79C04582"/>
    <w:rsid w:val="7B991708"/>
    <w:rsid w:val="7BAD28F6"/>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Calibri" w:hAnsi="Calibri"/>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5561</Words>
  <Characters>5981</Characters>
  <Lines>0</Lines>
  <Paragraphs>0</Paragraphs>
  <TotalTime>19</TotalTime>
  <ScaleCrop>false</ScaleCrop>
  <LinksUpToDate>false</LinksUpToDate>
  <CharactersWithSpaces>6529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WPS_1509785588</cp:lastModifiedBy>
  <cp:lastPrinted>2022-06-06T08:01:00Z</cp:lastPrinted>
  <dcterms:modified xsi:type="dcterms:W3CDTF">2022-10-14T02:28:30Z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