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华容县经济研究中心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102003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652"/>
        <w:gridCol w:w="53"/>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盛乐</w:t>
            </w:r>
          </w:p>
        </w:tc>
        <w:tc>
          <w:tcPr>
            <w:tcW w:w="165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933"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18274008592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165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933"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（1）负责起草《政府工作报告》和县政府主要领导同志重要讲话、报告、文章。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（2）负责起草、审核县政府向上级党委、政府的重要汇报材料；协同有关方面起草、审核县政府的有关重要综合性文件。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（3）对涉及全县经济建设、社会发展和改革开放等全局性工作的重大课题组织调查研究，及时综合归纳，提出供县政府决策的参考方案和政策性建议。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（4）对县内外经济社会发展形势进行分析和研判，提出政策建议；对县域经济社会发展好做法、好经验及时归纳总结，积极宣传推介。</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（5）收集、整理全县政务信息，及时向市政府研究室传报；收集、分析、整理和报送经济社会发展的重要信息、动态，为县政府决策提供参考建议。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（6）负责全县政府系统的情况综合、调查研究和信息工作指导。</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（7）编发《政府通报》《工作通讯》《领导参阅》《信息参考》。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（8）承办县人民政府交办的其他事项。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0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任务1：</w:t>
            </w:r>
            <w:r>
              <w:rPr>
                <w:rFonts w:hint="default" w:ascii="仿宋_GB2312" w:hAnsi="仿宋_GB2312" w:eastAsia="仿宋_GB2312" w:cs="仿宋_GB2312"/>
                <w:color w:val="auto"/>
                <w:sz w:val="24"/>
                <w:lang w:val="en-US" w:eastAsia="zh-CN"/>
              </w:rPr>
              <w:t>及早谋划筹备三级干部会</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半年度讲评会</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政府全会和政府工作报告等材料</w:t>
            </w:r>
            <w:r>
              <w:rPr>
                <w:rFonts w:hint="eastAsia" w:ascii="仿宋_GB2312" w:hAnsi="仿宋_GB2312" w:eastAsia="仿宋_GB2312" w:cs="仿宋_GB2312"/>
                <w:color w:val="auto"/>
                <w:sz w:val="24"/>
                <w:lang w:val="en-US" w:eastAsia="zh-CN"/>
              </w:rPr>
              <w:t>。</w:t>
            </w:r>
          </w:p>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任务2：</w:t>
            </w:r>
            <w:r>
              <w:rPr>
                <w:rFonts w:hint="default" w:ascii="仿宋_GB2312" w:hAnsi="仿宋_GB2312" w:eastAsia="仿宋_GB2312" w:cs="仿宋_GB2312"/>
                <w:color w:val="auto"/>
                <w:sz w:val="24"/>
                <w:lang w:val="en-US" w:eastAsia="zh-CN"/>
              </w:rPr>
              <w:t>撰写高质量的调研报告或考察报告6篇以上</w:t>
            </w:r>
            <w:r>
              <w:rPr>
                <w:rFonts w:hint="eastAsia" w:ascii="仿宋_GB2312" w:hAnsi="仿宋_GB2312" w:eastAsia="仿宋_GB2312" w:cs="仿宋_GB2312"/>
                <w:color w:val="auto"/>
                <w:sz w:val="24"/>
                <w:lang w:val="en-US" w:eastAsia="zh-CN"/>
              </w:rPr>
              <w:t>。</w:t>
            </w:r>
          </w:p>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任务3：</w:t>
            </w:r>
            <w:r>
              <w:rPr>
                <w:rFonts w:hint="default" w:ascii="仿宋_GB2312" w:hAnsi="仿宋_GB2312" w:eastAsia="仿宋_GB2312" w:cs="仿宋_GB2312"/>
                <w:color w:val="auto"/>
                <w:sz w:val="24"/>
                <w:lang w:val="en-US" w:eastAsia="zh-CN"/>
              </w:rPr>
              <w:t>年内</w:t>
            </w:r>
            <w:r>
              <w:rPr>
                <w:rFonts w:hint="default" w:ascii="仿宋_GB2312" w:hAnsi="仿宋_GB2312" w:eastAsia="仿宋_GB2312" w:cs="仿宋_GB2312"/>
                <w:color w:val="auto"/>
                <w:sz w:val="24"/>
              </w:rPr>
              <w:t>编发</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lang w:val="en-US" w:eastAsia="zh-CN"/>
              </w:rPr>
              <w:t>经济动态</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12期</w:t>
            </w:r>
            <w:r>
              <w:rPr>
                <w:rFonts w:hint="eastAsia" w:ascii="仿宋_GB2312" w:hAnsi="仿宋_GB2312" w:eastAsia="仿宋_GB2312" w:cs="仿宋_GB2312"/>
                <w:color w:val="auto"/>
                <w:sz w:val="24"/>
                <w:lang w:val="en-US" w:eastAsia="zh-CN"/>
              </w:rPr>
              <w:t>以上，《</w:t>
            </w:r>
            <w:r>
              <w:rPr>
                <w:rFonts w:hint="default" w:ascii="仿宋_GB2312" w:hAnsi="仿宋_GB2312" w:eastAsia="仿宋_GB2312" w:cs="仿宋_GB2312"/>
                <w:color w:val="auto"/>
                <w:sz w:val="24"/>
                <w:lang w:val="en-US" w:eastAsia="zh-CN"/>
              </w:rPr>
              <w:t>信息参考</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rPr>
              <w:t>《工作通讯》《政府通报》《领导参阅》</w:t>
            </w:r>
            <w:r>
              <w:rPr>
                <w:rFonts w:hint="default" w:ascii="仿宋_GB2312" w:hAnsi="仿宋_GB2312" w:eastAsia="仿宋_GB2312" w:cs="仿宋_GB2312"/>
                <w:color w:val="auto"/>
                <w:sz w:val="24"/>
                <w:lang w:val="en-US"/>
              </w:rPr>
              <w:t>20</w:t>
            </w:r>
            <w:r>
              <w:rPr>
                <w:rFonts w:hint="default" w:ascii="仿宋_GB2312" w:hAnsi="仿宋_GB2312" w:eastAsia="仿宋_GB2312" w:cs="仿宋_GB2312"/>
                <w:color w:val="auto"/>
                <w:sz w:val="24"/>
              </w:rPr>
              <w:t>期</w:t>
            </w:r>
            <w:r>
              <w:rPr>
                <w:rFonts w:hint="default" w:ascii="仿宋_GB2312" w:hAnsi="仿宋_GB2312" w:eastAsia="仿宋_GB2312" w:cs="仿宋_GB2312"/>
                <w:color w:val="auto"/>
                <w:sz w:val="24"/>
                <w:lang w:eastAsia="zh-CN"/>
              </w:rPr>
              <w:t>以上</w:t>
            </w:r>
            <w:r>
              <w:rPr>
                <w:rFonts w:hint="eastAsia" w:ascii="仿宋_GB2312" w:hAnsi="仿宋_GB2312" w:eastAsia="仿宋_GB2312" w:cs="仿宋_GB2312"/>
                <w:color w:val="auto"/>
                <w:sz w:val="24"/>
                <w:lang w:val="en-US" w:eastAsia="zh-CN"/>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任务3：足额发放在职人员工资和保障单位正常运行。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51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FF0000"/>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lang w:eastAsia="zh-CN"/>
              </w:rPr>
              <w:t>共</w:t>
            </w:r>
            <w:r>
              <w:rPr>
                <w:rFonts w:hint="eastAsia" w:ascii="仿宋_GB2312" w:hAnsi="仿宋_GB2312" w:eastAsia="仿宋_GB2312" w:cs="仿宋_GB2312"/>
                <w:color w:val="auto"/>
                <w:sz w:val="24"/>
              </w:rPr>
              <w:t>撰写</w:t>
            </w:r>
            <w:r>
              <w:rPr>
                <w:rFonts w:hint="eastAsia" w:ascii="仿宋_GB2312" w:hAnsi="仿宋_GB2312" w:eastAsia="仿宋_GB2312" w:cs="仿宋_GB2312"/>
                <w:color w:val="auto"/>
                <w:sz w:val="24"/>
                <w:lang w:val="en-US" w:eastAsia="zh-CN"/>
              </w:rPr>
              <w:t>县</w:t>
            </w:r>
            <w:r>
              <w:rPr>
                <w:rFonts w:hint="eastAsia" w:ascii="仿宋_GB2312" w:hAnsi="仿宋_GB2312" w:eastAsia="仿宋_GB2312" w:cs="仿宋_GB2312"/>
                <w:color w:val="auto"/>
                <w:sz w:val="24"/>
              </w:rPr>
              <w:t>委、</w:t>
            </w:r>
            <w:r>
              <w:rPr>
                <w:rFonts w:hint="eastAsia" w:ascii="仿宋_GB2312" w:hAnsi="仿宋_GB2312" w:eastAsia="仿宋_GB2312" w:cs="仿宋_GB2312"/>
                <w:color w:val="auto"/>
                <w:sz w:val="24"/>
                <w:lang w:val="en-US" w:eastAsia="zh-CN"/>
              </w:rPr>
              <w:t>县</w:t>
            </w:r>
            <w:r>
              <w:rPr>
                <w:rFonts w:hint="eastAsia" w:ascii="仿宋_GB2312" w:hAnsi="仿宋_GB2312" w:eastAsia="仿宋_GB2312" w:cs="仿宋_GB2312"/>
                <w:color w:val="auto"/>
                <w:sz w:val="24"/>
              </w:rPr>
              <w:t>政府和政府领导讲话、报告、署名文章、通报、工作汇报、调研报告等各类文稿</w:t>
            </w:r>
            <w:r>
              <w:rPr>
                <w:rFonts w:hint="eastAsia" w:ascii="仿宋_GB2312" w:hAnsi="仿宋_GB2312" w:eastAsia="仿宋_GB2312" w:cs="仿宋_GB2312"/>
                <w:color w:val="auto"/>
                <w:sz w:val="24"/>
                <w:lang w:eastAsia="zh-CN"/>
              </w:rPr>
              <w:t>材料</w:t>
            </w:r>
            <w:r>
              <w:rPr>
                <w:rFonts w:hint="eastAsia" w:ascii="仿宋_GB2312" w:hAnsi="仿宋_GB2312" w:eastAsia="仿宋_GB2312" w:cs="仿宋_GB2312"/>
                <w:color w:val="auto"/>
                <w:sz w:val="24"/>
                <w:lang w:val="en-US" w:eastAsia="zh-CN"/>
              </w:rPr>
              <w:t>400余</w:t>
            </w:r>
            <w:r>
              <w:rPr>
                <w:rFonts w:hint="eastAsia" w:ascii="仿宋_GB2312" w:hAnsi="仿宋_GB2312" w:eastAsia="仿宋_GB2312" w:cs="仿宋_GB2312"/>
                <w:color w:val="auto"/>
                <w:sz w:val="24"/>
              </w:rPr>
              <w:t>篇</w:t>
            </w:r>
            <w:r>
              <w:rPr>
                <w:rFonts w:hint="eastAsia" w:ascii="仿宋_GB2312" w:hAnsi="仿宋_GB2312" w:eastAsia="仿宋_GB2312" w:cs="仿宋_GB2312"/>
                <w:color w:val="auto"/>
                <w:sz w:val="24"/>
                <w:lang w:val="en-US" w:eastAsia="zh-CN"/>
              </w:rPr>
              <w:t>。</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2.形成的《插旗镇垃圾分类经验》《工业化理念发展芥菜产业》《三封寺镇基层治理经验》《内陆欠发达县推进产业链创新链深度融合发展的思考和建议》《深入贯彻长江保护法 坚决守护好一江碧水》《赴江陵沿江经济发展调研》等调研报告和理论文章均得到了县政府领导的充分肯定和高度评价。</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lang w:eastAsia="zh-CN"/>
              </w:rPr>
              <w:t>撰写并印发《信息参考》</w:t>
            </w:r>
            <w:r>
              <w:rPr>
                <w:rFonts w:hint="eastAsia" w:ascii="仿宋_GB2312" w:hAnsi="仿宋_GB2312" w:eastAsia="仿宋_GB2312" w:cs="仿宋_GB2312"/>
                <w:color w:val="auto"/>
                <w:sz w:val="24"/>
                <w:lang w:val="en-US" w:eastAsia="zh-CN"/>
              </w:rPr>
              <w:t>20期、《政府通报》2期、《华容经济动态》11期</w:t>
            </w:r>
            <w:r>
              <w:rPr>
                <w:rFonts w:hint="eastAsia" w:ascii="仿宋_GB2312" w:hAnsi="仿宋_GB2312" w:eastAsia="仿宋_GB2312" w:cs="仿宋_GB2312"/>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142.5</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113.5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103.3</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完成</w:t>
            </w:r>
            <w:r>
              <w:rPr>
                <w:rFonts w:hint="eastAsia" w:ascii="仿宋_GB2312" w:hAnsi="仿宋_GB2312" w:eastAsia="仿宋_GB2312" w:cs="仿宋_GB2312"/>
                <w:color w:val="auto"/>
                <w:sz w:val="24"/>
              </w:rPr>
              <w:t>《政府工作报告》和县政府主要领导同志重要讲话、报告、文章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向上级党委、政府的重要汇报材料；对涉及全县经济建设、社会发展和改革开放等全局性工作的重大课题组织调查研究，及时综合归纳，提出供县政府决策的参考方案和政策性建议</w:t>
            </w:r>
            <w:r>
              <w:rPr>
                <w:rFonts w:hint="eastAsia" w:ascii="仿宋_GB2312" w:hAnsi="仿宋_GB2312" w:eastAsia="仿宋_GB2312" w:cs="仿宋_GB2312"/>
                <w:color w:val="auto"/>
                <w:sz w:val="24"/>
                <w:lang w:eastAsia="zh-CN"/>
              </w:rPr>
              <w:t>。</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共</w:t>
            </w:r>
            <w:r>
              <w:rPr>
                <w:rFonts w:hint="eastAsia" w:ascii="仿宋_GB2312" w:hAnsi="仿宋_GB2312" w:eastAsia="仿宋_GB2312" w:cs="仿宋_GB2312"/>
                <w:color w:val="auto"/>
                <w:sz w:val="24"/>
              </w:rPr>
              <w:t>撰写</w:t>
            </w:r>
            <w:r>
              <w:rPr>
                <w:rFonts w:hint="eastAsia" w:ascii="仿宋_GB2312" w:hAnsi="仿宋_GB2312" w:eastAsia="仿宋_GB2312" w:cs="仿宋_GB2312"/>
                <w:color w:val="auto"/>
                <w:sz w:val="24"/>
                <w:lang w:val="en-US" w:eastAsia="zh-CN"/>
              </w:rPr>
              <w:t>县</w:t>
            </w:r>
            <w:r>
              <w:rPr>
                <w:rFonts w:hint="eastAsia" w:ascii="仿宋_GB2312" w:hAnsi="仿宋_GB2312" w:eastAsia="仿宋_GB2312" w:cs="仿宋_GB2312"/>
                <w:color w:val="auto"/>
                <w:sz w:val="24"/>
              </w:rPr>
              <w:t>委、</w:t>
            </w:r>
            <w:r>
              <w:rPr>
                <w:rFonts w:hint="eastAsia" w:ascii="仿宋_GB2312" w:hAnsi="仿宋_GB2312" w:eastAsia="仿宋_GB2312" w:cs="仿宋_GB2312"/>
                <w:color w:val="auto"/>
                <w:sz w:val="24"/>
                <w:lang w:val="en-US" w:eastAsia="zh-CN"/>
              </w:rPr>
              <w:t>县</w:t>
            </w:r>
            <w:r>
              <w:rPr>
                <w:rFonts w:hint="eastAsia" w:ascii="仿宋_GB2312" w:hAnsi="仿宋_GB2312" w:eastAsia="仿宋_GB2312" w:cs="仿宋_GB2312"/>
                <w:color w:val="auto"/>
                <w:sz w:val="24"/>
              </w:rPr>
              <w:t>政府和政府领导讲话、报告、署名文章、通报、工作汇报、调研报告等各类文稿</w:t>
            </w:r>
            <w:r>
              <w:rPr>
                <w:rFonts w:hint="eastAsia" w:ascii="仿宋_GB2312" w:hAnsi="仿宋_GB2312" w:eastAsia="仿宋_GB2312" w:cs="仿宋_GB2312"/>
                <w:color w:val="auto"/>
                <w:sz w:val="24"/>
                <w:lang w:eastAsia="zh-CN"/>
              </w:rPr>
              <w:t>材料</w:t>
            </w:r>
            <w:r>
              <w:rPr>
                <w:rFonts w:hint="eastAsia" w:ascii="仿宋_GB2312" w:hAnsi="仿宋_GB2312" w:eastAsia="仿宋_GB2312" w:cs="仿宋_GB2312"/>
                <w:color w:val="auto"/>
                <w:sz w:val="24"/>
                <w:lang w:val="en-US" w:eastAsia="zh-CN"/>
              </w:rPr>
              <w:t>400余</w:t>
            </w:r>
            <w:r>
              <w:rPr>
                <w:rFonts w:hint="eastAsia" w:ascii="仿宋_GB2312" w:hAnsi="仿宋_GB2312" w:eastAsia="仿宋_GB2312" w:cs="仿宋_GB2312"/>
                <w:color w:val="auto"/>
                <w:sz w:val="24"/>
              </w:rPr>
              <w:t>篇</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形成的《插旗镇垃圾分类经验》《工业化理念发展芥菜产业》《三封寺镇基层治理经验》《内陆欠发达县推进产业链创新链深度融合发展的思考和建议》《深入贯彻长江保护法 坚决守护好一江碧水》《赴江陵沿江经济发展调研》等调研报告和理论文章均得到了县政府领导的充分肯定和高度评价。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auto"/>
                <w:sz w:val="24"/>
                <w:lang w:eastAsia="zh-CN"/>
              </w:rPr>
              <w:t>无</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auto"/>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auto"/>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指标1：</w:t>
            </w:r>
            <w:r>
              <w:rPr>
                <w:rFonts w:hint="default" w:ascii="仿宋_GB2312" w:hAnsi="仿宋_GB2312" w:eastAsia="仿宋_GB2312" w:cs="仿宋_GB2312"/>
                <w:color w:val="auto"/>
                <w:sz w:val="24"/>
                <w:lang w:val="en-US" w:eastAsia="zh-CN"/>
              </w:rPr>
              <w:t>撰写高质量的调研报告或考察报告6篇以上</w:t>
            </w:r>
            <w:r>
              <w:rPr>
                <w:rFonts w:hint="eastAsia" w:ascii="仿宋_GB2312" w:hAnsi="仿宋_GB2312" w:eastAsia="仿宋_GB2312" w:cs="仿宋_GB2312"/>
                <w:color w:val="auto"/>
                <w:sz w:val="24"/>
                <w:lang w:val="en-US" w:eastAsia="zh-CN"/>
              </w:rPr>
              <w:t>。</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auto"/>
                <w:sz w:val="24"/>
                <w:lang w:val="en-US" w:eastAsia="zh-CN"/>
              </w:rPr>
            </w:pPr>
            <w:r>
              <w:rPr>
                <w:rFonts w:hint="eastAsia" w:ascii="仿宋_GB2312" w:hAnsi="仿宋_GB2312" w:eastAsia="仿宋_GB2312" w:cs="仿宋_GB2312"/>
                <w:b w:val="0"/>
                <w:bCs/>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left"/>
              <w:textAlignment w:val="center"/>
              <w:rPr>
                <w:rFonts w:hint="default" w:ascii="仿宋_GB2312" w:hAnsi="仿宋_GB2312" w:eastAsia="仿宋_GB2312" w:cs="仿宋_GB2312"/>
                <w:color w:val="auto"/>
                <w:sz w:val="24"/>
                <w:lang w:val="en-US" w:eastAsia="zh-CN"/>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指标2：</w:t>
            </w:r>
            <w:r>
              <w:rPr>
                <w:rFonts w:hint="default" w:ascii="仿宋_GB2312" w:hAnsi="仿宋_GB2312" w:eastAsia="仿宋_GB2312" w:cs="仿宋_GB2312"/>
                <w:color w:val="auto"/>
                <w:sz w:val="24"/>
                <w:lang w:val="en-US" w:eastAsia="zh-CN"/>
              </w:rPr>
              <w:t>年内编发</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经济动态</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12期</w:t>
            </w:r>
            <w:r>
              <w:rPr>
                <w:rFonts w:hint="eastAsia" w:ascii="仿宋_GB2312" w:hAnsi="仿宋_GB2312" w:eastAsia="仿宋_GB2312" w:cs="仿宋_GB2312"/>
                <w:color w:val="auto"/>
                <w:sz w:val="24"/>
                <w:lang w:val="en-US" w:eastAsia="zh-CN"/>
              </w:rPr>
              <w:t>以上，</w:t>
            </w:r>
          </w:p>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auto"/>
                <w:sz w:val="24"/>
                <w:lang w:val="en-US" w:eastAsia="zh-CN"/>
              </w:rPr>
            </w:pPr>
            <w:r>
              <w:rPr>
                <w:rFonts w:hint="eastAsia" w:ascii="仿宋_GB2312" w:hAnsi="仿宋_GB2312" w:eastAsia="仿宋_GB2312" w:cs="仿宋_GB2312"/>
                <w:b w:val="0"/>
                <w:bCs/>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left"/>
              <w:textAlignment w:val="center"/>
              <w:rPr>
                <w:rFonts w:hint="default" w:ascii="仿宋_GB2312" w:hAnsi="仿宋_GB2312" w:eastAsia="仿宋_GB2312" w:cs="仿宋_GB2312"/>
                <w:color w:val="auto"/>
                <w:sz w:val="24"/>
                <w:lang w:val="en-US" w:eastAsia="zh-CN"/>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指标3：</w:t>
            </w:r>
            <w:r>
              <w:rPr>
                <w:rFonts w:hint="default" w:ascii="仿宋_GB2312" w:hAnsi="仿宋_GB2312" w:eastAsia="仿宋_GB2312" w:cs="仿宋_GB2312"/>
                <w:color w:val="auto"/>
                <w:sz w:val="24"/>
                <w:lang w:val="en-US" w:eastAsia="zh-CN"/>
              </w:rPr>
              <w:t>年内编发</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信息参考</w:t>
            </w:r>
            <w:r>
              <w:rPr>
                <w:rFonts w:hint="eastAsia" w:ascii="仿宋_GB2312" w:hAnsi="仿宋_GB2312" w:eastAsia="仿宋_GB2312" w:cs="仿宋_GB2312"/>
                <w:color w:val="auto"/>
                <w:sz w:val="24"/>
                <w:lang w:val="en-US" w:eastAsia="zh-CN"/>
              </w:rPr>
              <w:t>》</w:t>
            </w:r>
            <w:r>
              <w:rPr>
                <w:rFonts w:hint="default" w:ascii="仿宋_GB2312" w:hAnsi="仿宋_GB2312" w:eastAsia="仿宋_GB2312" w:cs="仿宋_GB2312"/>
                <w:color w:val="auto"/>
                <w:sz w:val="24"/>
                <w:lang w:val="en-US" w:eastAsia="zh-CN"/>
              </w:rPr>
              <w:t>《工作通讯》《政府通报》《领导参阅》20期以上</w:t>
            </w:r>
            <w:r>
              <w:rPr>
                <w:rFonts w:hint="eastAsia" w:ascii="仿宋_GB2312" w:hAnsi="仿宋_GB2312" w:eastAsia="仿宋_GB2312" w:cs="仿宋_GB2312"/>
                <w:color w:val="auto"/>
                <w:sz w:val="24"/>
                <w:lang w:val="en-US" w:eastAsia="zh-CN"/>
              </w:rPr>
              <w:t>。</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auto"/>
                <w:sz w:val="24"/>
                <w:lang w:val="en-US" w:eastAsia="zh-CN"/>
              </w:rPr>
            </w:pPr>
            <w:r>
              <w:rPr>
                <w:rFonts w:hint="eastAsia" w:ascii="仿宋_GB2312" w:hAnsi="仿宋_GB2312" w:eastAsia="仿宋_GB2312" w:cs="仿宋_GB2312"/>
                <w:b w:val="0"/>
                <w:bCs/>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auto"/>
                <w:sz w:val="24"/>
                <w:lang w:eastAsia="zh-CN"/>
              </w:rPr>
              <w:t>无</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指标1：无</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指标1：无</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社会公众或服务对象满意度大于95%。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bookmarkStart w:id="0" w:name="_GoBack"/>
            <w:r>
              <w:rPr>
                <w:rFonts w:hint="eastAsia" w:ascii="仿宋_GB2312" w:hAnsi="仿宋_GB2312" w:eastAsia="仿宋_GB2312" w:cs="仿宋_GB2312"/>
                <w:b w:val="0"/>
                <w:bCs/>
                <w:color w:val="000000"/>
                <w:sz w:val="24"/>
              </w:rPr>
              <w:t>完成</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职务/职称</w:t>
            </w:r>
          </w:p>
        </w:tc>
        <w:tc>
          <w:tcPr>
            <w:tcW w:w="1652"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  位</w:t>
            </w:r>
          </w:p>
        </w:tc>
        <w:tc>
          <w:tcPr>
            <w:tcW w:w="2933"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赵良</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党组成员、副主任</w:t>
            </w:r>
          </w:p>
        </w:tc>
        <w:tc>
          <w:tcPr>
            <w:tcW w:w="1652" w:type="dxa"/>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经济研究中心</w:t>
            </w:r>
          </w:p>
        </w:tc>
        <w:tc>
          <w:tcPr>
            <w:tcW w:w="2933"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宋康</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综合办主任</w:t>
            </w:r>
          </w:p>
        </w:tc>
        <w:tc>
          <w:tcPr>
            <w:tcW w:w="1652"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经济研究中心</w:t>
            </w:r>
          </w:p>
        </w:tc>
        <w:tc>
          <w:tcPr>
            <w:tcW w:w="2933"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盛乐</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综合办副主任</w:t>
            </w:r>
          </w:p>
        </w:tc>
        <w:tc>
          <w:tcPr>
            <w:tcW w:w="1652"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经济研究中心</w:t>
            </w:r>
          </w:p>
        </w:tc>
        <w:tc>
          <w:tcPr>
            <w:tcW w:w="2933"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1652" w:type="dxa"/>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2933" w:type="dxa"/>
            <w:gridSpan w:val="8"/>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单位为财政全额预算拨款单位，核定人员编制10人，实有人数为10人。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、职责职能：</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（1）负责起草《政府工作报告》和县政府主要领导同志重要讲话、报告、文章。</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（2）负责起草、审核县政府向上级党委、政府的重要汇报材料；协同有关方面起草、审核县政府的有关重要综合性文件。</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（3）对涉及全县经济建设、社会发展和改革开放等全局性工作的重大课题组织调查研究，及时综合归纳，提出供县政府决策的参考方案和政策性建议。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（4）对县内外经济社会发展形势进行分析和研判，提出政策建议；对县域经济社会发展好做法、好经验及时归纳总结，积极宣传推介。</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（5）收集、整理全县政务信息，及时向市政府研究室传报；收集、分析、整理和报送经济社会发展的重要信息、动态，为县政府决策提供参考建议。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（6）负责全县政府系统的情况综合、调查研究和信息工作指导。</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（7）编发《政府通报》《工作通讯》《领导参阅》《信息参考》。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（8）承办县人民政府交办的其他事项。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、收入情况：全年收入142.5万元，其中：财政拨款收入142.5万元。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全年支出142.5万元，其中：基本支出113.5万元（人员支出103.3万元，公用支出10.2万元）；项目支出29万元。</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2021年整体支出142.5万元，其中基本支出113.5万元，人员支出103.3万元，占基本支出91</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，公用支出10.2万元，占基本支出9</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，项目支出29万元。单位</w:t>
            </w:r>
            <w:r>
              <w:rPr>
                <w:rFonts w:hint="eastAsia" w:ascii="宋体" w:hAnsi="宋体" w:cs="宋体"/>
                <w:sz w:val="28"/>
                <w:szCs w:val="28"/>
                <w:shd w:val="clear" w:color="auto" w:fill="FFFFFF"/>
              </w:rPr>
              <w:t>足额发放在职人员工资和保障单位正常运行。</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2021年“三公经费”预算</w:t>
            </w:r>
            <w:r>
              <w:rPr>
                <w:rFonts w:hint="eastAsia" w:ascii="仿宋_GB2312" w:hAnsi="宋体" w:eastAsia="仿宋_GB2312" w:cs="宋体"/>
                <w:sz w:val="28"/>
                <w:szCs w:val="28"/>
                <w:shd w:val="clear" w:color="auto" w:fill="FFFFFF"/>
                <w:lang w:val="en-US" w:eastAsia="zh-CN"/>
              </w:rPr>
              <w:t>3</w:t>
            </w:r>
            <w:r>
              <w:rPr>
                <w:rFonts w:hint="eastAsia" w:ascii="仿宋_GB2312" w:hAnsi="宋体" w:eastAsia="仿宋_GB2312" w:cs="宋体"/>
                <w:sz w:val="28"/>
                <w:szCs w:val="28"/>
                <w:shd w:val="clear" w:color="auto" w:fill="FFFFFF"/>
              </w:rPr>
              <w:t>万元，实际开支</w:t>
            </w:r>
            <w:r>
              <w:rPr>
                <w:rFonts w:hint="eastAsia" w:ascii="仿宋_GB2312" w:hAnsi="宋体" w:eastAsia="仿宋_GB2312" w:cs="宋体"/>
                <w:sz w:val="28"/>
                <w:szCs w:val="28"/>
                <w:shd w:val="clear" w:color="auto" w:fill="FFFFFF"/>
                <w:lang w:val="en-US" w:eastAsia="zh-CN"/>
              </w:rPr>
              <w:t>2.8</w:t>
            </w:r>
            <w:r>
              <w:rPr>
                <w:rFonts w:hint="eastAsia" w:ascii="仿宋_GB2312" w:hAnsi="宋体" w:eastAsia="仿宋_GB2312" w:cs="宋体"/>
                <w:sz w:val="28"/>
                <w:szCs w:val="28"/>
                <w:shd w:val="clear" w:color="auto" w:fill="FFFFFF"/>
              </w:rPr>
              <w:t>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月末固定资产8万元。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、专项资金安排落实、总投入等情况分析</w:t>
            </w:r>
          </w:p>
          <w:p>
            <w:pPr>
              <w:spacing w:line="560" w:lineRule="exact"/>
              <w:ind w:firstLine="560" w:firstLineChars="200"/>
              <w:rPr>
                <w:rFonts w:ascii="仿宋_GB2312" w:hAnsi="宋体" w:eastAsia="仿宋_GB2312" w:cs="宋体"/>
                <w:color w:val="FF0000"/>
                <w:sz w:val="28"/>
                <w:szCs w:val="28"/>
                <w:shd w:val="clear" w:color="auto" w:fill="FFFFFF"/>
              </w:rPr>
            </w:pPr>
            <w:r>
              <w:rPr>
                <w:rFonts w:hint="eastAsia" w:ascii="仿宋_GB2312" w:hAnsi="宋体" w:eastAsia="仿宋_GB2312" w:cs="宋体"/>
                <w:sz w:val="28"/>
                <w:szCs w:val="28"/>
                <w:shd w:val="clear" w:color="auto" w:fill="FFFFFF"/>
              </w:rPr>
              <w:t>2021年项目收入29万元，项目支出29万元，项目指标下达及时，支付按进度完成，项目资金主要用</w:t>
            </w:r>
            <w:r>
              <w:rPr>
                <w:rFonts w:hint="eastAsia" w:ascii="宋体" w:hAnsi="宋体" w:cs="宋体"/>
                <w:sz w:val="28"/>
                <w:szCs w:val="28"/>
                <w:shd w:val="clear" w:color="auto" w:fill="FFFFFF"/>
              </w:rPr>
              <w:t>于政府调研、经济工作</w:t>
            </w:r>
            <w:r>
              <w:rPr>
                <w:rFonts w:hint="eastAsia" w:ascii="仿宋_GB2312" w:hAnsi="宋体" w:eastAsia="仿宋_GB2312" w:cs="宋体"/>
                <w:sz w:val="28"/>
                <w:szCs w:val="28"/>
                <w:shd w:val="clear" w:color="auto" w:fill="FFFFFF"/>
              </w:rPr>
              <w:t>等专项支出。项目资金支付都是按照预算执行，实行专款专用，项目实施完成后，达到了预期经济效益及社会效益，圆满的完成了各项任务。</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黑体" w:hAnsi="黑体" w:eastAsia="黑体" w:cs="黑体"/>
                <w:bCs/>
                <w:sz w:val="28"/>
                <w:szCs w:val="28"/>
              </w:rPr>
            </w:pPr>
            <w:r>
              <w:rPr>
                <w:rFonts w:hint="eastAsia" w:ascii="仿宋_GB2312" w:hAnsi="宋体" w:eastAsia="仿宋_GB2312" w:cs="宋体"/>
                <w:sz w:val="28"/>
                <w:szCs w:val="28"/>
                <w:shd w:val="clear" w:color="auto" w:fill="FFFFFF"/>
              </w:rPr>
              <w:t>预算编制与实际支出项目有的存在差异，有待进一步优化预算，提高预算编制的准确性。</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宋体" w:hAnsi="宋体" w:cs="宋体"/>
                <w:sz w:val="28"/>
                <w:szCs w:val="28"/>
                <w:shd w:val="clear" w:color="auto" w:fill="FFFFFF"/>
              </w:rPr>
              <w:t>二</w:t>
            </w:r>
            <w:r>
              <w:rPr>
                <w:rFonts w:hint="eastAsia" w:ascii="仿宋_GB2312" w:hAnsi="宋体" w:eastAsia="仿宋_GB2312" w:cs="宋体"/>
                <w:sz w:val="28"/>
                <w:szCs w:val="28"/>
                <w:shd w:val="clear" w:color="auto" w:fill="FFFFFF"/>
              </w:rPr>
              <w:t>是预算财务分析常态化，定期做好预算支出财务分析，做好部门整体支出预算评价工作。</w:t>
            </w:r>
          </w:p>
          <w:p>
            <w:pPr>
              <w:spacing w:line="560" w:lineRule="exact"/>
              <w:ind w:firstLine="560" w:firstLineChars="200"/>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年   月   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8"/>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spacing w:line="40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eastAsia="仿宋_GB2312"/>
                <w:sz w:val="30"/>
                <w:szCs w:val="30"/>
              </w:rPr>
            </w:pPr>
            <w:r>
              <w:rPr>
                <w:rFonts w:hint="eastAsia" w:eastAsia="仿宋_GB2312"/>
                <w:sz w:val="30"/>
                <w:szCs w:val="30"/>
              </w:rPr>
              <w:t>（一）项目基本概况</w:t>
            </w:r>
          </w:p>
          <w:p>
            <w:pPr>
              <w:spacing w:line="560" w:lineRule="exact"/>
              <w:ind w:firstLine="600" w:firstLineChars="200"/>
              <w:rPr>
                <w:rFonts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eastAsia="仿宋_GB2312"/>
                <w:sz w:val="30"/>
                <w:szCs w:val="30"/>
              </w:rPr>
            </w:pPr>
            <w:r>
              <w:rPr>
                <w:rFonts w:hint="eastAsia" w:eastAsia="仿宋_GB2312"/>
                <w:sz w:val="30"/>
                <w:szCs w:val="30"/>
              </w:rPr>
              <w:t>（三）项目组织实施情况</w:t>
            </w:r>
          </w:p>
          <w:p>
            <w:pPr>
              <w:spacing w:line="560" w:lineRule="exact"/>
              <w:ind w:firstLine="600" w:firstLineChars="200"/>
              <w:rPr>
                <w:rFonts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eastAsia="仿宋_GB2312"/>
                <w:sz w:val="30"/>
                <w:szCs w:val="30"/>
              </w:rPr>
            </w:pPr>
            <w:r>
              <w:rPr>
                <w:rFonts w:hint="eastAsia" w:eastAsia="仿宋_GB2312"/>
                <w:sz w:val="30"/>
                <w:szCs w:val="30"/>
              </w:rPr>
              <w:t>（五）项目主要绩效情况分析</w:t>
            </w:r>
          </w:p>
          <w:p>
            <w:pPr>
              <w:spacing w:line="560" w:lineRule="exact"/>
              <w:ind w:firstLine="600" w:firstLineChars="200"/>
              <w:rPr>
                <w:rFonts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8"/>
        <w:tblW w:w="9820" w:type="dxa"/>
        <w:jc w:val="center"/>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Layout w:type="fixed"/>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②目标明确（1分）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②符合经济社会发展规划（1分）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③部门年度工作计划（1分）</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②办法健全、规范（1分）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textDirection w:val="tbLrV"/>
            <w:vAlign w:val="center"/>
          </w:tcPr>
          <w:p>
            <w:pPr>
              <w:widowControl/>
              <w:spacing w:line="240" w:lineRule="exact"/>
              <w:ind w:left="113" w:right="113" w:firstLine="2520" w:firstLineChars="1400"/>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p>
        </w:tc>
        <w:tc>
          <w:tcPr>
            <w:tcW w:w="540" w:type="dxa"/>
            <w:vMerge w:val="restart"/>
            <w:tcBorders>
              <w:top w:val="nil"/>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p>
          <w:p>
            <w:pPr>
              <w:widowControl/>
              <w:spacing w:line="240" w:lineRule="exact"/>
              <w:jc w:val="left"/>
              <w:rPr>
                <w:rFonts w:ascii="仿宋_GB2312" w:hAnsi="宋体" w:eastAsia="仿宋_GB2312" w:cs="宋体"/>
                <w:spacing w:val="-10"/>
                <w:kern w:val="0"/>
                <w:sz w:val="18"/>
                <w:szCs w:val="18"/>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②依据不合规扣2分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③截留、挤占、挪用扣3-6分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②严格执行制度（1分）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Layout w:type="fixed"/>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6</w:t>
    </w:r>
    <w:r>
      <w:rPr>
        <w:sz w:val="24"/>
        <w:szCs w:val="24"/>
      </w:rPr>
      <w:fldChar w:fldCharType="end"/>
    </w:r>
    <w:r>
      <w:rPr>
        <w:rStyle w:val="7"/>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BAC13"/>
    <w:multiLevelType w:val="singleLevel"/>
    <w:tmpl w:val="A98BAC13"/>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1A2F77"/>
    <w:rsid w:val="002B4A71"/>
    <w:rsid w:val="003933CD"/>
    <w:rsid w:val="003E7B95"/>
    <w:rsid w:val="005C4C99"/>
    <w:rsid w:val="007210FF"/>
    <w:rsid w:val="007B2063"/>
    <w:rsid w:val="008B4F9F"/>
    <w:rsid w:val="00D316C9"/>
    <w:rsid w:val="083749E7"/>
    <w:rsid w:val="0CB679B8"/>
    <w:rsid w:val="0DE528CD"/>
    <w:rsid w:val="1336279F"/>
    <w:rsid w:val="13D30B9E"/>
    <w:rsid w:val="18725427"/>
    <w:rsid w:val="21D923C3"/>
    <w:rsid w:val="254E2FC7"/>
    <w:rsid w:val="25B607B7"/>
    <w:rsid w:val="263C173A"/>
    <w:rsid w:val="289D055E"/>
    <w:rsid w:val="2C9F197B"/>
    <w:rsid w:val="2CA33441"/>
    <w:rsid w:val="2CE55C20"/>
    <w:rsid w:val="2F287302"/>
    <w:rsid w:val="30426D13"/>
    <w:rsid w:val="3A43255A"/>
    <w:rsid w:val="3D6201A1"/>
    <w:rsid w:val="3DAC2723"/>
    <w:rsid w:val="3EC46785"/>
    <w:rsid w:val="3F8A6044"/>
    <w:rsid w:val="43A702D9"/>
    <w:rsid w:val="44592EA4"/>
    <w:rsid w:val="477245B4"/>
    <w:rsid w:val="49617FA5"/>
    <w:rsid w:val="4D171D42"/>
    <w:rsid w:val="4E4F0BB0"/>
    <w:rsid w:val="50CE0083"/>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List Number"/>
    <w:basedOn w:val="1"/>
    <w:uiPriority w:val="0"/>
    <w:pPr>
      <w:numPr>
        <w:ilvl w:val="0"/>
        <w:numId w:val="1"/>
      </w:numPr>
    </w:p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1413</Words>
  <Characters>8057</Characters>
  <Lines>67</Lines>
  <Paragraphs>18</Paragraphs>
  <TotalTime>0</TotalTime>
  <ScaleCrop>false</ScaleCrop>
  <LinksUpToDate>false</LinksUpToDate>
  <CharactersWithSpaces>9452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2022-10-11T08:56:00Z</cp:lastPrinted>
  <dcterms:modified xsi:type="dcterms:W3CDTF">2022-10-12T07:21:33Z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377A56B318954603893BD5B869B7BB42</vt:lpwstr>
  </property>
</Properties>
</file>