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hAnsi="黑体" w:eastAsia="黑体"/>
          <w:sz w:val="40"/>
        </w:rPr>
      </w:pPr>
      <w:r>
        <w:rPr>
          <w:rFonts w:hint="eastAsia" w:ascii="黑体" w:hAnsi="黑体" w:eastAsia="黑体"/>
          <w:sz w:val="40"/>
        </w:rPr>
        <w:t>华容县商贸流通业“十四五”发展规划</w:t>
      </w:r>
    </w:p>
    <w:p>
      <w:pPr>
        <w:spacing w:line="640" w:lineRule="exact"/>
        <w:ind w:firstLine="600" w:firstLineChars="200"/>
        <w:rPr>
          <w:rFonts w:hint="eastAsia" w:ascii="仿宋_GB2312" w:hAnsi="仿宋" w:eastAsia="仿宋_GB2312"/>
          <w:sz w:val="30"/>
          <w:szCs w:val="30"/>
        </w:rPr>
      </w:pP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十四五”期间，在长江经济带发展、中部地区崛起等重大国家发展战略深入推进，岳阳市创建长江经济带绿色发展示范区和省域副中心城市等省级发展战略的统筹实施背景下，华容商贸流通业迎来了高质量发展的新机遇。</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作为国民经济中基础性和先导性的产业，商贸流通业在保障经济平稳发展、促进国内市场繁荣、推动与国外市场有效衔接等方面的作用日益明显。华容商贸流通业在推进新型城镇化和乡村振兴的进程中，在吸引产业入驻、扩大就业规模、提高居民收入、促进区域协调发展等方面充分发挥创新引领作用，提供了发展新动能。</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在开启全面建设社会主义现代化新征程的新形势下，华容商贸流通业通过进一步加强县域商业体系建设，着力汽车、家具家电、餐饮、旅游等大宗消费、重点消费的设施建设和场景打造，利用“互联网+”释放农村消费潜力，畅通城乡消费市场，坚持以项目为抓手，创新驱动，走高质量发展之路，全面提高流通现代化水平，促进社会经济供给侧结构性改革，助推全县国民经济和社会发展“十四五”发展目标的如期实现。</w:t>
      </w:r>
    </w:p>
    <w:p>
      <w:pPr>
        <w:spacing w:line="640" w:lineRule="exact"/>
        <w:ind w:firstLine="600" w:firstLineChars="200"/>
        <w:rPr>
          <w:rFonts w:hint="eastAsia" w:ascii="仿宋_GB2312" w:hAnsi="仿宋" w:eastAsia="仿宋_GB2312"/>
          <w:sz w:val="30"/>
          <w:szCs w:val="30"/>
        </w:rPr>
      </w:pPr>
    </w:p>
    <w:p>
      <w:pPr>
        <w:spacing w:before="100" w:beforeAutospacing="1" w:after="100" w:afterAutospacing="1" w:line="360" w:lineRule="auto"/>
        <w:jc w:val="center"/>
        <w:outlineLvl w:val="0"/>
        <w:rPr>
          <w:rFonts w:hint="eastAsia" w:ascii="仿宋_GB2312" w:hAnsi="仿宋" w:eastAsia="仿宋_GB2312"/>
          <w:b/>
          <w:color w:val="000000"/>
          <w:sz w:val="36"/>
          <w:szCs w:val="30"/>
        </w:rPr>
      </w:pPr>
    </w:p>
    <w:p>
      <w:pPr>
        <w:spacing w:before="100" w:beforeAutospacing="1" w:after="100" w:afterAutospacing="1" w:line="360" w:lineRule="auto"/>
        <w:jc w:val="center"/>
        <w:outlineLvl w:val="0"/>
        <w:rPr>
          <w:rFonts w:hint="eastAsia" w:ascii="仿宋_GB2312" w:hAnsi="仿宋" w:eastAsia="仿宋_GB2312"/>
          <w:b/>
          <w:color w:val="000000"/>
          <w:sz w:val="36"/>
          <w:szCs w:val="30"/>
        </w:rPr>
      </w:pPr>
    </w:p>
    <w:p>
      <w:pPr>
        <w:spacing w:before="100" w:beforeAutospacing="1" w:after="100" w:afterAutospacing="1" w:line="360" w:lineRule="auto"/>
        <w:jc w:val="center"/>
        <w:outlineLvl w:val="0"/>
        <w:rPr>
          <w:rFonts w:hint="eastAsia" w:ascii="仿宋_GB2312" w:hAnsi="仿宋" w:eastAsia="仿宋_GB2312"/>
          <w:b/>
          <w:color w:val="000000"/>
          <w:sz w:val="36"/>
          <w:szCs w:val="30"/>
        </w:rPr>
      </w:pPr>
    </w:p>
    <w:p>
      <w:pPr>
        <w:spacing w:before="100" w:beforeAutospacing="1" w:after="100" w:afterAutospacing="1" w:line="360" w:lineRule="auto"/>
        <w:jc w:val="center"/>
        <w:outlineLvl w:val="0"/>
        <w:rPr>
          <w:rFonts w:hint="eastAsia" w:ascii="仿宋_GB2312" w:hAnsi="仿宋" w:eastAsia="仿宋_GB2312"/>
          <w:b/>
          <w:color w:val="000000"/>
          <w:sz w:val="36"/>
          <w:szCs w:val="30"/>
        </w:rPr>
      </w:pPr>
      <w:bookmarkStart w:id="0" w:name="_Toc62653435"/>
      <w:r>
        <w:rPr>
          <w:rFonts w:hint="eastAsia" w:ascii="仿宋_GB2312" w:hAnsi="仿宋" w:eastAsia="仿宋_GB2312"/>
          <w:b/>
          <w:color w:val="000000"/>
          <w:sz w:val="36"/>
          <w:szCs w:val="30"/>
        </w:rPr>
        <w:t>一、规划基础与发展形势</w:t>
      </w:r>
      <w:bookmarkEnd w:id="0"/>
    </w:p>
    <w:p>
      <w:pPr>
        <w:spacing w:line="640" w:lineRule="exact"/>
        <w:ind w:firstLine="600" w:firstLineChars="200"/>
        <w:rPr>
          <w:rFonts w:hint="eastAsia" w:ascii="仿宋_GB2312" w:hAnsi="仿宋" w:eastAsia="仿宋_GB2312"/>
          <w:sz w:val="30"/>
          <w:szCs w:val="30"/>
        </w:rPr>
      </w:pPr>
      <w:bookmarkStart w:id="1" w:name="_Toc62389790"/>
      <w:bookmarkStart w:id="2" w:name="_Toc60924041"/>
      <w:bookmarkStart w:id="3" w:name="_Toc59983341"/>
      <w:r>
        <w:rPr>
          <w:rFonts w:hint="eastAsia" w:ascii="仿宋_GB2312" w:hAnsi="仿宋" w:eastAsia="仿宋_GB2312"/>
          <w:sz w:val="30"/>
          <w:szCs w:val="30"/>
        </w:rPr>
        <w:t>“十三五”期间，全县商贸流通业发展稳中有进，经营服务规模持续扩大，流通设施功能不断完善，对经济社会发展的贡献力明显增强，带动城市形象和品位逐步提升，促进城乡发展更加协调，为商贸流通业在“十四五”期间迎接历史机遇、直面发展挑战、进行更高层次的转型发展打下了坚实的基础</w:t>
      </w:r>
      <w:bookmarkEnd w:id="1"/>
      <w:bookmarkEnd w:id="2"/>
      <w:bookmarkEnd w:id="3"/>
      <w:r>
        <w:rPr>
          <w:rFonts w:hint="eastAsia" w:ascii="仿宋_GB2312" w:hAnsi="仿宋" w:eastAsia="仿宋_GB2312"/>
          <w:sz w:val="30"/>
          <w:szCs w:val="30"/>
        </w:rPr>
        <w:t>。</w:t>
      </w:r>
    </w:p>
    <w:p>
      <w:pPr>
        <w:spacing w:line="640" w:lineRule="exact"/>
        <w:ind w:firstLine="602" w:firstLineChars="200"/>
        <w:outlineLvl w:val="1"/>
        <w:rPr>
          <w:rFonts w:hint="eastAsia" w:ascii="仿宋_GB2312" w:hAnsi="仿宋" w:eastAsia="仿宋_GB2312"/>
          <w:b/>
          <w:bCs/>
          <w:sz w:val="30"/>
          <w:szCs w:val="30"/>
        </w:rPr>
      </w:pPr>
      <w:bookmarkStart w:id="4" w:name="_Toc62653436"/>
      <w:r>
        <w:rPr>
          <w:rFonts w:hint="eastAsia" w:ascii="仿宋_GB2312" w:hAnsi="仿宋" w:eastAsia="仿宋_GB2312"/>
          <w:b/>
          <w:bCs/>
          <w:sz w:val="30"/>
          <w:szCs w:val="30"/>
        </w:rPr>
        <w:t>（一）取得成绩</w:t>
      </w:r>
      <w:bookmarkEnd w:id="4"/>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1.第三产业</w:t>
      </w:r>
      <w:r>
        <w:rPr>
          <w:rFonts w:hint="eastAsia" w:ascii="仿宋_GB2312" w:eastAsia="仿宋_GB2312"/>
          <w:b/>
          <w:sz w:val="30"/>
          <w:szCs w:val="30"/>
        </w:rPr>
        <w:t>对全县经济社会发展贡献明显增强，</w:t>
      </w:r>
      <w:r>
        <w:rPr>
          <w:rFonts w:hint="eastAsia" w:ascii="仿宋_GB2312" w:hAnsi="仿宋" w:eastAsia="仿宋_GB2312"/>
          <w:b/>
          <w:bCs/>
          <w:sz w:val="30"/>
          <w:szCs w:val="30"/>
        </w:rPr>
        <w:t>消费规模日渐扩大，消费潜力得以加强。</w:t>
      </w:r>
      <w:r>
        <w:rPr>
          <w:rFonts w:hint="eastAsia" w:ascii="仿宋_GB2312" w:hAnsi="仿宋" w:eastAsia="仿宋_GB2312"/>
          <w:sz w:val="30"/>
          <w:szCs w:val="30"/>
        </w:rPr>
        <w:t>“十三五”期间，</w:t>
      </w:r>
      <w:r>
        <w:rPr>
          <w:rFonts w:hint="eastAsia" w:ascii="仿宋_GB2312" w:eastAsia="仿宋_GB2312"/>
          <w:sz w:val="30"/>
          <w:szCs w:val="30"/>
        </w:rPr>
        <w:t>全县第三产业对国民经济增长的带动作用明显增强。全县三产结构由2015年的21.0:46.9:32.1调整为2020年的24.8:31.8:43.4，第三产业在全县产业发展主导地位日渐稳固。</w:t>
      </w:r>
    </w:p>
    <w:p>
      <w:pPr>
        <w:pStyle w:val="9"/>
        <w:spacing w:line="640" w:lineRule="exact"/>
        <w:ind w:firstLine="600"/>
        <w:rPr>
          <w:rFonts w:hint="eastAsia" w:ascii="仿宋_GB2312" w:eastAsia="仿宋_GB2312"/>
          <w:sz w:val="30"/>
          <w:szCs w:val="30"/>
        </w:rPr>
      </w:pPr>
      <w:r>
        <w:rPr>
          <w:rFonts w:hint="eastAsia" w:ascii="仿宋_GB2312" w:hAnsi="仿宋" w:eastAsia="仿宋_GB2312"/>
          <w:sz w:val="30"/>
          <w:szCs w:val="30"/>
        </w:rPr>
        <w:t>全县消费市场规模持续扩大。社会消费品零售总额由2015年的91.48亿元增长至2020年的127.7亿元，</w:t>
      </w:r>
      <w:r>
        <w:rPr>
          <w:rFonts w:hint="eastAsia" w:ascii="仿宋_GB2312" w:eastAsia="仿宋_GB2312"/>
          <w:sz w:val="30"/>
          <w:szCs w:val="30"/>
        </w:rPr>
        <w:t>年均增长8.0%，高于6.8%的GDP增速。其中，城镇消费品零售总额111.2亿元，“十三五”期间增长38.8%，乡村消费品零售总额16.5亿元，增长45%。按消费类型统计，商品批发零售额117.9亿元，“十三五”期间增长38.1%；餐饮住宿收入额9.8亿元，增长60.9%。</w:t>
      </w:r>
    </w:p>
    <w:p>
      <w:pPr>
        <w:pStyle w:val="9"/>
        <w:spacing w:line="360" w:lineRule="auto"/>
        <w:ind w:firstLine="0" w:firstLineChars="0"/>
        <w:jc w:val="center"/>
        <w:rPr>
          <w:rFonts w:hint="eastAsia" w:ascii="仿宋_GB2312" w:hAnsi="宋体" w:eastAsia="仿宋_GB2312"/>
          <w:sz w:val="28"/>
          <w:szCs w:val="28"/>
        </w:rPr>
      </w:pPr>
      <w:r>
        <w:rPr>
          <w:rFonts w:hint="eastAsia" w:ascii="仿宋_GB2312" w:hAnsi="宋体" w:eastAsia="仿宋_GB2312"/>
          <w:sz w:val="28"/>
          <w:szCs w:val="28"/>
        </w:rPr>
        <w:drawing>
          <wp:inline distT="0" distB="0" distL="114300" distR="114300">
            <wp:extent cx="5274945" cy="3136265"/>
            <wp:effectExtent l="4445" t="4445" r="16510" b="215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9"/>
        <w:spacing w:line="360" w:lineRule="auto"/>
        <w:ind w:firstLine="0" w:firstLineChars="0"/>
        <w:jc w:val="center"/>
        <w:rPr>
          <w:rFonts w:hint="eastAsia" w:ascii="仿宋_GB2312" w:hAnsi="仿宋" w:eastAsia="仿宋_GB2312"/>
          <w:sz w:val="30"/>
          <w:szCs w:val="30"/>
        </w:rPr>
      </w:pPr>
      <w:r>
        <w:rPr>
          <w:rFonts w:hint="eastAsia" w:ascii="仿宋_GB2312" w:hAnsi="仿宋" w:eastAsia="仿宋_GB2312"/>
          <w:sz w:val="30"/>
          <w:szCs w:val="30"/>
        </w:rPr>
        <w:drawing>
          <wp:inline distT="0" distB="0" distL="114300" distR="114300">
            <wp:extent cx="5274945" cy="2931160"/>
            <wp:effectExtent l="4445" t="4445" r="1651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9"/>
        <w:spacing w:line="640" w:lineRule="exact"/>
        <w:ind w:firstLine="600"/>
        <w:rPr>
          <w:rFonts w:hint="eastAsia" w:ascii="仿宋_GB2312" w:hAnsi="仿宋" w:eastAsia="仿宋_GB2312"/>
          <w:sz w:val="30"/>
          <w:szCs w:val="30"/>
        </w:rPr>
      </w:pPr>
      <w:r>
        <w:rPr>
          <w:rFonts w:hint="eastAsia" w:ascii="仿宋_GB2312" w:hAnsi="仿宋" w:eastAsia="仿宋_GB2312"/>
          <w:sz w:val="30"/>
          <w:szCs w:val="30"/>
        </w:rPr>
        <w:t>居民收入水平不断提升，社会消费潜力得以加强。2020年全县居民人均可支配收入27529元，城镇居民人均可支配收入33495元，</w:t>
      </w:r>
      <w:r>
        <w:rPr>
          <w:rFonts w:hint="eastAsia" w:ascii="仿宋_GB2312" w:eastAsia="仿宋_GB2312"/>
          <w:sz w:val="30"/>
          <w:szCs w:val="30"/>
        </w:rPr>
        <w:t>“十三五”</w:t>
      </w:r>
      <w:r>
        <w:rPr>
          <w:rFonts w:hint="eastAsia" w:ascii="仿宋_GB2312" w:hAnsi="仿宋" w:eastAsia="仿宋_GB2312"/>
          <w:sz w:val="30"/>
          <w:szCs w:val="30"/>
        </w:rPr>
        <w:t>期间增长47.3%，农村居民人均可支配收入22828元，增长50.5%。</w:t>
      </w:r>
    </w:p>
    <w:p>
      <w:pPr>
        <w:pStyle w:val="9"/>
        <w:spacing w:line="640" w:lineRule="exact"/>
        <w:ind w:firstLine="560"/>
        <w:rPr>
          <w:rFonts w:ascii="仿宋_GB2312" w:hAnsi="仿宋" w:eastAsia="仿宋_GB2312"/>
          <w:sz w:val="30"/>
          <w:szCs w:val="30"/>
        </w:rPr>
      </w:pPr>
      <w:r>
        <w:rPr>
          <w:rFonts w:hint="eastAsia" w:ascii="仿宋_GB2312" w:hAnsi="仿宋_GB2312" w:eastAsia="仿宋_GB2312" w:cs="仿宋_GB2312"/>
          <w:sz w:val="28"/>
          <w:szCs w:val="28"/>
        </w:rPr>
        <w:t>全县居民</w:t>
      </w:r>
      <w:r>
        <w:rPr>
          <w:rFonts w:hint="eastAsia" w:ascii="仿宋_GB2312" w:hAnsi="仿宋" w:eastAsia="仿宋_GB2312"/>
          <w:sz w:val="30"/>
          <w:szCs w:val="30"/>
        </w:rPr>
        <w:t>人均消费支出17728元，城镇居民人均消费支出19127元，</w:t>
      </w:r>
      <w:r>
        <w:rPr>
          <w:rFonts w:hint="eastAsia" w:ascii="仿宋_GB2312" w:eastAsia="仿宋_GB2312"/>
          <w:sz w:val="30"/>
          <w:szCs w:val="30"/>
        </w:rPr>
        <w:t>“十三五”期间增长</w:t>
      </w:r>
      <w:r>
        <w:rPr>
          <w:rFonts w:hint="eastAsia" w:ascii="仿宋_GB2312" w:hAnsi="仿宋" w:eastAsia="仿宋_GB2312"/>
          <w:sz w:val="30"/>
          <w:szCs w:val="30"/>
        </w:rPr>
        <w:t>51.7%，农村居民人均消费支出16626元，</w:t>
      </w:r>
      <w:r>
        <w:rPr>
          <w:rFonts w:hint="eastAsia" w:ascii="仿宋_GB2312" w:eastAsia="仿宋_GB2312"/>
          <w:sz w:val="30"/>
          <w:szCs w:val="30"/>
        </w:rPr>
        <w:t>增长</w:t>
      </w:r>
      <w:r>
        <w:rPr>
          <w:rFonts w:hint="eastAsia" w:ascii="仿宋_GB2312" w:hAnsi="仿宋" w:eastAsia="仿宋_GB2312"/>
          <w:sz w:val="30"/>
          <w:szCs w:val="30"/>
        </w:rPr>
        <w:t>57.9%。</w:t>
      </w:r>
    </w:p>
    <w:p>
      <w:pPr>
        <w:pStyle w:val="9"/>
        <w:spacing w:line="640" w:lineRule="exact"/>
        <w:ind w:firstLine="600"/>
        <w:rPr>
          <w:rFonts w:hint="eastAsia" w:ascii="仿宋_GB2312" w:hAnsi="仿宋" w:eastAsia="仿宋_GB2312"/>
          <w:sz w:val="30"/>
          <w:szCs w:val="30"/>
        </w:rPr>
      </w:pPr>
      <w:r>
        <w:rPr>
          <w:rFonts w:hint="eastAsia" w:ascii="仿宋_GB2312" w:hAnsi="仿宋" w:eastAsia="仿宋_GB2312"/>
          <w:sz w:val="30"/>
          <w:szCs w:val="30"/>
        </w:rPr>
        <w:t>城乡居民人均消费支出增长水平高于人均可支配收入增长水平，农村居民人均消费支出大于城镇居民。县域乡镇消费市场规模扩张的同时，消费潜力释放的速度明显加快。</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2.城乡商贸流通体系已初具规模，</w:t>
      </w:r>
      <w:r>
        <w:rPr>
          <w:rFonts w:hint="eastAsia" w:ascii="仿宋_GB2312" w:eastAsia="仿宋_GB2312"/>
          <w:b/>
          <w:sz w:val="30"/>
          <w:szCs w:val="30"/>
        </w:rPr>
        <w:t>城市商贸流通功能格局初步建成</w:t>
      </w:r>
      <w:r>
        <w:rPr>
          <w:rFonts w:hint="eastAsia" w:ascii="仿宋_GB2312" w:hAnsi="仿宋" w:eastAsia="仿宋_GB2312"/>
          <w:b/>
          <w:bCs/>
          <w:sz w:val="30"/>
          <w:szCs w:val="30"/>
        </w:rPr>
        <w:t>。</w:t>
      </w:r>
      <w:r>
        <w:rPr>
          <w:rFonts w:hint="eastAsia" w:ascii="仿宋_GB2312" w:hAnsi="仿宋" w:eastAsia="仿宋_GB2312"/>
          <w:bCs/>
          <w:sz w:val="30"/>
          <w:szCs w:val="30"/>
        </w:rPr>
        <w:t>通过</w:t>
      </w:r>
      <w:r>
        <w:rPr>
          <w:rFonts w:hint="eastAsia" w:ascii="仿宋_GB2312" w:hAnsi="仿宋" w:eastAsia="仿宋_GB2312"/>
          <w:sz w:val="30"/>
          <w:szCs w:val="30"/>
        </w:rPr>
        <w:t>“十三五”期间的逐步建设，全县已基本形成覆盖县域城乡的市场流通体系。全县商品流通网络已延伸至各乡镇和较大的中心村，初步实现了县域空间的流通全覆盖。空间上形成以县城区（河东、河西）为县域流通市场核心，注滋口镇、梅田湖镇、东山镇、三封寺镇等商贸流通大镇为重点，其余乡镇为特色补充的县域市场流通体系。</w:t>
      </w:r>
    </w:p>
    <w:p>
      <w:pPr>
        <w:spacing w:line="640" w:lineRule="exact"/>
        <w:ind w:firstLine="600" w:firstLineChars="200"/>
        <w:rPr>
          <w:rFonts w:hint="eastAsia" w:ascii="仿宋_GB2312" w:eastAsia="仿宋_GB2312"/>
          <w:sz w:val="30"/>
          <w:szCs w:val="30"/>
        </w:rPr>
      </w:pPr>
      <w:r>
        <w:rPr>
          <w:rFonts w:hint="eastAsia" w:ascii="仿宋_GB2312" w:hAnsi="仿宋" w:eastAsia="仿宋_GB2312"/>
          <w:sz w:val="30"/>
          <w:szCs w:val="30"/>
        </w:rPr>
        <w:t>城区商贸流通网点建设区域功能特征明显。</w:t>
      </w:r>
      <w:r>
        <w:rPr>
          <w:rFonts w:hint="eastAsia" w:ascii="仿宋_GB2312" w:eastAsia="仿宋_GB2312"/>
          <w:sz w:val="30"/>
          <w:szCs w:val="30"/>
        </w:rPr>
        <w:t>华容河两岸现代风情商业聚集区业已成型，居然之家、步步高等零售龙头品牌陆续入驻，华冠国际大酒店、华容明威国际大酒店、华容途派雅酒店等高档宾馆酒店次第开业，华容河两岸的城市</w:t>
      </w:r>
      <w:r>
        <w:rPr>
          <w:rFonts w:hint="eastAsia" w:ascii="仿宋_GB2312" w:hAnsi="仿宋_GB2312" w:eastAsia="仿宋_GB2312" w:cs="仿宋_GB2312"/>
          <w:sz w:val="30"/>
          <w:szCs w:val="30"/>
        </w:rPr>
        <w:t>“夜经济”日渐繁华，城区商业档次与城市形象得到极大提升</w:t>
      </w:r>
      <w:r>
        <w:rPr>
          <w:rFonts w:hint="eastAsia" w:ascii="仿宋_GB2312" w:eastAsia="仿宋_GB2312"/>
          <w:sz w:val="30"/>
          <w:szCs w:val="30"/>
        </w:rPr>
        <w:t>。</w:t>
      </w:r>
      <w:r>
        <w:rPr>
          <w:rFonts w:hint="eastAsia" w:ascii="仿宋_GB2312" w:hAnsi="仿宋_GB2312" w:eastAsia="仿宋_GB2312" w:cs="仿宋_GB2312"/>
          <w:sz w:val="30"/>
          <w:szCs w:val="30"/>
        </w:rPr>
        <w:t>城兴、桥东、北门等农贸市场完成重建升级，社区快递物流和生活配送网络的快速成型，居民消费服务体系得到进一步优化。</w:t>
      </w:r>
      <w:r>
        <w:rPr>
          <w:rFonts w:hint="eastAsia" w:ascii="仿宋_GB2312" w:eastAsia="仿宋_GB2312"/>
          <w:sz w:val="30"/>
          <w:szCs w:val="30"/>
        </w:rPr>
        <w:t>华容大道西段以华容县华都家居建材广场为代表的家具、五金及装饰材料市场集群，城南306省道两厢以远大农资市场为代表的农业生产资料市场集群，以及华容大道东段的农产品产业物流集群共同形成开放的外向型流通服务体系。城区“一轴（华鲇路—桥西路—桥东路）相连，一主（河西老城区组团）两翼（马鞍新区组团和城东组团）”的商业格局初步形成。</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县域乡镇商贸流通服务节点初步构建完成。梅田湖镇、注滋口镇、东山镇、三封寺镇等人口和产业集中镇，将特色资源和交通区位转变为商贸流通发展优势，形成了农贸结合型、商旅文互动型、电商产业型等各具特色的市域乡镇商贸流通服务节点，服务本地居民和产业的同时，辐射周边乡镇和广大农村地区。</w:t>
      </w:r>
      <w:r>
        <w:rPr>
          <w:rFonts w:hint="eastAsia" w:ascii="仿宋_GB2312" w:eastAsia="仿宋_GB2312"/>
          <w:sz w:val="30"/>
          <w:szCs w:val="30"/>
        </w:rPr>
        <w:t>县域城乡流通体系格局得到优化，多级多层次多样化的现代商贸流通网络初步建成。</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3.电子商务蓬勃发展，电商生态体系架构已现。</w:t>
      </w:r>
      <w:r>
        <w:rPr>
          <w:rFonts w:hint="eastAsia" w:ascii="仿宋_GB2312" w:eastAsia="仿宋_GB2312"/>
          <w:sz w:val="30"/>
          <w:szCs w:val="30"/>
        </w:rPr>
        <w:t>“十三五”期间，全县电子商务蓬勃发展，基本形成</w:t>
      </w:r>
      <w:r>
        <w:rPr>
          <w:rFonts w:hint="eastAsia" w:ascii="仿宋_GB2312" w:hAnsi="仿宋" w:eastAsia="仿宋_GB2312"/>
          <w:sz w:val="30"/>
          <w:szCs w:val="30"/>
        </w:rPr>
        <w:t>“电商公共服务中心、乡镇电商服务站、村级电商服务点”三级服务体系，全县电子商务生态体系架构初步完成。阿里巴巴农村淘宝县级服务中心进驻华容，</w:t>
      </w:r>
      <w:r>
        <w:rPr>
          <w:rFonts w:hint="eastAsia" w:ascii="仿宋_GB2312" w:eastAsia="仿宋_GB2312"/>
          <w:sz w:val="30"/>
          <w:szCs w:val="30"/>
        </w:rPr>
        <w:t>长江经济带电商产业园开业运营，县域电商公共服务中心初步建成。依托电商龙头企业，</w:t>
      </w:r>
      <w:r>
        <w:rPr>
          <w:rFonts w:hint="eastAsia" w:ascii="仿宋_GB2312" w:hAnsi="仿宋" w:eastAsia="仿宋_GB2312"/>
          <w:sz w:val="30"/>
          <w:szCs w:val="30"/>
        </w:rPr>
        <w:t>全县14个乡镇全部引入“阿里巴巴天猫优品店”，县域乡镇电商服务站点建立完成。县邮政公司在161个行政村建立了“邮乐购村级电商服务站”，华容县新时代供销e家已在全县28个贫困村建立了“村级惠农电商综合服务站”“湖南电商扶贫小店”电商平台，已有505家店投入运营</w:t>
      </w:r>
      <w:r>
        <w:rPr>
          <w:rFonts w:hint="eastAsia" w:ascii="仿宋_GB2312" w:eastAsia="仿宋_GB2312"/>
          <w:sz w:val="30"/>
          <w:szCs w:val="30"/>
        </w:rPr>
        <w:t>，“直播带货”、“网红经济”等线上消费新模式已经渗透到田间地头，电商助农、电商扶贫成效显著</w:t>
      </w:r>
      <w:r>
        <w:rPr>
          <w:rFonts w:hint="eastAsia" w:ascii="仿宋_GB2312" w:hAnsi="仿宋" w:eastAsia="仿宋_GB2312"/>
          <w:sz w:val="30"/>
          <w:szCs w:val="30"/>
        </w:rPr>
        <w:t>。</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4.粮食大县再次载誉，粮食流通成绩显著。</w:t>
      </w:r>
      <w:r>
        <w:rPr>
          <w:rFonts w:hint="eastAsia" w:ascii="仿宋_GB2312" w:hAnsi="仿宋" w:eastAsia="仿宋_GB2312"/>
          <w:sz w:val="30"/>
          <w:szCs w:val="30"/>
        </w:rPr>
        <w:t>2017年，华容县荣获“中国好粮油”行动示范县。按照要求，全县积极发挥在自然资源、规模种植、科技兴农、粮油产业化经营、产业园区化等方面的比较优势，大力推进优质粮油流通体系建设，打造优质粮油产品及品牌，探索建立“优质优价”的粮食流通方式和市场交易机制，积极引导农民调整优化种植结构，提高绿色优质粮食产品的供给水平，满足城乡居民消费升级需求。深入实施藏粮于地，牢守耕地保护红线，坚持储粮标准化、管理规范化、安全常态化，粮食储备、托市粮食收购和粮食加工工作有序开展。以保障国家粮食安全为主，围绕国家粮库（场站）进行完善，形成与社会粮油市场相对独立，互为表里的有机结合。</w:t>
      </w:r>
    </w:p>
    <w:p>
      <w:pPr>
        <w:spacing w:line="640" w:lineRule="exact"/>
        <w:ind w:firstLine="602" w:firstLineChars="200"/>
        <w:outlineLvl w:val="1"/>
        <w:rPr>
          <w:rFonts w:hint="eastAsia" w:ascii="仿宋_GB2312" w:hAnsi="仿宋" w:eastAsia="仿宋_GB2312"/>
          <w:b/>
          <w:sz w:val="30"/>
          <w:szCs w:val="30"/>
        </w:rPr>
      </w:pPr>
      <w:bookmarkStart w:id="5" w:name="_Toc62653437"/>
      <w:bookmarkStart w:id="6" w:name="_Toc47968260"/>
      <w:bookmarkStart w:id="7" w:name="_Toc48232497"/>
      <w:r>
        <w:rPr>
          <w:rFonts w:hint="eastAsia" w:ascii="仿宋_GB2312" w:hAnsi="仿宋" w:eastAsia="仿宋_GB2312"/>
          <w:b/>
          <w:sz w:val="30"/>
          <w:szCs w:val="30"/>
        </w:rPr>
        <w:t>（二）存在问题</w:t>
      </w:r>
      <w:bookmarkEnd w:id="5"/>
      <w:bookmarkEnd w:id="6"/>
      <w:bookmarkEnd w:id="7"/>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1.商贸网点空间分布不均，市场整体缺乏规模。</w:t>
      </w:r>
      <w:r>
        <w:rPr>
          <w:rFonts w:hint="eastAsia" w:ascii="仿宋_GB2312" w:hAnsi="仿宋" w:eastAsia="仿宋_GB2312"/>
          <w:sz w:val="30"/>
          <w:szCs w:val="30"/>
        </w:rPr>
        <w:t>全县商贸流通空间布局失衡现象依然存在。沿河老城商贸设施建设发展相对饱和，城西和城东部分地区整体商贸发展不充分，仅有部分零散网点，新城和园区的建设进度明显滞后于城市建设和社区发展。同时，部分乡镇商贸设施建设不充分，多以小中型零售网点为主，整体发展不够均衡。县域范围内缺乏大型专业市场，已有的市场规模、功能、辐射范围均难以满足社会经济发展的要求。</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2.商业体系发展较城市经济发展相对滞后。</w:t>
      </w:r>
      <w:r>
        <w:rPr>
          <w:rFonts w:hint="eastAsia" w:ascii="仿宋_GB2312" w:hAnsi="仿宋" w:eastAsia="仿宋_GB2312"/>
          <w:sz w:val="30"/>
          <w:szCs w:val="30"/>
        </w:rPr>
        <w:t>随着以杭瑞、石华高速公路为骨架，以G234、G240、G353干线公路为主体，以农村公路为补充的“六纵三横”干线路网布局的全面建成，浩吉铁路华容站场、华容港区、梅田湖大桥建设逐步铺开，华容至监利高速公路及公铁两用大桥规划确定，华容“公铁水”对外综合流通基础设施体系雏形已成。但在现有交通条件明显改善的背景下，全县商贸流通体系的建设速度没有得到有效提升，整体发展较为滞后，相较于周边其他县市并无明显优势。县域范围内缺乏有规模效应的区域性商品交易市场和物流园区，商贸流通市场集聚程度低，乡镇流通配送效率和物流信息化水平发展不足，县域商贸流通体系发展明显滞后。</w:t>
      </w:r>
    </w:p>
    <w:p>
      <w:pPr>
        <w:pStyle w:val="9"/>
        <w:spacing w:line="640" w:lineRule="exact"/>
        <w:ind w:firstLine="600"/>
        <w:rPr>
          <w:rFonts w:ascii="仿宋_GB2312" w:hAnsi="仿宋" w:eastAsia="仿宋_GB2312"/>
          <w:sz w:val="30"/>
          <w:szCs w:val="30"/>
        </w:rPr>
      </w:pPr>
      <w:r>
        <w:rPr>
          <w:rFonts w:hint="eastAsia" w:ascii="仿宋_GB2312" w:hAnsi="仿宋" w:eastAsia="仿宋_GB2312"/>
          <w:sz w:val="30"/>
          <w:szCs w:val="30"/>
        </w:rPr>
        <w:t>“十三五”期间，规划重大项目共计7个，其中，农产品（仓储/冷链/加工/电商）物流园项目3个、农（集）贸市场类项目1个、家居建材类项目1个、仓储物流园1个、电子商务项目1个。就项目的实施情况来说，7个项目中，已实施项目3个，其中，续建项目1个（华容县华都家居建材广场），新建/改扩建项目</w:t>
      </w:r>
      <w:r>
        <w:rPr>
          <w:rFonts w:ascii="仿宋_GB2312" w:hAnsi="仿宋" w:eastAsia="仿宋_GB2312"/>
          <w:sz w:val="30"/>
          <w:szCs w:val="30"/>
        </w:rPr>
        <w:t>2</w:t>
      </w:r>
      <w:r>
        <w:rPr>
          <w:rFonts w:hint="eastAsia" w:ascii="仿宋_GB2312" w:hAnsi="仿宋" w:eastAsia="仿宋_GB2312"/>
          <w:sz w:val="30"/>
          <w:szCs w:val="30"/>
        </w:rPr>
        <w:t>个（华容县城区农贸市场建设、华容县农产品冷链物流园及电商园建设）；未实施项目4个。新增项目2个（步步高</w:t>
      </w:r>
      <w:r>
        <w:rPr>
          <w:rFonts w:hint="eastAsia" w:ascii="微软雅黑" w:hAnsi="微软雅黑" w:eastAsia="微软雅黑" w:cs="微软雅黑"/>
          <w:sz w:val="30"/>
          <w:szCs w:val="30"/>
        </w:rPr>
        <w:t>•</w:t>
      </w:r>
      <w:r>
        <w:rPr>
          <w:rFonts w:hint="eastAsia" w:ascii="仿宋_GB2312" w:hAnsi="仿宋_GB2312" w:eastAsia="仿宋_GB2312" w:cs="仿宋_GB2312"/>
          <w:sz w:val="30"/>
          <w:szCs w:val="30"/>
        </w:rPr>
        <w:t>新天地、长江经济带电商产业园）</w:t>
      </w:r>
      <w:r>
        <w:rPr>
          <w:rFonts w:hint="eastAsia" w:ascii="仿宋_GB2312" w:hAnsi="仿宋" w:eastAsia="仿宋_GB2312"/>
          <w:sz w:val="30"/>
          <w:szCs w:val="30"/>
        </w:rPr>
        <w:t>。</w:t>
      </w:r>
    </w:p>
    <w:p>
      <w:pPr>
        <w:pStyle w:val="9"/>
        <w:spacing w:line="640" w:lineRule="exact"/>
        <w:ind w:firstLine="600"/>
        <w:rPr>
          <w:rFonts w:ascii="仿宋_GB2312" w:hAnsi="仿宋" w:eastAsia="仿宋_GB2312"/>
          <w:sz w:val="30"/>
          <w:szCs w:val="30"/>
        </w:rPr>
      </w:pPr>
    </w:p>
    <w:p>
      <w:pPr>
        <w:pStyle w:val="9"/>
        <w:spacing w:line="640" w:lineRule="exact"/>
        <w:ind w:firstLine="600"/>
        <w:rPr>
          <w:rFonts w:ascii="仿宋_GB2312" w:hAnsi="仿宋" w:eastAsia="仿宋_GB2312"/>
          <w:sz w:val="30"/>
          <w:szCs w:val="30"/>
        </w:rPr>
      </w:pPr>
    </w:p>
    <w:p>
      <w:pPr>
        <w:pStyle w:val="9"/>
        <w:spacing w:line="640" w:lineRule="exact"/>
        <w:ind w:firstLine="600"/>
        <w:rPr>
          <w:rFonts w:hint="eastAsia" w:ascii="仿宋_GB2312" w:hAnsi="仿宋" w:eastAsia="仿宋_GB2312"/>
          <w:sz w:val="30"/>
          <w:szCs w:val="30"/>
        </w:rPr>
      </w:pPr>
    </w:p>
    <w:p>
      <w:pPr>
        <w:wordWrap w:val="0"/>
        <w:spacing w:line="360" w:lineRule="auto"/>
        <w:jc w:val="right"/>
        <w:rPr>
          <w:rFonts w:hint="eastAsia" w:ascii="仿宋_GB2312" w:hAnsi="宋体" w:eastAsia="仿宋_GB2312"/>
          <w:b/>
          <w:sz w:val="24"/>
          <w:szCs w:val="24"/>
        </w:rPr>
      </w:pPr>
    </w:p>
    <w:p>
      <w:pPr>
        <w:spacing w:line="360" w:lineRule="auto"/>
        <w:jc w:val="right"/>
        <w:rPr>
          <w:rFonts w:hint="eastAsia" w:ascii="仿宋_GB2312" w:hAnsi="宋体" w:eastAsia="仿宋_GB2312"/>
          <w:b/>
          <w:sz w:val="24"/>
          <w:szCs w:val="24"/>
        </w:rPr>
      </w:pPr>
      <w:r>
        <w:rPr>
          <w:rFonts w:hint="eastAsia" w:ascii="仿宋_GB2312" w:hAnsi="宋体" w:eastAsia="仿宋_GB2312"/>
          <w:b/>
          <w:sz w:val="24"/>
          <w:szCs w:val="24"/>
        </w:rPr>
        <w:t>华容县“十三五”规划重大项目实施情况         单位：亿元</w:t>
      </w:r>
    </w:p>
    <w:tbl>
      <w:tblPr>
        <w:tblStyle w:val="6"/>
        <w:tblW w:w="49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421"/>
        <w:gridCol w:w="999"/>
        <w:gridCol w:w="969"/>
        <w:gridCol w:w="1784"/>
        <w:gridCol w:w="710"/>
        <w:gridCol w:w="98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blHeader/>
          <w:jc w:val="center"/>
        </w:trPr>
        <w:tc>
          <w:tcPr>
            <w:tcW w:w="345" w:type="pct"/>
            <w:shd w:val="clear" w:color="auto" w:fill="auto"/>
            <w:noWrap w:val="0"/>
            <w:vAlign w:val="center"/>
          </w:tcPr>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序号</w:t>
            </w:r>
          </w:p>
        </w:tc>
        <w:tc>
          <w:tcPr>
            <w:tcW w:w="846" w:type="pct"/>
            <w:shd w:val="clear" w:color="auto" w:fill="auto"/>
            <w:noWrap w:val="0"/>
            <w:vAlign w:val="center"/>
          </w:tcPr>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项目名称</w:t>
            </w:r>
          </w:p>
        </w:tc>
        <w:tc>
          <w:tcPr>
            <w:tcW w:w="595" w:type="pct"/>
            <w:shd w:val="clear" w:color="auto" w:fill="auto"/>
            <w:noWrap w:val="0"/>
            <w:vAlign w:val="center"/>
          </w:tcPr>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所在地</w:t>
            </w:r>
          </w:p>
        </w:tc>
        <w:tc>
          <w:tcPr>
            <w:tcW w:w="577" w:type="pct"/>
            <w:shd w:val="clear" w:color="auto" w:fill="auto"/>
            <w:noWrap w:val="0"/>
            <w:vAlign w:val="center"/>
          </w:tcPr>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建设</w:t>
            </w:r>
          </w:p>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性质</w:t>
            </w:r>
          </w:p>
        </w:tc>
        <w:tc>
          <w:tcPr>
            <w:tcW w:w="1062" w:type="pct"/>
            <w:shd w:val="clear" w:color="auto" w:fill="auto"/>
            <w:noWrap w:val="0"/>
            <w:vAlign w:val="center"/>
          </w:tcPr>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完成情况</w:t>
            </w:r>
          </w:p>
        </w:tc>
        <w:tc>
          <w:tcPr>
            <w:tcW w:w="423" w:type="pct"/>
            <w:shd w:val="clear" w:color="auto" w:fill="auto"/>
            <w:noWrap w:val="0"/>
            <w:vAlign w:val="center"/>
          </w:tcPr>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计划投资</w:t>
            </w:r>
          </w:p>
        </w:tc>
        <w:tc>
          <w:tcPr>
            <w:tcW w:w="589" w:type="pct"/>
            <w:shd w:val="clear" w:color="auto" w:fill="auto"/>
            <w:noWrap w:val="0"/>
            <w:vAlign w:val="center"/>
          </w:tcPr>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实际</w:t>
            </w:r>
          </w:p>
          <w:p>
            <w:pPr>
              <w:widowControl/>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bCs/>
                <w:color w:val="000000"/>
                <w:kern w:val="0"/>
                <w:sz w:val="22"/>
                <w:szCs w:val="24"/>
              </w:rPr>
              <w:t>投资</w:t>
            </w:r>
          </w:p>
        </w:tc>
        <w:tc>
          <w:tcPr>
            <w:tcW w:w="563" w:type="pct"/>
            <w:noWrap w:val="0"/>
            <w:vAlign w:val="center"/>
          </w:tcPr>
          <w:p>
            <w:pPr>
              <w:jc w:val="center"/>
              <w:rPr>
                <w:rFonts w:hint="eastAsia" w:ascii="仿宋_GB2312" w:hAnsi="宋体" w:eastAsia="仿宋_GB2312" w:cs="宋体"/>
                <w:b/>
                <w:color w:val="000000"/>
                <w:kern w:val="0"/>
                <w:sz w:val="22"/>
                <w:szCs w:val="24"/>
              </w:rPr>
            </w:pPr>
            <w:r>
              <w:rPr>
                <w:rFonts w:hint="eastAsia" w:ascii="仿宋_GB2312" w:hAnsi="宋体" w:eastAsia="仿宋_GB2312" w:cs="宋体"/>
                <w:b/>
                <w:color w:val="000000"/>
                <w:kern w:val="0"/>
                <w:sz w:val="22"/>
                <w:szCs w:val="24"/>
              </w:rPr>
              <w:t>实施</w:t>
            </w:r>
          </w:p>
          <w:p>
            <w:pPr>
              <w:jc w:val="center"/>
              <w:rPr>
                <w:rFonts w:hint="eastAsia" w:ascii="仿宋_GB2312" w:hAnsi="宋体" w:eastAsia="仿宋_GB2312" w:cs="宋体"/>
                <w:b/>
                <w:bCs/>
                <w:color w:val="000000"/>
                <w:kern w:val="0"/>
                <w:sz w:val="22"/>
                <w:szCs w:val="24"/>
              </w:rPr>
            </w:pPr>
            <w:r>
              <w:rPr>
                <w:rFonts w:hint="eastAsia" w:ascii="仿宋_GB2312" w:hAnsi="宋体" w:eastAsia="仿宋_GB2312" w:cs="宋体"/>
                <w:b/>
                <w:color w:val="000000"/>
                <w:kern w:val="0"/>
                <w:sz w:val="22"/>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1</w:t>
            </w:r>
          </w:p>
        </w:tc>
        <w:tc>
          <w:tcPr>
            <w:tcW w:w="846"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华容县农贸市场建设</w:t>
            </w:r>
          </w:p>
        </w:tc>
        <w:tc>
          <w:tcPr>
            <w:tcW w:w="595"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县域</w:t>
            </w:r>
          </w:p>
        </w:tc>
        <w:tc>
          <w:tcPr>
            <w:tcW w:w="577"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新建、改扩建</w:t>
            </w:r>
          </w:p>
        </w:tc>
        <w:tc>
          <w:tcPr>
            <w:tcW w:w="1062" w:type="pct"/>
            <w:shd w:val="clear" w:color="auto" w:fill="auto"/>
            <w:noWrap w:val="0"/>
            <w:vAlign w:val="center"/>
          </w:tcPr>
          <w:p>
            <w:pPr>
              <w:widowControl/>
              <w:jc w:val="left"/>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完成城兴、桥东、景港、胜峰等市场进行重建或升级改造。</w:t>
            </w:r>
          </w:p>
        </w:tc>
        <w:tc>
          <w:tcPr>
            <w:tcW w:w="423"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5</w:t>
            </w:r>
          </w:p>
        </w:tc>
        <w:tc>
          <w:tcPr>
            <w:tcW w:w="589"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1500万</w:t>
            </w:r>
          </w:p>
        </w:tc>
        <w:tc>
          <w:tcPr>
            <w:tcW w:w="563" w:type="pct"/>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已实施完成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2</w:t>
            </w:r>
          </w:p>
        </w:tc>
        <w:tc>
          <w:tcPr>
            <w:tcW w:w="846"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华容县湘鄂边绿色农产品冷链物流及10万吨鲜活农产品贮藏建设</w:t>
            </w:r>
          </w:p>
        </w:tc>
        <w:tc>
          <w:tcPr>
            <w:tcW w:w="595"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城关镇</w:t>
            </w:r>
          </w:p>
        </w:tc>
        <w:tc>
          <w:tcPr>
            <w:tcW w:w="577"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新建</w:t>
            </w:r>
          </w:p>
        </w:tc>
        <w:tc>
          <w:tcPr>
            <w:tcW w:w="1062" w:type="pct"/>
            <w:shd w:val="clear" w:color="auto" w:fill="auto"/>
            <w:noWrap w:val="0"/>
            <w:vAlign w:val="center"/>
          </w:tcPr>
          <w:p>
            <w:pPr>
              <w:widowControl/>
              <w:rPr>
                <w:rFonts w:hint="eastAsia" w:ascii="仿宋_GB2312" w:hAnsi="宋体" w:eastAsia="仿宋_GB2312" w:cs="宋体"/>
                <w:color w:val="000000"/>
                <w:kern w:val="0"/>
                <w:sz w:val="22"/>
                <w:szCs w:val="24"/>
              </w:rPr>
            </w:pPr>
          </w:p>
        </w:tc>
        <w:tc>
          <w:tcPr>
            <w:tcW w:w="423"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20</w:t>
            </w:r>
          </w:p>
        </w:tc>
        <w:tc>
          <w:tcPr>
            <w:tcW w:w="589"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p>
        </w:tc>
        <w:tc>
          <w:tcPr>
            <w:tcW w:w="563" w:type="pct"/>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3</w:t>
            </w:r>
          </w:p>
        </w:tc>
        <w:tc>
          <w:tcPr>
            <w:tcW w:w="846"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华容县现代仓储物流园建设</w:t>
            </w:r>
          </w:p>
        </w:tc>
        <w:tc>
          <w:tcPr>
            <w:tcW w:w="595"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城关镇</w:t>
            </w:r>
          </w:p>
        </w:tc>
        <w:tc>
          <w:tcPr>
            <w:tcW w:w="577"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新建</w:t>
            </w:r>
          </w:p>
        </w:tc>
        <w:tc>
          <w:tcPr>
            <w:tcW w:w="1062" w:type="pct"/>
            <w:shd w:val="clear" w:color="auto" w:fill="auto"/>
            <w:noWrap w:val="0"/>
            <w:vAlign w:val="center"/>
          </w:tcPr>
          <w:p>
            <w:pPr>
              <w:widowControl/>
              <w:rPr>
                <w:rFonts w:hint="eastAsia" w:ascii="仿宋_GB2312" w:hAnsi="宋体" w:eastAsia="仿宋_GB2312" w:cs="宋体"/>
                <w:color w:val="000000"/>
                <w:kern w:val="0"/>
                <w:sz w:val="22"/>
                <w:szCs w:val="24"/>
              </w:rPr>
            </w:pPr>
          </w:p>
        </w:tc>
        <w:tc>
          <w:tcPr>
            <w:tcW w:w="423"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5</w:t>
            </w:r>
          </w:p>
        </w:tc>
        <w:tc>
          <w:tcPr>
            <w:tcW w:w="589"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p>
        </w:tc>
        <w:tc>
          <w:tcPr>
            <w:tcW w:w="563" w:type="pct"/>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4</w:t>
            </w:r>
          </w:p>
        </w:tc>
        <w:tc>
          <w:tcPr>
            <w:tcW w:w="846"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华容县城乡一体化电子商务工程</w:t>
            </w:r>
          </w:p>
        </w:tc>
        <w:tc>
          <w:tcPr>
            <w:tcW w:w="595"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城关镇</w:t>
            </w:r>
          </w:p>
        </w:tc>
        <w:tc>
          <w:tcPr>
            <w:tcW w:w="577"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新建</w:t>
            </w:r>
          </w:p>
        </w:tc>
        <w:tc>
          <w:tcPr>
            <w:tcW w:w="1062" w:type="pct"/>
            <w:shd w:val="clear" w:color="auto" w:fill="auto"/>
            <w:noWrap w:val="0"/>
            <w:vAlign w:val="center"/>
          </w:tcPr>
          <w:p>
            <w:pPr>
              <w:widowControl/>
              <w:rPr>
                <w:rFonts w:hint="eastAsia" w:ascii="仿宋_GB2312" w:hAnsi="宋体" w:eastAsia="仿宋_GB2312" w:cs="宋体"/>
                <w:color w:val="000000"/>
                <w:kern w:val="0"/>
                <w:sz w:val="22"/>
                <w:szCs w:val="24"/>
              </w:rPr>
            </w:pPr>
          </w:p>
        </w:tc>
        <w:tc>
          <w:tcPr>
            <w:tcW w:w="423"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3</w:t>
            </w:r>
          </w:p>
        </w:tc>
        <w:tc>
          <w:tcPr>
            <w:tcW w:w="589"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p>
        </w:tc>
        <w:tc>
          <w:tcPr>
            <w:tcW w:w="563" w:type="pct"/>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5</w:t>
            </w:r>
          </w:p>
        </w:tc>
        <w:tc>
          <w:tcPr>
            <w:tcW w:w="846"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华容县沿江农产品加工物流园建设</w:t>
            </w:r>
          </w:p>
        </w:tc>
        <w:tc>
          <w:tcPr>
            <w:tcW w:w="595"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东山镇</w:t>
            </w:r>
          </w:p>
        </w:tc>
        <w:tc>
          <w:tcPr>
            <w:tcW w:w="577"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新建</w:t>
            </w:r>
          </w:p>
        </w:tc>
        <w:tc>
          <w:tcPr>
            <w:tcW w:w="1062" w:type="pct"/>
            <w:shd w:val="clear" w:color="auto" w:fill="auto"/>
            <w:noWrap w:val="0"/>
            <w:vAlign w:val="center"/>
          </w:tcPr>
          <w:p>
            <w:pPr>
              <w:widowControl/>
              <w:rPr>
                <w:rFonts w:hint="eastAsia" w:ascii="仿宋_GB2312" w:hAnsi="宋体" w:eastAsia="仿宋_GB2312" w:cs="宋体"/>
                <w:color w:val="000000"/>
                <w:kern w:val="0"/>
                <w:sz w:val="22"/>
                <w:szCs w:val="24"/>
              </w:rPr>
            </w:pPr>
          </w:p>
        </w:tc>
        <w:tc>
          <w:tcPr>
            <w:tcW w:w="423"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10</w:t>
            </w:r>
          </w:p>
        </w:tc>
        <w:tc>
          <w:tcPr>
            <w:tcW w:w="589"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p>
        </w:tc>
        <w:tc>
          <w:tcPr>
            <w:tcW w:w="563" w:type="pct"/>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6</w:t>
            </w:r>
          </w:p>
        </w:tc>
        <w:tc>
          <w:tcPr>
            <w:tcW w:w="846"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华容县农产品冷链物流园及电商园建设（中农联华容农产品电商物流园）</w:t>
            </w:r>
          </w:p>
        </w:tc>
        <w:tc>
          <w:tcPr>
            <w:tcW w:w="59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华容大道西段</w:t>
            </w:r>
          </w:p>
        </w:tc>
        <w:tc>
          <w:tcPr>
            <w:tcW w:w="577"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新建</w:t>
            </w:r>
          </w:p>
        </w:tc>
        <w:tc>
          <w:tcPr>
            <w:tcW w:w="1062"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kern w:val="0"/>
                <w:sz w:val="22"/>
                <w:szCs w:val="24"/>
              </w:rPr>
              <w:t>用地总规模105亩，建设辐射湘北市场的农产品电商物流园，为现代农业发展、农产品流通发挥重要作用。处于征地阶段。</w:t>
            </w:r>
          </w:p>
        </w:tc>
        <w:tc>
          <w:tcPr>
            <w:tcW w:w="423"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6</w:t>
            </w:r>
          </w:p>
        </w:tc>
        <w:tc>
          <w:tcPr>
            <w:tcW w:w="589"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p>
        </w:tc>
        <w:tc>
          <w:tcPr>
            <w:tcW w:w="563" w:type="pct"/>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已实施，前期工作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7</w:t>
            </w:r>
          </w:p>
        </w:tc>
        <w:tc>
          <w:tcPr>
            <w:tcW w:w="846" w:type="pct"/>
            <w:shd w:val="clear" w:color="auto" w:fill="auto"/>
            <w:noWrap w:val="0"/>
            <w:vAlign w:val="center"/>
          </w:tcPr>
          <w:p>
            <w:pPr>
              <w:widowControl/>
              <w:rPr>
                <w:rFonts w:hint="eastAsia" w:ascii="仿宋_GB2312" w:hAnsi="宋体" w:eastAsia="仿宋_GB2312" w:cs="宋体"/>
                <w:kern w:val="0"/>
                <w:sz w:val="22"/>
                <w:szCs w:val="24"/>
              </w:rPr>
            </w:pPr>
            <w:r>
              <w:rPr>
                <w:rFonts w:hint="eastAsia" w:ascii="仿宋_GB2312" w:hAnsi="宋体" w:eastAsia="仿宋_GB2312" w:cs="宋体"/>
                <w:kern w:val="0"/>
                <w:sz w:val="22"/>
                <w:szCs w:val="24"/>
              </w:rPr>
              <w:t>华容县华都家居建材广场建设</w:t>
            </w:r>
          </w:p>
        </w:tc>
        <w:tc>
          <w:tcPr>
            <w:tcW w:w="59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治湖村</w:t>
            </w:r>
          </w:p>
        </w:tc>
        <w:tc>
          <w:tcPr>
            <w:tcW w:w="577"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续建</w:t>
            </w:r>
          </w:p>
        </w:tc>
        <w:tc>
          <w:tcPr>
            <w:tcW w:w="1062" w:type="pct"/>
            <w:shd w:val="clear" w:color="auto" w:fill="auto"/>
            <w:noWrap w:val="0"/>
            <w:vAlign w:val="center"/>
          </w:tcPr>
          <w:p>
            <w:pPr>
              <w:widowControl/>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引进居然之家，对品牌所需的经营场地进行内外装修，工程已接近尾声。项目三期正在建设中。</w:t>
            </w:r>
          </w:p>
        </w:tc>
        <w:tc>
          <w:tcPr>
            <w:tcW w:w="423" w:type="pct"/>
            <w:shd w:val="clear" w:color="auto" w:fill="auto"/>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10</w:t>
            </w:r>
          </w:p>
        </w:tc>
        <w:tc>
          <w:tcPr>
            <w:tcW w:w="589"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8</w:t>
            </w:r>
          </w:p>
        </w:tc>
        <w:tc>
          <w:tcPr>
            <w:tcW w:w="563" w:type="pct"/>
            <w:noWrap w:val="0"/>
            <w:vAlign w:val="center"/>
          </w:tcPr>
          <w:p>
            <w:pPr>
              <w:widowControl/>
              <w:jc w:val="center"/>
              <w:rPr>
                <w:rFonts w:hint="eastAsia" w:ascii="仿宋_GB2312" w:hAnsi="宋体" w:eastAsia="仿宋_GB2312" w:cs="宋体"/>
                <w:color w:val="000000"/>
                <w:kern w:val="0"/>
                <w:sz w:val="22"/>
                <w:szCs w:val="24"/>
              </w:rPr>
            </w:pPr>
            <w:r>
              <w:rPr>
                <w:rFonts w:hint="eastAsia" w:ascii="仿宋_GB2312" w:hAnsi="宋体" w:eastAsia="仿宋_GB2312" w:cs="宋体"/>
                <w:color w:val="000000"/>
                <w:kern w:val="0"/>
                <w:sz w:val="22"/>
                <w:szCs w:val="24"/>
              </w:rPr>
              <w:t>已实施，建设中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8</w:t>
            </w:r>
          </w:p>
        </w:tc>
        <w:tc>
          <w:tcPr>
            <w:tcW w:w="846" w:type="pct"/>
            <w:shd w:val="clear" w:color="auto" w:fill="auto"/>
            <w:noWrap w:val="0"/>
            <w:vAlign w:val="center"/>
          </w:tcPr>
          <w:p>
            <w:pPr>
              <w:widowControl/>
              <w:rPr>
                <w:rFonts w:hint="eastAsia" w:ascii="仿宋_GB2312" w:hAnsi="宋体" w:eastAsia="仿宋_GB2312" w:cs="宋体"/>
                <w:kern w:val="0"/>
                <w:sz w:val="22"/>
                <w:szCs w:val="24"/>
              </w:rPr>
            </w:pPr>
            <w:r>
              <w:rPr>
                <w:rFonts w:hint="eastAsia" w:ascii="仿宋_GB2312" w:hAnsi="宋体" w:eastAsia="仿宋_GB2312" w:cs="宋体"/>
                <w:kern w:val="0"/>
                <w:sz w:val="22"/>
                <w:szCs w:val="24"/>
              </w:rPr>
              <w:t>步步高</w:t>
            </w:r>
            <w:r>
              <w:rPr>
                <w:rFonts w:hint="eastAsia" w:ascii="仿宋_GB2312" w:eastAsia="仿宋_GB2312"/>
                <w:kern w:val="0"/>
                <w:sz w:val="22"/>
                <w:szCs w:val="24"/>
              </w:rPr>
              <w:t>·</w:t>
            </w:r>
            <w:r>
              <w:rPr>
                <w:rFonts w:hint="eastAsia" w:ascii="仿宋_GB2312" w:hAnsi="宋体" w:eastAsia="仿宋_GB2312" w:cs="宋体"/>
                <w:kern w:val="0"/>
                <w:sz w:val="22"/>
                <w:szCs w:val="24"/>
              </w:rPr>
              <w:t>新天地</w:t>
            </w:r>
          </w:p>
        </w:tc>
        <w:tc>
          <w:tcPr>
            <w:tcW w:w="59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迎宾大道</w:t>
            </w:r>
          </w:p>
        </w:tc>
        <w:tc>
          <w:tcPr>
            <w:tcW w:w="577"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color w:val="000000"/>
                <w:kern w:val="0"/>
                <w:sz w:val="22"/>
                <w:szCs w:val="24"/>
              </w:rPr>
              <w:t>新建</w:t>
            </w:r>
          </w:p>
        </w:tc>
        <w:tc>
          <w:tcPr>
            <w:tcW w:w="1062" w:type="pct"/>
            <w:shd w:val="clear" w:color="auto" w:fill="auto"/>
            <w:noWrap w:val="0"/>
            <w:vAlign w:val="center"/>
          </w:tcPr>
          <w:p>
            <w:pPr>
              <w:widowControl/>
              <w:rPr>
                <w:rFonts w:hint="eastAsia" w:ascii="仿宋_GB2312" w:hAnsi="宋体" w:eastAsia="仿宋_GB2312" w:cs="宋体"/>
                <w:kern w:val="0"/>
                <w:sz w:val="22"/>
                <w:szCs w:val="24"/>
              </w:rPr>
            </w:pPr>
            <w:r>
              <w:rPr>
                <w:rFonts w:hint="eastAsia" w:ascii="仿宋_GB2312" w:hAnsi="宋体" w:eastAsia="仿宋_GB2312" w:cs="宋体"/>
                <w:kern w:val="0"/>
                <w:sz w:val="22"/>
                <w:szCs w:val="24"/>
              </w:rPr>
              <w:t>总建面约40万平方米，包括5万平方米购物中心汇聚多元业态，6000平方米综合超市。</w:t>
            </w:r>
          </w:p>
        </w:tc>
        <w:tc>
          <w:tcPr>
            <w:tcW w:w="423"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14</w:t>
            </w:r>
          </w:p>
        </w:tc>
        <w:tc>
          <w:tcPr>
            <w:tcW w:w="589"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2</w:t>
            </w:r>
          </w:p>
        </w:tc>
        <w:tc>
          <w:tcPr>
            <w:tcW w:w="563" w:type="pct"/>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color w:val="000000"/>
                <w:kern w:val="0"/>
                <w:sz w:val="22"/>
                <w:szCs w:val="24"/>
              </w:rPr>
              <w:t>新增，建设中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34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9</w:t>
            </w:r>
          </w:p>
        </w:tc>
        <w:tc>
          <w:tcPr>
            <w:tcW w:w="846" w:type="pct"/>
            <w:shd w:val="clear" w:color="auto" w:fill="auto"/>
            <w:noWrap w:val="0"/>
            <w:vAlign w:val="center"/>
          </w:tcPr>
          <w:p>
            <w:pPr>
              <w:widowControl/>
              <w:rPr>
                <w:rFonts w:hint="eastAsia" w:ascii="仿宋_GB2312" w:hAnsi="宋体" w:eastAsia="仿宋_GB2312" w:cs="宋体"/>
                <w:kern w:val="0"/>
                <w:sz w:val="22"/>
                <w:szCs w:val="24"/>
              </w:rPr>
            </w:pPr>
            <w:r>
              <w:rPr>
                <w:rFonts w:hint="eastAsia" w:ascii="仿宋_GB2312" w:hAnsi="宋体" w:eastAsia="仿宋_GB2312" w:cs="宋体"/>
                <w:kern w:val="0"/>
                <w:sz w:val="22"/>
                <w:szCs w:val="24"/>
              </w:rPr>
              <w:t>长江经济带电商产业园</w:t>
            </w:r>
          </w:p>
        </w:tc>
        <w:tc>
          <w:tcPr>
            <w:tcW w:w="595"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华容河广场</w:t>
            </w:r>
          </w:p>
        </w:tc>
        <w:tc>
          <w:tcPr>
            <w:tcW w:w="577"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color w:val="000000"/>
                <w:kern w:val="0"/>
                <w:sz w:val="22"/>
                <w:szCs w:val="24"/>
              </w:rPr>
              <w:t>新建</w:t>
            </w:r>
          </w:p>
        </w:tc>
        <w:tc>
          <w:tcPr>
            <w:tcW w:w="1062" w:type="pct"/>
            <w:shd w:val="clear" w:color="auto" w:fill="auto"/>
            <w:noWrap w:val="0"/>
            <w:vAlign w:val="center"/>
          </w:tcPr>
          <w:p>
            <w:pPr>
              <w:widowControl/>
              <w:rPr>
                <w:rFonts w:hint="eastAsia" w:ascii="仿宋_GB2312" w:hAnsi="宋体" w:eastAsia="仿宋_GB2312" w:cs="宋体"/>
                <w:kern w:val="0"/>
                <w:sz w:val="22"/>
                <w:szCs w:val="24"/>
              </w:rPr>
            </w:pPr>
            <w:r>
              <w:rPr>
                <w:rFonts w:hint="eastAsia" w:ascii="仿宋_GB2312" w:hAnsi="宋体" w:eastAsia="仿宋_GB2312" w:cs="宋体"/>
                <w:kern w:val="0"/>
                <w:sz w:val="22"/>
                <w:szCs w:val="24"/>
              </w:rPr>
              <w:t>已入驻</w:t>
            </w:r>
            <w:r>
              <w:rPr>
                <w:rFonts w:hint="eastAsia" w:ascii="仿宋_GB2312" w:eastAsia="仿宋_GB2312"/>
                <w:kern w:val="0"/>
                <w:sz w:val="22"/>
                <w:szCs w:val="24"/>
              </w:rPr>
              <w:t>“</w:t>
            </w:r>
            <w:r>
              <w:rPr>
                <w:rFonts w:hint="eastAsia" w:ascii="仿宋_GB2312" w:hAnsi="宋体" w:eastAsia="仿宋_GB2312" w:cs="宋体"/>
                <w:kern w:val="0"/>
                <w:sz w:val="22"/>
                <w:szCs w:val="24"/>
              </w:rPr>
              <w:t>三善堂</w:t>
            </w:r>
            <w:r>
              <w:rPr>
                <w:rFonts w:hint="eastAsia" w:ascii="仿宋_GB2312" w:eastAsia="仿宋_GB2312"/>
                <w:kern w:val="0"/>
                <w:sz w:val="22"/>
                <w:szCs w:val="24"/>
              </w:rPr>
              <w:t>”</w:t>
            </w:r>
            <w:r>
              <w:rPr>
                <w:rFonts w:hint="eastAsia" w:ascii="仿宋_GB2312" w:hAnsi="宋体" w:eastAsia="仿宋_GB2312" w:cs="宋体"/>
                <w:kern w:val="0"/>
                <w:sz w:val="22"/>
                <w:szCs w:val="24"/>
              </w:rPr>
              <w:t>书画电子商务有限公司、电商培训中心、创客咖啡、亚马逊华容首家跨境电商体验区、胜峰茶业等40余家企业。</w:t>
            </w:r>
          </w:p>
        </w:tc>
        <w:tc>
          <w:tcPr>
            <w:tcW w:w="423"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2.8</w:t>
            </w:r>
          </w:p>
        </w:tc>
        <w:tc>
          <w:tcPr>
            <w:tcW w:w="589" w:type="pct"/>
            <w:shd w:val="clear" w:color="auto" w:fill="auto"/>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kern w:val="0"/>
                <w:sz w:val="22"/>
                <w:szCs w:val="24"/>
              </w:rPr>
              <w:t>2.8</w:t>
            </w:r>
          </w:p>
        </w:tc>
        <w:tc>
          <w:tcPr>
            <w:tcW w:w="563" w:type="pct"/>
            <w:noWrap w:val="0"/>
            <w:vAlign w:val="center"/>
          </w:tcPr>
          <w:p>
            <w:pPr>
              <w:widowControl/>
              <w:jc w:val="center"/>
              <w:rPr>
                <w:rFonts w:hint="eastAsia" w:ascii="仿宋_GB2312" w:hAnsi="宋体" w:eastAsia="仿宋_GB2312" w:cs="宋体"/>
                <w:kern w:val="0"/>
                <w:sz w:val="22"/>
                <w:szCs w:val="24"/>
              </w:rPr>
            </w:pPr>
            <w:r>
              <w:rPr>
                <w:rFonts w:hint="eastAsia" w:ascii="仿宋_GB2312" w:hAnsi="宋体" w:eastAsia="仿宋_GB2312" w:cs="宋体"/>
                <w:color w:val="000000"/>
                <w:kern w:val="0"/>
                <w:sz w:val="22"/>
                <w:szCs w:val="24"/>
              </w:rPr>
              <w:t>新增，建设完成</w:t>
            </w:r>
          </w:p>
        </w:tc>
      </w:tr>
    </w:tbl>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3.物流产业对经济社会的关键推动作用不显。</w:t>
      </w:r>
      <w:r>
        <w:rPr>
          <w:rFonts w:hint="eastAsia" w:ascii="仿宋_GB2312" w:hAnsi="仿宋" w:eastAsia="仿宋_GB2312"/>
          <w:sz w:val="30"/>
          <w:szCs w:val="30"/>
        </w:rPr>
        <w:t>“十三五”期间，全县物流产业发展趋势与国民经济和社会发展整体趋势相一致，均保持增长态势，但物流产业的规模、发展水平、现代化程度等关键指标明显与社会经济发展不必配，在全县产业体系中关键推进作用没有显现，产业地位不高。</w:t>
      </w:r>
    </w:p>
    <w:p>
      <w:pPr>
        <w:pStyle w:val="9"/>
        <w:spacing w:line="640" w:lineRule="exact"/>
        <w:ind w:firstLine="600"/>
        <w:rPr>
          <w:rFonts w:hint="eastAsia" w:ascii="仿宋_GB2312" w:hAnsi="仿宋" w:eastAsia="仿宋_GB2312"/>
          <w:sz w:val="30"/>
          <w:szCs w:val="30"/>
        </w:rPr>
      </w:pPr>
      <w:r>
        <w:rPr>
          <w:rFonts w:hint="eastAsia" w:ascii="仿宋_GB2312" w:hAnsi="仿宋" w:eastAsia="仿宋_GB2312"/>
          <w:sz w:val="30"/>
          <w:szCs w:val="30"/>
        </w:rPr>
        <w:t>2019年，全县实现交通运输、仓储和邮政业增加值13.6亿元，同比增长6.1%，占全县国民生产总值比重为3.79%，同比下降1.05%。按照物流在各自产业中的功能和定位来看，农业中，传统交易物流占主体，是基础服务，贡献率整体偏低；工业内，企业自建物流为主体，第三方物流介入程度低，物流没有起到将市场信息及时反馈生产端的积极回馈作用，对产业链提升的作用有限；商贸过程里，电子商务发展带动快递物流业增长迅猛，社会消费物流服务规模增长明显，但配送体系的现代化程度较低，影响整体流通效率，同时交易市场主体建设滞后，缺少线下实体平台对本地商贸流通产业的支撑，“商品流入地、消费外流源”的情况较为突出。</w:t>
      </w:r>
    </w:p>
    <w:p>
      <w:pPr>
        <w:spacing w:line="640" w:lineRule="exact"/>
        <w:ind w:firstLine="602" w:firstLineChars="200"/>
        <w:rPr>
          <w:rFonts w:hint="eastAsia" w:ascii="仿宋_GB2312" w:hAnsi="仿宋" w:eastAsia="仿宋_GB2312"/>
          <w:sz w:val="30"/>
          <w:szCs w:val="30"/>
        </w:rPr>
      </w:pPr>
      <w:r>
        <w:rPr>
          <w:rFonts w:hint="eastAsia" w:ascii="仿宋_GB2312" w:hAnsi="仿宋" w:eastAsia="仿宋_GB2312"/>
          <w:b/>
          <w:bCs/>
          <w:sz w:val="30"/>
          <w:szCs w:val="30"/>
        </w:rPr>
        <w:t>4.专业人才不足，引进成本较高。</w:t>
      </w:r>
      <w:r>
        <w:rPr>
          <w:rFonts w:hint="eastAsia" w:ascii="仿宋_GB2312" w:hAnsi="仿宋" w:eastAsia="仿宋_GB2312"/>
          <w:sz w:val="30"/>
          <w:szCs w:val="30"/>
        </w:rPr>
        <w:t>在区域一体化建设、新型城镇化背景下，大量高素质、专业性人才涌入大城市，县域商贸流通从业人员匮乏。特别是在互联网时代、电商经济热潮下，熟悉农村商贸流通业政策、精于业务的人才更是不足，加之，信息化主管、商务运营等高技术人才引进成本较高的问题，已严重阻碍华容县商贸流通业的发展进程。</w:t>
      </w:r>
    </w:p>
    <w:p>
      <w:pPr>
        <w:spacing w:line="640" w:lineRule="exact"/>
        <w:ind w:firstLine="602" w:firstLineChars="200"/>
        <w:outlineLvl w:val="1"/>
        <w:rPr>
          <w:rFonts w:hint="eastAsia" w:ascii="仿宋_GB2312" w:hAnsi="仿宋" w:eastAsia="仿宋_GB2312"/>
          <w:b/>
          <w:sz w:val="30"/>
          <w:szCs w:val="30"/>
        </w:rPr>
      </w:pPr>
      <w:bookmarkStart w:id="8" w:name="_Toc62653438"/>
      <w:r>
        <w:rPr>
          <w:rFonts w:hint="eastAsia" w:ascii="仿宋_GB2312" w:hAnsi="仿宋" w:eastAsia="仿宋_GB2312"/>
          <w:b/>
          <w:sz w:val="30"/>
          <w:szCs w:val="30"/>
        </w:rPr>
        <w:t>（三）重大机遇</w:t>
      </w:r>
      <w:bookmarkEnd w:id="8"/>
    </w:p>
    <w:p>
      <w:pPr>
        <w:spacing w:line="640" w:lineRule="exact"/>
        <w:ind w:firstLine="602" w:firstLineChars="200"/>
        <w:rPr>
          <w:rFonts w:hint="eastAsia" w:ascii="仿宋_GB2312" w:hAnsi="仿宋" w:eastAsia="仿宋_GB2312"/>
          <w:b/>
          <w:bCs/>
          <w:sz w:val="30"/>
          <w:szCs w:val="30"/>
        </w:rPr>
      </w:pPr>
      <w:bookmarkStart w:id="9" w:name="_Toc53235177"/>
      <w:r>
        <w:rPr>
          <w:rFonts w:hint="eastAsia" w:ascii="仿宋_GB2312" w:hAnsi="仿宋" w:eastAsia="仿宋_GB2312"/>
          <w:b/>
          <w:bCs/>
          <w:sz w:val="30"/>
          <w:szCs w:val="30"/>
        </w:rPr>
        <w:t>1.国家政策红利释放为商贸流通业发展营造宽松便利的发展环境。</w:t>
      </w:r>
      <w:r>
        <w:rPr>
          <w:rFonts w:hint="eastAsia" w:ascii="仿宋_GB2312" w:hAnsi="仿宋" w:eastAsia="仿宋_GB2312"/>
          <w:sz w:val="30"/>
          <w:szCs w:val="30"/>
        </w:rPr>
        <w:t>近年来，随着对商贸流通产业地位和作用认识的不断提升，各级政府对商贸流通业发展愈加重视，不断出台各种政策促进行业发展。国家层面，连续出台了《国务院办公厅关于促进内贸流通健康发展的若干意见》、《国务院关于积极发挥新消费引领作用加快培育形成新供给新动力的指导意见》、《国务院关于推进国内贸易流通现代化建设法治化营商环境的意见》、《国务院办公厅关于推进线上线下互动加快商贸流通创新发展转型升级的意见》等，同时，湖南省也出台了一系列政策法规，譬如《湖南省人民政府关于进一步促进流通产业发展的意见》、《湖南省人民政府关于加快推进流通产业发展的意见》、《湖南省实施商贸流通“千百工程”工作方案》等。这些行业发展指导意见和扶持政策的密集出台，成为商贸流通业发展的重大利好，为华容县促进商务流通业发展营造了利好环境，行业发展进入新一轮战略机遇期。</w:t>
      </w:r>
    </w:p>
    <w:bookmarkEnd w:id="9"/>
    <w:p>
      <w:pPr>
        <w:pStyle w:val="9"/>
        <w:spacing w:line="640" w:lineRule="exact"/>
        <w:ind w:firstLine="602"/>
        <w:rPr>
          <w:rFonts w:hint="eastAsia" w:ascii="仿宋_GB2312" w:hAnsi="Times New Roman" w:eastAsia="仿宋_GB2312"/>
          <w:b/>
          <w:bCs/>
          <w:sz w:val="32"/>
          <w:szCs w:val="32"/>
        </w:rPr>
      </w:pPr>
      <w:r>
        <w:rPr>
          <w:rFonts w:hint="eastAsia" w:ascii="仿宋_GB2312" w:hAnsi="仿宋" w:eastAsia="仿宋_GB2312"/>
          <w:b/>
          <w:sz w:val="30"/>
          <w:szCs w:val="30"/>
        </w:rPr>
        <w:t>2.新业态、新模式的涌现为商贸流通业发展增添新动能。</w:t>
      </w:r>
      <w:r>
        <w:rPr>
          <w:rFonts w:hint="eastAsia" w:ascii="仿宋_GB2312" w:hAnsi="仿宋" w:eastAsia="仿宋_GB2312"/>
          <w:bCs/>
          <w:sz w:val="30"/>
          <w:szCs w:val="30"/>
        </w:rPr>
        <w:t>在新一轮科技革命和产</w:t>
      </w:r>
      <w:bookmarkStart w:id="10" w:name="baidusnap7"/>
      <w:bookmarkEnd w:id="10"/>
      <w:r>
        <w:rPr>
          <w:rFonts w:hint="eastAsia" w:ascii="仿宋_GB2312" w:hAnsi="仿宋" w:eastAsia="仿宋_GB2312"/>
          <w:bCs/>
          <w:sz w:val="30"/>
          <w:szCs w:val="30"/>
        </w:rPr>
        <w:t>业升级的推动下，以电子商务、现代物流、连锁经营、现代会展等新业态、新模式为特征的新型商贸流通业快速发展，不断推动批发零售、住宿餐饮等传统商贸流通业转型，带动产业线上线下融合发展，对创造新的消费需求、开辟新的就业增收渠道、加速商贸流通业跨界融合、推动服务业转型升级、培育经济发展新动力起到了十分重要的作用。不断涌现的消费新业态，新模式，正成为激活消费潜力的新动能。</w:t>
      </w:r>
    </w:p>
    <w:p>
      <w:pPr>
        <w:spacing w:line="640" w:lineRule="exact"/>
        <w:ind w:firstLine="562" w:firstLineChars="200"/>
        <w:rPr>
          <w:rFonts w:hint="eastAsia" w:ascii="仿宋_GB2312" w:hAnsi="仿宋" w:eastAsia="仿宋_GB2312"/>
          <w:b/>
          <w:spacing w:val="-10"/>
          <w:sz w:val="30"/>
          <w:szCs w:val="30"/>
        </w:rPr>
      </w:pPr>
      <w:r>
        <w:rPr>
          <w:rFonts w:hint="eastAsia" w:ascii="仿宋_GB2312" w:hAnsi="仿宋" w:eastAsia="仿宋_GB2312"/>
          <w:b/>
          <w:bCs/>
          <w:spacing w:val="-10"/>
          <w:sz w:val="30"/>
          <w:szCs w:val="30"/>
        </w:rPr>
        <w:t>3.得天独厚的区位交通优势为商贸流通业发展奠定坚实基础</w:t>
      </w:r>
      <w:r>
        <w:rPr>
          <w:rFonts w:hint="eastAsia" w:ascii="仿宋_GB2312" w:hAnsi="仿宋" w:eastAsia="仿宋_GB2312"/>
          <w:b/>
          <w:spacing w:val="-10"/>
          <w:sz w:val="30"/>
          <w:szCs w:val="30"/>
        </w:rPr>
        <w:t>。</w:t>
      </w:r>
      <w:r>
        <w:rPr>
          <w:rFonts w:hint="eastAsia" w:ascii="仿宋_GB2312" w:hAnsi="仿宋" w:eastAsia="仿宋_GB2312"/>
          <w:bCs/>
          <w:sz w:val="30"/>
          <w:szCs w:val="30"/>
        </w:rPr>
        <w:t>华容县地处长江经济发展轴与京广铁路经济发展轴交汇处，位于长株潭城市群、武汉“1+8”城市圈、洞庭湖生态经济圈的对接地带，特别是岳阳市作为国家首批沿江对外开放城市、湖南唯一临长江口岸城市，是联通长江经济带面向全球开放合作的前沿和门户城市。同时，“一环（华容公路网南环线）二路（省道S217、S218）三高（襄荆岳高铁、常岳九高铁、武贵高铁）四桥（监利至华容公铁两用大桥、S217潘华大桥、S217梅田湖大桥、G234南华二桥）”县域陆路交通新格局建设加速，华容港区的大江航运规模渐成，未来通用航空正在谋划，势必将形成内联外畅的立体交通格局。良好的区位交通优势必将增强人流、物流、资金流、信息流的吸附效应，促进融城融产步伐，为华容县商贸流通业发展带来新的动力和活力。</w:t>
      </w:r>
    </w:p>
    <w:p>
      <w:pPr>
        <w:pStyle w:val="9"/>
        <w:spacing w:line="640" w:lineRule="exact"/>
        <w:ind w:firstLine="602"/>
        <w:rPr>
          <w:rFonts w:hint="eastAsia" w:ascii="仿宋_GB2312" w:hAnsi="仿宋" w:eastAsia="仿宋_GB2312"/>
          <w:b/>
          <w:sz w:val="30"/>
          <w:szCs w:val="30"/>
        </w:rPr>
      </w:pPr>
      <w:r>
        <w:rPr>
          <w:rFonts w:hint="eastAsia" w:ascii="仿宋_GB2312" w:hAnsi="仿宋" w:eastAsia="仿宋_GB2312"/>
          <w:b/>
          <w:sz w:val="30"/>
          <w:szCs w:val="30"/>
        </w:rPr>
        <w:t>4.新型城镇化、经济一体化和居民消费结构升级为商贸流通业发展带来新空间。</w:t>
      </w:r>
      <w:r>
        <w:rPr>
          <w:rFonts w:hint="eastAsia" w:ascii="仿宋_GB2312" w:hAnsi="仿宋" w:eastAsia="仿宋_GB2312"/>
          <w:bCs/>
          <w:sz w:val="30"/>
          <w:szCs w:val="30"/>
        </w:rPr>
        <w:t>近年来，随着华容县新型城镇化和城乡、区域一体化进程加快推进，人口持续向城镇、社区、中心村聚集。城乡居民特别是农民收入不断增加，购买力逐渐增强，消费正向个性化、多样化转变，需求正从基础购物向生活和情感体验转变，健康、休闲、文化、娱乐、教育等新兴消费领域需求增强。县政府积极推进特色小镇建设，将推动农村乡镇特色商贸加快发展。全县经济已形成的食品、纺织等优势产业集群，对批发市场、现代物流发展必将产生强力带动作用，这些都为商贸服务业的快速发展提供了广阔的市场空间。</w:t>
      </w:r>
    </w:p>
    <w:p>
      <w:pPr>
        <w:spacing w:line="640" w:lineRule="exact"/>
        <w:ind w:firstLine="602" w:firstLineChars="200"/>
        <w:outlineLvl w:val="1"/>
        <w:rPr>
          <w:rFonts w:hint="eastAsia" w:ascii="仿宋_GB2312" w:hAnsi="仿宋" w:eastAsia="仿宋_GB2312"/>
          <w:b/>
          <w:sz w:val="30"/>
          <w:szCs w:val="30"/>
        </w:rPr>
      </w:pPr>
      <w:bookmarkStart w:id="11" w:name="_Toc62653439"/>
      <w:r>
        <w:rPr>
          <w:rFonts w:hint="eastAsia" w:ascii="仿宋_GB2312" w:hAnsi="仿宋" w:eastAsia="仿宋_GB2312"/>
          <w:b/>
          <w:sz w:val="30"/>
          <w:szCs w:val="30"/>
        </w:rPr>
        <w:t>（四）面临挑战</w:t>
      </w:r>
      <w:bookmarkEnd w:id="11"/>
    </w:p>
    <w:p>
      <w:pPr>
        <w:pStyle w:val="9"/>
        <w:spacing w:line="640" w:lineRule="exact"/>
        <w:ind w:firstLine="602"/>
        <w:rPr>
          <w:rFonts w:hint="eastAsia" w:ascii="仿宋_GB2312" w:hAnsi="仿宋" w:eastAsia="仿宋_GB2312"/>
          <w:b/>
          <w:sz w:val="30"/>
          <w:szCs w:val="30"/>
        </w:rPr>
      </w:pPr>
      <w:r>
        <w:rPr>
          <w:rFonts w:hint="eastAsia" w:ascii="仿宋_GB2312" w:hAnsi="仿宋" w:eastAsia="仿宋_GB2312"/>
          <w:b/>
          <w:sz w:val="30"/>
          <w:szCs w:val="30"/>
        </w:rPr>
        <w:t>1.国际格局秩序加速重构，外部不确定性因素增多。</w:t>
      </w:r>
      <w:r>
        <w:rPr>
          <w:rFonts w:hint="eastAsia" w:ascii="仿宋_GB2312" w:hAnsi="仿宋" w:eastAsia="仿宋_GB2312"/>
          <w:bCs/>
          <w:sz w:val="30"/>
          <w:szCs w:val="30"/>
        </w:rPr>
        <w:t>受全球疫情冲击，世界经济严重衰退，产业链供应链循环受阻，国际贸易投资萎缩，大宗商品市场动荡。后疫情时代的到来，全球化势必面临深度调整与重构，原有全球经济大循环正发生系统变化，中国将加快形成国际国内互促的双循环新格局。纷繁复杂的国际环境对华容的开放发展提出了新要求。在新形势下，须因势利导，变危为机，做好长期战略准备与预案。</w:t>
      </w:r>
    </w:p>
    <w:p>
      <w:pPr>
        <w:spacing w:line="640" w:lineRule="exact"/>
        <w:ind w:firstLine="602" w:firstLineChars="200"/>
        <w:rPr>
          <w:rFonts w:hint="eastAsia" w:ascii="仿宋_GB2312" w:hAnsi="仿宋" w:eastAsia="仿宋_GB2312"/>
          <w:b/>
          <w:bCs/>
          <w:sz w:val="30"/>
          <w:szCs w:val="30"/>
        </w:rPr>
      </w:pPr>
      <w:bookmarkStart w:id="12" w:name="_Toc53235188"/>
      <w:r>
        <w:rPr>
          <w:rFonts w:hint="eastAsia" w:ascii="仿宋_GB2312" w:hAnsi="仿宋" w:eastAsia="仿宋_GB2312"/>
          <w:b/>
          <w:bCs/>
          <w:sz w:val="30"/>
          <w:szCs w:val="30"/>
        </w:rPr>
        <w:t>2.消费需求提升，行业转型升级亟待加速</w:t>
      </w:r>
      <w:bookmarkEnd w:id="12"/>
      <w:r>
        <w:rPr>
          <w:rFonts w:hint="eastAsia" w:ascii="仿宋_GB2312" w:hAnsi="仿宋" w:eastAsia="仿宋_GB2312"/>
          <w:b/>
          <w:bCs/>
          <w:sz w:val="30"/>
          <w:szCs w:val="30"/>
        </w:rPr>
        <w:t>。</w:t>
      </w:r>
      <w:r>
        <w:rPr>
          <w:rFonts w:hint="eastAsia" w:ascii="仿宋_GB2312" w:hAnsi="仿宋" w:eastAsia="仿宋_GB2312"/>
          <w:bCs/>
          <w:sz w:val="30"/>
          <w:szCs w:val="30"/>
        </w:rPr>
        <w:t>近年来,随着我国经济发展进入新常态,商贸流通业消费市场已呈出精细化、个性化、专业化的发展趋势。华容县商贸流通业的传统优势正逐步弱化，以实体商业为主导的运营方式已不能满足居民需要，传统流通业亟待转型升级。加之土地、劳动力、物业租金等费用及综合成本的不断上涨，导致传统劳动密集型商贸流通企业综合成本大幅上升，生产经营压力明显增大。传统商贸流通业发展面临创新经营业态、探索商业模式、扩充服务内容等方面的挑战，已期实现降本增效的艰巨任务。</w:t>
      </w:r>
    </w:p>
    <w:p>
      <w:pPr>
        <w:spacing w:line="640" w:lineRule="exact"/>
        <w:ind w:firstLine="602" w:firstLineChars="200"/>
        <w:rPr>
          <w:rFonts w:hint="eastAsia" w:ascii="仿宋_GB2312" w:hAnsi="仿宋" w:eastAsia="仿宋_GB2312"/>
          <w:bCs/>
          <w:sz w:val="30"/>
          <w:szCs w:val="30"/>
        </w:rPr>
      </w:pPr>
      <w:r>
        <w:rPr>
          <w:rFonts w:hint="eastAsia" w:ascii="仿宋_GB2312" w:hAnsi="仿宋" w:eastAsia="仿宋_GB2312"/>
          <w:b/>
          <w:bCs/>
          <w:sz w:val="30"/>
          <w:szCs w:val="30"/>
        </w:rPr>
        <w:t>3.周边城市的虹吸作用，导致大量消费外流</w:t>
      </w:r>
      <w:r>
        <w:rPr>
          <w:rFonts w:hint="eastAsia" w:ascii="仿宋_GB2312" w:hAnsi="微软雅黑" w:eastAsia="仿宋_GB2312"/>
          <w:color w:val="333333"/>
        </w:rPr>
        <w:t>。</w:t>
      </w:r>
      <w:r>
        <w:rPr>
          <w:rFonts w:hint="eastAsia" w:ascii="仿宋_GB2312" w:hAnsi="仿宋" w:eastAsia="仿宋_GB2312"/>
          <w:bCs/>
          <w:sz w:val="30"/>
          <w:szCs w:val="30"/>
        </w:rPr>
        <w:t>便捷的交通网络会加快地区之间的商品、资本、人才、技术等生产要素的自由整合流动，导致本地消费尤其是高端消费的持续外流。特别在当前华容县交通条件日趋便利的状况下，自身商业竞争力不强，削弱了在面对岳阳、长沙等周边大城市时吸引留驻本地消费方面的传统优势，对华容县未来商业发展构成极大挑战。</w:t>
      </w:r>
    </w:p>
    <w:p>
      <w:pPr>
        <w:widowControl/>
        <w:jc w:val="left"/>
        <w:rPr>
          <w:rFonts w:hint="eastAsia" w:ascii="仿宋_GB2312" w:hAnsi="仿宋" w:eastAsia="仿宋_GB2312"/>
          <w:b/>
          <w:sz w:val="30"/>
          <w:szCs w:val="30"/>
        </w:rPr>
      </w:pPr>
      <w:bookmarkStart w:id="13" w:name="_Toc53235190"/>
      <w:r>
        <w:rPr>
          <w:rFonts w:hint="eastAsia" w:ascii="仿宋_GB2312" w:hAnsi="仿宋" w:eastAsia="仿宋_GB2312"/>
          <w:b/>
          <w:sz w:val="30"/>
          <w:szCs w:val="30"/>
        </w:rPr>
        <w:br w:type="page"/>
      </w:r>
    </w:p>
    <w:p>
      <w:pPr>
        <w:spacing w:before="100" w:beforeAutospacing="1" w:after="100" w:afterAutospacing="1" w:line="360" w:lineRule="auto"/>
        <w:jc w:val="center"/>
        <w:outlineLvl w:val="0"/>
        <w:rPr>
          <w:rFonts w:hint="eastAsia" w:ascii="仿宋_GB2312" w:hAnsi="仿宋" w:eastAsia="仿宋_GB2312"/>
          <w:b/>
          <w:color w:val="000000"/>
          <w:sz w:val="36"/>
          <w:szCs w:val="30"/>
        </w:rPr>
      </w:pPr>
      <w:bookmarkStart w:id="14" w:name="_Toc53235189"/>
      <w:bookmarkStart w:id="15" w:name="_Toc62653440"/>
      <w:r>
        <w:rPr>
          <w:rFonts w:hint="eastAsia" w:ascii="仿宋_GB2312" w:hAnsi="仿宋" w:eastAsia="仿宋_GB2312"/>
          <w:b/>
          <w:color w:val="000000"/>
          <w:sz w:val="36"/>
          <w:szCs w:val="30"/>
        </w:rPr>
        <w:t>二、总体要求</w:t>
      </w:r>
      <w:bookmarkEnd w:id="14"/>
      <w:bookmarkEnd w:id="15"/>
    </w:p>
    <w:p>
      <w:pPr>
        <w:spacing w:line="640" w:lineRule="exact"/>
        <w:ind w:firstLine="602" w:firstLineChars="200"/>
        <w:outlineLvl w:val="1"/>
        <w:rPr>
          <w:rFonts w:hint="eastAsia" w:ascii="仿宋_GB2312" w:hAnsi="仿宋" w:eastAsia="仿宋_GB2312"/>
          <w:b/>
          <w:sz w:val="30"/>
          <w:szCs w:val="30"/>
        </w:rPr>
      </w:pPr>
      <w:bookmarkStart w:id="16" w:name="_Toc62653441"/>
      <w:r>
        <w:rPr>
          <w:rFonts w:hint="eastAsia" w:ascii="仿宋_GB2312" w:hAnsi="仿宋" w:eastAsia="仿宋_GB2312"/>
          <w:b/>
          <w:sz w:val="30"/>
          <w:szCs w:val="30"/>
        </w:rPr>
        <w:t>（一）指导思想</w:t>
      </w:r>
      <w:bookmarkEnd w:id="13"/>
      <w:bookmarkEnd w:id="16"/>
    </w:p>
    <w:p>
      <w:pPr>
        <w:spacing w:line="640" w:lineRule="exact"/>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t>以习近平新时代中国特色社会主义思想为指导，全面贯彻党的十九大和十九届二中、三中、四中、五中全会和中央、省委经济工作会议精神以及市委、市政府的决策部署，紧紧抓住国家实施乡村振兴、中部崛起、打造长江中游城市群的战略机遇，立足湖南“三高四新”战略需求，主动融入岳阳省域副中心城市建设和沿江环湖开放发展新格局，以“创新、协调、绿色、开放、共享”的发展理念为指引，以扩大内需、提升城市功能、改善居民生活品质为目标，以创新引领、协同发展为主线，在“一主两副两轴”</w:t>
      </w:r>
      <w:r>
        <w:rPr>
          <w:rStyle w:val="8"/>
          <w:rFonts w:hint="eastAsia" w:ascii="仿宋_GB2312" w:hAnsi="仿宋" w:eastAsia="仿宋_GB2312"/>
          <w:bCs/>
          <w:sz w:val="30"/>
          <w:szCs w:val="30"/>
        </w:rPr>
        <w:footnoteReference w:id="0"/>
      </w:r>
      <w:r>
        <w:rPr>
          <w:rFonts w:hint="eastAsia" w:ascii="仿宋_GB2312" w:hAnsi="仿宋" w:eastAsia="仿宋_GB2312"/>
          <w:bCs/>
          <w:sz w:val="30"/>
          <w:szCs w:val="30"/>
        </w:rPr>
        <w:t>的城镇空间结构上，全面优化城乡商业网点布局，不断推进流通基础设施建设，积极提升商贸流通现代化水平，全面实现商贸流通产业提速增效发展，构建与城市经济发展和对外开放水平相适应的现代商贸流通产业体系，高质量将华容打造为湘北鄂南区域消费中心，高标准将华容建设成湘北鄂南水陆联运物流中心，为岳阳建设成为长江中游物流节点城市提供有力支撑。</w:t>
      </w:r>
    </w:p>
    <w:p>
      <w:pPr>
        <w:spacing w:line="640" w:lineRule="exact"/>
        <w:ind w:firstLine="600" w:firstLineChars="200"/>
        <w:rPr>
          <w:rFonts w:hint="eastAsia" w:ascii="仿宋_GB2312" w:hAnsi="仿宋" w:eastAsia="仿宋_GB2312"/>
          <w:bCs/>
          <w:sz w:val="30"/>
          <w:szCs w:val="30"/>
        </w:rPr>
      </w:pPr>
    </w:p>
    <w:p>
      <w:pPr>
        <w:spacing w:line="640" w:lineRule="exact"/>
        <w:ind w:firstLine="602" w:firstLineChars="200"/>
        <w:outlineLvl w:val="1"/>
        <w:rPr>
          <w:rFonts w:hint="eastAsia" w:ascii="仿宋_GB2312" w:hAnsi="仿宋" w:eastAsia="仿宋_GB2312"/>
          <w:b/>
          <w:sz w:val="30"/>
          <w:szCs w:val="30"/>
        </w:rPr>
      </w:pPr>
      <w:bookmarkStart w:id="17" w:name="_Toc53235191"/>
      <w:bookmarkStart w:id="18" w:name="_Toc62653442"/>
      <w:r>
        <w:rPr>
          <w:rFonts w:hint="eastAsia" w:ascii="仿宋_GB2312" w:hAnsi="仿宋" w:eastAsia="仿宋_GB2312"/>
          <w:b/>
          <w:sz w:val="30"/>
          <w:szCs w:val="30"/>
        </w:rPr>
        <w:t>（二）</w:t>
      </w:r>
      <w:bookmarkEnd w:id="17"/>
      <w:r>
        <w:rPr>
          <w:rFonts w:hint="eastAsia" w:ascii="仿宋_GB2312" w:hAnsi="仿宋" w:eastAsia="仿宋_GB2312"/>
          <w:b/>
          <w:sz w:val="30"/>
          <w:szCs w:val="30"/>
        </w:rPr>
        <w:t>发展原则</w:t>
      </w:r>
      <w:bookmarkEnd w:id="18"/>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1.坚持政府引导，市场主导原则。</w:t>
      </w:r>
      <w:r>
        <w:rPr>
          <w:rFonts w:hint="eastAsia" w:ascii="仿宋_GB2312" w:hAnsi="仿宋" w:eastAsia="仿宋_GB2312"/>
          <w:bCs/>
          <w:sz w:val="30"/>
          <w:szCs w:val="30"/>
        </w:rPr>
        <w:t>正确处理好政府和市场的关系，发挥政府引导和市场主导两个关键定位。既要充分发挥市场在资源配置上的决定性作用，强调企业的市场主体地位，调动市场主体的积极性；又要充分发挥政府的政策引导作用，规范市场行为，保障流通秩序，加大基础设施建设，营造良好的营商环境，促进商贸物流业健康快速发展。</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2.坚持统筹规划，产城互动原则。</w:t>
      </w:r>
      <w:r>
        <w:rPr>
          <w:rFonts w:hint="eastAsia" w:ascii="仿宋_GB2312" w:hAnsi="仿宋" w:eastAsia="仿宋_GB2312"/>
          <w:bCs/>
          <w:sz w:val="30"/>
          <w:szCs w:val="30"/>
        </w:rPr>
        <w:t>充分发挥区域优势，坚持精准规划，不断增强发展的整体性、均衡性。统筹好区域之间、城乡之间、行业之间的发展布局，协调和衔接好基础设施建设，优化整合现有产业，统筹谋划商贸流通发展的实施路径，明确商贸流通发展重点，研究制定支持和推动商贸流通的政策措施，推动经济高质量发展。</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3.坚持突出特色，开放崛起原则。</w:t>
      </w:r>
      <w:r>
        <w:rPr>
          <w:rFonts w:hint="eastAsia" w:ascii="仿宋_GB2312" w:hAnsi="仿宋" w:eastAsia="仿宋_GB2312"/>
          <w:bCs/>
          <w:sz w:val="30"/>
          <w:szCs w:val="30"/>
        </w:rPr>
        <w:t>充分发挥中国（湖南）自由贸易试验区岳阳片区先行先试优势，立足本地资源禀赋，创新服务方式，大力发展特色商贸流通服务产业。在以国内大循环为主体、国内国际双循环相互促进的新发展格局下，积极融入“一带一路”、长江经济带建设、洞庭湖生态经济区等国家战略，进一步扩大商贸流通领域的对外开放合作，鼓励商贸企业“走出去”，推动内外贸一体化发展。</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4.坚持</w:t>
      </w:r>
      <w:r>
        <w:rPr>
          <w:rFonts w:hint="eastAsia" w:ascii="仿宋_GB2312" w:hAnsi="仿宋" w:eastAsia="仿宋_GB2312"/>
          <w:b/>
          <w:kern w:val="0"/>
          <w:sz w:val="32"/>
          <w:szCs w:val="32"/>
          <w:lang w:val="en-GB"/>
        </w:rPr>
        <w:t>效率提升，绿色增长原则</w:t>
      </w:r>
      <w:r>
        <w:rPr>
          <w:rFonts w:hint="eastAsia" w:ascii="仿宋_GB2312" w:hAnsi="仿宋" w:eastAsia="仿宋_GB2312"/>
          <w:b/>
          <w:bCs/>
          <w:sz w:val="30"/>
          <w:szCs w:val="30"/>
        </w:rPr>
        <w:t>。</w:t>
      </w:r>
      <w:r>
        <w:rPr>
          <w:rFonts w:hint="eastAsia" w:ascii="仿宋_GB2312" w:hAnsi="仿宋" w:eastAsia="仿宋_GB2312"/>
          <w:bCs/>
          <w:sz w:val="30"/>
          <w:szCs w:val="30"/>
        </w:rPr>
        <w:t>把建设资源节约型和环境友好型社会作为加快转变商贸流通业发展方式的重要着力点，引导和鼓励低碳生产、绿色消费，促进人与自然和谐共生。鼓励绿色物流技术和模式在流通领域的推广利用，提高流通效率，大力发展高效流通、绿色流通。推动低碳循环发展，鼓励旧货流通，完善再生资源回收体系建设。通过鼓励企业加强对经营场所、生产设备等的改造提升，降低能耗、减少污染等促使商贸流通业走上绿色可持续发展之路。</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5.坚持服务群众，城乡共享原则。</w:t>
      </w:r>
      <w:r>
        <w:rPr>
          <w:rFonts w:hint="eastAsia" w:ascii="仿宋_GB2312" w:hAnsi="仿宋" w:eastAsia="仿宋_GB2312"/>
          <w:bCs/>
          <w:sz w:val="30"/>
          <w:szCs w:val="30"/>
        </w:rPr>
        <w:t>始终坚持以人为本的发展理念，真正做到把商贸流通业发展的出发点和落脚点体现在切实改善民生，满足城乡不同消费需求上来。通过实施商贸流通领域一系列惠民利民工程建设，强化补足短板区域和短板领域的商业发展，大力提高流通公共基础设施和服务均等化水平，努力构建城乡一体、惠及全民的商贸流通服务体系，使发展成果惠及全体居民与所有消费者。</w:t>
      </w:r>
    </w:p>
    <w:p>
      <w:pPr>
        <w:spacing w:line="640" w:lineRule="exact"/>
        <w:ind w:firstLine="602" w:firstLineChars="200"/>
        <w:outlineLvl w:val="1"/>
        <w:rPr>
          <w:rFonts w:hint="eastAsia" w:ascii="仿宋_GB2312" w:hAnsi="仿宋" w:eastAsia="仿宋_GB2312"/>
          <w:b/>
          <w:sz w:val="30"/>
          <w:szCs w:val="30"/>
        </w:rPr>
      </w:pPr>
      <w:bookmarkStart w:id="19" w:name="_Toc62653443"/>
      <w:r>
        <w:rPr>
          <w:rFonts w:hint="eastAsia" w:ascii="仿宋_GB2312" w:hAnsi="仿宋" w:eastAsia="仿宋_GB2312"/>
          <w:b/>
          <w:sz w:val="30"/>
          <w:szCs w:val="30"/>
        </w:rPr>
        <w:t>（三）发展目标</w:t>
      </w:r>
      <w:bookmarkEnd w:id="19"/>
    </w:p>
    <w:p>
      <w:pPr>
        <w:spacing w:line="640" w:lineRule="exact"/>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t>到2025年末，全县商贸流通业总体规模稳步扩大、商业布局进一步完善、创新竞争力明显提升、贸易环境持续优化，初步建成布局科学、结构合理、业态多样、规模适度、产城互动、物流畅通、开放高效的现代化商贸流通体系，主动融入国内国际双循环，推动全县商贸流通业高水平高质量发展。</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1.产业总体规模稳步扩大。</w:t>
      </w:r>
      <w:r>
        <w:rPr>
          <w:rFonts w:hint="eastAsia" w:ascii="仿宋_GB2312" w:hAnsi="仿宋" w:eastAsia="仿宋_GB2312"/>
          <w:bCs/>
          <w:sz w:val="30"/>
          <w:szCs w:val="30"/>
        </w:rPr>
        <w:t>积极扩大内需，促进消费升级，全市社会消费品零售额年均增长8%，到2025年，全县实现社会消费品零售总额达到190亿元，人均消费品零售额达全省中等以上水平，消费对经济的贡献率达到75%。</w:t>
      </w:r>
    </w:p>
    <w:p>
      <w:pPr>
        <w:widowControl/>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2.商业布局进一步完善。</w:t>
      </w:r>
      <w:r>
        <w:rPr>
          <w:rFonts w:hint="eastAsia" w:ascii="仿宋_GB2312" w:hAnsi="仿宋" w:eastAsia="仿宋_GB2312"/>
          <w:bCs/>
          <w:sz w:val="30"/>
          <w:szCs w:val="30"/>
        </w:rPr>
        <w:t>城乡商业网点布局更加合理，形成商业综合体/购物中心、特色商业街、商品交易市场、物流园区、电子商务等不同功能、不同形式互为补充的业态体系，商贸集聚区建设取得显著成效，辐射作用大大增强。到2025年末，发展商业综合体/特色商业街区7个（步步高新天地商业综合体、火车站商业步行街、状元湖民俗商业街、城北（泰和）城市综合体、注滋口镇水乡风情街、东山镇塔市驿商业特色街、三封寺镇华一村农旅休闲基地），完善、新建专业市场5个（进一步完善华都国际建材城，推进正诚综合交易市场全面建成，加快中农联农</w:t>
      </w:r>
      <w:r>
        <w:rPr>
          <w:rFonts w:hint="eastAsia" w:ascii="仿宋_GB2312" w:hAnsi="仿宋" w:eastAsia="仿宋_GB2312"/>
          <w:b/>
          <w:bCs/>
          <w:sz w:val="30"/>
          <w:szCs w:val="30"/>
        </w:rPr>
        <w:t>产</w:t>
      </w:r>
      <w:r>
        <w:rPr>
          <w:rFonts w:hint="eastAsia" w:ascii="仿宋_GB2312" w:hAnsi="仿宋" w:eastAsia="仿宋_GB2312"/>
          <w:bCs/>
          <w:sz w:val="30"/>
          <w:szCs w:val="30"/>
        </w:rPr>
        <w:t>品电商物流园和湘北汽车城建设，新建</w:t>
      </w:r>
      <w:r>
        <w:rPr>
          <w:rFonts w:hint="eastAsia" w:ascii="仿宋_GB2312" w:eastAsia="仿宋_GB2312"/>
          <w:sz w:val="30"/>
          <w:szCs w:val="30"/>
        </w:rPr>
        <w:t>再生资源交易市场</w:t>
      </w:r>
      <w:r>
        <w:rPr>
          <w:rFonts w:hint="eastAsia" w:ascii="仿宋_GB2312" w:hAnsi="仿宋" w:eastAsia="仿宋_GB2312"/>
          <w:bCs/>
          <w:sz w:val="30"/>
          <w:szCs w:val="30"/>
        </w:rPr>
        <w:t>），新建、改造城乡农贸市场</w:t>
      </w:r>
      <w:r>
        <w:rPr>
          <w:rFonts w:ascii="仿宋_GB2312" w:hAnsi="仿宋" w:eastAsia="仿宋_GB2312"/>
          <w:bCs/>
          <w:sz w:val="30"/>
          <w:szCs w:val="30"/>
        </w:rPr>
        <w:t>10</w:t>
      </w:r>
      <w:r>
        <w:rPr>
          <w:rFonts w:hint="eastAsia" w:ascii="仿宋_GB2312" w:hAnsi="仿宋" w:eastAsia="仿宋_GB2312"/>
          <w:bCs/>
          <w:sz w:val="30"/>
          <w:szCs w:val="30"/>
        </w:rPr>
        <w:t>个（包括书院路、北岸尚都、杏花村西路、水产社区、田家湖、石伏6个城区菜市场，以及治河渡、梅田湖、注滋口、塔市驿4个乡镇农贸市场），形成初具规模的现代物流园区5个（华容铁水联运储备基地、宏发智慧物流园、宏超智慧物流园（二期）、快递物流分拣配送中心、农资配送中心），发展电商会展项目3个（华容县电子商务运营服务中心、农村电商物流中心、华容会展中心），建设粮食流通和应急仓储项目4个（华容县粮油现代物流园、华容县丰穗粮食购销有限公司粮食标准化储备仓建设项目、华容县战略应急物资储备库标准化建设项目、吉娃米业粮食应急加工及配送中心），并结合县域公路体系建设完善县域加油站点空间布局。中心城区商业网点密度达到40个/千人，15分钟便民生活圈基本形成。</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3.创新竞争力明显提升。</w:t>
      </w:r>
      <w:r>
        <w:rPr>
          <w:rFonts w:hint="eastAsia" w:ascii="仿宋_GB2312" w:hAnsi="仿宋" w:eastAsia="仿宋_GB2312"/>
          <w:bCs/>
          <w:sz w:val="30"/>
          <w:szCs w:val="30"/>
        </w:rPr>
        <w:t>不断加大</w:t>
      </w:r>
      <w:r>
        <w:rPr>
          <w:rFonts w:hint="eastAsia" w:ascii="仿宋_GB2312" w:hAnsi="仿宋" w:eastAsia="仿宋_GB2312" w:cs="仿宋"/>
          <w:sz w:val="30"/>
          <w:szCs w:val="30"/>
        </w:rPr>
        <w:t>5G、</w:t>
      </w:r>
      <w:r>
        <w:rPr>
          <w:rFonts w:hint="eastAsia" w:ascii="仿宋_GB2312" w:hAnsi="仿宋" w:eastAsia="仿宋_GB2312" w:cs="仿宋"/>
          <w:sz w:val="30"/>
          <w:szCs w:val="30"/>
          <w:lang w:val="zh-TW" w:eastAsia="zh-TW"/>
        </w:rPr>
        <w:t>大数据、云计算、物联网和移动互联网</w:t>
      </w:r>
      <w:r>
        <w:rPr>
          <w:rFonts w:hint="eastAsia" w:ascii="仿宋_GB2312" w:hAnsi="仿宋" w:eastAsia="仿宋_GB2312"/>
          <w:bCs/>
          <w:sz w:val="30"/>
          <w:szCs w:val="30"/>
        </w:rPr>
        <w:t>等流通“新基建”建设，积极开展外向型商务活动，推动全县创新驱动的商贸流通发展机制基本形成。推进以电子商务为代表的新兴业态快速发展，到2025年，全县电子商务渗透率达90%以上。依托本地资源和优势产业，持续推进外贸创新发展,增强对外贸易综合竞争力,外贸进出口总额年均增长8%。通过培育和引入，县域内流通服务品牌数量增加30个，城市综合竞争力显著增强。传统物流向现代物流加快转型，推进农村流通基础设施现代化水平提升，城乡双向现代流通网络基本形成，商品统一配送率达到90%以上。</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4.商贸环境持续优化。</w:t>
      </w:r>
      <w:r>
        <w:rPr>
          <w:rFonts w:hint="eastAsia" w:ascii="仿宋_GB2312" w:hAnsi="仿宋" w:eastAsia="仿宋_GB2312"/>
          <w:bCs/>
          <w:sz w:val="30"/>
          <w:szCs w:val="30"/>
        </w:rPr>
        <w:t>通过大力整顿和规范市场经济秩序，逐步建立健全商贸流通业监管体系、信用体系、法律法规、各行业发展标准。到2025年，商贸流通业发展的扶持政策更加完善，市场运行更加规范平稳，市场主体诚信意识明显提升，流通业安全消费管理和商品质量更加完善，大市场、大流通、大消费的格局基本形成。</w:t>
      </w:r>
    </w:p>
    <w:p>
      <w:pPr>
        <w:spacing w:line="640" w:lineRule="exact"/>
        <w:ind w:firstLine="602" w:firstLineChars="200"/>
        <w:outlineLvl w:val="1"/>
        <w:rPr>
          <w:rFonts w:hint="eastAsia" w:ascii="仿宋_GB2312" w:hAnsi="仿宋" w:eastAsia="仿宋_GB2312"/>
          <w:b/>
          <w:sz w:val="30"/>
          <w:szCs w:val="30"/>
        </w:rPr>
      </w:pPr>
      <w:bookmarkStart w:id="20" w:name="_Toc62653444"/>
      <w:r>
        <w:rPr>
          <w:rFonts w:hint="eastAsia" w:ascii="仿宋_GB2312" w:hAnsi="仿宋" w:eastAsia="仿宋_GB2312"/>
          <w:b/>
          <w:sz w:val="30"/>
          <w:szCs w:val="30"/>
        </w:rPr>
        <w:t>（四）发展策略</w:t>
      </w:r>
      <w:bookmarkEnd w:id="20"/>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1.积极实施“数字转型”发展战略，推动行业高质量发展。</w:t>
      </w:r>
      <w:r>
        <w:rPr>
          <w:rFonts w:hint="eastAsia" w:ascii="仿宋_GB2312" w:hAnsi="仿宋" w:eastAsia="仿宋_GB2312"/>
          <w:bCs/>
          <w:sz w:val="30"/>
          <w:szCs w:val="30"/>
        </w:rPr>
        <w:t>随着互联网、大数据、人工智能和实体经济深度融入，</w:t>
      </w:r>
      <w:bookmarkStart w:id="21" w:name="baidusnap3"/>
      <w:bookmarkEnd w:id="21"/>
      <w:r>
        <w:rPr>
          <w:rFonts w:hint="eastAsia" w:ascii="仿宋_GB2312" w:hAnsi="仿宋" w:eastAsia="仿宋_GB2312"/>
          <w:bCs/>
          <w:sz w:val="30"/>
          <w:szCs w:val="30"/>
        </w:rPr>
        <w:t>华容县商贸流通业的生态圈已悄然进入重构阶段。“十四五”期间，要以“新基建”为契机，加快信息基础设施建设，推进信息科技在商贸流通领域的应用，带动商贸流通行业的生产基础设施向数字化、网络化、智能化转型，有效推动行业技术创新、产业创新和商业模式创新，不断催生新业态、新模式，释放数字对经济发展的倍增作用。</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2.着力实施“多产融合”发展战略，拓展行业发展新空间。</w:t>
      </w:r>
      <w:r>
        <w:rPr>
          <w:rFonts w:hint="eastAsia" w:ascii="仿宋_GB2312" w:hAnsi="仿宋" w:eastAsia="仿宋_GB2312"/>
          <w:bCs/>
          <w:sz w:val="30"/>
          <w:szCs w:val="30"/>
        </w:rPr>
        <w:t>在错综复杂的社会经济系统和相互依存的各国民经济部门中，不同产业之间的协同化发展、一体化发展尤为重要。“十四五”期间，要充分发挥商贸在各个行业发展中的牵引绳作用，建立健全产业联合发展机制，加强产业链条、信息互通、交通体系等方面的协作性发展，形成商贸与农业、工业、旅游业等关联产业的多维度融合互动。根据产业交叉的特点，通过渗透、互补、重组、替代等模式，探索重点行业重点领域融合发展新路径，同时，在实践中注重集成经营，注重核心能力的动态发展和管理，不断释放区域巨大的内需潜力，进一步拓展区域发展新空间。</w:t>
      </w:r>
    </w:p>
    <w:p>
      <w:pPr>
        <w:spacing w:line="640" w:lineRule="exact"/>
        <w:ind w:firstLine="602" w:firstLineChars="200"/>
        <w:rPr>
          <w:rFonts w:hint="eastAsia" w:ascii="仿宋_GB2312" w:hAnsi="仿宋" w:eastAsia="仿宋_GB2312"/>
          <w:b/>
          <w:bCs/>
          <w:sz w:val="30"/>
          <w:szCs w:val="30"/>
        </w:rPr>
      </w:pPr>
      <w:bookmarkStart w:id="22" w:name="_Toc53235200"/>
      <w:r>
        <w:rPr>
          <w:rFonts w:hint="eastAsia" w:ascii="仿宋_GB2312" w:hAnsi="仿宋" w:eastAsia="仿宋_GB2312"/>
          <w:b/>
          <w:bCs/>
          <w:sz w:val="30"/>
          <w:szCs w:val="30"/>
        </w:rPr>
        <w:t>3.有效实施“集聚集约”发展战略，</w:t>
      </w:r>
      <w:bookmarkEnd w:id="22"/>
      <w:r>
        <w:rPr>
          <w:rFonts w:hint="eastAsia" w:ascii="仿宋_GB2312" w:hAnsi="仿宋" w:eastAsia="仿宋_GB2312"/>
          <w:b/>
          <w:bCs/>
          <w:sz w:val="30"/>
          <w:szCs w:val="30"/>
        </w:rPr>
        <w:t>增强行业发展持续力。</w:t>
      </w:r>
      <w:r>
        <w:rPr>
          <w:rFonts w:hint="eastAsia" w:ascii="仿宋_GB2312" w:hAnsi="仿宋" w:eastAsia="仿宋_GB2312"/>
          <w:bCs/>
          <w:sz w:val="30"/>
          <w:szCs w:val="30"/>
        </w:rPr>
        <w:t>集聚集约发展是现代商贸产业的发展方向，也是提高行业竞争力的有效途径。“十四五”期间，要以科学发展观为指导，着眼于华容县商贸流通业长远发展、可持续发展，通过‘迁、改、建’等措施，分类引导、差异化发展，促进企业集中布局、上下链式衔接，推进核心商圈、专业市场、电子商务等工程集聚集约发展，完善提升集聚地的网络、通讯、金融、物流等配套设施，构筑起商贸流通集聚集约发展平台，全面提高土地投资密集，实现土地、产业的集约发展，全力保障生态环境安全，实现行业资源效益最大化。</w:t>
      </w:r>
    </w:p>
    <w:p>
      <w:pPr>
        <w:spacing w:line="640" w:lineRule="exact"/>
        <w:ind w:firstLine="602" w:firstLineChars="200"/>
        <w:rPr>
          <w:rFonts w:hint="eastAsia" w:ascii="仿宋_GB2312" w:hAnsi="仿宋" w:eastAsia="仿宋_GB2312"/>
          <w:b/>
          <w:bCs/>
          <w:sz w:val="30"/>
          <w:szCs w:val="30"/>
        </w:rPr>
      </w:pPr>
      <w:r>
        <w:rPr>
          <w:rFonts w:hint="eastAsia" w:ascii="仿宋_GB2312" w:hAnsi="仿宋" w:eastAsia="仿宋_GB2312"/>
          <w:b/>
          <w:bCs/>
          <w:sz w:val="30"/>
          <w:szCs w:val="30"/>
        </w:rPr>
        <w:t>4.坚持实施“人才优先”发展战略，注入行业发展新动力。</w:t>
      </w:r>
      <w:r>
        <w:rPr>
          <w:rFonts w:hint="eastAsia" w:ascii="仿宋_GB2312" w:hAnsi="仿宋" w:eastAsia="仿宋_GB2312"/>
          <w:bCs/>
          <w:sz w:val="30"/>
          <w:szCs w:val="30"/>
        </w:rPr>
        <w:t>“功以才成，业由才广”。“十四五”期间，要培育好、开发好、利用好人才这个“第一资源”，创新人力资源要素供给，加快落实人才发展战略。根据华容县商贸流通业发展战略长远需要，贴近产业和企业发展人才需求，积极创造有利于吸进优秀人才“出没”的体制、制度、机制。抓好当前急需人才引进的同时，着眼于应对信息社会化、经济全球化，流通现代化培养一批能够与国际接轨的、懂得高新技术和先进管理经验、懂得国际惯例的高层次人才，建设创新型产业集聚人才资源，形成依靠人才驱动转型发展的源动力，为全县商贸流通业高质量发展按下快进键。</w:t>
      </w:r>
    </w:p>
    <w:p>
      <w:pPr>
        <w:spacing w:line="590" w:lineRule="exact"/>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br w:type="page"/>
      </w:r>
    </w:p>
    <w:p>
      <w:pPr>
        <w:spacing w:before="100" w:beforeAutospacing="1" w:after="100" w:afterAutospacing="1" w:line="360" w:lineRule="auto"/>
        <w:jc w:val="center"/>
        <w:outlineLvl w:val="0"/>
        <w:rPr>
          <w:rFonts w:hint="eastAsia" w:ascii="仿宋_GB2312" w:hAnsi="仿宋" w:eastAsia="仿宋_GB2312"/>
          <w:b/>
          <w:color w:val="000000"/>
          <w:sz w:val="36"/>
          <w:szCs w:val="30"/>
        </w:rPr>
      </w:pPr>
      <w:bookmarkStart w:id="23" w:name="_Toc62653445"/>
      <w:r>
        <w:rPr>
          <w:rFonts w:hint="eastAsia" w:ascii="仿宋_GB2312" w:hAnsi="仿宋" w:eastAsia="仿宋_GB2312"/>
          <w:b/>
          <w:color w:val="000000"/>
          <w:sz w:val="36"/>
          <w:szCs w:val="30"/>
        </w:rPr>
        <w:t>三、重点发展任务</w:t>
      </w:r>
      <w:bookmarkEnd w:id="23"/>
    </w:p>
    <w:p>
      <w:pPr>
        <w:spacing w:line="640" w:lineRule="exact"/>
        <w:ind w:firstLine="600" w:firstLineChars="200"/>
        <w:rPr>
          <w:rFonts w:hint="eastAsia" w:ascii="仿宋_GB2312" w:hAnsi="仿宋" w:eastAsia="仿宋_GB2312" w:cs="仿宋"/>
          <w:sz w:val="30"/>
          <w:szCs w:val="30"/>
          <w:lang w:val="zh-TW" w:eastAsia="zh-TW"/>
        </w:rPr>
      </w:pP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十四五</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期间，将进一步发挥</w:t>
      </w:r>
      <w:r>
        <w:rPr>
          <w:rFonts w:hint="eastAsia" w:ascii="仿宋_GB2312" w:hAnsi="仿宋" w:eastAsia="仿宋_GB2312" w:cs="仿宋"/>
          <w:sz w:val="30"/>
          <w:szCs w:val="30"/>
          <w:lang w:val="zh-CN"/>
        </w:rPr>
        <w:t>华容县</w:t>
      </w:r>
      <w:r>
        <w:rPr>
          <w:rFonts w:hint="eastAsia" w:ascii="仿宋_GB2312" w:hAnsi="仿宋" w:eastAsia="仿宋_GB2312" w:cs="仿宋"/>
          <w:sz w:val="30"/>
          <w:szCs w:val="30"/>
          <w:lang w:val="zh-TW" w:eastAsia="zh-TW"/>
        </w:rPr>
        <w:t>区域区位优势及产业特色，把握洞庭湖生态经济区、长江经济带、中部经济区建设三大国家战略机遇，以建立中国（湖南）自由贸易试验区为契机</w:t>
      </w:r>
      <w:r>
        <w:rPr>
          <w:rFonts w:hint="eastAsia" w:ascii="仿宋_GB2312" w:hAnsi="仿宋" w:eastAsia="仿宋_GB2312" w:cs="仿宋"/>
          <w:sz w:val="30"/>
          <w:szCs w:val="30"/>
          <w:lang w:val="zh-CN"/>
        </w:rPr>
        <w:t>，</w:t>
      </w:r>
      <w:r>
        <w:rPr>
          <w:rFonts w:hint="eastAsia" w:ascii="仿宋_GB2312" w:hAnsi="仿宋" w:eastAsia="仿宋_GB2312" w:cs="仿宋"/>
          <w:sz w:val="30"/>
          <w:szCs w:val="30"/>
          <w:lang w:val="zh-TW" w:eastAsia="zh-TW"/>
        </w:rPr>
        <w:t>立足岳阳市层面</w:t>
      </w:r>
      <w:r>
        <w:rPr>
          <w:rFonts w:hint="eastAsia" w:ascii="仿宋_GB2312" w:hAnsi="仿宋" w:eastAsia="仿宋_GB2312" w:cs="仿宋"/>
          <w:sz w:val="30"/>
          <w:szCs w:val="30"/>
          <w:lang w:val="zh-CN"/>
        </w:rPr>
        <w:t>，</w:t>
      </w:r>
      <w:r>
        <w:rPr>
          <w:rFonts w:hint="eastAsia" w:ascii="仿宋_GB2312" w:hAnsi="仿宋" w:eastAsia="仿宋_GB2312" w:cs="仿宋"/>
          <w:sz w:val="30"/>
          <w:szCs w:val="30"/>
          <w:lang w:val="zh-TW" w:eastAsia="zh-TW"/>
        </w:rPr>
        <w:t>把华容的发展格局延伸到更大更广的能级范围，深度对接和利用全球化的资本、技术、人才等资源要素</w:t>
      </w:r>
      <w:r>
        <w:rPr>
          <w:rFonts w:hint="eastAsia" w:ascii="仿宋_GB2312" w:hAnsi="仿宋" w:eastAsia="仿宋_GB2312" w:cs="仿宋"/>
          <w:sz w:val="30"/>
          <w:szCs w:val="30"/>
          <w:lang w:val="zh-CN"/>
        </w:rPr>
        <w:t>，</w:t>
      </w:r>
      <w:r>
        <w:rPr>
          <w:rFonts w:hint="eastAsia" w:ascii="仿宋_GB2312" w:hAnsi="仿宋" w:eastAsia="仿宋_GB2312" w:cs="仿宋"/>
          <w:sz w:val="30"/>
          <w:szCs w:val="30"/>
          <w:lang w:val="zh-TW" w:eastAsia="zh-TW"/>
        </w:rPr>
        <w:t>融入区域经济的</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增长极</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，促进商贸流通业高质量发展，打造湘鄂边商贸物流消费区域中心。</w:t>
      </w:r>
    </w:p>
    <w:p>
      <w:pPr>
        <w:spacing w:line="640" w:lineRule="exact"/>
        <w:ind w:firstLine="602" w:firstLineChars="200"/>
        <w:outlineLvl w:val="1"/>
        <w:rPr>
          <w:rFonts w:hint="eastAsia" w:ascii="仿宋_GB2312" w:hAnsi="仿宋" w:eastAsia="仿宋_GB2312" w:cs="仿宋"/>
          <w:b/>
          <w:bCs/>
          <w:sz w:val="30"/>
          <w:szCs w:val="30"/>
          <w:lang w:val="zh-TW" w:eastAsia="zh-TW"/>
        </w:rPr>
      </w:pPr>
      <w:bookmarkStart w:id="24" w:name="_Toc62653446"/>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一</w:t>
      </w:r>
      <w:r>
        <w:rPr>
          <w:rFonts w:hint="eastAsia" w:ascii="仿宋_GB2312" w:hAnsi="仿宋" w:eastAsia="仿宋_GB2312" w:cs="仿宋"/>
          <w:b/>
          <w:bCs/>
          <w:sz w:val="30"/>
          <w:szCs w:val="30"/>
          <w:lang w:val="zh-TW" w:eastAsia="zh-TW"/>
        </w:rPr>
        <w:t>）释放城乡消费潜力</w:t>
      </w:r>
      <w:r>
        <w:rPr>
          <w:rFonts w:hint="eastAsia" w:ascii="仿宋_GB2312" w:hAnsi="仿宋" w:eastAsia="仿宋_GB2312" w:cs="仿宋"/>
          <w:b/>
          <w:bCs/>
          <w:sz w:val="30"/>
          <w:szCs w:val="30"/>
          <w:lang w:val="zh-TW"/>
        </w:rPr>
        <w:t>，</w:t>
      </w:r>
      <w:r>
        <w:rPr>
          <w:rFonts w:hint="eastAsia" w:ascii="仿宋_GB2312" w:hAnsi="仿宋" w:eastAsia="仿宋_GB2312" w:cs="仿宋"/>
          <w:b/>
          <w:bCs/>
          <w:sz w:val="30"/>
          <w:szCs w:val="30"/>
          <w:lang w:val="zh-TW" w:eastAsia="zh-TW"/>
        </w:rPr>
        <w:t>加快构建</w:t>
      </w:r>
      <w:r>
        <w:rPr>
          <w:rFonts w:hint="eastAsia" w:ascii="仿宋_GB2312" w:hAnsi="仿宋" w:eastAsia="仿宋_GB2312" w:cs="仿宋"/>
          <w:b/>
          <w:bCs/>
          <w:sz w:val="30"/>
          <w:szCs w:val="30"/>
          <w:lang w:val="zh-TW"/>
        </w:rPr>
        <w:t>“</w:t>
      </w:r>
      <w:r>
        <w:rPr>
          <w:rFonts w:hint="eastAsia" w:ascii="仿宋_GB2312" w:hAnsi="仿宋" w:eastAsia="仿宋_GB2312" w:cs="仿宋"/>
          <w:b/>
          <w:bCs/>
          <w:sz w:val="30"/>
          <w:szCs w:val="30"/>
          <w:lang w:val="zh-TW" w:eastAsia="zh-TW"/>
        </w:rPr>
        <w:t>双循环</w:t>
      </w:r>
      <w:r>
        <w:rPr>
          <w:rFonts w:hint="eastAsia" w:ascii="仿宋_GB2312" w:hAnsi="仿宋" w:eastAsia="仿宋_GB2312" w:cs="仿宋"/>
          <w:b/>
          <w:bCs/>
          <w:sz w:val="30"/>
          <w:szCs w:val="30"/>
          <w:lang w:val="zh-TW"/>
        </w:rPr>
        <w:t>”</w:t>
      </w:r>
      <w:r>
        <w:rPr>
          <w:rFonts w:hint="eastAsia" w:ascii="仿宋_GB2312" w:hAnsi="仿宋" w:eastAsia="仿宋_GB2312" w:cs="仿宋"/>
          <w:b/>
          <w:bCs/>
          <w:sz w:val="30"/>
          <w:szCs w:val="30"/>
          <w:lang w:val="zh-TW" w:eastAsia="zh-TW"/>
        </w:rPr>
        <w:t>新发展格局</w:t>
      </w:r>
      <w:bookmarkEnd w:id="24"/>
    </w:p>
    <w:p>
      <w:pPr>
        <w:pStyle w:val="9"/>
        <w:spacing w:line="640" w:lineRule="exact"/>
        <w:ind w:firstLine="600"/>
        <w:rPr>
          <w:rFonts w:hint="eastAsia" w:ascii="仿宋_GB2312" w:hAnsi="仿宋" w:eastAsia="仿宋_GB2312" w:cs="仿宋"/>
          <w:sz w:val="30"/>
          <w:szCs w:val="30"/>
          <w:lang w:val="zh-TW"/>
        </w:rPr>
      </w:pPr>
      <w:r>
        <w:rPr>
          <w:rFonts w:hint="eastAsia" w:ascii="仿宋_GB2312" w:hAnsi="仿宋" w:eastAsia="仿宋_GB2312" w:cs="仿宋"/>
          <w:sz w:val="30"/>
          <w:szCs w:val="30"/>
          <w:lang w:val="zh-TW"/>
        </w:rPr>
        <w:t>在外部环境高度不确定的</w:t>
      </w:r>
      <w:r>
        <w:rPr>
          <w:rFonts w:hint="eastAsia" w:ascii="仿宋_GB2312" w:hAnsi="仿宋" w:eastAsia="仿宋_GB2312" w:cs="仿宋"/>
          <w:sz w:val="30"/>
          <w:szCs w:val="30"/>
          <w:lang w:val="zh-TW" w:eastAsia="zh-TW"/>
        </w:rPr>
        <w:t>背景下，加快构建更加完整的内需体系，全力做好</w:t>
      </w:r>
      <w:r>
        <w:rPr>
          <w:rFonts w:hint="eastAsia" w:ascii="仿宋_GB2312" w:hAnsi="仿宋" w:eastAsia="仿宋_GB2312" w:cs="仿宋"/>
          <w:sz w:val="30"/>
          <w:szCs w:val="30"/>
          <w:lang w:val="zh-TW"/>
        </w:rPr>
        <w:t>促</w:t>
      </w:r>
      <w:r>
        <w:rPr>
          <w:rFonts w:hint="eastAsia" w:ascii="仿宋_GB2312" w:hAnsi="仿宋" w:eastAsia="仿宋_GB2312" w:cs="仿宋"/>
          <w:sz w:val="30"/>
          <w:szCs w:val="30"/>
          <w:lang w:val="zh-TW" w:eastAsia="zh-TW"/>
        </w:rPr>
        <w:t>外贸的工作。坚持问题导向，针对</w:t>
      </w:r>
      <w:r>
        <w:rPr>
          <w:rFonts w:hint="eastAsia" w:ascii="仿宋_GB2312" w:hAnsi="仿宋" w:eastAsia="仿宋_GB2312" w:cs="仿宋"/>
          <w:sz w:val="30"/>
          <w:szCs w:val="30"/>
          <w:lang w:val="zh-TW"/>
        </w:rPr>
        <w:t>城乡</w:t>
      </w:r>
      <w:r>
        <w:rPr>
          <w:rFonts w:hint="eastAsia" w:ascii="仿宋_GB2312" w:hAnsi="仿宋" w:eastAsia="仿宋_GB2312" w:cs="仿宋"/>
          <w:sz w:val="30"/>
          <w:szCs w:val="30"/>
          <w:lang w:val="zh-TW" w:eastAsia="zh-TW"/>
        </w:rPr>
        <w:t>居民消费需求、企业投资需求和政府公共需求不同类型主体需求，着力打通生产、分配、流通、消费各个环节，促进更高品质的消费和新消费市场的形成</w:t>
      </w:r>
      <w:r>
        <w:rPr>
          <w:rFonts w:hint="eastAsia" w:ascii="仿宋_GB2312" w:hAnsi="仿宋" w:eastAsia="仿宋_GB2312" w:cs="仿宋"/>
          <w:sz w:val="30"/>
          <w:szCs w:val="30"/>
          <w:lang w:val="zh-TW"/>
        </w:rPr>
        <w:t>，为华容</w:t>
      </w:r>
      <w:r>
        <w:rPr>
          <w:rFonts w:hint="eastAsia" w:ascii="仿宋_GB2312" w:hAnsi="仿宋" w:eastAsia="仿宋_GB2312" w:cs="仿宋"/>
          <w:sz w:val="30"/>
          <w:szCs w:val="30"/>
          <w:lang w:val="zh-TW" w:eastAsia="zh-TW"/>
        </w:rPr>
        <w:t>经济的稳定增长提供新动能。</w:t>
      </w:r>
    </w:p>
    <w:p>
      <w:pPr>
        <w:spacing w:line="640" w:lineRule="exact"/>
        <w:ind w:firstLine="602" w:firstLineChars="200"/>
        <w:rPr>
          <w:rFonts w:hint="eastAsia" w:ascii="仿宋_GB2312" w:hAnsi="仿宋" w:eastAsia="仿宋_GB2312" w:cs="仿宋"/>
          <w:b/>
          <w:bCs/>
          <w:sz w:val="30"/>
          <w:szCs w:val="30"/>
        </w:rPr>
      </w:pPr>
      <w:r>
        <w:rPr>
          <w:rFonts w:hint="eastAsia" w:ascii="仿宋_GB2312" w:hAnsi="仿宋" w:eastAsia="仿宋_GB2312" w:cs="仿宋"/>
          <w:b/>
          <w:bCs/>
          <w:sz w:val="30"/>
          <w:szCs w:val="30"/>
          <w:lang w:val="zh-TW" w:eastAsia="zh-TW"/>
        </w:rPr>
        <w:t>完善商贸基础设施，提升商贸服务功能。</w:t>
      </w:r>
      <w:r>
        <w:rPr>
          <w:rFonts w:hint="eastAsia" w:ascii="仿宋_GB2312" w:hAnsi="仿宋" w:eastAsia="仿宋_GB2312" w:cs="仿宋"/>
          <w:sz w:val="30"/>
          <w:szCs w:val="30"/>
          <w:lang w:val="zh-TW" w:eastAsia="zh-TW"/>
        </w:rPr>
        <w:t>完善老城商业功能，引入新零售、新业态、新模式，创新发展体验性智慧商业，扩大城镇居民消费。突出步步高新天地、华容城市广场等商业综合体的商业地位，建设环状元湖现代服务业聚集区，打造湖乡主题民俗商业街区，形成城市商业品牌效应。打造华容河两岸“商旅文体康”融合发展示范区，壮大夜色经济，增加消费宽度和厚度，繁荣消费市场。以便民利民、改善民生为宗旨，着力打造生活服务业集聚区和</w:t>
      </w:r>
      <w:r>
        <w:rPr>
          <w:rFonts w:hint="eastAsia" w:ascii="仿宋_GB2312" w:hAnsi="仿宋" w:eastAsia="仿宋_GB2312" w:cs="仿宋"/>
          <w:sz w:val="30"/>
          <w:szCs w:val="30"/>
        </w:rPr>
        <w:t>15</w:t>
      </w:r>
      <w:r>
        <w:rPr>
          <w:rFonts w:hint="eastAsia" w:ascii="仿宋_GB2312" w:hAnsi="仿宋" w:eastAsia="仿宋_GB2312" w:cs="仿宋"/>
          <w:sz w:val="30"/>
          <w:szCs w:val="30"/>
          <w:lang w:val="zh-TW" w:eastAsia="zh-TW"/>
        </w:rPr>
        <w:t>分钟便民服务圈，创新社区商业服务体系，改善消费环境，扩大消费规模，推动消费升级，加快构建商业布局合理、服务功能齐备、服务质量优良的社区便民商业服务网络。</w:t>
      </w:r>
    </w:p>
    <w:p>
      <w:pPr>
        <w:pStyle w:val="9"/>
        <w:spacing w:line="640" w:lineRule="exact"/>
        <w:ind w:firstLine="602"/>
        <w:rPr>
          <w:rFonts w:hint="eastAsia" w:ascii="仿宋_GB2312" w:hAnsi="仿宋" w:eastAsia="仿宋_GB2312" w:cs="仿宋"/>
          <w:b/>
          <w:bCs/>
          <w:sz w:val="30"/>
          <w:szCs w:val="30"/>
          <w:lang w:val="zh-TW" w:eastAsia="zh-TW"/>
        </w:rPr>
      </w:pPr>
      <w:r>
        <w:rPr>
          <w:rFonts w:hint="eastAsia" w:ascii="仿宋_GB2312" w:hAnsi="仿宋" w:eastAsia="仿宋_GB2312" w:cs="仿宋"/>
          <w:b/>
          <w:bCs/>
          <w:sz w:val="30"/>
          <w:szCs w:val="30"/>
          <w:lang w:val="zh-TW" w:eastAsia="zh-TW"/>
        </w:rPr>
        <w:t>构建消费新场景，培育消费新业态</w:t>
      </w:r>
      <w:r>
        <w:rPr>
          <w:rFonts w:hint="eastAsia" w:ascii="仿宋_GB2312" w:hAnsi="仿宋" w:eastAsia="仿宋_GB2312" w:cs="仿宋"/>
          <w:b/>
          <w:bCs/>
          <w:sz w:val="30"/>
          <w:szCs w:val="30"/>
          <w:lang w:val="zh-TW"/>
        </w:rPr>
        <w:t>。</w:t>
      </w:r>
      <w:r>
        <w:rPr>
          <w:rFonts w:hint="eastAsia" w:ascii="仿宋_GB2312" w:hAnsi="仿宋" w:eastAsia="仿宋_GB2312" w:cs="仿宋"/>
          <w:sz w:val="30"/>
          <w:szCs w:val="30"/>
          <w:lang w:val="zh-TW"/>
        </w:rPr>
        <w:t>抓住新基建风口</w:t>
      </w:r>
      <w:r>
        <w:rPr>
          <w:rFonts w:hint="eastAsia" w:ascii="仿宋_GB2312" w:hAnsi="仿宋" w:eastAsia="仿宋_GB2312" w:cs="仿宋"/>
          <w:sz w:val="30"/>
          <w:szCs w:val="30"/>
          <w:lang w:val="zh-TW" w:eastAsia="zh-TW"/>
        </w:rPr>
        <w:t>，积极运用</w:t>
      </w:r>
      <w:r>
        <w:rPr>
          <w:rFonts w:hint="eastAsia" w:ascii="仿宋_GB2312" w:hAnsi="仿宋" w:eastAsia="仿宋_GB2312" w:cs="仿宋"/>
          <w:sz w:val="30"/>
          <w:szCs w:val="30"/>
        </w:rPr>
        <w:t>5G、</w:t>
      </w:r>
      <w:r>
        <w:rPr>
          <w:rFonts w:hint="eastAsia" w:ascii="仿宋_GB2312" w:hAnsi="仿宋" w:eastAsia="仿宋_GB2312" w:cs="仿宋"/>
          <w:sz w:val="30"/>
          <w:szCs w:val="30"/>
          <w:lang w:val="zh-TW" w:eastAsia="zh-TW"/>
        </w:rPr>
        <w:t>大数据、云计算、物联网和移动互联网等信息技术，加快新型消费基础设施建设</w:t>
      </w:r>
      <w:r>
        <w:rPr>
          <w:rFonts w:hint="eastAsia" w:ascii="仿宋_GB2312" w:hAnsi="仿宋" w:eastAsia="仿宋_GB2312" w:cs="仿宋"/>
          <w:sz w:val="30"/>
          <w:szCs w:val="30"/>
        </w:rPr>
        <w:t>，优先覆盖核心商圈、重点产业园区、重要交通节点、主要应用场景等。</w:t>
      </w:r>
      <w:r>
        <w:rPr>
          <w:rFonts w:hint="eastAsia" w:ascii="仿宋_GB2312" w:hAnsi="仿宋" w:eastAsia="仿宋_GB2312" w:cs="仿宋"/>
          <w:sz w:val="30"/>
          <w:szCs w:val="30"/>
          <w:lang w:val="zh-TW" w:eastAsia="zh-TW"/>
        </w:rPr>
        <w:t>建立健全“互联网+服务”、电子商务公共服务平台，加快社会服务在线对接、线上线下深度融合。大力发展网络</w:t>
      </w:r>
      <w:r>
        <w:rPr>
          <w:rFonts w:hint="eastAsia" w:ascii="仿宋_GB2312" w:hAnsi="仿宋" w:eastAsia="仿宋_GB2312" w:cs="仿宋"/>
          <w:sz w:val="30"/>
          <w:szCs w:val="30"/>
          <w:lang w:val="zh-TW"/>
        </w:rPr>
        <w:t>直播</w:t>
      </w:r>
      <w:r>
        <w:rPr>
          <w:rFonts w:hint="eastAsia" w:ascii="仿宋_GB2312" w:hAnsi="仿宋" w:eastAsia="仿宋_GB2312" w:cs="仿宋"/>
          <w:sz w:val="30"/>
          <w:szCs w:val="30"/>
          <w:lang w:val="zh-TW" w:eastAsia="zh-TW"/>
        </w:rPr>
        <w:t>带货</w:t>
      </w:r>
      <w:r>
        <w:rPr>
          <w:rFonts w:hint="eastAsia" w:ascii="仿宋_GB2312" w:hAnsi="仿宋" w:eastAsia="仿宋_GB2312" w:cs="仿宋"/>
          <w:sz w:val="30"/>
          <w:szCs w:val="30"/>
          <w:lang w:val="zh-TW"/>
        </w:rPr>
        <w:t>、无人售卖、无接触式配送</w:t>
      </w:r>
      <w:r>
        <w:rPr>
          <w:rFonts w:hint="eastAsia" w:ascii="仿宋_GB2312" w:hAnsi="仿宋" w:eastAsia="仿宋_GB2312" w:cs="仿宋"/>
          <w:sz w:val="30"/>
          <w:szCs w:val="30"/>
          <w:lang w:val="zh-TW" w:eastAsia="zh-TW"/>
        </w:rPr>
        <w:t>，破解阻碍消费升级的共性难点堵点，着力为新型消费发展打造更扎实的平台基础，积极推广本地产品、消化本地产能，助力完善国内消费大循环体系。</w:t>
      </w:r>
    </w:p>
    <w:p>
      <w:pPr>
        <w:pStyle w:val="9"/>
        <w:spacing w:line="640" w:lineRule="exact"/>
        <w:ind w:firstLine="602"/>
        <w:rPr>
          <w:rFonts w:hint="eastAsia" w:ascii="仿宋_GB2312" w:hAnsi="仿宋" w:eastAsia="仿宋_GB2312" w:cs="仿宋"/>
          <w:sz w:val="30"/>
          <w:szCs w:val="30"/>
          <w:lang w:val="zh-TW"/>
        </w:rPr>
      </w:pPr>
      <w:r>
        <w:rPr>
          <w:rFonts w:hint="eastAsia" w:ascii="仿宋_GB2312" w:hAnsi="仿宋" w:eastAsia="仿宋_GB2312" w:cs="仿宋"/>
          <w:b/>
          <w:bCs/>
          <w:sz w:val="30"/>
          <w:szCs w:val="30"/>
          <w:lang w:val="zh-TW" w:eastAsia="zh-TW"/>
        </w:rPr>
        <w:t>破除城乡要素流动壁垒</w:t>
      </w:r>
      <w:r>
        <w:rPr>
          <w:rFonts w:hint="eastAsia" w:ascii="仿宋_GB2312" w:hAnsi="仿宋" w:eastAsia="仿宋_GB2312" w:cs="仿宋"/>
          <w:b/>
          <w:bCs/>
          <w:sz w:val="30"/>
          <w:szCs w:val="30"/>
        </w:rPr>
        <w:t>，</w:t>
      </w:r>
      <w:r>
        <w:rPr>
          <w:rFonts w:hint="eastAsia" w:ascii="仿宋_GB2312" w:hAnsi="仿宋" w:eastAsia="仿宋_GB2312" w:cs="仿宋"/>
          <w:b/>
          <w:bCs/>
          <w:sz w:val="30"/>
          <w:szCs w:val="30"/>
          <w:lang w:val="zh-TW" w:eastAsia="zh-TW"/>
        </w:rPr>
        <w:t>释放农村</w:t>
      </w:r>
      <w:r>
        <w:rPr>
          <w:rFonts w:hint="eastAsia" w:ascii="仿宋_GB2312" w:hAnsi="仿宋" w:eastAsia="仿宋_GB2312" w:cs="仿宋"/>
          <w:b/>
          <w:bCs/>
          <w:sz w:val="30"/>
          <w:szCs w:val="30"/>
          <w:lang w:val="zh-TW"/>
        </w:rPr>
        <w:t>市场</w:t>
      </w:r>
      <w:r>
        <w:rPr>
          <w:rFonts w:hint="eastAsia" w:ascii="仿宋_GB2312" w:hAnsi="仿宋" w:eastAsia="仿宋_GB2312" w:cs="仿宋"/>
          <w:b/>
          <w:bCs/>
          <w:sz w:val="30"/>
          <w:szCs w:val="30"/>
          <w:lang w:val="zh-TW" w:eastAsia="zh-TW"/>
        </w:rPr>
        <w:t>消费潜力</w:t>
      </w:r>
      <w:r>
        <w:rPr>
          <w:rFonts w:hint="eastAsia" w:ascii="仿宋_GB2312" w:hAnsi="仿宋" w:eastAsia="仿宋_GB2312" w:cs="仿宋"/>
          <w:b/>
          <w:bCs/>
          <w:sz w:val="30"/>
          <w:szCs w:val="30"/>
          <w:lang w:val="zh-TW"/>
        </w:rPr>
        <w:t>。</w:t>
      </w:r>
      <w:r>
        <w:rPr>
          <w:rFonts w:hint="eastAsia" w:ascii="仿宋_GB2312" w:hAnsi="仿宋" w:eastAsia="仿宋_GB2312" w:cs="仿宋"/>
          <w:sz w:val="30"/>
          <w:szCs w:val="30"/>
          <w:lang w:val="zh-TW"/>
        </w:rPr>
        <w:t>伴随</w:t>
      </w:r>
      <w:r>
        <w:rPr>
          <w:rFonts w:hint="eastAsia" w:ascii="仿宋_GB2312" w:hAnsi="仿宋" w:eastAsia="仿宋_GB2312" w:cs="仿宋"/>
          <w:sz w:val="30"/>
          <w:szCs w:val="30"/>
          <w:lang w:val="zh-TW" w:eastAsia="zh-TW"/>
        </w:rPr>
        <w:t>乡村振兴</w:t>
      </w:r>
      <w:r>
        <w:rPr>
          <w:rFonts w:hint="eastAsia" w:ascii="仿宋_GB2312" w:hAnsi="仿宋" w:eastAsia="仿宋_GB2312" w:cs="仿宋"/>
          <w:sz w:val="30"/>
          <w:szCs w:val="30"/>
          <w:lang w:val="zh-TW"/>
        </w:rPr>
        <w:t>战略深入实施，在</w:t>
      </w:r>
      <w:r>
        <w:rPr>
          <w:rFonts w:hint="eastAsia" w:ascii="仿宋_GB2312" w:hAnsi="仿宋" w:eastAsia="仿宋_GB2312" w:cs="仿宋"/>
          <w:sz w:val="30"/>
          <w:szCs w:val="30"/>
          <w:lang w:val="zh-TW" w:eastAsia="zh-TW"/>
        </w:rPr>
        <w:t>美丽乡村</w:t>
      </w:r>
      <w:r>
        <w:rPr>
          <w:rFonts w:hint="eastAsia" w:ascii="仿宋_GB2312" w:hAnsi="仿宋" w:eastAsia="仿宋_GB2312" w:cs="仿宋"/>
          <w:sz w:val="30"/>
          <w:szCs w:val="30"/>
        </w:rPr>
        <w:t>、特色小镇、田园综合体</w:t>
      </w:r>
      <w:r>
        <w:rPr>
          <w:rFonts w:hint="eastAsia" w:ascii="仿宋_GB2312" w:hAnsi="仿宋" w:eastAsia="仿宋_GB2312" w:cs="仿宋"/>
          <w:sz w:val="30"/>
          <w:szCs w:val="30"/>
          <w:lang w:val="zh-TW" w:eastAsia="zh-TW"/>
        </w:rPr>
        <w:t>等</w:t>
      </w:r>
      <w:r>
        <w:rPr>
          <w:rFonts w:hint="eastAsia" w:ascii="仿宋_GB2312" w:hAnsi="仿宋" w:eastAsia="仿宋_GB2312" w:cs="仿宋"/>
          <w:sz w:val="30"/>
          <w:szCs w:val="30"/>
          <w:lang w:val="zh-TW"/>
        </w:rPr>
        <w:t>各项乡村发展措施有序推进的背景下</w:t>
      </w:r>
      <w:r>
        <w:rPr>
          <w:rFonts w:hint="eastAsia" w:ascii="仿宋_GB2312" w:hAnsi="仿宋" w:eastAsia="仿宋_GB2312" w:cs="仿宋"/>
          <w:sz w:val="30"/>
          <w:szCs w:val="30"/>
          <w:lang w:val="zh-TW" w:eastAsia="zh-TW"/>
        </w:rPr>
        <w:t>，</w:t>
      </w:r>
      <w:r>
        <w:rPr>
          <w:rFonts w:hint="eastAsia" w:ascii="仿宋_GB2312" w:hAnsi="仿宋" w:eastAsia="仿宋_GB2312" w:cs="仿宋"/>
          <w:sz w:val="30"/>
          <w:szCs w:val="30"/>
          <w:lang w:val="zh-TW"/>
        </w:rPr>
        <w:t>按照“一核三带多点”</w:t>
      </w:r>
      <w:r>
        <w:rPr>
          <w:rStyle w:val="8"/>
          <w:rFonts w:hint="eastAsia" w:ascii="仿宋_GB2312" w:hAnsi="仿宋" w:eastAsia="仿宋_GB2312" w:cs="仿宋"/>
          <w:sz w:val="30"/>
          <w:szCs w:val="30"/>
          <w:lang w:val="zh-TW"/>
        </w:rPr>
        <w:footnoteReference w:id="1"/>
      </w:r>
      <w:r>
        <w:rPr>
          <w:rFonts w:hint="eastAsia" w:ascii="仿宋_GB2312" w:hAnsi="仿宋" w:eastAsia="仿宋_GB2312" w:cs="仿宋"/>
          <w:sz w:val="30"/>
          <w:szCs w:val="30"/>
          <w:lang w:val="zh-TW"/>
        </w:rPr>
        <w:t>的全域乡村旅游空间布局，结合</w:t>
      </w:r>
      <w:r>
        <w:rPr>
          <w:rFonts w:hint="eastAsia" w:ascii="仿宋_GB2312" w:hAnsi="仿宋" w:eastAsia="仿宋_GB2312" w:cs="仿宋"/>
          <w:sz w:val="30"/>
          <w:szCs w:val="30"/>
          <w:lang w:val="zh-TW" w:eastAsia="zh-TW"/>
        </w:rPr>
        <w:t>梅田湖镇、东山镇、注滋口镇、三封寺镇</w:t>
      </w:r>
      <w:r>
        <w:rPr>
          <w:rFonts w:hint="eastAsia" w:ascii="仿宋_GB2312" w:hAnsi="仿宋" w:eastAsia="仿宋_GB2312" w:cs="仿宋"/>
          <w:sz w:val="30"/>
          <w:szCs w:val="30"/>
          <w:lang w:val="zh-CN"/>
        </w:rPr>
        <w:t>等</w:t>
      </w:r>
      <w:r>
        <w:rPr>
          <w:rFonts w:hint="eastAsia" w:ascii="仿宋_GB2312" w:hAnsi="仿宋" w:eastAsia="仿宋_GB2312" w:cs="仿宋"/>
          <w:sz w:val="30"/>
          <w:szCs w:val="30"/>
          <w:lang w:val="zh-TW" w:eastAsia="zh-TW"/>
        </w:rPr>
        <w:t>乡镇</w:t>
      </w:r>
      <w:r>
        <w:rPr>
          <w:rFonts w:hint="eastAsia" w:ascii="仿宋_GB2312" w:hAnsi="仿宋" w:eastAsia="仿宋_GB2312" w:cs="仿宋"/>
          <w:sz w:val="30"/>
          <w:szCs w:val="30"/>
          <w:lang w:val="zh-TW"/>
        </w:rPr>
        <w:t>整体</w:t>
      </w:r>
      <w:r>
        <w:rPr>
          <w:rFonts w:hint="eastAsia" w:ascii="仿宋_GB2312" w:hAnsi="仿宋" w:eastAsia="仿宋_GB2312" w:cs="仿宋"/>
          <w:sz w:val="30"/>
          <w:szCs w:val="30"/>
          <w:lang w:val="zh-TW" w:eastAsia="zh-TW"/>
        </w:rPr>
        <w:t>定位</w:t>
      </w:r>
      <w:r>
        <w:rPr>
          <w:rFonts w:hint="eastAsia" w:ascii="仿宋_GB2312" w:hAnsi="仿宋" w:eastAsia="仿宋_GB2312" w:cs="仿宋"/>
          <w:sz w:val="30"/>
          <w:szCs w:val="30"/>
          <w:lang w:val="zh-TW"/>
        </w:rPr>
        <w:t>及规划</w:t>
      </w:r>
      <w:r>
        <w:rPr>
          <w:rFonts w:hint="eastAsia" w:ascii="仿宋_GB2312" w:hAnsi="仿宋" w:eastAsia="仿宋_GB2312" w:cs="仿宋"/>
          <w:sz w:val="30"/>
          <w:szCs w:val="30"/>
          <w:lang w:val="zh-TW" w:eastAsia="zh-TW"/>
        </w:rPr>
        <w:t>，</w:t>
      </w:r>
      <w:r>
        <w:rPr>
          <w:rFonts w:hint="eastAsia" w:ascii="仿宋_GB2312" w:hAnsi="仿宋" w:eastAsia="仿宋_GB2312" w:cs="仿宋"/>
          <w:sz w:val="30"/>
          <w:szCs w:val="30"/>
          <w:lang w:val="zh-TW"/>
        </w:rPr>
        <w:t>充分利用广大农村地区生态</w:t>
      </w:r>
      <w:r>
        <w:rPr>
          <w:rFonts w:hint="eastAsia" w:ascii="仿宋_GB2312" w:hAnsi="仿宋" w:eastAsia="仿宋_GB2312" w:cs="仿宋"/>
          <w:sz w:val="30"/>
          <w:szCs w:val="30"/>
          <w:lang w:val="zh-TW" w:eastAsia="zh-TW"/>
        </w:rPr>
        <w:t>基础和产业资源，</w:t>
      </w:r>
      <w:r>
        <w:rPr>
          <w:rFonts w:hint="eastAsia" w:ascii="仿宋_GB2312" w:hAnsi="仿宋" w:eastAsia="仿宋_GB2312" w:cs="仿宋"/>
          <w:sz w:val="30"/>
          <w:szCs w:val="30"/>
          <w:lang w:val="zh-TW"/>
        </w:rPr>
        <w:t>构建疏密有致、畅联高效的县域城乡流通体系。</w:t>
      </w:r>
      <w:r>
        <w:rPr>
          <w:rFonts w:hint="eastAsia" w:ascii="仿宋_GB2312" w:hAnsi="仿宋" w:eastAsia="仿宋_GB2312" w:cs="仿宋"/>
          <w:sz w:val="30"/>
          <w:szCs w:val="30"/>
          <w:lang w:val="zh-TW" w:eastAsia="zh-TW"/>
        </w:rPr>
        <w:t>破除城乡要素流动壁垒</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释放农村消费潜力</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推动乡镇商贸流通业</w:t>
      </w:r>
      <w:r>
        <w:rPr>
          <w:rFonts w:hint="eastAsia" w:ascii="仿宋_GB2312" w:hAnsi="仿宋" w:eastAsia="仿宋_GB2312" w:cs="仿宋"/>
          <w:sz w:val="30"/>
          <w:szCs w:val="30"/>
          <w:lang w:val="zh-TW"/>
        </w:rPr>
        <w:t>高质量</w:t>
      </w:r>
      <w:r>
        <w:rPr>
          <w:rFonts w:hint="eastAsia" w:ascii="仿宋_GB2312" w:hAnsi="仿宋" w:eastAsia="仿宋_GB2312" w:cs="仿宋"/>
          <w:sz w:val="30"/>
          <w:szCs w:val="30"/>
          <w:lang w:val="zh-TW" w:eastAsia="zh-TW"/>
        </w:rPr>
        <w:t>发展。</w:t>
      </w:r>
      <w:r>
        <w:rPr>
          <w:rFonts w:hint="eastAsia" w:ascii="仿宋_GB2312" w:hAnsi="仿宋" w:eastAsia="仿宋_GB2312" w:cs="仿宋"/>
          <w:sz w:val="30"/>
          <w:szCs w:val="30"/>
          <w:lang w:val="zh-TW"/>
        </w:rPr>
        <w:t>围绕乡镇农贸市场、集贸市场进行县域城乡流通节点建设，突出地域文化特色，科学规划乡镇临街商业，对公共服务设施进行统一建设、统一管护，集中提供综合性服务。建设农业观光、乡野农趣为特色的乡镇商旅文融合发展示范区，打造形成县域农商融合发展特色产业经济带。因地制宜，重塑农村赶集、节庆展会的传统交易场景，创新发展“农村流动经济”和“乡镇展会经济”，扩充农村消费情境，促进城乡商品流通，补足农村消费短板，释放农村市场消费潜力，保障城乡消费市场平稳、健康、有序发展。</w:t>
      </w:r>
    </w:p>
    <w:p>
      <w:pPr>
        <w:spacing w:line="640" w:lineRule="exact"/>
        <w:ind w:firstLine="602" w:firstLineChars="200"/>
        <w:rPr>
          <w:rFonts w:hint="eastAsia" w:ascii="仿宋_GB2312" w:hAnsi="仿宋" w:eastAsia="仿宋_GB2312" w:cs="仿宋"/>
          <w:sz w:val="30"/>
          <w:szCs w:val="30"/>
          <w:lang w:val="zh-TW" w:eastAsia="zh-TW"/>
        </w:rPr>
      </w:pPr>
      <w:r>
        <w:rPr>
          <w:rFonts w:hint="eastAsia" w:ascii="仿宋_GB2312" w:hAnsi="仿宋" w:eastAsia="仿宋_GB2312" w:cs="仿宋"/>
          <w:b/>
          <w:sz w:val="30"/>
          <w:szCs w:val="30"/>
          <w:lang w:val="zh-TW" w:eastAsia="zh-TW"/>
        </w:rPr>
        <w:t>做好</w:t>
      </w:r>
      <w:r>
        <w:rPr>
          <w:rFonts w:hint="eastAsia" w:ascii="仿宋_GB2312" w:hAnsi="仿宋" w:eastAsia="仿宋_GB2312" w:cs="仿宋"/>
          <w:b/>
          <w:sz w:val="30"/>
          <w:szCs w:val="30"/>
          <w:lang w:val="zh-TW"/>
        </w:rPr>
        <w:t>促</w:t>
      </w:r>
      <w:r>
        <w:rPr>
          <w:rFonts w:hint="eastAsia" w:ascii="仿宋_GB2312" w:hAnsi="仿宋" w:eastAsia="仿宋_GB2312" w:cs="仿宋"/>
          <w:b/>
          <w:sz w:val="30"/>
          <w:szCs w:val="30"/>
          <w:lang w:val="zh-TW" w:eastAsia="zh-TW"/>
        </w:rPr>
        <w:t>外贸工作</w:t>
      </w:r>
      <w:r>
        <w:rPr>
          <w:rFonts w:hint="eastAsia" w:ascii="仿宋_GB2312" w:hAnsi="仿宋" w:eastAsia="仿宋_GB2312" w:cs="仿宋"/>
          <w:b/>
          <w:sz w:val="30"/>
          <w:szCs w:val="30"/>
          <w:lang w:val="zh-TW"/>
        </w:rPr>
        <w:t>。</w:t>
      </w:r>
      <w:r>
        <w:rPr>
          <w:rFonts w:hint="eastAsia" w:ascii="仿宋_GB2312" w:hAnsi="仿宋" w:eastAsia="仿宋_GB2312" w:cs="仿宋"/>
          <w:sz w:val="30"/>
          <w:szCs w:val="30"/>
          <w:lang w:val="zh-TW" w:eastAsia="zh-TW"/>
        </w:rPr>
        <w:t>梳理</w:t>
      </w:r>
      <w:r>
        <w:rPr>
          <w:rFonts w:hint="eastAsia" w:ascii="仿宋_GB2312" w:hAnsi="仿宋" w:eastAsia="仿宋_GB2312" w:cs="仿宋"/>
          <w:sz w:val="30"/>
          <w:szCs w:val="30"/>
          <w:lang w:val="zh-TW"/>
        </w:rPr>
        <w:t>全县</w:t>
      </w:r>
      <w:r>
        <w:rPr>
          <w:rFonts w:hint="eastAsia" w:ascii="仿宋_GB2312" w:hAnsi="仿宋" w:eastAsia="仿宋_GB2312" w:cs="仿宋"/>
          <w:sz w:val="30"/>
          <w:szCs w:val="30"/>
          <w:lang w:val="zh-TW" w:eastAsia="zh-TW"/>
        </w:rPr>
        <w:t>进出口企业</w:t>
      </w:r>
      <w:r>
        <w:rPr>
          <w:rFonts w:hint="eastAsia" w:ascii="仿宋_GB2312" w:hAnsi="仿宋" w:eastAsia="仿宋_GB2312" w:cs="仿宋"/>
          <w:sz w:val="30"/>
          <w:szCs w:val="30"/>
          <w:lang w:val="zh-TW"/>
        </w:rPr>
        <w:t>名单</w:t>
      </w:r>
      <w:r>
        <w:rPr>
          <w:rFonts w:hint="eastAsia" w:ascii="仿宋_GB2312" w:hAnsi="仿宋" w:eastAsia="仿宋_GB2312" w:cs="仿宋"/>
          <w:sz w:val="30"/>
          <w:szCs w:val="30"/>
          <w:lang w:val="zh-TW" w:eastAsia="zh-TW"/>
        </w:rPr>
        <w:t>，按照</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一企一策</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原则强化对重点外贸企业的分类指导和精准帮扶。明确自身开放型经济的发展需要，依托城陵矶新港区</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一区一港四口岸</w:t>
      </w:r>
      <w:r>
        <w:rPr>
          <w:rFonts w:hint="eastAsia" w:ascii="仿宋_GB2312" w:hAnsi="仿宋" w:eastAsia="仿宋_GB2312" w:cs="仿宋"/>
          <w:sz w:val="30"/>
          <w:szCs w:val="30"/>
        </w:rPr>
        <w:t>”</w:t>
      </w:r>
      <w:r>
        <w:rPr>
          <w:rStyle w:val="8"/>
          <w:rFonts w:hint="eastAsia" w:ascii="仿宋_GB2312" w:hAnsi="仿宋" w:eastAsia="仿宋_GB2312" w:cs="仿宋"/>
          <w:sz w:val="30"/>
          <w:szCs w:val="30"/>
          <w:lang w:val="zh-TW" w:eastAsia="zh-TW"/>
        </w:rPr>
        <w:footnoteReference w:id="2"/>
      </w:r>
      <w:r>
        <w:rPr>
          <w:rFonts w:hint="eastAsia" w:ascii="仿宋_GB2312" w:hAnsi="仿宋" w:eastAsia="仿宋_GB2312" w:cs="仿宋"/>
          <w:sz w:val="30"/>
          <w:szCs w:val="30"/>
          <w:lang w:val="zh-TW" w:eastAsia="zh-TW"/>
        </w:rPr>
        <w:t>的优势平台资源，强化与城陵矶口岸的合作，引导企业在城陵矶口岸开展进出口业务。</w:t>
      </w:r>
    </w:p>
    <w:p>
      <w:pPr>
        <w:spacing w:line="640" w:lineRule="exact"/>
        <w:ind w:firstLine="602" w:firstLineChars="200"/>
        <w:outlineLvl w:val="1"/>
        <w:rPr>
          <w:rFonts w:hint="eastAsia" w:ascii="仿宋_GB2312" w:hAnsi="仿宋" w:eastAsia="仿宋_GB2312" w:cs="仿宋"/>
          <w:b/>
          <w:bCs/>
          <w:sz w:val="30"/>
          <w:szCs w:val="30"/>
          <w:lang w:val="zh-TW" w:eastAsia="zh-TW"/>
        </w:rPr>
      </w:pPr>
      <w:bookmarkStart w:id="25" w:name="_Toc62653447"/>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二</w:t>
      </w:r>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发挥商贸流通业先导作用，推动工商、农商联动发展</w:t>
      </w:r>
      <w:bookmarkEnd w:id="25"/>
    </w:p>
    <w:p>
      <w:pPr>
        <w:pStyle w:val="9"/>
        <w:spacing w:line="640" w:lineRule="exact"/>
        <w:ind w:firstLine="600"/>
        <w:rPr>
          <w:rFonts w:hint="eastAsia" w:ascii="仿宋_GB2312" w:hAnsi="仿宋" w:eastAsia="仿宋_GB2312" w:cs="仿宋"/>
          <w:sz w:val="30"/>
          <w:szCs w:val="30"/>
          <w:lang w:val="zh-TW" w:eastAsia="zh-TW"/>
        </w:rPr>
      </w:pPr>
      <w:r>
        <w:rPr>
          <w:rFonts w:hint="eastAsia" w:ascii="仿宋_GB2312" w:hAnsi="仿宋" w:eastAsia="仿宋_GB2312" w:cs="仿宋"/>
          <w:sz w:val="30"/>
          <w:szCs w:val="30"/>
          <w:lang w:val="zh-TW" w:eastAsia="zh-TW"/>
        </w:rPr>
        <w:t>发挥</w:t>
      </w:r>
      <w:r>
        <w:rPr>
          <w:rFonts w:hint="eastAsia" w:ascii="仿宋_GB2312" w:hAnsi="仿宋" w:eastAsia="仿宋_GB2312" w:cs="仿宋"/>
          <w:sz w:val="30"/>
          <w:szCs w:val="30"/>
          <w:lang w:val="zh-TW"/>
        </w:rPr>
        <w:t>流通先导作用</w:t>
      </w:r>
      <w:r>
        <w:rPr>
          <w:rFonts w:hint="eastAsia" w:ascii="仿宋_GB2312" w:hAnsi="仿宋" w:eastAsia="仿宋_GB2312" w:cs="仿宋"/>
          <w:bCs/>
          <w:sz w:val="30"/>
          <w:szCs w:val="30"/>
          <w:lang w:val="zh-TW" w:eastAsia="zh-TW"/>
        </w:rPr>
        <w:t>，</w:t>
      </w:r>
      <w:r>
        <w:rPr>
          <w:rFonts w:hint="eastAsia" w:ascii="仿宋_GB2312" w:hAnsi="仿宋" w:eastAsia="仿宋_GB2312" w:cs="仿宋"/>
          <w:sz w:val="30"/>
          <w:szCs w:val="30"/>
          <w:lang w:val="zh-TW"/>
        </w:rPr>
        <w:t>依托华容“4+1”产业集群</w:t>
      </w:r>
      <w:r>
        <w:rPr>
          <w:rStyle w:val="8"/>
          <w:rFonts w:hint="eastAsia" w:ascii="仿宋_GB2312" w:hAnsi="仿宋" w:eastAsia="仿宋_GB2312" w:cs="仿宋"/>
          <w:sz w:val="30"/>
          <w:szCs w:val="30"/>
          <w:lang w:val="zh-TW"/>
        </w:rPr>
        <w:footnoteReference w:id="3"/>
      </w:r>
      <w:r>
        <w:rPr>
          <w:rFonts w:hint="eastAsia" w:ascii="仿宋_GB2312" w:hAnsi="仿宋" w:eastAsia="仿宋_GB2312" w:cs="仿宋"/>
          <w:sz w:val="30"/>
          <w:szCs w:val="30"/>
          <w:lang w:val="zh-TW"/>
        </w:rPr>
        <w:t>，结合</w:t>
      </w:r>
      <w:r>
        <w:rPr>
          <w:rFonts w:hint="eastAsia" w:ascii="仿宋_GB2312" w:hAnsi="仿宋" w:eastAsia="仿宋_GB2312" w:cs="仿宋"/>
          <w:sz w:val="30"/>
          <w:szCs w:val="30"/>
          <w:lang w:val="zh-TW" w:eastAsia="zh-TW"/>
        </w:rPr>
        <w:t>优势产业项目，建立城乡双向物流体系，</w:t>
      </w:r>
      <w:r>
        <w:rPr>
          <w:rFonts w:hint="eastAsia" w:ascii="仿宋_GB2312" w:hAnsi="仿宋" w:eastAsia="仿宋_GB2312" w:cs="仿宋"/>
          <w:bCs/>
          <w:sz w:val="30"/>
          <w:szCs w:val="30"/>
          <w:lang w:val="zh-TW" w:eastAsia="zh-TW"/>
        </w:rPr>
        <w:t>着力畅通工业品下乡、农产品进城双向流通渠道</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促进融城融产协调统一发展，</w:t>
      </w:r>
      <w:r>
        <w:rPr>
          <w:rFonts w:hint="eastAsia" w:ascii="仿宋_GB2312" w:hAnsi="仿宋" w:eastAsia="仿宋_GB2312" w:cs="仿宋"/>
          <w:sz w:val="30"/>
          <w:szCs w:val="30"/>
          <w:lang w:val="zh-TW"/>
        </w:rPr>
        <w:t>推进</w:t>
      </w:r>
      <w:r>
        <w:rPr>
          <w:rFonts w:hint="eastAsia" w:ascii="仿宋_GB2312" w:hAnsi="仿宋" w:eastAsia="仿宋_GB2312" w:cs="仿宋"/>
          <w:sz w:val="30"/>
          <w:szCs w:val="30"/>
          <w:lang w:val="zh-TW" w:eastAsia="zh-TW"/>
        </w:rPr>
        <w:t>产城融合</w:t>
      </w:r>
      <w:r>
        <w:rPr>
          <w:rFonts w:hint="eastAsia" w:ascii="仿宋_GB2312" w:hAnsi="仿宋" w:eastAsia="仿宋_GB2312" w:cs="仿宋"/>
          <w:sz w:val="30"/>
          <w:szCs w:val="30"/>
          <w:lang w:val="zh-TW"/>
        </w:rPr>
        <w:t>进程</w:t>
      </w:r>
      <w:r>
        <w:rPr>
          <w:rFonts w:hint="eastAsia" w:ascii="仿宋_GB2312" w:hAnsi="仿宋" w:eastAsia="仿宋_GB2312" w:cs="仿宋"/>
          <w:sz w:val="30"/>
          <w:szCs w:val="30"/>
          <w:lang w:val="zh-TW" w:eastAsia="zh-TW"/>
        </w:rPr>
        <w:t>，增大商贸流通的流量。</w:t>
      </w:r>
    </w:p>
    <w:p>
      <w:pPr>
        <w:pStyle w:val="9"/>
        <w:spacing w:line="640" w:lineRule="exact"/>
        <w:ind w:firstLine="600"/>
        <w:rPr>
          <w:rFonts w:hint="eastAsia" w:ascii="仿宋_GB2312" w:hAnsi="仿宋" w:eastAsia="仿宋_GB2312" w:cs="仿宋"/>
          <w:b/>
          <w:sz w:val="30"/>
          <w:szCs w:val="30"/>
          <w:lang w:val="zh-TW"/>
        </w:rPr>
      </w:pPr>
      <w:r>
        <w:rPr>
          <w:rFonts w:hint="eastAsia" w:ascii="仿宋_GB2312" w:hAnsi="仿宋" w:eastAsia="仿宋_GB2312" w:cs="仿宋"/>
          <w:color w:val="000000"/>
          <w:sz w:val="30"/>
          <w:szCs w:val="30"/>
        </w:rPr>
        <w:t>建设具备区域辐射力与影响力的商品交易市场集群。重点建设资源、产业基础好的农副产品市场、冷链市场，鼓励发展流通促进能力强的机动车市场、再生资源市场，特色化发展文化用品、花卉家居等消费服务市场，形成体系健全的区域商品交易市场网络。提档升级城乡农贸市场，补短板、保底线，优化经营环境。</w:t>
      </w:r>
    </w:p>
    <w:p>
      <w:pPr>
        <w:pStyle w:val="9"/>
        <w:spacing w:line="640" w:lineRule="exact"/>
        <w:ind w:firstLine="602"/>
        <w:rPr>
          <w:rFonts w:hint="eastAsia" w:ascii="仿宋_GB2312" w:hAnsi="仿宋" w:eastAsia="仿宋_GB2312" w:cs="仿宋"/>
          <w:sz w:val="30"/>
          <w:szCs w:val="30"/>
          <w:lang w:val="zh-TW" w:eastAsia="zh-TW"/>
        </w:rPr>
      </w:pPr>
      <w:r>
        <w:rPr>
          <w:rFonts w:hint="eastAsia" w:ascii="仿宋_GB2312" w:hAnsi="仿宋" w:eastAsia="仿宋_GB2312" w:cs="仿宋"/>
          <w:b/>
          <w:sz w:val="30"/>
          <w:szCs w:val="30"/>
          <w:lang w:val="zh-TW"/>
        </w:rPr>
        <w:t>构建完善的农村物流节点体系。</w:t>
      </w:r>
      <w:r>
        <w:rPr>
          <w:rFonts w:hint="eastAsia" w:ascii="仿宋_GB2312" w:hAnsi="仿宋" w:eastAsia="仿宋_GB2312" w:cs="仿宋"/>
          <w:sz w:val="30"/>
          <w:szCs w:val="30"/>
          <w:lang w:val="zh-TW" w:eastAsia="zh-TW"/>
        </w:rPr>
        <w:t>在</w:t>
      </w:r>
      <w:r>
        <w:rPr>
          <w:rFonts w:hint="eastAsia" w:ascii="仿宋_GB2312" w:hAnsi="仿宋" w:eastAsia="仿宋_GB2312" w:cs="仿宋"/>
          <w:sz w:val="30"/>
          <w:szCs w:val="30"/>
          <w:lang w:val="zh-TW"/>
        </w:rPr>
        <w:t>保障</w:t>
      </w:r>
      <w:r>
        <w:rPr>
          <w:rFonts w:hint="eastAsia" w:ascii="仿宋_GB2312" w:hAnsi="仿宋" w:eastAsia="仿宋_GB2312" w:cs="仿宋"/>
          <w:sz w:val="30"/>
          <w:szCs w:val="30"/>
          <w:lang w:val="zh-TW" w:eastAsia="zh-TW"/>
        </w:rPr>
        <w:t>基本物流服务功能的基础上，结合当地资源禀赋、自然条件、产业特点，围绕农村物流发展的实际需求，规划建设各具特色、模式多样的农村物流基层网点，实现农村物流各类物资</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最初一公里</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和</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最后一公里</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有序集散和高效配送，以及电商、快递等各类物流信息的及时采集和发布，适应并有效支撑</w:t>
      </w:r>
      <w:r>
        <w:rPr>
          <w:rFonts w:hint="eastAsia" w:ascii="仿宋_GB2312" w:hAnsi="仿宋" w:eastAsia="仿宋_GB2312" w:cs="仿宋"/>
          <w:sz w:val="30"/>
          <w:szCs w:val="30"/>
          <w:lang w:val="zh-TW"/>
        </w:rPr>
        <w:t>华容</w:t>
      </w:r>
      <w:r>
        <w:rPr>
          <w:rFonts w:hint="eastAsia" w:ascii="仿宋_GB2312" w:hAnsi="仿宋" w:eastAsia="仿宋_GB2312" w:cs="仿宋"/>
          <w:sz w:val="30"/>
          <w:szCs w:val="30"/>
          <w:lang w:val="zh-TW" w:eastAsia="zh-TW"/>
        </w:rPr>
        <w:t>农村物流的快速发展。</w:t>
      </w:r>
    </w:p>
    <w:p>
      <w:pPr>
        <w:pStyle w:val="9"/>
        <w:spacing w:line="640" w:lineRule="exact"/>
        <w:ind w:firstLine="602"/>
        <w:rPr>
          <w:rFonts w:hint="eastAsia" w:ascii="仿宋_GB2312" w:hAnsi="仿宋" w:eastAsia="仿宋_GB2312" w:cs="仿宋"/>
          <w:sz w:val="30"/>
          <w:szCs w:val="30"/>
          <w:lang w:val="zh-TW" w:eastAsia="zh-TW"/>
        </w:rPr>
      </w:pPr>
      <w:r>
        <w:rPr>
          <w:rFonts w:hint="eastAsia" w:ascii="仿宋_GB2312" w:hAnsi="仿宋" w:eastAsia="仿宋_GB2312" w:cs="仿宋"/>
          <w:b/>
          <w:sz w:val="30"/>
          <w:szCs w:val="30"/>
          <w:lang w:val="zh-TW" w:eastAsia="zh-TW"/>
        </w:rPr>
        <w:t>打通农特产品上行链路通道</w:t>
      </w:r>
      <w:r>
        <w:rPr>
          <w:rFonts w:hint="eastAsia" w:ascii="仿宋_GB2312" w:hAnsi="仿宋" w:eastAsia="仿宋_GB2312" w:cs="仿宋"/>
          <w:b/>
          <w:sz w:val="30"/>
          <w:szCs w:val="30"/>
          <w:lang w:val="zh-TW"/>
        </w:rPr>
        <w:t>。</w:t>
      </w:r>
      <w:r>
        <w:rPr>
          <w:rFonts w:hint="eastAsia" w:ascii="仿宋_GB2312" w:hAnsi="仿宋" w:eastAsia="仿宋_GB2312" w:cs="仿宋"/>
          <w:sz w:val="30"/>
          <w:szCs w:val="30"/>
          <w:lang w:val="zh-TW" w:eastAsia="zh-TW"/>
        </w:rPr>
        <w:t>以华容</w:t>
      </w:r>
      <w:r>
        <w:rPr>
          <w:rFonts w:hint="eastAsia" w:ascii="仿宋_GB2312" w:hAnsi="仿宋" w:eastAsia="仿宋_GB2312" w:cs="仿宋"/>
          <w:sz w:val="30"/>
          <w:szCs w:val="30"/>
          <w:lang w:val="zh-TW"/>
        </w:rPr>
        <w:t>优质粮油</w:t>
      </w:r>
      <w:r>
        <w:rPr>
          <w:rFonts w:hint="eastAsia" w:ascii="仿宋_GB2312" w:hAnsi="仿宋" w:eastAsia="仿宋_GB2312" w:cs="仿宋"/>
          <w:sz w:val="30"/>
          <w:szCs w:val="30"/>
          <w:lang w:val="zh-TW" w:eastAsia="zh-TW"/>
        </w:rPr>
        <w:t>、芥菜、小龙虾、中药材、茶叶等特色产业</w:t>
      </w:r>
      <w:r>
        <w:rPr>
          <w:rFonts w:hint="eastAsia" w:ascii="仿宋_GB2312" w:hAnsi="仿宋" w:eastAsia="仿宋_GB2312" w:cs="仿宋"/>
          <w:sz w:val="30"/>
          <w:szCs w:val="30"/>
          <w:lang w:val="zh-TW"/>
        </w:rPr>
        <w:t>基地</w:t>
      </w:r>
      <w:r>
        <w:rPr>
          <w:rFonts w:hint="eastAsia" w:ascii="仿宋_GB2312" w:hAnsi="仿宋" w:eastAsia="仿宋_GB2312" w:cs="仿宋"/>
          <w:sz w:val="30"/>
          <w:szCs w:val="30"/>
          <w:lang w:val="zh-TW" w:eastAsia="zh-TW"/>
        </w:rPr>
        <w:t>为基础</w:t>
      </w:r>
      <w:r>
        <w:rPr>
          <w:rFonts w:hint="eastAsia" w:ascii="仿宋_GB2312" w:hAnsi="仿宋" w:eastAsia="仿宋_GB2312" w:cs="仿宋"/>
          <w:bCs/>
          <w:sz w:val="30"/>
          <w:szCs w:val="30"/>
          <w:lang w:val="zh-TW" w:eastAsia="zh-TW"/>
        </w:rPr>
        <w:t>开展农商互联农产品供应链建设</w:t>
      </w:r>
      <w:r>
        <w:rPr>
          <w:rFonts w:hint="eastAsia" w:ascii="仿宋_GB2312" w:hAnsi="仿宋" w:eastAsia="仿宋_GB2312" w:cs="仿宋"/>
          <w:sz w:val="30"/>
          <w:szCs w:val="30"/>
          <w:lang w:val="zh-TW" w:eastAsia="zh-TW"/>
        </w:rPr>
        <w:t>。培育</w:t>
      </w:r>
      <w:r>
        <w:rPr>
          <w:rFonts w:hint="eastAsia" w:ascii="仿宋_GB2312" w:hAnsi="仿宋" w:eastAsia="仿宋_GB2312" w:cs="仿宋"/>
          <w:sz w:val="30"/>
          <w:szCs w:val="30"/>
          <w:lang w:val="zh-TW"/>
        </w:rPr>
        <w:t>华容农特产品</w:t>
      </w:r>
      <w:r>
        <w:rPr>
          <w:rFonts w:hint="eastAsia" w:ascii="仿宋_GB2312" w:hAnsi="仿宋" w:eastAsia="仿宋_GB2312" w:cs="仿宋"/>
          <w:sz w:val="30"/>
          <w:szCs w:val="30"/>
          <w:lang w:val="zh-TW" w:eastAsia="zh-TW"/>
        </w:rPr>
        <w:t>龙头电商品牌，</w:t>
      </w:r>
      <w:r>
        <w:rPr>
          <w:rFonts w:hint="eastAsia" w:ascii="仿宋_GB2312" w:hAnsi="仿宋" w:eastAsia="仿宋_GB2312" w:cs="仿宋"/>
          <w:bCs/>
          <w:sz w:val="30"/>
          <w:szCs w:val="30"/>
          <w:lang w:val="zh-TW" w:eastAsia="zh-TW"/>
        </w:rPr>
        <w:t>补齐农产品冷链物流设施短板，</w:t>
      </w:r>
      <w:r>
        <w:rPr>
          <w:rFonts w:hint="eastAsia" w:ascii="仿宋_GB2312" w:hAnsi="仿宋" w:eastAsia="仿宋_GB2312" w:cs="仿宋"/>
          <w:sz w:val="30"/>
          <w:szCs w:val="30"/>
          <w:lang w:val="zh-TW" w:eastAsia="zh-TW"/>
        </w:rPr>
        <w:t>尽快统筹华容县域农特产品电商供应链体系建设，打造完善的能支撑电商发展的良性供应链体系，打通农特产品上行链路通道，提高特色有机产品的商品化率，拓展销售市场，</w:t>
      </w:r>
      <w:r>
        <w:rPr>
          <w:rFonts w:hint="eastAsia" w:ascii="仿宋_GB2312" w:hAnsi="仿宋" w:eastAsia="仿宋_GB2312" w:cs="仿宋"/>
          <w:bCs/>
          <w:sz w:val="30"/>
          <w:szCs w:val="30"/>
          <w:lang w:val="zh-TW" w:eastAsia="zh-TW"/>
        </w:rPr>
        <w:t>着力提升农产品流通现代化水平，</w:t>
      </w:r>
      <w:r>
        <w:rPr>
          <w:rFonts w:hint="eastAsia" w:ascii="仿宋_GB2312" w:hAnsi="仿宋" w:eastAsia="仿宋_GB2312" w:cs="仿宋"/>
          <w:sz w:val="30"/>
          <w:szCs w:val="30"/>
          <w:lang w:val="zh-TW" w:eastAsia="zh-TW"/>
        </w:rPr>
        <w:t>为农特产品产业发展奠定基础。</w:t>
      </w:r>
    </w:p>
    <w:p>
      <w:pPr>
        <w:pStyle w:val="9"/>
        <w:spacing w:line="640" w:lineRule="exact"/>
        <w:ind w:firstLine="602"/>
        <w:rPr>
          <w:rFonts w:hint="eastAsia" w:ascii="仿宋_GB2312" w:hAnsi="仿宋" w:eastAsia="仿宋_GB2312" w:cs="仿宋"/>
          <w:sz w:val="30"/>
          <w:szCs w:val="30"/>
          <w:lang w:val="zh-TW" w:eastAsia="zh-TW"/>
        </w:rPr>
      </w:pPr>
      <w:r>
        <w:rPr>
          <w:rFonts w:hint="eastAsia" w:ascii="仿宋_GB2312" w:hAnsi="仿宋" w:eastAsia="仿宋_GB2312" w:cs="仿宋"/>
          <w:b/>
          <w:sz w:val="30"/>
          <w:szCs w:val="30"/>
          <w:lang w:val="zh-TW" w:eastAsia="zh-TW"/>
        </w:rPr>
        <w:t>配套服务好重点工业园区及工业企业。</w:t>
      </w:r>
      <w:r>
        <w:rPr>
          <w:rFonts w:hint="eastAsia" w:ascii="仿宋_GB2312" w:hAnsi="仿宋" w:eastAsia="仿宋_GB2312" w:cs="仿宋"/>
          <w:sz w:val="30"/>
          <w:szCs w:val="30"/>
          <w:lang w:val="zh-TW" w:eastAsia="zh-TW"/>
        </w:rPr>
        <w:t>结合城市发展规划，</w:t>
      </w:r>
      <w:r>
        <w:rPr>
          <w:rFonts w:hint="eastAsia" w:ascii="仿宋_GB2312" w:hAnsi="仿宋" w:eastAsia="仿宋_GB2312" w:cs="仿宋"/>
          <w:sz w:val="30"/>
          <w:szCs w:val="30"/>
          <w:lang w:val="zh-TW"/>
        </w:rPr>
        <w:t>科学</w:t>
      </w:r>
      <w:r>
        <w:rPr>
          <w:rFonts w:hint="eastAsia" w:ascii="仿宋_GB2312" w:hAnsi="仿宋" w:eastAsia="仿宋_GB2312" w:cs="仿宋"/>
          <w:sz w:val="30"/>
          <w:szCs w:val="30"/>
          <w:lang w:val="zh-TW" w:eastAsia="zh-TW"/>
        </w:rPr>
        <w:t>合理布局华容工业企业集中区商贸流通服务基础设施，做好工业</w:t>
      </w:r>
      <w:r>
        <w:rPr>
          <w:rFonts w:hint="eastAsia" w:ascii="仿宋_GB2312" w:hAnsi="仿宋" w:eastAsia="仿宋_GB2312" w:cs="仿宋"/>
          <w:sz w:val="30"/>
          <w:szCs w:val="30"/>
          <w:lang w:val="zh-TW"/>
        </w:rPr>
        <w:t>集中区域</w:t>
      </w:r>
      <w:r>
        <w:rPr>
          <w:rFonts w:hint="eastAsia" w:ascii="仿宋_GB2312" w:hAnsi="仿宋" w:eastAsia="仿宋_GB2312" w:cs="仿宋"/>
          <w:sz w:val="30"/>
          <w:szCs w:val="30"/>
          <w:lang w:val="zh-TW" w:eastAsia="zh-TW"/>
        </w:rPr>
        <w:t>商贸流通服务</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整合物流资源</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集中工业园区物流渠道，鼓励园区工业企业物流外包，促进企业内部物流社会化</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推动生产</w:t>
      </w:r>
      <w:r>
        <w:rPr>
          <w:rFonts w:hint="eastAsia" w:ascii="仿宋_GB2312" w:hAnsi="仿宋" w:eastAsia="仿宋_GB2312" w:cs="仿宋"/>
          <w:sz w:val="30"/>
          <w:szCs w:val="30"/>
          <w:lang w:val="zh-TW"/>
        </w:rPr>
        <w:t>企业与</w:t>
      </w:r>
      <w:r>
        <w:rPr>
          <w:rFonts w:hint="eastAsia" w:ascii="仿宋_GB2312" w:hAnsi="仿宋" w:eastAsia="仿宋_GB2312" w:cs="仿宋"/>
          <w:sz w:val="30"/>
          <w:szCs w:val="30"/>
          <w:lang w:val="zh-TW" w:eastAsia="zh-TW"/>
        </w:rPr>
        <w:t>物流企业</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商贸企业互动发展，促进供应链各环节有机结合。</w:t>
      </w:r>
    </w:p>
    <w:p>
      <w:pPr>
        <w:spacing w:line="640" w:lineRule="exact"/>
        <w:ind w:firstLine="602" w:firstLineChars="200"/>
        <w:outlineLvl w:val="1"/>
        <w:rPr>
          <w:rFonts w:hint="eastAsia" w:ascii="仿宋_GB2312" w:hAnsi="仿宋" w:eastAsia="仿宋_GB2312" w:cs="仿宋"/>
          <w:b/>
          <w:bCs/>
          <w:sz w:val="30"/>
          <w:szCs w:val="30"/>
          <w:lang w:val="zh-TW" w:eastAsia="zh-TW"/>
        </w:rPr>
      </w:pPr>
      <w:bookmarkStart w:id="26" w:name="_Toc62653448"/>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三</w:t>
      </w:r>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建立电商生态，</w:t>
      </w:r>
      <w:r>
        <w:rPr>
          <w:rFonts w:hint="eastAsia" w:ascii="仿宋_GB2312" w:hAnsi="仿宋" w:eastAsia="仿宋_GB2312" w:cs="仿宋"/>
          <w:b/>
          <w:bCs/>
          <w:sz w:val="30"/>
          <w:szCs w:val="30"/>
          <w:lang w:val="zh-TW" w:eastAsia="zh-TW"/>
        </w:rPr>
        <w:t>培育优势品牌</w:t>
      </w:r>
      <w:r>
        <w:rPr>
          <w:rFonts w:hint="eastAsia" w:ascii="仿宋_GB2312" w:hAnsi="仿宋" w:eastAsia="仿宋_GB2312" w:cs="仿宋"/>
          <w:b/>
          <w:bCs/>
          <w:sz w:val="30"/>
          <w:szCs w:val="30"/>
          <w:lang w:val="zh-TW"/>
        </w:rPr>
        <w:t>，</w:t>
      </w:r>
      <w:r>
        <w:rPr>
          <w:rFonts w:hint="eastAsia" w:ascii="仿宋_GB2312" w:hAnsi="仿宋" w:eastAsia="仿宋_GB2312" w:cs="仿宋"/>
          <w:b/>
          <w:bCs/>
          <w:sz w:val="30"/>
          <w:szCs w:val="30"/>
          <w:lang w:val="zh-TW" w:eastAsia="zh-TW"/>
        </w:rPr>
        <w:t>提升城市软实力</w:t>
      </w:r>
      <w:bookmarkEnd w:id="26"/>
    </w:p>
    <w:p>
      <w:pPr>
        <w:pStyle w:val="9"/>
        <w:spacing w:line="640" w:lineRule="exact"/>
        <w:ind w:firstLine="600"/>
        <w:rPr>
          <w:rFonts w:hint="eastAsia" w:ascii="仿宋_GB2312" w:hAnsi="仿宋" w:eastAsia="仿宋_GB2312" w:cs="仿宋"/>
          <w:sz w:val="30"/>
          <w:szCs w:val="30"/>
          <w:lang w:val="zh-TW"/>
        </w:rPr>
      </w:pPr>
      <w:r>
        <w:rPr>
          <w:rFonts w:hint="eastAsia" w:ascii="仿宋_GB2312" w:hAnsi="仿宋" w:eastAsia="仿宋_GB2312" w:cs="仿宋"/>
          <w:sz w:val="30"/>
          <w:szCs w:val="30"/>
          <w:lang w:val="zh-TW" w:eastAsia="zh-TW"/>
        </w:rPr>
        <w:t>以</w:t>
      </w:r>
      <w:r>
        <w:rPr>
          <w:rFonts w:hint="eastAsia" w:ascii="仿宋_GB2312" w:hAnsi="仿宋" w:eastAsia="仿宋_GB2312" w:cs="仿宋"/>
          <w:sz w:val="30"/>
          <w:szCs w:val="30"/>
          <w:lang w:val="zh-TW"/>
        </w:rPr>
        <w:t>助推岳阳</w:t>
      </w:r>
      <w:r>
        <w:rPr>
          <w:rFonts w:hint="eastAsia" w:ascii="仿宋_GB2312" w:hAnsi="仿宋" w:eastAsia="仿宋_GB2312" w:cs="仿宋"/>
          <w:sz w:val="30"/>
          <w:szCs w:val="30"/>
          <w:lang w:val="zh-TW" w:eastAsia="zh-TW"/>
        </w:rPr>
        <w:t>打造</w:t>
      </w:r>
      <w:r>
        <w:rPr>
          <w:rFonts w:hint="eastAsia" w:ascii="仿宋_GB2312" w:hAnsi="仿宋" w:eastAsia="仿宋_GB2312" w:cs="仿宋"/>
          <w:sz w:val="30"/>
          <w:szCs w:val="30"/>
          <w:lang w:val="zh-TW"/>
        </w:rPr>
        <w:t>湖南</w:t>
      </w:r>
      <w:r>
        <w:rPr>
          <w:rFonts w:hint="eastAsia" w:ascii="仿宋_GB2312" w:hAnsi="仿宋" w:eastAsia="仿宋_GB2312" w:cs="仿宋"/>
          <w:sz w:val="30"/>
          <w:szCs w:val="30"/>
          <w:lang w:val="zh-TW" w:eastAsia="zh-TW"/>
        </w:rPr>
        <w:t>发展新增长极，建设宜居宜业宜游的</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三宜</w:t>
      </w:r>
      <w:r>
        <w:rPr>
          <w:rFonts w:hint="eastAsia" w:ascii="仿宋_GB2312" w:hAnsi="仿宋" w:eastAsia="仿宋_GB2312" w:cs="仿宋"/>
          <w:sz w:val="30"/>
          <w:szCs w:val="30"/>
        </w:rPr>
        <w:t>”</w:t>
      </w:r>
      <w:r>
        <w:rPr>
          <w:rFonts w:hint="eastAsia" w:ascii="仿宋_GB2312" w:hAnsi="仿宋" w:eastAsia="仿宋_GB2312" w:cs="仿宋"/>
          <w:sz w:val="30"/>
          <w:szCs w:val="30"/>
          <w:lang w:val="zh-TW" w:eastAsia="zh-TW"/>
        </w:rPr>
        <w:t>城市</w:t>
      </w:r>
      <w:r>
        <w:rPr>
          <w:rFonts w:hint="eastAsia" w:ascii="仿宋_GB2312" w:hAnsi="仿宋" w:eastAsia="仿宋_GB2312" w:cs="仿宋"/>
          <w:sz w:val="30"/>
          <w:szCs w:val="30"/>
          <w:lang w:val="zh-TW"/>
        </w:rPr>
        <w:t>为</w:t>
      </w:r>
      <w:r>
        <w:rPr>
          <w:rFonts w:hint="eastAsia" w:ascii="仿宋_GB2312" w:hAnsi="仿宋" w:eastAsia="仿宋_GB2312" w:cs="仿宋"/>
          <w:sz w:val="30"/>
          <w:szCs w:val="30"/>
          <w:lang w:val="zh-TW" w:eastAsia="zh-TW"/>
        </w:rPr>
        <w:t>目标</w:t>
      </w:r>
      <w:r>
        <w:rPr>
          <w:rFonts w:hint="eastAsia" w:ascii="仿宋_GB2312" w:hAnsi="仿宋" w:eastAsia="仿宋_GB2312" w:cs="仿宋"/>
          <w:sz w:val="30"/>
          <w:szCs w:val="30"/>
          <w:lang w:val="zh-TW"/>
        </w:rPr>
        <w:t>。建立多元复合的电商生态体系，培育华容本土优势品牌，发挥品牌效应，</w:t>
      </w:r>
      <w:r>
        <w:rPr>
          <w:rFonts w:hint="eastAsia" w:ascii="仿宋_GB2312" w:hAnsi="仿宋" w:eastAsia="仿宋_GB2312" w:cs="仿宋"/>
          <w:sz w:val="30"/>
          <w:szCs w:val="30"/>
          <w:lang w:val="zh-TW" w:eastAsia="zh-TW"/>
        </w:rPr>
        <w:t>注重对城市</w:t>
      </w:r>
      <w:r>
        <w:rPr>
          <w:rFonts w:hint="eastAsia" w:ascii="仿宋_GB2312" w:hAnsi="仿宋" w:eastAsia="仿宋_GB2312" w:cs="仿宋"/>
          <w:sz w:val="30"/>
          <w:szCs w:val="30"/>
          <w:lang w:val="zh-TW"/>
        </w:rPr>
        <w:t>形象及特色</w:t>
      </w:r>
      <w:r>
        <w:rPr>
          <w:rFonts w:hint="eastAsia" w:ascii="仿宋_GB2312" w:hAnsi="仿宋" w:eastAsia="仿宋_GB2312" w:cs="仿宋"/>
          <w:sz w:val="30"/>
          <w:szCs w:val="30"/>
          <w:lang w:val="zh-TW" w:eastAsia="zh-TW"/>
        </w:rPr>
        <w:t>品牌的整体营销推广</w:t>
      </w:r>
      <w:r>
        <w:rPr>
          <w:rFonts w:hint="eastAsia" w:ascii="仿宋_GB2312" w:hAnsi="仿宋" w:eastAsia="仿宋_GB2312" w:cs="仿宋"/>
          <w:sz w:val="30"/>
          <w:szCs w:val="30"/>
          <w:lang w:val="zh-TW"/>
        </w:rPr>
        <w:t>，提升城市软实力和城市竞争力</w:t>
      </w:r>
      <w:r>
        <w:rPr>
          <w:rFonts w:hint="eastAsia" w:ascii="仿宋_GB2312" w:hAnsi="仿宋" w:eastAsia="仿宋_GB2312" w:cs="仿宋"/>
          <w:sz w:val="30"/>
          <w:szCs w:val="30"/>
          <w:lang w:val="zh-TW" w:eastAsia="zh-TW"/>
        </w:rPr>
        <w:t>。</w:t>
      </w:r>
    </w:p>
    <w:p>
      <w:pPr>
        <w:pStyle w:val="9"/>
        <w:spacing w:line="640" w:lineRule="exact"/>
        <w:ind w:firstLine="602"/>
        <w:rPr>
          <w:rFonts w:hint="eastAsia" w:ascii="仿宋_GB2312" w:hAnsi="仿宋" w:eastAsia="仿宋_GB2312" w:cs="仿宋"/>
          <w:sz w:val="30"/>
          <w:szCs w:val="30"/>
          <w:lang w:val="zh-TW"/>
        </w:rPr>
      </w:pPr>
      <w:r>
        <w:rPr>
          <w:rFonts w:hint="eastAsia" w:ascii="仿宋_GB2312" w:hAnsi="仿宋" w:eastAsia="仿宋_GB2312" w:cs="仿宋"/>
          <w:b/>
          <w:sz w:val="30"/>
          <w:szCs w:val="30"/>
          <w:lang w:val="zh-TW" w:eastAsia="zh-TW"/>
        </w:rPr>
        <w:t>推进建设数据化的电商生态系统。</w:t>
      </w:r>
      <w:r>
        <w:rPr>
          <w:rFonts w:hint="eastAsia" w:ascii="仿宋_GB2312" w:hAnsi="仿宋" w:eastAsia="仿宋_GB2312" w:cs="仿宋"/>
          <w:sz w:val="30"/>
          <w:szCs w:val="30"/>
          <w:lang w:val="zh-TW" w:eastAsia="zh-TW"/>
        </w:rPr>
        <w:t>建</w:t>
      </w:r>
      <w:r>
        <w:rPr>
          <w:rFonts w:hint="eastAsia" w:ascii="仿宋_GB2312" w:hAnsi="仿宋" w:eastAsia="仿宋_GB2312" w:cs="仿宋"/>
          <w:sz w:val="30"/>
          <w:szCs w:val="30"/>
          <w:lang w:val="zh-TW"/>
        </w:rPr>
        <w:t>设电子商务运营服务中心，完善设计、营销、研发、管理、结算、数据分析等电商综合保障服务，促进电子商务产业链上下游协同发展，创造特色产业链和新的服务岗位。结合商品交易市场和健康文旅产业发展垂直电子商务。建设跨境电商中心，发展保税经济。依托农业基地发展农村电商，鼓励直播、网红经济走入田间地头，搭建农业电商平台。建设电子商务物流信息服务中心和物流及配送管理中心，利用“互联网+大数据”，发展智慧物流，增强供应链管理，打造“电商+供应链+智慧仓储”价值体系。</w:t>
      </w:r>
    </w:p>
    <w:p>
      <w:pPr>
        <w:pStyle w:val="9"/>
        <w:spacing w:line="640" w:lineRule="exact"/>
        <w:ind w:firstLine="602"/>
        <w:rPr>
          <w:rFonts w:hint="eastAsia" w:ascii="仿宋_GB2312" w:hAnsi="仿宋" w:eastAsia="仿宋_GB2312" w:cs="仿宋"/>
          <w:sz w:val="30"/>
          <w:szCs w:val="30"/>
          <w:lang w:val="zh-TW" w:eastAsia="zh-TW"/>
        </w:rPr>
      </w:pPr>
      <w:r>
        <w:rPr>
          <w:rFonts w:hint="eastAsia" w:ascii="仿宋_GB2312" w:hAnsi="仿宋" w:eastAsia="仿宋_GB2312"/>
          <w:b/>
          <w:sz w:val="30"/>
          <w:szCs w:val="30"/>
        </w:rPr>
        <w:t>积极发展平台型会展服务业。</w:t>
      </w:r>
      <w:r>
        <w:rPr>
          <w:rFonts w:hint="eastAsia" w:ascii="仿宋_GB2312" w:hAnsi="仿宋" w:eastAsia="仿宋_GB2312" w:cs="仿宋"/>
          <w:sz w:val="30"/>
          <w:szCs w:val="30"/>
          <w:lang w:val="zh-TW" w:eastAsia="zh-TW"/>
        </w:rPr>
        <w:t>推动华容</w:t>
      </w:r>
      <w:r>
        <w:rPr>
          <w:rFonts w:hint="eastAsia" w:ascii="仿宋_GB2312" w:hAnsi="仿宋" w:eastAsia="仿宋_GB2312"/>
          <w:sz w:val="30"/>
          <w:szCs w:val="30"/>
        </w:rPr>
        <w:t>会展质量</w:t>
      </w:r>
      <w:r>
        <w:rPr>
          <w:rFonts w:hint="eastAsia" w:ascii="仿宋_GB2312" w:hAnsi="仿宋" w:eastAsia="仿宋_GB2312" w:cs="仿宋"/>
          <w:sz w:val="30"/>
          <w:szCs w:val="30"/>
          <w:lang w:val="zh-TW" w:eastAsia="zh-TW"/>
        </w:rPr>
        <w:t>不断提升，会展规模的逐步增长，进一步加大会展业对华容经济社会发展的促进作用。</w:t>
      </w:r>
      <w:r>
        <w:rPr>
          <w:rFonts w:hint="eastAsia" w:ascii="仿宋_GB2312" w:hAnsi="仿宋" w:eastAsia="仿宋_GB2312"/>
          <w:sz w:val="30"/>
          <w:szCs w:val="30"/>
        </w:rPr>
        <w:t>将会展业促进内外贸易发展的平台功能放大，从而促进地区服务贸易的发展和扩大。从带动本地名特优商品营销增长，到扩大区域商品、生产要素跨城流动的规模，到通过会展活动的策划、营销和组织以及各类会展服务的提供，带动商品、物资、人员、资金、信息的跨区域、跨城市、跨主体流动，从而真正促进市域商贸流通规模的扩大。</w:t>
      </w:r>
    </w:p>
    <w:p>
      <w:pPr>
        <w:spacing w:line="640" w:lineRule="exact"/>
        <w:ind w:firstLine="602" w:firstLineChars="200"/>
        <w:rPr>
          <w:rFonts w:hint="eastAsia" w:ascii="仿宋_GB2312" w:hAnsi="仿宋" w:eastAsia="仿宋_GB2312"/>
          <w:sz w:val="30"/>
          <w:szCs w:val="30"/>
        </w:rPr>
      </w:pPr>
      <w:r>
        <w:rPr>
          <w:rFonts w:hint="eastAsia" w:ascii="仿宋_GB2312" w:hAnsi="仿宋" w:eastAsia="仿宋_GB2312"/>
          <w:b/>
          <w:sz w:val="30"/>
          <w:szCs w:val="30"/>
        </w:rPr>
        <w:t>放大本土优势产品品牌市场价值。</w:t>
      </w:r>
      <w:r>
        <w:rPr>
          <w:rFonts w:hint="eastAsia" w:ascii="仿宋_GB2312" w:hAnsi="仿宋" w:eastAsia="仿宋_GB2312" w:cs="仿宋"/>
          <w:sz w:val="30"/>
          <w:szCs w:val="30"/>
          <w:lang w:val="zh-TW" w:eastAsia="zh-TW"/>
        </w:rPr>
        <w:t>继续</w:t>
      </w:r>
      <w:r>
        <w:rPr>
          <w:rFonts w:hint="eastAsia" w:ascii="仿宋_GB2312" w:hAnsi="仿宋" w:eastAsia="仿宋_GB2312" w:cs="仿宋"/>
          <w:sz w:val="30"/>
          <w:szCs w:val="30"/>
          <w:lang w:val="zh-TW"/>
        </w:rPr>
        <w:t>做大做强</w:t>
      </w:r>
      <w:r>
        <w:rPr>
          <w:rFonts w:hint="eastAsia" w:ascii="仿宋_GB2312" w:hAnsi="仿宋" w:eastAsia="仿宋_GB2312" w:cs="仿宋"/>
          <w:sz w:val="30"/>
          <w:szCs w:val="30"/>
          <w:lang w:val="zh-TW" w:eastAsia="zh-TW"/>
        </w:rPr>
        <w:t>华容</w:t>
      </w:r>
      <w:r>
        <w:rPr>
          <w:rFonts w:hint="eastAsia" w:ascii="仿宋_GB2312" w:hAnsi="仿宋" w:eastAsia="仿宋_GB2312" w:cs="仿宋"/>
          <w:sz w:val="30"/>
          <w:szCs w:val="30"/>
          <w:lang w:val="zh-TW"/>
        </w:rPr>
        <w:t>本土</w:t>
      </w:r>
      <w:r>
        <w:rPr>
          <w:rFonts w:hint="eastAsia" w:ascii="仿宋_GB2312" w:hAnsi="仿宋" w:eastAsia="仿宋_GB2312" w:cs="仿宋"/>
          <w:sz w:val="30"/>
          <w:szCs w:val="30"/>
          <w:lang w:val="zh-TW" w:eastAsia="zh-TW"/>
        </w:rPr>
        <w:t>优势产业，</w:t>
      </w:r>
      <w:r>
        <w:rPr>
          <w:rFonts w:hint="eastAsia" w:ascii="仿宋_GB2312" w:hAnsi="仿宋" w:eastAsia="仿宋_GB2312" w:cs="仿宋"/>
          <w:sz w:val="30"/>
          <w:szCs w:val="30"/>
          <w:lang w:val="zh-TW"/>
        </w:rPr>
        <w:t>通过</w:t>
      </w:r>
      <w:r>
        <w:rPr>
          <w:rFonts w:hint="eastAsia" w:ascii="仿宋_GB2312" w:hAnsi="仿宋" w:eastAsia="仿宋_GB2312" w:cs="仿宋"/>
          <w:sz w:val="30"/>
          <w:szCs w:val="30"/>
          <w:lang w:val="zh-TW" w:eastAsia="zh-TW"/>
        </w:rPr>
        <w:t>建立科学的强势品牌培育及扶持机制，</w:t>
      </w:r>
      <w:r>
        <w:rPr>
          <w:rFonts w:hint="eastAsia" w:ascii="仿宋_GB2312" w:hAnsi="仿宋" w:eastAsia="仿宋_GB2312" w:cs="仿宋"/>
          <w:sz w:val="30"/>
          <w:szCs w:val="30"/>
          <w:lang w:val="zh-TW"/>
        </w:rPr>
        <w:t>促进</w:t>
      </w:r>
      <w:r>
        <w:rPr>
          <w:rFonts w:hint="eastAsia" w:ascii="仿宋_GB2312" w:hAnsi="仿宋" w:eastAsia="仿宋_GB2312" w:cs="仿宋"/>
          <w:sz w:val="30"/>
          <w:szCs w:val="30"/>
          <w:lang w:val="zh-TW" w:eastAsia="zh-TW"/>
        </w:rPr>
        <w:t>品牌成长</w:t>
      </w:r>
      <w:r>
        <w:rPr>
          <w:rFonts w:hint="eastAsia" w:ascii="仿宋_GB2312" w:hAnsi="仿宋" w:eastAsia="仿宋_GB2312" w:cs="仿宋"/>
          <w:sz w:val="30"/>
          <w:szCs w:val="30"/>
          <w:lang w:val="zh-TW"/>
        </w:rPr>
        <w:t>，放大本土优势产品品牌市场价值</w:t>
      </w:r>
      <w:r>
        <w:rPr>
          <w:rFonts w:hint="eastAsia" w:ascii="仿宋_GB2312" w:hAnsi="仿宋" w:eastAsia="仿宋_GB2312" w:cs="仿宋"/>
          <w:sz w:val="30"/>
          <w:szCs w:val="30"/>
          <w:lang w:val="zh-TW" w:eastAsia="zh-TW"/>
        </w:rPr>
        <w:t>。</w:t>
      </w:r>
      <w:r>
        <w:rPr>
          <w:rFonts w:hint="eastAsia" w:ascii="仿宋_GB2312" w:hAnsi="仿宋" w:eastAsia="仿宋_GB2312"/>
          <w:sz w:val="30"/>
          <w:szCs w:val="30"/>
        </w:rPr>
        <w:t>通过线上、线下、会展、节会、培训等，转化</w:t>
      </w:r>
      <w:r>
        <w:rPr>
          <w:rFonts w:hint="eastAsia" w:ascii="仿宋_GB2312" w:hAnsi="仿宋" w:eastAsia="仿宋_GB2312" w:cs="仿宋"/>
          <w:sz w:val="30"/>
          <w:szCs w:val="30"/>
        </w:rPr>
        <w:t>“华容</w:t>
      </w:r>
      <w:r>
        <w:rPr>
          <w:rFonts w:hint="eastAsia" w:ascii="仿宋_GB2312" w:hAnsi="仿宋" w:eastAsia="仿宋_GB2312" w:cs="仿宋"/>
          <w:sz w:val="30"/>
          <w:szCs w:val="30"/>
          <w:lang w:val="zh-TW" w:eastAsia="zh-TW"/>
        </w:rPr>
        <w:t>芥菜</w:t>
      </w:r>
      <w:r>
        <w:rPr>
          <w:rFonts w:hint="eastAsia" w:ascii="仿宋_GB2312" w:hAnsi="仿宋" w:eastAsia="仿宋_GB2312" w:cs="仿宋"/>
          <w:sz w:val="30"/>
          <w:szCs w:val="30"/>
        </w:rPr>
        <w:t>”和</w:t>
      </w:r>
      <w:r>
        <w:rPr>
          <w:rFonts w:hint="eastAsia" w:ascii="仿宋_GB2312" w:hAnsi="仿宋" w:eastAsia="仿宋_GB2312" w:cs="仿宋"/>
          <w:sz w:val="30"/>
          <w:szCs w:val="30"/>
          <w:lang w:val="zh-TW"/>
        </w:rPr>
        <w:t>“华容稻”国家地理标志商标公信力为优势产品竞争力，推进华容稻虾、茶叶、中药材、生猪等优势产品地理标志商标创建工作</w:t>
      </w:r>
      <w:r>
        <w:rPr>
          <w:rFonts w:hint="eastAsia" w:ascii="仿宋_GB2312" w:hAnsi="仿宋" w:eastAsia="仿宋_GB2312"/>
          <w:sz w:val="30"/>
          <w:szCs w:val="30"/>
        </w:rPr>
        <w:t>，形成本土优势农特产品品牌集群。增强创新培育一批餐饮、住宿、家政、零售服务等流通行业的本土特色品牌，形成华容流通服务品牌集群，将本土特色品牌推向全国。</w:t>
      </w:r>
    </w:p>
    <w:p>
      <w:pPr>
        <w:spacing w:line="640" w:lineRule="exact"/>
        <w:ind w:firstLine="602" w:firstLineChars="200"/>
        <w:outlineLvl w:val="1"/>
        <w:rPr>
          <w:rFonts w:hint="eastAsia" w:ascii="仿宋_GB2312" w:hAnsi="仿宋" w:eastAsia="仿宋_GB2312" w:cs="仿宋"/>
          <w:b/>
          <w:bCs/>
          <w:sz w:val="30"/>
          <w:szCs w:val="30"/>
          <w:lang w:val="zh-TW" w:eastAsia="zh-TW"/>
        </w:rPr>
      </w:pPr>
      <w:bookmarkStart w:id="27" w:name="_Toc62653449"/>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四</w:t>
      </w:r>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整合零散</w:t>
      </w:r>
      <w:r>
        <w:rPr>
          <w:rFonts w:hint="eastAsia" w:ascii="仿宋_GB2312" w:hAnsi="仿宋" w:eastAsia="仿宋_GB2312" w:cs="仿宋"/>
          <w:b/>
          <w:bCs/>
          <w:sz w:val="30"/>
          <w:szCs w:val="30"/>
          <w:lang w:val="zh-TW" w:eastAsia="zh-TW"/>
        </w:rPr>
        <w:t>物流</w:t>
      </w:r>
      <w:r>
        <w:rPr>
          <w:rFonts w:hint="eastAsia" w:ascii="仿宋_GB2312" w:hAnsi="仿宋" w:eastAsia="仿宋_GB2312" w:cs="仿宋"/>
          <w:b/>
          <w:bCs/>
          <w:sz w:val="30"/>
          <w:szCs w:val="30"/>
          <w:lang w:val="zh-TW"/>
        </w:rPr>
        <w:t>资源，推进现代物流供应链体系建设</w:t>
      </w:r>
      <w:bookmarkEnd w:id="27"/>
    </w:p>
    <w:p>
      <w:pPr>
        <w:pStyle w:val="9"/>
        <w:spacing w:line="640" w:lineRule="exact"/>
        <w:ind w:firstLine="600"/>
        <w:rPr>
          <w:rFonts w:hint="eastAsia" w:ascii="仿宋_GB2312" w:hAnsi="仿宋" w:eastAsia="仿宋_GB2312" w:cs="仿宋"/>
          <w:sz w:val="30"/>
          <w:szCs w:val="30"/>
          <w:lang w:val="zh-TW" w:eastAsia="zh-TW"/>
        </w:rPr>
      </w:pPr>
      <w:r>
        <w:rPr>
          <w:rFonts w:hint="eastAsia" w:ascii="仿宋_GB2312" w:hAnsi="仿宋" w:eastAsia="仿宋_GB2312" w:cs="仿宋"/>
          <w:sz w:val="30"/>
          <w:szCs w:val="30"/>
          <w:lang w:val="zh-TW" w:eastAsia="zh-TW"/>
        </w:rPr>
        <w:t>与华容中长期发展目标、城市中长期物流发展需求相适应，</w:t>
      </w:r>
      <w:r>
        <w:rPr>
          <w:rFonts w:hint="eastAsia" w:ascii="仿宋_GB2312" w:hAnsi="仿宋" w:eastAsia="仿宋_GB2312" w:cs="仿宋"/>
          <w:sz w:val="30"/>
          <w:szCs w:val="30"/>
          <w:lang w:val="zh-TW"/>
        </w:rPr>
        <w:t>整合县域现有零散物流资源，</w:t>
      </w:r>
      <w:r>
        <w:rPr>
          <w:rFonts w:hint="eastAsia" w:ascii="仿宋_GB2312" w:hAnsi="仿宋" w:eastAsia="仿宋_GB2312" w:cs="仿宋"/>
          <w:sz w:val="30"/>
          <w:szCs w:val="30"/>
          <w:lang w:val="zh-TW" w:eastAsia="zh-TW"/>
        </w:rPr>
        <w:t>提高</w:t>
      </w:r>
      <w:r>
        <w:rPr>
          <w:rFonts w:hint="eastAsia" w:ascii="仿宋_GB2312" w:hAnsi="仿宋" w:eastAsia="仿宋_GB2312" w:cs="仿宋"/>
          <w:sz w:val="30"/>
          <w:szCs w:val="30"/>
          <w:lang w:val="zh-TW"/>
        </w:rPr>
        <w:t>华容物流业的现代化水平以及</w:t>
      </w:r>
      <w:r>
        <w:rPr>
          <w:rFonts w:hint="eastAsia" w:ascii="仿宋_GB2312" w:hAnsi="仿宋" w:eastAsia="仿宋_GB2312" w:cs="仿宋"/>
          <w:sz w:val="30"/>
          <w:szCs w:val="30"/>
          <w:lang w:val="zh-TW" w:eastAsia="zh-TW"/>
        </w:rPr>
        <w:t>物流服务附加值</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努力实现由传统运输、装卸搬运、仓储到全程物流产品和一体化物流服务的转变</w:t>
      </w:r>
      <w:r>
        <w:rPr>
          <w:rFonts w:hint="eastAsia" w:ascii="仿宋_GB2312" w:hAnsi="仿宋" w:eastAsia="仿宋_GB2312" w:cs="仿宋"/>
          <w:sz w:val="30"/>
          <w:szCs w:val="30"/>
          <w:lang w:val="zh-TW"/>
        </w:rPr>
        <w:t>，扩大物流</w:t>
      </w:r>
      <w:r>
        <w:rPr>
          <w:rFonts w:hint="eastAsia" w:ascii="仿宋_GB2312" w:hAnsi="仿宋" w:eastAsia="仿宋_GB2312" w:cs="仿宋"/>
          <w:sz w:val="30"/>
          <w:szCs w:val="30"/>
          <w:lang w:val="zh-TW" w:eastAsia="zh-TW"/>
        </w:rPr>
        <w:t>功能辐射范围</w:t>
      </w:r>
      <w:r>
        <w:rPr>
          <w:rFonts w:hint="eastAsia" w:ascii="仿宋_GB2312" w:hAnsi="仿宋" w:eastAsia="仿宋_GB2312" w:cs="仿宋"/>
          <w:sz w:val="30"/>
          <w:szCs w:val="30"/>
          <w:lang w:val="zh-TW"/>
        </w:rPr>
        <w:t>，推进华容县现代物流供应链体系建设</w:t>
      </w:r>
      <w:r>
        <w:rPr>
          <w:rFonts w:hint="eastAsia" w:ascii="仿宋_GB2312" w:hAnsi="仿宋" w:eastAsia="仿宋_GB2312" w:cs="仿宋"/>
          <w:sz w:val="30"/>
          <w:szCs w:val="30"/>
          <w:lang w:val="zh-TW" w:eastAsia="zh-TW"/>
        </w:rPr>
        <w:t>。</w:t>
      </w:r>
    </w:p>
    <w:p>
      <w:pPr>
        <w:pStyle w:val="9"/>
        <w:spacing w:line="640" w:lineRule="exact"/>
        <w:ind w:firstLine="602"/>
        <w:rPr>
          <w:rFonts w:hint="eastAsia" w:ascii="仿宋_GB2312" w:hAnsi="仿宋" w:eastAsia="仿宋_GB2312" w:cs="仿宋"/>
          <w:sz w:val="30"/>
          <w:szCs w:val="30"/>
          <w:lang w:val="zh-TW"/>
        </w:rPr>
      </w:pPr>
      <w:r>
        <w:rPr>
          <w:rFonts w:hint="eastAsia" w:ascii="仿宋_GB2312" w:hAnsi="仿宋" w:eastAsia="仿宋_GB2312" w:cs="仿宋"/>
          <w:b/>
          <w:sz w:val="30"/>
          <w:szCs w:val="30"/>
          <w:lang w:val="zh-TW"/>
        </w:rPr>
        <w:t>强化物流基础设施建设。</w:t>
      </w:r>
      <w:r>
        <w:rPr>
          <w:rFonts w:hint="eastAsia" w:ascii="仿宋_GB2312" w:hAnsi="仿宋" w:eastAsia="仿宋_GB2312" w:cs="仿宋"/>
          <w:sz w:val="30"/>
          <w:szCs w:val="30"/>
          <w:lang w:val="zh-TW"/>
        </w:rPr>
        <w:t>以长江“黄金水道”、浩吉铁路、杭瑞高速等国家重大水陆货运通道为基础，以华容港区、华容站区为依托，建设铁水联运煤炭储配基地、现代智慧物流园、智慧公路港、粮油物流园、快递分拨中心等项目，重点发展能源物流、冷链物流、城市物流、供应链物流、公水铁多式联运，完善园区水、电、路、通讯设施和智慧仓储物流设施建设，提升货物周转效率。积极融入大岳阳区域物流体系，重点建设塔市驿长江作业区二期工程、监利至华容公铁两用长江大桥、岳阳港华容港区塔市驿作业区铁路专用线等区域性物流支撑项目，完善县域境内物流项目和物流通道、节点之间的连接道路建设，形成外联内畅的立体流通网络，高效对接自贸区。</w:t>
      </w:r>
    </w:p>
    <w:p>
      <w:pPr>
        <w:pStyle w:val="9"/>
        <w:spacing w:line="640" w:lineRule="exact"/>
        <w:ind w:firstLine="602"/>
        <w:rPr>
          <w:rFonts w:hint="eastAsia" w:ascii="仿宋_GB2312" w:hAnsi="仿宋" w:eastAsia="仿宋_GB2312" w:cs="仿宋"/>
          <w:sz w:val="30"/>
          <w:szCs w:val="30"/>
          <w:lang w:val="zh-TW" w:eastAsia="zh-TW"/>
        </w:rPr>
      </w:pPr>
      <w:r>
        <w:rPr>
          <w:rFonts w:hint="eastAsia" w:ascii="仿宋_GB2312" w:hAnsi="仿宋" w:eastAsia="仿宋_GB2312" w:cs="仿宋"/>
          <w:b/>
          <w:bCs/>
          <w:sz w:val="30"/>
          <w:szCs w:val="30"/>
          <w:lang w:val="zh-TW" w:eastAsia="zh-TW"/>
        </w:rPr>
        <w:t>培育物流龙头企业。</w:t>
      </w:r>
      <w:r>
        <w:rPr>
          <w:rFonts w:hint="eastAsia" w:ascii="仿宋_GB2312" w:hAnsi="仿宋" w:eastAsia="仿宋_GB2312" w:cs="仿宋"/>
          <w:sz w:val="30"/>
          <w:szCs w:val="30"/>
          <w:lang w:val="zh-TW" w:eastAsia="zh-TW"/>
        </w:rPr>
        <w:t>加大物流基础设施建设，积极招商引资，培育激活物流市场</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鼓励现有物流企业进行物流资源整合和业务创新，通过参股、兼并、联合等多种形式重组整合，扩大经营规模</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建设一批专业化、现代化、具有行业竞争优势的龙头物流企业集群，选址建设集运输、包装、仓储、分拨、中转、配送、信息服务等功能于一体的综合型商贸物流类设施，承接全县，辐射全国，全面提升城市服务功能。</w:t>
      </w:r>
    </w:p>
    <w:p>
      <w:pPr>
        <w:pStyle w:val="9"/>
        <w:spacing w:line="640" w:lineRule="exact"/>
        <w:ind w:firstLine="602"/>
        <w:rPr>
          <w:rFonts w:hint="eastAsia" w:ascii="仿宋_GB2312" w:hAnsi="仿宋" w:eastAsia="仿宋_GB2312" w:cs="仿宋"/>
          <w:sz w:val="30"/>
          <w:szCs w:val="30"/>
          <w:lang w:val="zh-TW" w:eastAsia="zh-TW"/>
        </w:rPr>
      </w:pPr>
      <w:r>
        <w:rPr>
          <w:rFonts w:hint="eastAsia" w:ascii="仿宋_GB2312" w:hAnsi="仿宋" w:eastAsia="仿宋_GB2312" w:cs="仿宋"/>
          <w:b/>
          <w:bCs/>
          <w:sz w:val="30"/>
          <w:szCs w:val="30"/>
          <w:lang w:val="zh-TW"/>
        </w:rPr>
        <w:t>打造</w:t>
      </w:r>
      <w:r>
        <w:rPr>
          <w:rFonts w:hint="eastAsia" w:ascii="仿宋_GB2312" w:hAnsi="仿宋" w:eastAsia="仿宋_GB2312" w:cs="仿宋"/>
          <w:b/>
          <w:bCs/>
          <w:sz w:val="30"/>
          <w:szCs w:val="30"/>
          <w:lang w:val="zh-TW" w:eastAsia="zh-TW"/>
        </w:rPr>
        <w:t>智慧</w:t>
      </w:r>
      <w:r>
        <w:rPr>
          <w:rFonts w:hint="eastAsia" w:ascii="仿宋_GB2312" w:hAnsi="仿宋" w:eastAsia="仿宋_GB2312" w:cs="仿宋"/>
          <w:b/>
          <w:bCs/>
          <w:sz w:val="30"/>
          <w:szCs w:val="30"/>
          <w:lang w:val="zh-TW"/>
        </w:rPr>
        <w:t>型物流平台</w:t>
      </w:r>
      <w:r>
        <w:rPr>
          <w:rFonts w:hint="eastAsia" w:ascii="仿宋_GB2312" w:hAnsi="仿宋" w:eastAsia="仿宋_GB2312" w:cs="仿宋"/>
          <w:sz w:val="30"/>
          <w:szCs w:val="30"/>
          <w:lang w:val="zh-TW"/>
        </w:rPr>
        <w:t>。打造跨行业和区域的物流信息港，鼓励物流园区提高智慧仓库、无人分拣、自动驾驶等现代物流信息技术的利用水平，搭建“5G+物联网”智慧物流信息网络，实现“降本增效”。探索发展物流金融，为物流企业提供资金融通、结算、保险等服务的金融业务，打通农村中小物流主体融入区域物流桎梏。鼓励龙头物流企业搭建面向中小物流企业的运输信息服务平台，促进货源、车源和物流服务等信息的高效匹配，形成集物流仓储信息发布、在线交易、数据交换、跟踪追溯、智能分析等功能为一体的运输信息服务中心，为华容县融入全国物流运输体系提供更加有力的服务支撑。</w:t>
      </w:r>
    </w:p>
    <w:p>
      <w:pPr>
        <w:pStyle w:val="9"/>
        <w:spacing w:line="640" w:lineRule="exact"/>
        <w:ind w:firstLine="602"/>
        <w:rPr>
          <w:rFonts w:hint="eastAsia" w:ascii="仿宋_GB2312" w:hAnsi="仿宋" w:eastAsia="仿宋_GB2312" w:cs="仿宋"/>
          <w:sz w:val="30"/>
          <w:szCs w:val="30"/>
          <w:lang w:val="zh-TW" w:eastAsia="zh-TW"/>
        </w:rPr>
      </w:pPr>
      <w:r>
        <w:rPr>
          <w:rFonts w:hint="eastAsia" w:ascii="仿宋_GB2312" w:hAnsi="仿宋" w:eastAsia="仿宋_GB2312" w:cs="仿宋"/>
          <w:b/>
          <w:bCs/>
          <w:sz w:val="30"/>
          <w:szCs w:val="30"/>
          <w:lang w:val="zh-TW"/>
        </w:rPr>
        <w:t>积极推进</w:t>
      </w:r>
      <w:r>
        <w:rPr>
          <w:rFonts w:hint="eastAsia" w:ascii="仿宋_GB2312" w:hAnsi="仿宋" w:eastAsia="仿宋_GB2312" w:cs="仿宋"/>
          <w:b/>
          <w:bCs/>
          <w:sz w:val="30"/>
          <w:szCs w:val="30"/>
          <w:lang w:val="zh-TW" w:eastAsia="zh-TW"/>
        </w:rPr>
        <w:t>第三方物流</w:t>
      </w:r>
      <w:r>
        <w:rPr>
          <w:rFonts w:hint="eastAsia" w:ascii="仿宋_GB2312" w:hAnsi="仿宋" w:eastAsia="仿宋_GB2312" w:cs="仿宋"/>
          <w:b/>
          <w:bCs/>
          <w:sz w:val="30"/>
          <w:szCs w:val="30"/>
          <w:lang w:val="zh-TW"/>
        </w:rPr>
        <w:t>的发展</w:t>
      </w:r>
      <w:r>
        <w:rPr>
          <w:rFonts w:hint="eastAsia" w:ascii="仿宋_GB2312" w:hAnsi="仿宋" w:eastAsia="仿宋_GB2312" w:cs="仿宋"/>
          <w:b/>
          <w:bCs/>
          <w:sz w:val="30"/>
          <w:szCs w:val="30"/>
          <w:lang w:val="zh-TW" w:eastAsia="zh-TW"/>
        </w:rPr>
        <w:t>。</w:t>
      </w:r>
      <w:r>
        <w:rPr>
          <w:rFonts w:hint="eastAsia" w:ascii="仿宋_GB2312" w:hAnsi="仿宋" w:eastAsia="仿宋_GB2312" w:cs="仿宋"/>
          <w:sz w:val="30"/>
          <w:szCs w:val="30"/>
          <w:lang w:val="zh-TW" w:eastAsia="zh-TW"/>
        </w:rPr>
        <w:t>搭建多层次的现代物流服务主体体系</w:t>
      </w:r>
      <w:r>
        <w:rPr>
          <w:rFonts w:hint="eastAsia" w:ascii="仿宋_GB2312" w:hAnsi="仿宋" w:eastAsia="仿宋_GB2312" w:cs="仿宋"/>
          <w:sz w:val="30"/>
          <w:szCs w:val="30"/>
          <w:lang w:val="zh-TW"/>
        </w:rPr>
        <w:t>，整合华容城区零散物流资源，壮大本地第三方物流规模和实力。</w:t>
      </w:r>
      <w:r>
        <w:rPr>
          <w:rFonts w:hint="eastAsia" w:ascii="仿宋_GB2312" w:hAnsi="仿宋" w:eastAsia="仿宋_GB2312" w:cs="仿宋"/>
          <w:sz w:val="30"/>
          <w:szCs w:val="30"/>
          <w:lang w:val="zh-TW" w:eastAsia="zh-TW"/>
        </w:rPr>
        <w:t>引进一批核心竞争力强的冷链物流企业，</w:t>
      </w:r>
      <w:r>
        <w:rPr>
          <w:rFonts w:hint="eastAsia" w:ascii="仿宋_GB2312" w:hAnsi="仿宋" w:eastAsia="仿宋_GB2312" w:cs="仿宋"/>
          <w:sz w:val="30"/>
          <w:szCs w:val="30"/>
          <w:lang w:val="zh-TW"/>
        </w:rPr>
        <w:t>打造</w:t>
      </w:r>
      <w:r>
        <w:rPr>
          <w:rFonts w:hint="eastAsia" w:ascii="仿宋_GB2312" w:hAnsi="仿宋" w:eastAsia="仿宋_GB2312" w:cs="仿宋"/>
          <w:sz w:val="30"/>
          <w:szCs w:val="30"/>
          <w:lang w:val="zh-TW" w:eastAsia="zh-TW"/>
        </w:rPr>
        <w:t>产地预冷加工、保鲜运输、销地冷藏全产业链型企业和集配送、零售和便民服务等功能于一体的冷链物流配送终端项目。支持有实力的企业和机构通过参股控股、兼并联合、合资合作等方式，进行资产重组、业务融合和流程再造，打造</w:t>
      </w:r>
      <w:r>
        <w:rPr>
          <w:rFonts w:hint="eastAsia" w:ascii="仿宋_GB2312" w:hAnsi="仿宋" w:eastAsia="仿宋_GB2312" w:cs="仿宋"/>
          <w:sz w:val="30"/>
          <w:szCs w:val="30"/>
          <w:lang w:val="zh-TW"/>
        </w:rPr>
        <w:t>具备</w:t>
      </w:r>
      <w:r>
        <w:rPr>
          <w:rFonts w:hint="eastAsia" w:ascii="仿宋_GB2312" w:hAnsi="仿宋" w:eastAsia="仿宋_GB2312" w:cs="仿宋"/>
          <w:sz w:val="30"/>
          <w:szCs w:val="30"/>
          <w:lang w:val="zh-TW" w:eastAsia="zh-TW"/>
        </w:rPr>
        <w:t>核心竞争力的</w:t>
      </w:r>
      <w:r>
        <w:rPr>
          <w:rFonts w:hint="eastAsia" w:ascii="仿宋_GB2312" w:hAnsi="仿宋" w:eastAsia="仿宋_GB2312" w:cs="仿宋"/>
          <w:sz w:val="30"/>
          <w:szCs w:val="30"/>
          <w:lang w:val="zh-TW"/>
        </w:rPr>
        <w:t>第三方物流企业和</w:t>
      </w:r>
      <w:r>
        <w:rPr>
          <w:rFonts w:hint="eastAsia" w:ascii="仿宋_GB2312" w:hAnsi="仿宋" w:eastAsia="仿宋_GB2312" w:cs="仿宋"/>
          <w:sz w:val="30"/>
          <w:szCs w:val="30"/>
          <w:lang w:val="zh-TW" w:eastAsia="zh-TW"/>
        </w:rPr>
        <w:t>大型现代化冷链物流企业集团。</w:t>
      </w:r>
    </w:p>
    <w:p>
      <w:pPr>
        <w:spacing w:line="640" w:lineRule="exact"/>
        <w:ind w:firstLine="602"/>
        <w:outlineLvl w:val="1"/>
        <w:rPr>
          <w:rFonts w:hint="eastAsia" w:ascii="仿宋_GB2312" w:hAnsi="仿宋" w:eastAsia="仿宋_GB2312" w:cs="仿宋"/>
          <w:b/>
          <w:bCs/>
          <w:sz w:val="30"/>
          <w:szCs w:val="30"/>
          <w:lang w:val="zh-TW"/>
        </w:rPr>
      </w:pPr>
      <w:bookmarkStart w:id="28" w:name="_Toc62653450"/>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五</w:t>
      </w:r>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完善</w:t>
      </w:r>
      <w:r>
        <w:rPr>
          <w:rFonts w:hint="eastAsia" w:ascii="仿宋_GB2312" w:hAnsi="仿宋" w:eastAsia="仿宋_GB2312" w:cs="仿宋"/>
          <w:b/>
          <w:bCs/>
          <w:sz w:val="30"/>
          <w:szCs w:val="30"/>
          <w:lang w:val="zh-TW" w:eastAsia="zh-TW"/>
        </w:rPr>
        <w:t>相关专业网点</w:t>
      </w:r>
      <w:r>
        <w:rPr>
          <w:rFonts w:hint="eastAsia" w:ascii="仿宋_GB2312" w:hAnsi="仿宋" w:eastAsia="仿宋_GB2312" w:cs="仿宋"/>
          <w:b/>
          <w:bCs/>
          <w:sz w:val="30"/>
          <w:szCs w:val="30"/>
          <w:lang w:val="zh-TW"/>
        </w:rPr>
        <w:t>建设，优化商贸流通环境</w:t>
      </w:r>
      <w:bookmarkEnd w:id="28"/>
    </w:p>
    <w:p>
      <w:pPr>
        <w:spacing w:line="64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按照特种行业相关布局标准和规范，完善相应网点的布局，激发各类市场主体活力，完善华容商贸流通服务体系。</w:t>
      </w:r>
    </w:p>
    <w:p>
      <w:pPr>
        <w:spacing w:line="640" w:lineRule="exact"/>
        <w:ind w:firstLine="600"/>
        <w:rPr>
          <w:rFonts w:hint="eastAsia" w:ascii="仿宋_GB2312" w:hAnsi="仿宋" w:eastAsia="仿宋_GB2312" w:cs="仿宋"/>
          <w:sz w:val="30"/>
          <w:szCs w:val="30"/>
          <w:lang w:val="zh-TW" w:eastAsia="zh-TW"/>
        </w:rPr>
      </w:pPr>
      <w:r>
        <w:rPr>
          <w:rFonts w:hint="eastAsia" w:ascii="仿宋_GB2312" w:hAnsi="仿宋" w:eastAsia="仿宋_GB2312"/>
          <w:b/>
          <w:sz w:val="30"/>
          <w:szCs w:val="30"/>
        </w:rPr>
        <w:t>完善成品油零售网点布局。</w:t>
      </w:r>
      <w:r>
        <w:rPr>
          <w:rFonts w:hint="eastAsia" w:ascii="仿宋_GB2312" w:hAnsi="仿宋" w:eastAsia="仿宋_GB2312" w:cs="仿宋"/>
          <w:sz w:val="30"/>
          <w:szCs w:val="30"/>
          <w:lang w:val="zh-TW" w:eastAsia="zh-TW"/>
        </w:rPr>
        <w:t>鼓励发展中心城区、中小城镇、边远乡村等不同区域成品油零售网络协调发展</w:t>
      </w:r>
      <w:r>
        <w:rPr>
          <w:rFonts w:hint="eastAsia" w:ascii="仿宋_GB2312" w:hAnsi="仿宋" w:eastAsia="仿宋_GB2312" w:cs="仿宋"/>
          <w:sz w:val="30"/>
          <w:szCs w:val="30"/>
          <w:lang w:val="zh-TW"/>
        </w:rPr>
        <w:t>；</w:t>
      </w:r>
      <w:r>
        <w:rPr>
          <w:rFonts w:hint="eastAsia" w:ascii="仿宋_GB2312" w:hAnsi="仿宋" w:eastAsia="仿宋_GB2312" w:cs="仿宋"/>
          <w:sz w:val="30"/>
          <w:szCs w:val="30"/>
          <w:lang w:val="zh-TW" w:eastAsia="zh-TW"/>
        </w:rPr>
        <w:t>优先新建道路和无加油站的乡镇布点；优先考虑站点密集路段、区域加油站和因城市发展、道路拓宽被拆加油站的搬迁。</w:t>
      </w:r>
      <w:r>
        <w:rPr>
          <w:rFonts w:hint="eastAsia" w:ascii="仿宋_GB2312" w:hAnsi="仿宋" w:eastAsia="仿宋_GB2312"/>
          <w:sz w:val="30"/>
          <w:szCs w:val="30"/>
        </w:rPr>
        <w:t>加强成品油市场监管和市场储备周转管控能力，</w:t>
      </w:r>
      <w:r>
        <w:rPr>
          <w:rFonts w:hint="eastAsia" w:ascii="仿宋_GB2312" w:hAnsi="仿宋" w:eastAsia="仿宋_GB2312" w:cs="宋体"/>
          <w:kern w:val="0"/>
          <w:sz w:val="30"/>
          <w:szCs w:val="30"/>
        </w:rPr>
        <w:t>进一步建立健全从成品油仓储、批发、加油站和运输企业、车辆、人员严密的全过程监管体系</w:t>
      </w:r>
      <w:r>
        <w:rPr>
          <w:rFonts w:hint="eastAsia" w:ascii="仿宋_GB2312" w:hAnsi="仿宋" w:eastAsia="仿宋_GB2312"/>
          <w:sz w:val="30"/>
          <w:szCs w:val="30"/>
        </w:rPr>
        <w:t>。拓展加油站业务范围，兴建配套便利店、汽车保养检修、停车休闲等服务，构建布局合理、方便快捷、功能完善的成品油零售体系。</w:t>
      </w:r>
    </w:p>
    <w:p>
      <w:pPr>
        <w:spacing w:line="640" w:lineRule="exact"/>
        <w:ind w:firstLine="602" w:firstLineChars="200"/>
        <w:rPr>
          <w:rFonts w:hint="eastAsia" w:ascii="仿宋_GB2312" w:hAnsi="仿宋" w:eastAsia="仿宋_GB2312" w:cs="宋体"/>
          <w:kern w:val="0"/>
          <w:sz w:val="30"/>
          <w:szCs w:val="30"/>
        </w:rPr>
      </w:pPr>
      <w:r>
        <w:rPr>
          <w:rFonts w:hint="eastAsia" w:ascii="仿宋_GB2312" w:hAnsi="仿宋" w:eastAsia="仿宋_GB2312"/>
          <w:b/>
          <w:sz w:val="30"/>
          <w:szCs w:val="30"/>
        </w:rPr>
        <w:t>促进家政服务业规范发展</w:t>
      </w:r>
      <w:r>
        <w:rPr>
          <w:rFonts w:hint="eastAsia" w:ascii="仿宋_GB2312" w:hAnsi="仿宋" w:eastAsia="仿宋_GB2312" w:cs="宋体"/>
          <w:b/>
          <w:kern w:val="0"/>
          <w:sz w:val="30"/>
          <w:szCs w:val="30"/>
        </w:rPr>
        <w:t>。</w:t>
      </w:r>
      <w:r>
        <w:rPr>
          <w:rFonts w:hint="eastAsia" w:ascii="仿宋_GB2312" w:hAnsi="仿宋" w:eastAsia="仿宋_GB2312" w:cs="宋体"/>
          <w:kern w:val="0"/>
          <w:sz w:val="30"/>
          <w:szCs w:val="30"/>
        </w:rPr>
        <w:t>优化营商环境，全面制订并推行家政服务业规范和统一的服务标准，促进家政服务业自律和规范发展。加强对家政服务业从业人员技能培训，逐步推行持证上岗，提高从业人员素质。</w:t>
      </w:r>
    </w:p>
    <w:p>
      <w:pPr>
        <w:shd w:val="clear" w:color="auto" w:fill="FFFFFF"/>
        <w:spacing w:line="640" w:lineRule="exact"/>
        <w:ind w:firstLine="602" w:firstLineChars="200"/>
        <w:rPr>
          <w:rFonts w:hint="eastAsia" w:ascii="仿宋_GB2312" w:hAnsi="仿宋" w:eastAsia="仿宋_GB2312" w:cs="宋体"/>
          <w:kern w:val="0"/>
          <w:sz w:val="30"/>
          <w:szCs w:val="30"/>
        </w:rPr>
      </w:pPr>
      <w:r>
        <w:rPr>
          <w:rFonts w:hint="eastAsia" w:ascii="仿宋_GB2312" w:hAnsi="仿宋" w:eastAsia="仿宋_GB2312"/>
          <w:b/>
          <w:sz w:val="30"/>
          <w:szCs w:val="30"/>
        </w:rPr>
        <w:t>构建三级再生资源回收网络。</w:t>
      </w:r>
      <w:r>
        <w:rPr>
          <w:rFonts w:hint="eastAsia" w:ascii="仿宋_GB2312" w:hAnsi="仿宋" w:eastAsia="仿宋_GB2312" w:cs="宋体"/>
          <w:kern w:val="0"/>
          <w:sz w:val="30"/>
          <w:szCs w:val="30"/>
        </w:rPr>
        <w:t>“十四五”期间要完善华容县工业园区、城市居民社区、乡镇所在地和较大的行政村回收网点布局，加快推进再生资源回收利用网络向下延伸，全县所有行政村实现建立再生资源固定或流动回收点，形成县、乡（镇）、村三级再生资源回收网络。</w:t>
      </w:r>
    </w:p>
    <w:p>
      <w:pPr>
        <w:spacing w:line="640" w:lineRule="exact"/>
        <w:ind w:firstLine="602" w:firstLineChars="200"/>
        <w:rPr>
          <w:rFonts w:hint="eastAsia" w:ascii="仿宋_GB2312" w:hAnsi="仿宋" w:eastAsia="仿宋_GB2312"/>
          <w:sz w:val="30"/>
          <w:szCs w:val="30"/>
        </w:rPr>
      </w:pPr>
      <w:r>
        <w:rPr>
          <w:rFonts w:hint="eastAsia" w:ascii="仿宋_GB2312" w:hAnsi="仿宋" w:eastAsia="仿宋_GB2312"/>
          <w:b/>
          <w:sz w:val="30"/>
          <w:szCs w:val="30"/>
        </w:rPr>
        <w:t>集聚汽车行业服务网点。</w:t>
      </w:r>
      <w:r>
        <w:rPr>
          <w:rFonts w:hint="eastAsia" w:ascii="仿宋_GB2312" w:hAnsi="仿宋" w:eastAsia="仿宋_GB2312"/>
          <w:sz w:val="30"/>
          <w:szCs w:val="30"/>
        </w:rPr>
        <w:t>促进华容城区现有新车市场、二手车市场、维修服务市场、拆解报废车市场、汽车租赁市场、汽车金融保险网点的集聚化发展，完善华容本地汽车行业服务体系。</w:t>
      </w:r>
    </w:p>
    <w:p>
      <w:pPr>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br w:type="page"/>
      </w:r>
    </w:p>
    <w:p>
      <w:pPr>
        <w:spacing w:before="100" w:beforeAutospacing="1" w:after="100" w:afterAutospacing="1" w:line="360" w:lineRule="auto"/>
        <w:jc w:val="center"/>
        <w:outlineLvl w:val="0"/>
        <w:rPr>
          <w:rFonts w:hint="eastAsia" w:ascii="仿宋_GB2312" w:hAnsi="仿宋" w:eastAsia="仿宋_GB2312"/>
          <w:b/>
          <w:color w:val="000000"/>
          <w:sz w:val="36"/>
          <w:szCs w:val="30"/>
        </w:rPr>
      </w:pPr>
      <w:bookmarkStart w:id="29" w:name="_Toc62653451"/>
      <w:r>
        <w:rPr>
          <w:rFonts w:hint="eastAsia" w:ascii="仿宋_GB2312" w:hAnsi="仿宋" w:eastAsia="仿宋_GB2312"/>
          <w:b/>
          <w:color w:val="000000"/>
          <w:sz w:val="36"/>
          <w:szCs w:val="30"/>
        </w:rPr>
        <w:t>四、重点项目规划布局</w:t>
      </w:r>
      <w:bookmarkEnd w:id="29"/>
    </w:p>
    <w:p>
      <w:pPr>
        <w:spacing w:line="640" w:lineRule="exact"/>
        <w:ind w:firstLine="602"/>
        <w:outlineLvl w:val="1"/>
        <w:rPr>
          <w:rFonts w:hint="eastAsia" w:ascii="仿宋_GB2312" w:hAnsi="仿宋" w:eastAsia="仿宋_GB2312" w:cs="仿宋"/>
          <w:b/>
          <w:bCs/>
          <w:sz w:val="30"/>
          <w:szCs w:val="30"/>
          <w:lang w:val="zh-TW" w:eastAsia="zh-TW"/>
        </w:rPr>
      </w:pPr>
      <w:bookmarkStart w:id="30" w:name="_Toc62653452"/>
      <w:r>
        <w:rPr>
          <w:rFonts w:hint="eastAsia" w:ascii="仿宋_GB2312" w:hAnsi="仿宋" w:eastAsia="仿宋_GB2312" w:cs="仿宋"/>
          <w:b/>
          <w:bCs/>
          <w:sz w:val="30"/>
          <w:szCs w:val="30"/>
          <w:lang w:val="zh-TW" w:eastAsia="zh-TW"/>
        </w:rPr>
        <w:t>（一）</w:t>
      </w:r>
      <w:r>
        <w:rPr>
          <w:rFonts w:hint="eastAsia" w:ascii="仿宋_GB2312" w:hAnsi="仿宋" w:eastAsia="仿宋_GB2312" w:cs="仿宋"/>
          <w:b/>
          <w:bCs/>
          <w:sz w:val="30"/>
          <w:szCs w:val="30"/>
          <w:lang w:val="zh-TW"/>
        </w:rPr>
        <w:t>构建“一核两带四点”的</w:t>
      </w:r>
      <w:r>
        <w:rPr>
          <w:rFonts w:hint="eastAsia" w:ascii="仿宋_GB2312" w:hAnsi="仿宋" w:eastAsia="仿宋_GB2312" w:cs="仿宋"/>
          <w:b/>
          <w:bCs/>
          <w:sz w:val="30"/>
          <w:szCs w:val="30"/>
          <w:lang w:val="zh-TW" w:eastAsia="zh-TW"/>
        </w:rPr>
        <w:t>城乡</w:t>
      </w:r>
      <w:r>
        <w:rPr>
          <w:rFonts w:hint="eastAsia" w:ascii="仿宋_GB2312" w:hAnsi="仿宋" w:eastAsia="仿宋_GB2312" w:cs="仿宋"/>
          <w:b/>
          <w:bCs/>
          <w:sz w:val="30"/>
          <w:szCs w:val="30"/>
          <w:lang w:val="zh-TW"/>
        </w:rPr>
        <w:t>商贸流通</w:t>
      </w:r>
      <w:r>
        <w:rPr>
          <w:rFonts w:hint="eastAsia" w:ascii="仿宋_GB2312" w:hAnsi="仿宋" w:eastAsia="仿宋_GB2312" w:cs="仿宋"/>
          <w:b/>
          <w:bCs/>
          <w:sz w:val="30"/>
          <w:szCs w:val="30"/>
          <w:lang w:val="zh-TW" w:eastAsia="zh-TW"/>
        </w:rPr>
        <w:t>体系</w:t>
      </w:r>
      <w:bookmarkEnd w:id="30"/>
    </w:p>
    <w:p>
      <w:pPr>
        <w:pStyle w:val="9"/>
        <w:spacing w:line="640" w:lineRule="exact"/>
        <w:ind w:firstLine="600"/>
        <w:rPr>
          <w:rFonts w:hint="eastAsia" w:ascii="仿宋_GB2312" w:hAnsi="仿宋" w:eastAsia="仿宋_GB2312"/>
          <w:sz w:val="30"/>
          <w:szCs w:val="30"/>
        </w:rPr>
      </w:pPr>
      <w:r>
        <w:rPr>
          <w:rFonts w:hint="eastAsia" w:ascii="仿宋_GB2312" w:hAnsi="仿宋" w:eastAsia="仿宋_GB2312"/>
          <w:sz w:val="30"/>
          <w:szCs w:val="30"/>
        </w:rPr>
        <w:t>“十四五”期间，根据华容县城市总体规划和交通规划，科学规划市场体系建设和城乡物流业发展，优化完善网点布局和行业布局。利用地理交通区位优势，强化经济纽带作用，结合区域经济发展水平与特征，在全县城乡统筹发展的背景下，重新梳理县域商贸流通服务产业链条，处理好商贸流通发展与新型城镇化、乡村振兴、对外贸易、产业转型升级等之间的关系，建立具备长期指引作用与差异发展特色的城乡商贸流通发展体系，同时加强流通基础设施建设和生态旅游文明建设的融合，引导形成人口集聚与产业经济汇聚的综合效应，促进全市经济社会协调发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9"/>
              <w:spacing w:line="520" w:lineRule="exact"/>
              <w:ind w:firstLine="0" w:firstLineChars="0"/>
              <w:jc w:val="center"/>
              <w:rPr>
                <w:rFonts w:hint="eastAsia" w:ascii="仿宋_GB2312" w:hAnsi="仿宋" w:eastAsia="仿宋_GB2312"/>
                <w:b/>
                <w:sz w:val="24"/>
                <w:szCs w:val="24"/>
              </w:rPr>
            </w:pPr>
            <w:r>
              <w:rPr>
                <w:rFonts w:hint="eastAsia" w:ascii="仿宋_GB2312" w:hAnsi="仿宋" w:eastAsia="仿宋_GB2312"/>
                <w:b/>
                <w:sz w:val="24"/>
                <w:szCs w:val="24"/>
              </w:rPr>
              <w:t>专栏一：构建“一核两带四点”的城乡商贸流通体系</w:t>
            </w:r>
          </w:p>
          <w:p>
            <w:pPr>
              <w:pStyle w:val="9"/>
              <w:spacing w:line="520" w:lineRule="exact"/>
              <w:ind w:firstLine="482"/>
              <w:jc w:val="left"/>
              <w:rPr>
                <w:rFonts w:hint="eastAsia" w:ascii="仿宋_GB2312" w:hAnsi="仿宋" w:eastAsia="仿宋_GB2312"/>
                <w:sz w:val="24"/>
                <w:szCs w:val="30"/>
              </w:rPr>
            </w:pPr>
            <w:r>
              <w:rPr>
                <w:rFonts w:hint="eastAsia" w:ascii="仿宋_GB2312" w:hAnsi="仿宋" w:eastAsia="仿宋_GB2312"/>
                <w:b/>
                <w:sz w:val="24"/>
                <w:szCs w:val="30"/>
              </w:rPr>
              <w:t>一核：</w:t>
            </w:r>
            <w:r>
              <w:rPr>
                <w:rFonts w:hint="eastAsia" w:ascii="仿宋_GB2312" w:hAnsi="仿宋" w:eastAsia="仿宋_GB2312"/>
                <w:sz w:val="24"/>
                <w:szCs w:val="30"/>
              </w:rPr>
              <w:t>以中心城区为主体的打造县域商贸流通综合发展核，重点提升完善城市综合商贸服务功能，建设区域消费服务中心、城乡物流信息中心、县域电商运营服务中心，聚集发展城市休闲健康产业，作为龙头带动县域商贸流通整体跨越式发展。</w:t>
            </w:r>
          </w:p>
          <w:p>
            <w:pPr>
              <w:pStyle w:val="9"/>
              <w:spacing w:line="520" w:lineRule="exact"/>
              <w:ind w:firstLine="482"/>
              <w:jc w:val="left"/>
              <w:rPr>
                <w:rFonts w:hint="eastAsia" w:ascii="仿宋_GB2312" w:hAnsi="仿宋" w:eastAsia="仿宋_GB2312"/>
                <w:b/>
                <w:sz w:val="24"/>
                <w:szCs w:val="30"/>
              </w:rPr>
            </w:pPr>
            <w:r>
              <w:rPr>
                <w:rFonts w:hint="eastAsia" w:ascii="仿宋_GB2312" w:hAnsi="仿宋" w:eastAsia="仿宋_GB2312"/>
                <w:b/>
                <w:sz w:val="24"/>
                <w:szCs w:val="30"/>
              </w:rPr>
              <w:t>两带：</w:t>
            </w:r>
            <w:r>
              <w:rPr>
                <w:rFonts w:hint="eastAsia" w:ascii="仿宋_GB2312" w:hAnsi="仿宋" w:eastAsia="仿宋_GB2312"/>
                <w:bCs/>
                <w:sz w:val="24"/>
                <w:szCs w:val="30"/>
              </w:rPr>
              <w:t>沿G353形成工贸物流发展走廊，沿G234和S222形成农商旅融合产业发展带，通过流通服务整合优势资源，集聚特色产业，形成服务城乡社会经济的县域流通产业发展带。</w:t>
            </w:r>
          </w:p>
          <w:p>
            <w:pPr>
              <w:pStyle w:val="9"/>
              <w:spacing w:line="520" w:lineRule="exact"/>
              <w:ind w:firstLine="482"/>
              <w:jc w:val="left"/>
              <w:rPr>
                <w:rFonts w:hint="eastAsia" w:ascii="仿宋_GB2312" w:hAnsi="仿宋" w:eastAsia="仿宋_GB2312"/>
                <w:b/>
                <w:sz w:val="24"/>
                <w:szCs w:val="30"/>
              </w:rPr>
            </w:pPr>
            <w:r>
              <w:rPr>
                <w:rFonts w:hint="eastAsia" w:ascii="仿宋_GB2312" w:hAnsi="仿宋" w:eastAsia="仿宋_GB2312"/>
                <w:b/>
                <w:sz w:val="24"/>
                <w:szCs w:val="30"/>
              </w:rPr>
              <w:t>四点：指以东山镇、注滋口镇、梅田湖镇、三封寺镇城镇商业为核心的县域商贸流通特色节点，是服务县域城乡的区域商贸服务中心。</w:t>
            </w:r>
          </w:p>
          <w:p>
            <w:pPr>
              <w:pStyle w:val="9"/>
              <w:spacing w:line="520" w:lineRule="exact"/>
              <w:ind w:firstLine="480"/>
              <w:jc w:val="left"/>
              <w:rPr>
                <w:rFonts w:hint="eastAsia" w:ascii="仿宋_GB2312" w:hAnsi="仿宋" w:eastAsia="仿宋_GB2312"/>
                <w:bCs/>
                <w:sz w:val="24"/>
                <w:szCs w:val="30"/>
              </w:rPr>
            </w:pPr>
            <w:r>
              <w:rPr>
                <w:rFonts w:hint="eastAsia" w:ascii="仿宋_GB2312" w:hAnsi="仿宋" w:eastAsia="仿宋_GB2312"/>
                <w:bCs/>
                <w:sz w:val="24"/>
                <w:szCs w:val="30"/>
              </w:rPr>
              <w:t>在东山镇打造临港物流商贸中心，定位为湘北地区能源及大宗商品流通集散中心。重点建设港区物流集散基地，建立公铁水联运通道，在中心集镇建设以农贸市场和城镇商业综合体为核心的商贸服务中心，布局与江北监利城区相补充的边贸服务业态。</w:t>
            </w:r>
          </w:p>
          <w:p>
            <w:pPr>
              <w:pStyle w:val="9"/>
              <w:spacing w:line="520" w:lineRule="exact"/>
              <w:ind w:firstLine="480"/>
              <w:jc w:val="left"/>
              <w:rPr>
                <w:rFonts w:hint="eastAsia" w:ascii="仿宋_GB2312" w:hAnsi="仿宋" w:eastAsia="仿宋_GB2312"/>
                <w:bCs/>
                <w:sz w:val="24"/>
                <w:szCs w:val="30"/>
              </w:rPr>
            </w:pPr>
            <w:r>
              <w:rPr>
                <w:rFonts w:hint="eastAsia" w:ascii="仿宋_GB2312" w:hAnsi="仿宋" w:eastAsia="仿宋_GB2312"/>
                <w:bCs/>
                <w:sz w:val="24"/>
                <w:szCs w:val="30"/>
              </w:rPr>
              <w:t>在注滋口镇打造西洞庭湖农特产业商贸流通中心，结合本地及周边乡镇优势农业基础及水域生态体系，重点发展农特产品集散市场，建设与农业产业化相适应的农业流通体系。在主要集镇，建设完善基础商贸服务设施，并在注滋口镇商贸集中区按照县域商贸中心要求布局商贸服务业态。</w:t>
            </w:r>
          </w:p>
          <w:p>
            <w:pPr>
              <w:pStyle w:val="9"/>
              <w:spacing w:line="520" w:lineRule="exact"/>
              <w:ind w:firstLine="480"/>
              <w:jc w:val="left"/>
              <w:rPr>
                <w:rFonts w:hint="eastAsia" w:ascii="仿宋_GB2312" w:hAnsi="仿宋" w:eastAsia="仿宋_GB2312"/>
                <w:bCs/>
                <w:sz w:val="24"/>
                <w:szCs w:val="30"/>
              </w:rPr>
            </w:pPr>
            <w:r>
              <w:rPr>
                <w:rFonts w:hint="eastAsia" w:ascii="仿宋_GB2312" w:hAnsi="仿宋" w:eastAsia="仿宋_GB2312"/>
                <w:bCs/>
                <w:sz w:val="24"/>
                <w:szCs w:val="30"/>
              </w:rPr>
              <w:t>在梅田湖镇建设区域农旅商结合的特色商贸服务中心，一方面发展农副产品加工流通产业服务经济，一方面结合观光农业的基础培育农业研学旅行，完善农村电商网络的建设，引入网红经济、直播经济的新业态、新模式进行农特产品的线上流通融合，打造县域西部特色商贸物流中心。</w:t>
            </w:r>
          </w:p>
          <w:p>
            <w:pPr>
              <w:pStyle w:val="9"/>
              <w:spacing w:line="520" w:lineRule="exact"/>
              <w:ind w:firstLine="480"/>
              <w:jc w:val="left"/>
              <w:rPr>
                <w:rFonts w:hint="eastAsia" w:ascii="仿宋_GB2312" w:hAnsi="仿宋" w:eastAsia="仿宋_GB2312"/>
                <w:sz w:val="30"/>
                <w:szCs w:val="30"/>
              </w:rPr>
            </w:pPr>
            <w:r>
              <w:rPr>
                <w:rFonts w:hint="eastAsia" w:ascii="仿宋_GB2312" w:hAnsi="仿宋" w:eastAsia="仿宋_GB2312"/>
                <w:bCs/>
                <w:sz w:val="24"/>
                <w:szCs w:val="30"/>
              </w:rPr>
              <w:t>在三封寺镇发展与纺织业、农副产品加工业相适应的工贸商贸服务经济，重点建设发展第三方工业物流服务、供应链建设，以及相关信息、咨询、金融、中介的服务业态，为三封寺镇建设为乡镇特色工业产业园做出有力支撑。</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1" w:name="_Toc62653453"/>
      <w:r>
        <w:rPr>
          <w:rFonts w:hint="eastAsia" w:ascii="仿宋_GB2312" w:hAnsi="仿宋" w:eastAsia="仿宋_GB2312" w:cs="仿宋"/>
          <w:b/>
          <w:bCs/>
          <w:sz w:val="30"/>
          <w:szCs w:val="30"/>
          <w:lang w:val="zh-TW" w:eastAsia="zh-TW"/>
        </w:rPr>
        <w:t>（二）打造“两块七区”的中心城区商贸功能片区规划</w:t>
      </w:r>
      <w:bookmarkEnd w:id="31"/>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中心城区按照资源、产业、交通等相关发展基础，结合城市国土空间布局规划，分为河西商贸板块与河东商贸板块，并按照板块中的不同职能定位规划七大商贸功能片区。</w:t>
      </w:r>
    </w:p>
    <w:tbl>
      <w:tblPr>
        <w:tblStyle w:val="6"/>
        <w:tblpPr w:leftFromText="180" w:rightFromText="180" w:vertAnchor="text" w:tblpY="1"/>
        <w:tblOverlap w:val="never"/>
        <w:tblW w:w="8521" w:type="dxa"/>
        <w:tblInd w:w="0" w:type="dxa"/>
        <w:tblLayout w:type="fixed"/>
        <w:tblCellMar>
          <w:top w:w="0" w:type="dxa"/>
          <w:left w:w="108" w:type="dxa"/>
          <w:bottom w:w="0" w:type="dxa"/>
          <w:right w:w="108" w:type="dxa"/>
        </w:tblCellMar>
      </w:tblPr>
      <w:tblGrid>
        <w:gridCol w:w="8521"/>
      </w:tblGrid>
      <w:tr>
        <w:tblPrEx>
          <w:tblCellMar>
            <w:top w:w="0" w:type="dxa"/>
            <w:left w:w="108" w:type="dxa"/>
            <w:bottom w:w="0" w:type="dxa"/>
            <w:right w:w="108" w:type="dxa"/>
          </w:tblCellMar>
        </w:tblPrEx>
        <w:tc>
          <w:tcPr>
            <w:tcW w:w="8521" w:type="dxa"/>
            <w:tcBorders>
              <w:top w:val="single" w:color="auto" w:sz="4" w:space="0"/>
              <w:left w:val="single" w:color="auto" w:sz="4" w:space="0"/>
              <w:bottom w:val="single" w:color="auto" w:sz="4" w:space="0"/>
              <w:right w:val="single" w:color="auto" w:sz="4" w:space="0"/>
            </w:tcBorders>
            <w:noWrap w:val="0"/>
            <w:vAlign w:val="top"/>
          </w:tcPr>
          <w:p>
            <w:pPr>
              <w:pStyle w:val="9"/>
              <w:spacing w:line="520" w:lineRule="exact"/>
              <w:ind w:firstLine="0" w:firstLineChars="0"/>
              <w:jc w:val="center"/>
              <w:rPr>
                <w:rFonts w:hint="eastAsia" w:ascii="仿宋_GB2312" w:hAnsi="仿宋" w:eastAsia="仿宋_GB2312"/>
                <w:b/>
                <w:sz w:val="24"/>
                <w:szCs w:val="24"/>
              </w:rPr>
            </w:pPr>
            <w:r>
              <w:rPr>
                <w:rFonts w:hint="eastAsia" w:ascii="仿宋_GB2312" w:hAnsi="仿宋" w:eastAsia="仿宋_GB2312"/>
                <w:b/>
                <w:sz w:val="24"/>
                <w:szCs w:val="24"/>
              </w:rPr>
              <w:t>专栏二：中心城区商贸功能片区规划</w:t>
            </w:r>
          </w:p>
          <w:p>
            <w:pPr>
              <w:spacing w:line="520" w:lineRule="exact"/>
              <w:ind w:firstLine="482" w:firstLineChars="200"/>
              <w:rPr>
                <w:rFonts w:hint="eastAsia" w:ascii="仿宋_GB2312" w:hAnsi="仿宋" w:eastAsia="仿宋_GB2312"/>
                <w:b/>
                <w:sz w:val="24"/>
                <w:szCs w:val="30"/>
              </w:rPr>
            </w:pPr>
            <w:r>
              <w:rPr>
                <w:rFonts w:hint="eastAsia" w:ascii="仿宋_GB2312" w:hAnsi="仿宋" w:eastAsia="仿宋_GB2312"/>
                <w:b/>
                <w:sz w:val="24"/>
                <w:szCs w:val="30"/>
              </w:rPr>
              <w:t>河西商贸板块：华容河以西的板块，由老城商贸及生活消费核心区、田家湖政务商务服务区、杨家桥综合市场物流区、护城现代产业链市场功能区组成。</w:t>
            </w:r>
          </w:p>
          <w:p>
            <w:pPr>
              <w:spacing w:line="520" w:lineRule="exact"/>
              <w:ind w:firstLine="482" w:firstLineChars="200"/>
              <w:rPr>
                <w:rFonts w:hint="eastAsia" w:ascii="仿宋_GB2312" w:hAnsi="仿宋" w:eastAsia="仿宋_GB2312"/>
                <w:bCs/>
                <w:sz w:val="24"/>
                <w:szCs w:val="30"/>
              </w:rPr>
            </w:pPr>
            <w:r>
              <w:rPr>
                <w:rFonts w:hint="eastAsia" w:ascii="仿宋_GB2312" w:hAnsi="仿宋" w:eastAsia="仿宋_GB2312"/>
                <w:b/>
                <w:sz w:val="24"/>
                <w:szCs w:val="30"/>
              </w:rPr>
              <w:t>老城商贸及生活消费核心区：</w:t>
            </w:r>
            <w:r>
              <w:rPr>
                <w:rFonts w:hint="eastAsia" w:ascii="仿宋_GB2312" w:hAnsi="仿宋" w:eastAsia="仿宋_GB2312"/>
                <w:bCs/>
                <w:sz w:val="24"/>
                <w:szCs w:val="30"/>
              </w:rPr>
              <w:t>指以华容城市广场、步步高新天地、华容步行街等主要商业聚集区为中心，华容大道、华容河、西正街、港东中路为界形成的商贸和消费核心区。是全县商业服务业态最全、网点密度最大、形象档次最好的商贸集中区。按照创新升级的思路，重点做好步步高新天地的新型综合商业街区的建设，进一步优化区域内农贸市场等传统居民生活必备业态的经营环境，引导区域内现有商业网点进行品牌化、连锁化、特色化升级，结合城市更新，推进智慧商业、智慧城市的建设步伐，打造成为最能提现华容县现代商贸流通发展水平的消费服务中心。</w:t>
            </w:r>
          </w:p>
          <w:p>
            <w:pPr>
              <w:spacing w:line="520" w:lineRule="exact"/>
              <w:ind w:firstLine="482" w:firstLineChars="200"/>
              <w:rPr>
                <w:rFonts w:hint="eastAsia" w:ascii="仿宋_GB2312" w:hAnsi="仿宋" w:eastAsia="仿宋_GB2312"/>
                <w:bCs/>
                <w:sz w:val="24"/>
                <w:szCs w:val="30"/>
              </w:rPr>
            </w:pPr>
            <w:r>
              <w:rPr>
                <w:rFonts w:hint="eastAsia" w:ascii="仿宋_GB2312" w:hAnsi="仿宋" w:eastAsia="仿宋_GB2312"/>
                <w:b/>
                <w:sz w:val="24"/>
                <w:szCs w:val="30"/>
              </w:rPr>
              <w:t>田家湖政务商务服务区：</w:t>
            </w:r>
            <w:r>
              <w:rPr>
                <w:rFonts w:hint="eastAsia" w:ascii="仿宋_GB2312" w:hAnsi="仿宋" w:eastAsia="仿宋_GB2312"/>
                <w:bCs/>
                <w:sz w:val="24"/>
                <w:szCs w:val="30"/>
              </w:rPr>
              <w:t>以人民大道、华鲇路为主要发展轴线，结合医疗卫生、教育产业等相关公共服务的建设，推进以商务会务服务为特色，星级宾馆、典型餐饮为重点发展业态的政务商务服务区。引导区域新建居民小区建设完善农贸市场的基础性网点，发展以服务为主的社区服务网点，鼓励健康、绿色商贸网点进社区。</w:t>
            </w:r>
          </w:p>
          <w:p>
            <w:pPr>
              <w:spacing w:line="520" w:lineRule="exact"/>
              <w:ind w:firstLine="482" w:firstLineChars="200"/>
              <w:rPr>
                <w:rFonts w:hint="eastAsia" w:ascii="仿宋_GB2312" w:hAnsi="仿宋" w:eastAsia="仿宋_GB2312"/>
                <w:bCs/>
                <w:sz w:val="24"/>
                <w:szCs w:val="30"/>
              </w:rPr>
            </w:pPr>
            <w:r>
              <w:rPr>
                <w:rFonts w:hint="eastAsia" w:ascii="仿宋_GB2312" w:hAnsi="仿宋" w:eastAsia="仿宋_GB2312"/>
                <w:b/>
                <w:sz w:val="24"/>
                <w:szCs w:val="30"/>
              </w:rPr>
              <w:t>杨家桥综合市场物流区：</w:t>
            </w:r>
            <w:r>
              <w:rPr>
                <w:rFonts w:hint="eastAsia" w:ascii="仿宋_GB2312" w:hAnsi="仿宋" w:eastAsia="仿宋_GB2312"/>
                <w:bCs/>
                <w:sz w:val="24"/>
                <w:szCs w:val="30"/>
              </w:rPr>
              <w:t>位于华容大道西段周边，结合华容西出口的交通优势，利用并放大中农批农产品电商物流园、华都国际建材家居市场等综合性批发市场的流通影响力，同时服务杨家桥创新创业园的流通产业链，发展城区西部商贸物流外向型产业经济，并完善相关基础性商贸服务配套。</w:t>
            </w:r>
          </w:p>
          <w:p>
            <w:pPr>
              <w:spacing w:line="520" w:lineRule="exact"/>
              <w:ind w:firstLine="482" w:firstLineChars="200"/>
              <w:rPr>
                <w:rFonts w:hint="eastAsia" w:ascii="仿宋_GB2312" w:hAnsi="仿宋" w:eastAsia="仿宋_GB2312"/>
                <w:sz w:val="24"/>
                <w:szCs w:val="30"/>
              </w:rPr>
            </w:pPr>
            <w:r>
              <w:rPr>
                <w:rFonts w:hint="eastAsia" w:ascii="仿宋_GB2312" w:hAnsi="仿宋" w:eastAsia="仿宋_GB2312"/>
                <w:b/>
                <w:sz w:val="24"/>
                <w:szCs w:val="30"/>
              </w:rPr>
              <w:t>护城现代产业链市场功能区：</w:t>
            </w:r>
            <w:r>
              <w:rPr>
                <w:rFonts w:hint="eastAsia" w:ascii="仿宋_GB2312" w:hAnsi="仿宋" w:eastAsia="仿宋_GB2312"/>
                <w:sz w:val="24"/>
                <w:szCs w:val="30"/>
              </w:rPr>
              <w:t>位于城南护城区域，继续加强农机农资等农业生产资料供应服务集中区的行业聚集度，重点以汽车及汽车后市场、二手商品交易等相关专业服务市场带动相关现代服务产业链健康有序发展。</w:t>
            </w:r>
          </w:p>
          <w:p>
            <w:pPr>
              <w:spacing w:line="520" w:lineRule="exact"/>
              <w:ind w:firstLine="482" w:firstLineChars="200"/>
              <w:rPr>
                <w:rFonts w:hint="eastAsia" w:ascii="仿宋_GB2312" w:hAnsi="仿宋" w:eastAsia="仿宋_GB2312"/>
                <w:b/>
                <w:sz w:val="24"/>
                <w:szCs w:val="30"/>
              </w:rPr>
            </w:pPr>
            <w:r>
              <w:rPr>
                <w:rFonts w:hint="eastAsia" w:ascii="仿宋_GB2312" w:hAnsi="仿宋" w:eastAsia="仿宋_GB2312"/>
                <w:b/>
                <w:sz w:val="24"/>
                <w:szCs w:val="30"/>
              </w:rPr>
              <w:t>河东商贸板块：华容河以东的区域，由状元湖商旅文体康融合发展区、华高铁新城智慧物流园区、石伏产业配套服务区组成。</w:t>
            </w:r>
          </w:p>
          <w:p>
            <w:pPr>
              <w:spacing w:line="520" w:lineRule="exact"/>
              <w:ind w:firstLine="482" w:firstLineChars="200"/>
              <w:rPr>
                <w:rFonts w:hint="eastAsia" w:ascii="仿宋_GB2312" w:hAnsi="仿宋" w:eastAsia="仿宋_GB2312"/>
                <w:sz w:val="24"/>
                <w:szCs w:val="30"/>
              </w:rPr>
            </w:pPr>
            <w:r>
              <w:rPr>
                <w:rFonts w:hint="eastAsia" w:ascii="仿宋_GB2312" w:hAnsi="仿宋" w:eastAsia="仿宋_GB2312"/>
                <w:b/>
                <w:sz w:val="24"/>
                <w:szCs w:val="30"/>
              </w:rPr>
              <w:t>状元湖商旅文体康融合发展区：</w:t>
            </w:r>
            <w:r>
              <w:rPr>
                <w:rFonts w:hint="eastAsia" w:ascii="仿宋_GB2312" w:hAnsi="仿宋" w:eastAsia="仿宋_GB2312"/>
                <w:sz w:val="24"/>
                <w:szCs w:val="30"/>
              </w:rPr>
              <w:t>围绕状元湖建设现代服务新城，以湖光生态和章华人文底蕴为发展内涵，北侧依托教育资源集群按照“文化+教育+商业”新模式发展，南侧及状元湖周边依托生态人居环境发展“健康+养老+旅游+商业”复合产业，并按照新理念建设场景式商业街区和体验式现代商业服务综合体，引入创新创意、休闲娱乐产业，鼓励新业态、新品牌、新模式聚集发展，打造华容商业消费未来。</w:t>
            </w:r>
          </w:p>
          <w:p>
            <w:pPr>
              <w:spacing w:line="520" w:lineRule="exact"/>
              <w:ind w:firstLine="482" w:firstLineChars="200"/>
              <w:rPr>
                <w:rFonts w:hint="eastAsia" w:ascii="仿宋_GB2312" w:hAnsi="仿宋" w:eastAsia="仿宋_GB2312"/>
                <w:sz w:val="24"/>
                <w:szCs w:val="30"/>
              </w:rPr>
            </w:pPr>
            <w:r>
              <w:rPr>
                <w:rFonts w:hint="eastAsia" w:ascii="仿宋_GB2312" w:hAnsi="仿宋" w:eastAsia="仿宋_GB2312"/>
                <w:b/>
                <w:sz w:val="24"/>
                <w:szCs w:val="30"/>
              </w:rPr>
              <w:t>高铁新城智慧物流园区：</w:t>
            </w:r>
            <w:r>
              <w:rPr>
                <w:rFonts w:hint="eastAsia" w:ascii="仿宋_GB2312" w:hAnsi="仿宋" w:eastAsia="仿宋_GB2312"/>
                <w:sz w:val="24"/>
                <w:szCs w:val="30"/>
              </w:rPr>
              <w:t>依托浩吉铁路华容站区，争取引入襄荆岳高铁、常岳九高铁，打造集智慧物流、现代商贸于一体的高铁新城智慧物流园区，同时结合未来客运服务的开通，做好站场前的配套服务，适度发展住宿、餐饮、旅游接待、特产购物等网点。</w:t>
            </w:r>
          </w:p>
          <w:p>
            <w:pPr>
              <w:spacing w:line="520" w:lineRule="exact"/>
              <w:ind w:firstLine="482" w:firstLineChars="200"/>
              <w:rPr>
                <w:rFonts w:hint="eastAsia" w:ascii="仿宋_GB2312" w:hAnsi="仿宋" w:eastAsia="仿宋_GB2312"/>
                <w:sz w:val="30"/>
                <w:szCs w:val="30"/>
              </w:rPr>
            </w:pPr>
            <w:r>
              <w:rPr>
                <w:rFonts w:hint="eastAsia" w:ascii="仿宋_GB2312" w:hAnsi="仿宋" w:eastAsia="仿宋_GB2312"/>
                <w:b/>
                <w:sz w:val="24"/>
                <w:szCs w:val="30"/>
              </w:rPr>
              <w:t>石伏产业配套服务区：</w:t>
            </w:r>
            <w:r>
              <w:rPr>
                <w:rFonts w:hint="eastAsia" w:ascii="仿宋_GB2312" w:hAnsi="仿宋" w:eastAsia="仿宋_GB2312"/>
                <w:sz w:val="24"/>
                <w:szCs w:val="30"/>
              </w:rPr>
              <w:t>打造为石伏—三封寺工业集中区提供生产性服务的综合服务区，探索发展总部经济，鼓励发展小微经济、服务经济，进一步完善金融、营销、咨询、包装、设计、转运、配送等产业链服务。</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2" w:name="_Toc62653454"/>
      <w:r>
        <w:rPr>
          <w:rFonts w:hint="eastAsia" w:ascii="仿宋_GB2312" w:hAnsi="仿宋" w:eastAsia="仿宋_GB2312" w:cs="仿宋"/>
          <w:b/>
          <w:bCs/>
          <w:sz w:val="30"/>
          <w:szCs w:val="30"/>
          <w:lang w:val="zh-TW" w:eastAsia="zh-TW"/>
        </w:rPr>
        <w:t>（三）构建便民多元活力的社区生活服务网络</w:t>
      </w:r>
      <w:bookmarkEnd w:id="32"/>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坚持便民利民的原则，从满足城镇居民多样化多层次的生活需求出发，打造用地集约、环境友好、商服设施活力多元的社区生活服务网络。按照“十五分钟社区生活圈”的规划设置标准，围绕农贸市场及大中型超市，鼓励品牌连锁便利店、生鲜店等小型日常购物网点建设，完善中小型餐饮、维修、快递配送、美容美发、洗染、冲印、家政服务、再生资源回收等生活服务类网点，并集中布局金融、邮电、电信等市政服务类网点。在条件适宜的区域引入无人零售、社区养老设施，并结合5G网络、大数据等信息技术的应用，推进智慧服务社区概念的落地。</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城区社区生活服务网络重点在河西老城商贸及生活消费核心区、河东状元湖商旅文体康融合发展区两大城市核心商业功能区核心覆盖半径外进行建设，其基本服务人口1万人左右，服务配套设施建设标准参考现行国家标准《城市居住区规划设计标准》GB50180。</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乡镇社区生活服务网络按照乡镇消费习惯及趋势，以乡镇商业中心为主，外围结合新型城镇化建设，在新增居民聚集组团附近设置可以满足基本购物、生活和市政服务的乡镇社区生活服务中心，并鼓励结合电商的发展，带动乡镇商贸服务网点的升级提档，带动壮大农村消费市场规模。</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pStyle w:val="9"/>
              <w:spacing w:line="520" w:lineRule="exact"/>
              <w:ind w:firstLine="482"/>
              <w:jc w:val="center"/>
              <w:rPr>
                <w:rFonts w:hint="eastAsia" w:ascii="仿宋_GB2312" w:hAnsi="仿宋" w:eastAsia="仿宋_GB2312"/>
                <w:b/>
                <w:sz w:val="28"/>
                <w:szCs w:val="24"/>
              </w:rPr>
            </w:pPr>
            <w:r>
              <w:rPr>
                <w:rFonts w:hint="eastAsia" w:ascii="仿宋_GB2312" w:hAnsi="仿宋" w:eastAsia="仿宋_GB2312"/>
                <w:b/>
                <w:sz w:val="24"/>
                <w:szCs w:val="24"/>
              </w:rPr>
              <w:t>专栏三：中心城区社区生活服务网络建设</w:t>
            </w:r>
          </w:p>
          <w:p>
            <w:pPr>
              <w:pStyle w:val="9"/>
              <w:spacing w:line="520" w:lineRule="exact"/>
              <w:ind w:firstLine="482"/>
              <w:jc w:val="left"/>
              <w:rPr>
                <w:rFonts w:hint="eastAsia" w:ascii="仿宋_GB2312" w:hAnsi="仿宋" w:eastAsia="仿宋_GB2312"/>
                <w:b/>
                <w:sz w:val="24"/>
                <w:szCs w:val="24"/>
              </w:rPr>
            </w:pPr>
            <w:r>
              <w:rPr>
                <w:rFonts w:hint="eastAsia" w:ascii="仿宋_GB2312" w:hAnsi="仿宋" w:eastAsia="仿宋_GB2312"/>
                <w:b/>
                <w:sz w:val="24"/>
                <w:szCs w:val="24"/>
              </w:rPr>
              <w:t>杨家桥社区生活服务中心：</w:t>
            </w:r>
            <w:r>
              <w:rPr>
                <w:rFonts w:hint="eastAsia" w:ascii="仿宋_GB2312" w:hAnsi="仿宋" w:eastAsia="仿宋_GB2312"/>
                <w:sz w:val="24"/>
                <w:szCs w:val="24"/>
              </w:rPr>
              <w:t>面向华容大道以北，人民广场以西的区域。区域内既有行政事业单位、产业园区企业、交易市场商户，也包括本地新建小区居民和外来消费人群。设置业态除满足周边居民的购物、生活和市政服务配套外，可适度发展与产业经济活动相关联的特色餐饮、休闲娱乐、连锁酒店等消费服务网点。</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白鼎山社区生活服务中心：</w:t>
            </w:r>
            <w:r>
              <w:rPr>
                <w:rFonts w:hint="eastAsia" w:ascii="仿宋_GB2312" w:hAnsi="仿宋" w:eastAsia="仿宋_GB2312"/>
                <w:sz w:val="24"/>
                <w:szCs w:val="24"/>
              </w:rPr>
              <w:t>面向华容大道以南，人民大道以西，华鲇路两厢等区域，结合全县医疗服务中心-人民医院，重点规划建设满足周边居民基本生活需求的农贸市场，新增与周边新建居民小区相配套的生活服务网点和市政服务网点，针对外来就医人群，适度发展中小餐饮和连锁住宿类服务网点。</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田家湖社区生活服务中心：</w:t>
            </w:r>
            <w:r>
              <w:rPr>
                <w:rFonts w:hint="eastAsia" w:ascii="仿宋_GB2312" w:hAnsi="仿宋" w:eastAsia="仿宋_GB2312"/>
                <w:sz w:val="24"/>
                <w:szCs w:val="24"/>
              </w:rPr>
              <w:t>主要面向人民大道和田家湖大道交汇处附近的居民提供相应的社区生活服务，结合区域内师大附中等教育资源以及城市近郊的生态资源，发展以教育产业和郊野生态相结合的社区生活服务中心。重点建设满足周边居民基本生活需求的农贸市场，适度发展农家乐、周末游的特色服务网点，补足基本生活服务和市政服务网点。</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马鞍新区社区生活服务中心：</w:t>
            </w:r>
            <w:r>
              <w:rPr>
                <w:rFonts w:hint="eastAsia" w:ascii="仿宋_GB2312" w:hAnsi="仿宋" w:eastAsia="仿宋_GB2312"/>
                <w:sz w:val="24"/>
                <w:szCs w:val="24"/>
              </w:rPr>
              <w:t>面向华容大道以北，健康路以西，人民广场以东区域的居民提供生活服务。区域内居民生活服务网点和相关市政设施齐全，重点围绕现有农贸市场进行综合服务中心打造，同时对部分社区底商的业态进行引导升级，已适应区域内居民日益多元的消费需求。</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华阳社区生活服务中心：</w:t>
            </w:r>
            <w:r>
              <w:rPr>
                <w:rFonts w:hint="eastAsia" w:ascii="仿宋_GB2312" w:hAnsi="仿宋" w:eastAsia="仿宋_GB2312"/>
                <w:sz w:val="24"/>
                <w:szCs w:val="24"/>
              </w:rPr>
              <w:t>主要面向华容大道以北，华容河以西，健康路以东区域的居民提供生活服务。区域南部以老城传统居民组团为主，区域北部以新建居民小区为主，基础社区生活服务设施较为齐全，重点推进泰和综合体项目的开业运营，对现有设施提档升级，区内新建小区商业设施按照相关标准进行配建。</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状元文化街社区生活服务中心：</w:t>
            </w:r>
            <w:r>
              <w:rPr>
                <w:rFonts w:hint="eastAsia" w:ascii="仿宋_GB2312" w:hAnsi="仿宋" w:eastAsia="仿宋_GB2312"/>
                <w:sz w:val="24"/>
                <w:szCs w:val="24"/>
              </w:rPr>
              <w:t>面向华容大道以北，华容河以东，火车站以西的区域。区域内集中了华容一中、职业中专等本地优质教育资源，并已经形成一定规模的消费组团。规划新增农贸市场等居民基本购物网点，在完善生活和市政服务网点的同时，适度引导教育培训、素质教育、技术培训、文体产业等相关业态的集聚，打造特色社区生活服务中心。</w:t>
            </w:r>
          </w:p>
          <w:p>
            <w:pPr>
              <w:pStyle w:val="9"/>
              <w:spacing w:line="520" w:lineRule="exact"/>
              <w:ind w:firstLine="482"/>
              <w:jc w:val="left"/>
              <w:rPr>
                <w:rFonts w:hint="eastAsia" w:ascii="仿宋_GB2312" w:hAnsi="仿宋" w:eastAsia="仿宋_GB2312"/>
                <w:b/>
                <w:sz w:val="24"/>
                <w:szCs w:val="24"/>
              </w:rPr>
            </w:pPr>
            <w:r>
              <w:rPr>
                <w:rFonts w:hint="eastAsia" w:ascii="仿宋_GB2312" w:hAnsi="仿宋" w:eastAsia="仿宋_GB2312"/>
                <w:b/>
                <w:sz w:val="24"/>
                <w:szCs w:val="24"/>
              </w:rPr>
              <w:t>桥东社区生活服务中心：</w:t>
            </w:r>
            <w:r>
              <w:rPr>
                <w:rFonts w:hint="eastAsia" w:ascii="仿宋_GB2312" w:hAnsi="仿宋" w:eastAsia="仿宋_GB2312"/>
                <w:sz w:val="24"/>
                <w:szCs w:val="24"/>
              </w:rPr>
              <w:t>面向华容河以东，陵园路以西，桥东路两厢的居民提供服务。区域内现有汽车站等交通枢纽，流动人口规模较大。重点在现有农贸市场和相关服务网点的基础上，进一步完善便利店、餐饮住宿服务功能，并补足生活和市政服务网点。</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李家湖社区生活服务中心：</w:t>
            </w:r>
            <w:r>
              <w:rPr>
                <w:rFonts w:hint="eastAsia" w:ascii="仿宋_GB2312" w:hAnsi="仿宋" w:eastAsia="仿宋_GB2312"/>
                <w:sz w:val="24"/>
                <w:szCs w:val="24"/>
              </w:rPr>
              <w:t>面向陵园路以东区域的城区居民提供相关生活服务。重点新建社区农贸市场，结合石伏工业园的相关产业需求，兼顾部分产业服务业态。</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城南社区生活服务中心：</w:t>
            </w:r>
            <w:r>
              <w:rPr>
                <w:rFonts w:hint="eastAsia" w:ascii="仿宋_GB2312" w:hAnsi="仿宋" w:eastAsia="仿宋_GB2312"/>
                <w:sz w:val="24"/>
                <w:szCs w:val="24"/>
              </w:rPr>
              <w:t>面向西正街以南的老城区居民提供社区生活服务，重点提质完善，补足生活服务和市政服务网点。</w:t>
            </w:r>
          </w:p>
          <w:p>
            <w:pPr>
              <w:pStyle w:val="9"/>
              <w:spacing w:line="520" w:lineRule="exact"/>
              <w:ind w:firstLine="482"/>
              <w:jc w:val="left"/>
              <w:rPr>
                <w:rFonts w:hint="eastAsia" w:ascii="仿宋_GB2312" w:hAnsi="仿宋" w:eastAsia="仿宋_GB2312"/>
                <w:sz w:val="30"/>
                <w:szCs w:val="30"/>
              </w:rPr>
            </w:pPr>
            <w:r>
              <w:rPr>
                <w:rFonts w:hint="eastAsia" w:ascii="仿宋_GB2312" w:hAnsi="仿宋" w:eastAsia="仿宋_GB2312"/>
                <w:b/>
                <w:sz w:val="24"/>
                <w:szCs w:val="24"/>
              </w:rPr>
              <w:t>港西社区生活服务中心：</w:t>
            </w:r>
            <w:r>
              <w:rPr>
                <w:rFonts w:hint="eastAsia" w:ascii="仿宋_GB2312" w:hAnsi="仿宋" w:eastAsia="仿宋_GB2312"/>
                <w:sz w:val="24"/>
                <w:szCs w:val="24"/>
              </w:rPr>
              <w:t>面向人民大道以东，范蠡路以西，华容大道以南，西正街以北的老城区居民提供社区生活服务，重点提质完善，补足生活服务和市政服务网点。</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3" w:name="_Toc62653455"/>
      <w:r>
        <w:rPr>
          <w:rFonts w:hint="eastAsia" w:ascii="仿宋_GB2312" w:hAnsi="仿宋" w:eastAsia="仿宋_GB2312" w:cs="仿宋"/>
          <w:b/>
          <w:bCs/>
          <w:sz w:val="30"/>
          <w:szCs w:val="30"/>
          <w:lang w:val="zh-TW" w:eastAsia="zh-TW"/>
        </w:rPr>
        <w:t>（四）打造特色商业聚集区，发展综合服务型商圈</w:t>
      </w:r>
      <w:bookmarkEnd w:id="33"/>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积极发展消费环境佳、商业氛围强、商业文化浓、互动体验强、管理服务好的特色商业街区和购物中心，并发挥其示范带动作用，带动周边区域现代服务业，共同形成综合服务型商圈，满足人民群众对美好生活的需要。因地制宜、集约开发，结合属地环境和商业人文资源，重点建设状元湖民俗商业步行街、步步高新天地购物中心、火车站商业步行街，以宜居宜业为重点，引入特色服饰、美食餐饮、休闲娱乐、教育培训、康体健身、民宿宾馆、文化旅游服务等业态，打造具有本地特色和现代化特色的商业街区，满足全县商贸流通特色化的发展和需求。</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以乡村振兴战略为指导方向，结合新型城镇化对乡镇建设提出的新要求，依据各乡镇的区位优势以及特色，打造具备的现代化设施的特色商贸小镇，不断完善商贸基础设施建设，做好农村物流、电商淘宝、商业街区、农贸市场建设等惠民利民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noWrap w:val="0"/>
            <w:vAlign w:val="top"/>
          </w:tcPr>
          <w:p>
            <w:pPr>
              <w:pStyle w:val="9"/>
              <w:spacing w:line="520" w:lineRule="exact"/>
              <w:ind w:firstLine="0" w:firstLineChars="0"/>
              <w:jc w:val="center"/>
              <w:rPr>
                <w:rFonts w:hint="eastAsia" w:ascii="仿宋_GB2312" w:hAnsi="仿宋" w:eastAsia="仿宋_GB2312"/>
                <w:b/>
                <w:sz w:val="24"/>
                <w:szCs w:val="24"/>
              </w:rPr>
            </w:pPr>
            <w:r>
              <w:rPr>
                <w:rFonts w:hint="eastAsia" w:ascii="仿宋_GB2312" w:hAnsi="仿宋" w:eastAsia="仿宋_GB2312"/>
                <w:b/>
                <w:sz w:val="24"/>
                <w:szCs w:val="24"/>
              </w:rPr>
              <w:t>专栏四：特色商业街区和商贸综合体</w:t>
            </w:r>
          </w:p>
          <w:p>
            <w:pPr>
              <w:pStyle w:val="9"/>
              <w:spacing w:line="520" w:lineRule="exact"/>
              <w:ind w:firstLine="482"/>
              <w:jc w:val="left"/>
              <w:rPr>
                <w:rFonts w:hint="eastAsia" w:ascii="仿宋_GB2312" w:hAnsi="仿宋" w:eastAsia="仿宋_GB2312"/>
                <w:b/>
                <w:sz w:val="24"/>
                <w:szCs w:val="24"/>
              </w:rPr>
            </w:pPr>
            <w:r>
              <w:rPr>
                <w:rFonts w:hint="eastAsia" w:ascii="仿宋_GB2312" w:hAnsi="仿宋" w:eastAsia="仿宋_GB2312"/>
                <w:b/>
                <w:sz w:val="24"/>
                <w:szCs w:val="24"/>
              </w:rPr>
              <w:t>状元湖民俗商业街：</w:t>
            </w:r>
            <w:r>
              <w:rPr>
                <w:rFonts w:hint="eastAsia" w:ascii="仿宋_GB2312" w:hAnsi="仿宋" w:eastAsia="仿宋_GB2312"/>
                <w:sz w:val="24"/>
                <w:szCs w:val="24"/>
              </w:rPr>
              <w:t>依托状元湖生态湿地公园、烈士公园、烈士博物馆等文化底蕴打造一个民俗文化风情街，包括城市印象展示、民间传统手工艺、古玩古画、休闲购物、地方美食、民风民俗体验的环形商业步行街，首期规划街长约1000米。</w:t>
            </w:r>
          </w:p>
          <w:p>
            <w:pPr>
              <w:pStyle w:val="9"/>
              <w:spacing w:line="520" w:lineRule="exact"/>
              <w:ind w:firstLine="482"/>
              <w:jc w:val="left"/>
              <w:rPr>
                <w:rFonts w:hint="eastAsia" w:ascii="仿宋_GB2312" w:hAnsi="仿宋" w:eastAsia="仿宋_GB2312"/>
                <w:b/>
                <w:sz w:val="24"/>
                <w:szCs w:val="24"/>
              </w:rPr>
            </w:pPr>
            <w:r>
              <w:rPr>
                <w:rFonts w:hint="eastAsia" w:ascii="仿宋_GB2312" w:hAnsi="仿宋" w:eastAsia="仿宋_GB2312"/>
                <w:b/>
                <w:sz w:val="24"/>
                <w:szCs w:val="24"/>
              </w:rPr>
              <w:t>步步高新天地：</w:t>
            </w:r>
            <w:r>
              <w:rPr>
                <w:rFonts w:hint="eastAsia" w:ascii="仿宋_GB2312" w:hAnsi="仿宋" w:eastAsia="仿宋_GB2312"/>
                <w:sz w:val="24"/>
                <w:szCs w:val="24"/>
              </w:rPr>
              <w:t>在建大型购物中心，商业建筑面积约5万平方米。项目属于老城升级的主要综合配套，是按照现代商业理念建设的集休闲、娱乐、餐饮、购物、亲子为一体的大型综合项目，将带动提升全县消费服务场所形象。</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火车站商业步行街：</w:t>
            </w:r>
            <w:r>
              <w:rPr>
                <w:rFonts w:hint="eastAsia" w:ascii="仿宋_GB2312" w:hAnsi="仿宋" w:eastAsia="仿宋_GB2312"/>
                <w:sz w:val="24"/>
                <w:szCs w:val="24"/>
              </w:rPr>
              <w:t>规划新建火车站前商业步行街，街长500米，未来服务于华容站，打造一条具有本地特色，满足往来游客购物、餐饮、休闲、住宿、娱乐的综合性商业街区。</w:t>
            </w:r>
          </w:p>
          <w:p>
            <w:pPr>
              <w:pStyle w:val="9"/>
              <w:spacing w:line="520" w:lineRule="exact"/>
              <w:ind w:firstLine="482"/>
              <w:jc w:val="left"/>
              <w:rPr>
                <w:rFonts w:hint="eastAsia" w:ascii="仿宋_GB2312" w:hAnsi="仿宋" w:eastAsia="仿宋_GB2312"/>
                <w:sz w:val="24"/>
                <w:szCs w:val="24"/>
              </w:rPr>
            </w:pPr>
            <w:r>
              <w:rPr>
                <w:rFonts w:hint="eastAsia" w:ascii="仿宋_GB2312" w:hAnsi="黑体" w:eastAsia="仿宋_GB2312" w:cs="宋体"/>
                <w:b/>
                <w:kern w:val="0"/>
                <w:sz w:val="24"/>
                <w:szCs w:val="24"/>
              </w:rPr>
              <w:t>城北（泰和）城市综合体：</w:t>
            </w:r>
            <w:r>
              <w:rPr>
                <w:rFonts w:hint="eastAsia" w:ascii="仿宋_GB2312" w:hAnsi="黑体" w:eastAsia="仿宋_GB2312" w:cs="宋体"/>
                <w:kern w:val="0"/>
                <w:sz w:val="24"/>
                <w:szCs w:val="24"/>
              </w:rPr>
              <w:t>推进盘活建筑面积约8万多平方米的泰和综合体项目，完成招商、内外装修、开业运营等相关工作，形成集五星级酒店和综合商业配套于一体的城市商业综合体。</w:t>
            </w:r>
          </w:p>
          <w:p>
            <w:pPr>
              <w:pStyle w:val="9"/>
              <w:spacing w:line="520" w:lineRule="exact"/>
              <w:ind w:firstLine="482"/>
              <w:jc w:val="left"/>
              <w:rPr>
                <w:rFonts w:hint="eastAsia" w:ascii="仿宋_GB2312" w:hAnsi="仿宋" w:eastAsia="仿宋_GB2312"/>
                <w:b/>
                <w:sz w:val="24"/>
                <w:szCs w:val="24"/>
              </w:rPr>
            </w:pPr>
            <w:r>
              <w:rPr>
                <w:rFonts w:hint="eastAsia" w:ascii="仿宋_GB2312" w:hAnsi="仿宋" w:eastAsia="仿宋_GB2312"/>
                <w:b/>
                <w:sz w:val="24"/>
                <w:szCs w:val="24"/>
              </w:rPr>
              <w:t>注滋口镇水乡风情街：</w:t>
            </w:r>
            <w:r>
              <w:rPr>
                <w:rFonts w:hint="eastAsia" w:ascii="仿宋_GB2312" w:hAnsi="仿宋" w:eastAsia="仿宋_GB2312"/>
                <w:sz w:val="24"/>
                <w:szCs w:val="24"/>
              </w:rPr>
              <w:t>以藕池河和洞庭湖湖区生态环境为基础，发挥本地农特产和优势水产资源，打造以水乡文化底蕴的滨河特色餐饮休闲街区，促进注滋口城镇的商贸流通发展，提升城镇整体形象。</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东山镇塔市驿商业特色街：</w:t>
            </w:r>
            <w:r>
              <w:rPr>
                <w:rFonts w:hint="eastAsia" w:ascii="仿宋_GB2312" w:hAnsi="仿宋" w:eastAsia="仿宋_GB2312"/>
                <w:sz w:val="24"/>
                <w:szCs w:val="24"/>
              </w:rPr>
              <w:t>围绕塔市驿文化历史底蕴和区域地理位置，打造湘北文化特色商业街区，建设具有地方文化特色的综合性商业街区，包括精品酒店、游客集散中心、城市广场、商业步行街、商业综合体和特色民宿，打造成为具有代表性的滨江特色文化长廊。</w:t>
            </w:r>
          </w:p>
          <w:p>
            <w:pPr>
              <w:pStyle w:val="9"/>
              <w:spacing w:line="520" w:lineRule="exact"/>
              <w:ind w:firstLine="482"/>
              <w:jc w:val="left"/>
              <w:rPr>
                <w:rStyle w:val="10"/>
                <w:rFonts w:hint="eastAsia" w:ascii="仿宋_GB2312" w:eastAsia="仿宋_GB2312"/>
              </w:rPr>
            </w:pPr>
            <w:r>
              <w:rPr>
                <w:rFonts w:hint="eastAsia" w:ascii="仿宋_GB2312" w:hAnsi="黑体" w:eastAsia="仿宋_GB2312" w:cs="宋体"/>
                <w:b/>
                <w:color w:val="000000"/>
                <w:kern w:val="0"/>
                <w:sz w:val="24"/>
                <w:szCs w:val="24"/>
              </w:rPr>
              <w:t>三封寺镇华一村农旅休闲基地：</w:t>
            </w:r>
            <w:r>
              <w:rPr>
                <w:rFonts w:hint="eastAsia" w:ascii="仿宋_GB2312" w:hAnsi="黑体" w:eastAsia="仿宋_GB2312" w:cs="宋体"/>
                <w:kern w:val="0"/>
                <w:sz w:val="24"/>
                <w:szCs w:val="24"/>
              </w:rPr>
              <w:t>依托七女峰旅游风景区建设一批特色民宿和农家乐，打造近郊休闲目的地，丰富城市居民休闲生活。</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4" w:name="_Toc62653456"/>
      <w:r>
        <w:rPr>
          <w:rFonts w:hint="eastAsia" w:ascii="仿宋_GB2312" w:hAnsi="仿宋" w:eastAsia="仿宋_GB2312" w:cs="仿宋"/>
          <w:b/>
          <w:bCs/>
          <w:sz w:val="30"/>
          <w:szCs w:val="30"/>
          <w:lang w:val="zh-TW" w:eastAsia="zh-TW"/>
        </w:rPr>
        <w:t>（五）形成具备区域影响力的市场集群</w:t>
      </w:r>
      <w:bookmarkEnd w:id="34"/>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在优势资源和强势产业的基础上，充分利用区位优势和交通条件，按照城市外围集群发展专业化现代市场的理念，分别在城市外围打造不同类型的市场集群功能区，服务县域城乡及周边城市。结合城市商贸功能布局，分别在西部杨家桥、南部护城、东部火车站等区域形成以农副产品和建材家居、汽车市场和农资农机、再生资源等三个市场集群区域。在县域范围内结合农村产业基地合理发展部分产地市场。结合城乡人口与消费分布，建设完备的城乡农贸市场服务体系。</w:t>
      </w:r>
    </w:p>
    <w:tbl>
      <w:tblPr>
        <w:tblStyle w:val="6"/>
        <w:tblW w:w="0" w:type="auto"/>
        <w:tblInd w:w="0" w:type="dxa"/>
        <w:tblLayout w:type="fixed"/>
        <w:tblCellMar>
          <w:top w:w="0" w:type="dxa"/>
          <w:left w:w="108" w:type="dxa"/>
          <w:bottom w:w="0" w:type="dxa"/>
          <w:right w:w="108" w:type="dxa"/>
        </w:tblCellMar>
      </w:tblPr>
      <w:tblGrid>
        <w:gridCol w:w="8521"/>
      </w:tblGrid>
      <w:tr>
        <w:tblPrEx>
          <w:tblCellMar>
            <w:top w:w="0" w:type="dxa"/>
            <w:left w:w="108" w:type="dxa"/>
            <w:bottom w:w="0" w:type="dxa"/>
            <w:right w:w="108" w:type="dxa"/>
          </w:tblCellMar>
        </w:tblPrEx>
        <w:tc>
          <w:tcPr>
            <w:tcW w:w="8521" w:type="dxa"/>
            <w:tcBorders>
              <w:top w:val="single" w:color="auto" w:sz="4" w:space="0"/>
              <w:left w:val="single" w:color="auto" w:sz="4" w:space="0"/>
              <w:bottom w:val="single" w:color="auto" w:sz="4" w:space="0"/>
              <w:right w:val="single" w:color="auto" w:sz="4" w:space="0"/>
            </w:tcBorders>
            <w:noWrap w:val="0"/>
            <w:vAlign w:val="top"/>
          </w:tcPr>
          <w:p>
            <w:pPr>
              <w:pStyle w:val="9"/>
              <w:spacing w:line="520" w:lineRule="exact"/>
              <w:ind w:firstLine="0" w:firstLineChars="0"/>
              <w:jc w:val="center"/>
              <w:rPr>
                <w:rFonts w:hint="eastAsia" w:ascii="仿宋_GB2312" w:hAnsi="仿宋" w:eastAsia="仿宋_GB2312"/>
                <w:b/>
                <w:sz w:val="24"/>
                <w:szCs w:val="24"/>
              </w:rPr>
            </w:pPr>
            <w:r>
              <w:rPr>
                <w:rFonts w:hint="eastAsia" w:ascii="仿宋_GB2312" w:hAnsi="仿宋" w:eastAsia="仿宋_GB2312"/>
                <w:b/>
                <w:sz w:val="24"/>
                <w:szCs w:val="24"/>
              </w:rPr>
              <w:t>专栏五：华容县专业市场发展规划</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中农联农产品电商物流园：</w:t>
            </w:r>
            <w:r>
              <w:rPr>
                <w:rFonts w:hint="eastAsia" w:ascii="仿宋_GB2312" w:hAnsi="仿宋" w:eastAsia="仿宋_GB2312"/>
                <w:sz w:val="24"/>
                <w:szCs w:val="24"/>
              </w:rPr>
              <w:t>规划位于华容大道东段以北，华都国家建材城西侧，用地总规模105亩。按照辐射整个湘北鄂南市场的农产品综合市场，整合农产品集散、批发、交易、冷链物流、电商等功能。积极发展农产品电子商务交易，打造垂直电商平台。成为推动全县现代农业发展，科学建立农产品消费流通体系中的核心，并与城乡农贸市场、生鲜超市共同形成农副产品的批零网络。</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湘北汽车城：</w:t>
            </w:r>
            <w:r>
              <w:rPr>
                <w:rFonts w:hint="eastAsia" w:ascii="仿宋_GB2312" w:hAnsi="仿宋" w:eastAsia="仿宋_GB2312"/>
                <w:sz w:val="24"/>
                <w:szCs w:val="24"/>
              </w:rPr>
              <w:t>规划位于人民大道南段，用地总规模约170亩，拟建集汽车展览、新车销售、二手车交易、汽车修理美容、汽车配件销售等功能于一体的管理规范的汽车产业城。</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华都国际建材城：</w:t>
            </w:r>
            <w:r>
              <w:rPr>
                <w:rFonts w:hint="eastAsia" w:ascii="仿宋_GB2312" w:hAnsi="仿宋" w:eastAsia="仿宋_GB2312"/>
                <w:sz w:val="24"/>
                <w:szCs w:val="24"/>
              </w:rPr>
              <w:t>推进华都国际建材城的整体开业，形成以家居交易、建材交易、家具用品交易为主的消费市场，市场总建筑面积约172000平方米。</w:t>
            </w:r>
          </w:p>
          <w:p>
            <w:pPr>
              <w:pStyle w:val="9"/>
              <w:spacing w:line="520" w:lineRule="exact"/>
              <w:ind w:firstLine="482"/>
              <w:jc w:val="left"/>
              <w:rPr>
                <w:rFonts w:hint="eastAsia" w:ascii="仿宋_GB2312" w:hAnsi="仿宋" w:eastAsia="仿宋_GB2312"/>
                <w:b/>
                <w:sz w:val="24"/>
                <w:szCs w:val="24"/>
              </w:rPr>
            </w:pPr>
            <w:r>
              <w:rPr>
                <w:rFonts w:hint="eastAsia" w:ascii="仿宋_GB2312" w:hAnsi="仿宋" w:eastAsia="仿宋_GB2312"/>
                <w:b/>
                <w:sz w:val="24"/>
                <w:szCs w:val="24"/>
              </w:rPr>
              <w:t>正诚综合交易市场：</w:t>
            </w:r>
            <w:r>
              <w:rPr>
                <w:rFonts w:hint="eastAsia" w:ascii="仿宋_GB2312" w:hAnsi="仿宋" w:eastAsia="仿宋_GB2312"/>
                <w:sz w:val="24"/>
                <w:szCs w:val="24"/>
              </w:rPr>
              <w:t>推动在建的正诚综合市场的全部开业运营，以二手商品交易、回收为主的综合性市场，用地总规模约74亩。</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再生资源交易市场：</w:t>
            </w:r>
            <w:r>
              <w:rPr>
                <w:rFonts w:hint="eastAsia" w:ascii="仿宋_GB2312" w:hAnsi="仿宋" w:eastAsia="仿宋_GB2312"/>
                <w:sz w:val="24"/>
                <w:szCs w:val="24"/>
              </w:rPr>
              <w:t>规划位于浩吉铁路华容站场以北，用地总规模73.2亩，拟建以报废汽车零件回收拆解、再生资源回收、应急救援管理服务、普通货物运输、汽车维修等功能为一体的再生资源市场。</w:t>
            </w:r>
          </w:p>
          <w:p>
            <w:pPr>
              <w:pStyle w:val="9"/>
              <w:spacing w:line="520" w:lineRule="exact"/>
              <w:ind w:firstLine="482"/>
              <w:jc w:val="left"/>
              <w:rPr>
                <w:rFonts w:hint="eastAsia" w:ascii="仿宋_GB2312" w:hAnsi="仿宋" w:eastAsia="仿宋_GB2312"/>
                <w:sz w:val="30"/>
                <w:szCs w:val="30"/>
              </w:rPr>
            </w:pPr>
            <w:r>
              <w:rPr>
                <w:rFonts w:hint="eastAsia" w:ascii="仿宋_GB2312" w:hAnsi="仿宋" w:eastAsia="仿宋_GB2312"/>
                <w:b/>
                <w:sz w:val="24"/>
                <w:szCs w:val="24"/>
              </w:rPr>
              <w:t>城乡农贸市场：</w:t>
            </w:r>
            <w:r>
              <w:rPr>
                <w:rFonts w:hint="eastAsia" w:ascii="仿宋_GB2312" w:hAnsi="仿宋" w:eastAsia="仿宋_GB2312"/>
                <w:sz w:val="24"/>
                <w:szCs w:val="24"/>
              </w:rPr>
              <w:t>全面提升现有农贸市场的经营服务水平和管理服务意识。在中心城区现有农副产品零售服务网络的基础上，新增六个农贸市场，包括书院路、北岸尚都、杏花村、水产社区、田家湖、石伏。在治河渡新建一处郊菜进城集散市场，与中农联客菜市场形成互补服务。推进市域集镇农贸市场基础设施提质，标准化改造梅田湖镇农贸市场。</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5" w:name="_Toc62653457"/>
      <w:r>
        <w:rPr>
          <w:rFonts w:hint="eastAsia" w:ascii="仿宋_GB2312" w:hAnsi="仿宋" w:eastAsia="仿宋_GB2312" w:cs="仿宋"/>
          <w:b/>
          <w:bCs/>
          <w:sz w:val="30"/>
          <w:szCs w:val="30"/>
          <w:lang w:val="zh-TW" w:eastAsia="zh-TW"/>
        </w:rPr>
        <w:t>（六）创新发展城乡电子商务</w:t>
      </w:r>
      <w:r>
        <w:rPr>
          <w:rFonts w:hint="eastAsia" w:ascii="仿宋_GB2312" w:hAnsi="仿宋" w:eastAsia="仿宋_GB2312" w:cs="仿宋"/>
          <w:b/>
          <w:bCs/>
          <w:sz w:val="30"/>
          <w:szCs w:val="30"/>
          <w:lang w:val="zh-TW"/>
        </w:rPr>
        <w:t>和会展</w:t>
      </w:r>
      <w:r>
        <w:rPr>
          <w:rFonts w:hint="eastAsia" w:ascii="仿宋_GB2312" w:hAnsi="仿宋" w:eastAsia="仿宋_GB2312" w:cs="仿宋"/>
          <w:b/>
          <w:bCs/>
          <w:sz w:val="30"/>
          <w:szCs w:val="30"/>
          <w:lang w:val="zh-TW" w:eastAsia="zh-TW"/>
        </w:rPr>
        <w:t>平台建设</w:t>
      </w:r>
      <w:bookmarkEnd w:id="35"/>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随着城乡发展不断提升，新技术不断发展，商品流通的服务形式与方式日趋多样化，激发出各种类型的新型流通服务业态，全县以电子商务进农村为工作抓手，充分利用电子商务、邮政、物流、供销、金融、通信等行业的发展，结合各重点乡镇的电子商务物流中心，形成上下一张网，现实“最后一公里”。</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重点构建电子商务交易技术平台，重点引进电子商务、信息软件、设计研发等电商产业发展的企业。整合、规范现有农村淘宝、邮乐购、京东乡村网点，加快建设可提供宣传、代购、代销、便民、金融、农资、创业、统计、增值等服务功能、“线上线下”融合、“一网多用”的农村电子商务服务网点。进一步加强扩大芥菜、粮食、大豆等农产品加工衍生物等优势特色农产品网络销售规模，鼓励农业龙头企业（合作社）创建农村电子商务示范企业和电子商务品牌。同时继续完善优化电子商务基础设施、现代物流、标准化、服务支撑等服务体系，拟建分拣中心、乡村三级物流配送体系，提高县域整体的电商流通行业发展。推进现代会展服务业建设，发展展会经济，促进产业多元发展。</w:t>
      </w:r>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借助节庆培育展会传统，初步建立华容会展服务业品牌。借助农特产品等优势资源和产业，构建系列农特节庆展会系列，并丰富春节、端午等传统节庆展会内容，将线下展会和“6.18”“双11”等线上消费盛典进行贯穿融合，形成全年全域节庆主题化消费服务场景，打造华容会展品牌，增强华容的知名度和影响力。</w:t>
      </w:r>
    </w:p>
    <w:tbl>
      <w:tblPr>
        <w:tblStyle w:val="6"/>
        <w:tblW w:w="0" w:type="auto"/>
        <w:tblInd w:w="0" w:type="dxa"/>
        <w:tblLayout w:type="fixed"/>
        <w:tblCellMar>
          <w:top w:w="0" w:type="dxa"/>
          <w:left w:w="108" w:type="dxa"/>
          <w:bottom w:w="0" w:type="dxa"/>
          <w:right w:w="108" w:type="dxa"/>
        </w:tblCellMar>
      </w:tblPr>
      <w:tblGrid>
        <w:gridCol w:w="8521"/>
      </w:tblGrid>
      <w:tr>
        <w:tblPrEx>
          <w:tblCellMar>
            <w:top w:w="0" w:type="dxa"/>
            <w:left w:w="108" w:type="dxa"/>
            <w:bottom w:w="0" w:type="dxa"/>
            <w:right w:w="108" w:type="dxa"/>
          </w:tblCellMar>
        </w:tblPrEx>
        <w:tc>
          <w:tcPr>
            <w:tcW w:w="8521" w:type="dxa"/>
            <w:tcBorders>
              <w:top w:val="single" w:color="auto" w:sz="4" w:space="0"/>
              <w:left w:val="single" w:color="auto" w:sz="4" w:space="0"/>
              <w:bottom w:val="single" w:color="auto" w:sz="4" w:space="0"/>
              <w:right w:val="single" w:color="auto" w:sz="4" w:space="0"/>
            </w:tcBorders>
            <w:noWrap w:val="0"/>
            <w:vAlign w:val="top"/>
          </w:tcPr>
          <w:p>
            <w:pPr>
              <w:pStyle w:val="9"/>
              <w:spacing w:line="520" w:lineRule="exact"/>
              <w:ind w:firstLine="0" w:firstLineChars="0"/>
              <w:jc w:val="center"/>
              <w:rPr>
                <w:rFonts w:hint="eastAsia" w:ascii="仿宋_GB2312" w:hAnsi="仿宋" w:eastAsia="仿宋_GB2312"/>
                <w:b/>
                <w:sz w:val="24"/>
                <w:szCs w:val="24"/>
              </w:rPr>
            </w:pPr>
            <w:r>
              <w:rPr>
                <w:rFonts w:hint="eastAsia" w:ascii="仿宋_GB2312" w:hAnsi="仿宋" w:eastAsia="仿宋_GB2312"/>
                <w:b/>
                <w:sz w:val="24"/>
                <w:szCs w:val="24"/>
              </w:rPr>
              <w:t>专栏六：华容县电商产业园区</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华容县电子商务运营服务中心：</w:t>
            </w:r>
            <w:r>
              <w:rPr>
                <w:rFonts w:hint="eastAsia" w:ascii="仿宋_GB2312" w:hAnsi="仿宋" w:eastAsia="仿宋_GB2312"/>
                <w:sz w:val="24"/>
                <w:szCs w:val="24"/>
              </w:rPr>
              <w:t>以长江经济带电商产业园作为县域电子商务运营服务中心</w:t>
            </w:r>
            <w:r>
              <w:rPr>
                <w:rFonts w:hint="eastAsia" w:ascii="仿宋_GB2312" w:hAnsi="仿宋" w:eastAsia="仿宋_GB2312"/>
                <w:b/>
                <w:sz w:val="24"/>
                <w:szCs w:val="24"/>
              </w:rPr>
              <w:t>，</w:t>
            </w:r>
            <w:r>
              <w:rPr>
                <w:rFonts w:hint="eastAsia" w:ascii="仿宋_GB2312" w:hAnsi="仿宋" w:eastAsia="仿宋_GB2312"/>
                <w:sz w:val="24"/>
                <w:szCs w:val="24"/>
              </w:rPr>
              <w:t>完善设计、营销、研发、管理、结算、数据分析等电商综合保障服务，促进电子商务产业链上下游协同发展，创造特色产业链和新的服务岗位。</w:t>
            </w:r>
          </w:p>
          <w:p>
            <w:pPr>
              <w:spacing w:line="520" w:lineRule="exact"/>
              <w:ind w:firstLine="482" w:firstLineChars="200"/>
              <w:jc w:val="left"/>
              <w:rPr>
                <w:rFonts w:hint="eastAsia" w:ascii="仿宋_GB2312" w:hAnsi="仿宋" w:eastAsia="仿宋_GB2312"/>
                <w:sz w:val="24"/>
                <w:szCs w:val="24"/>
              </w:rPr>
            </w:pPr>
            <w:r>
              <w:rPr>
                <w:rFonts w:hint="eastAsia" w:ascii="仿宋_GB2312" w:hAnsi="仿宋" w:eastAsia="仿宋_GB2312"/>
                <w:b/>
                <w:sz w:val="24"/>
                <w:szCs w:val="24"/>
              </w:rPr>
              <w:t>农村电商物流中心（梅田湖镇、注滋口镇、东山镇）：</w:t>
            </w:r>
            <w:r>
              <w:rPr>
                <w:rFonts w:hint="eastAsia" w:ascii="仿宋_GB2312" w:hAnsi="黑体" w:eastAsia="仿宋_GB2312" w:cs="宋体"/>
                <w:kern w:val="0"/>
                <w:sz w:val="24"/>
                <w:szCs w:val="24"/>
              </w:rPr>
              <w:t>分别在梅田湖、注滋口、东山建设辐射农村的电商物流中心，用地总规模约2000平方米，打造乡镇农村电商互通、物流互通、信息互通的物流平台。</w:t>
            </w:r>
          </w:p>
          <w:p>
            <w:pPr>
              <w:spacing w:line="520" w:lineRule="exact"/>
              <w:ind w:firstLine="482" w:firstLineChars="200"/>
              <w:jc w:val="left"/>
              <w:rPr>
                <w:rFonts w:hint="eastAsia" w:ascii="仿宋_GB2312" w:hAnsi="仿宋" w:eastAsia="仿宋_GB2312"/>
                <w:sz w:val="30"/>
                <w:szCs w:val="30"/>
              </w:rPr>
            </w:pPr>
            <w:r>
              <w:rPr>
                <w:rFonts w:hint="eastAsia" w:ascii="仿宋_GB2312" w:hAnsi="仿宋" w:eastAsia="仿宋_GB2312"/>
                <w:b/>
                <w:sz w:val="24"/>
                <w:szCs w:val="24"/>
              </w:rPr>
              <w:t>华容会展中心：</w:t>
            </w:r>
            <w:r>
              <w:rPr>
                <w:rFonts w:hint="eastAsia" w:ascii="仿宋_GB2312" w:hAnsi="仿宋" w:eastAsia="仿宋_GB2312"/>
                <w:sz w:val="24"/>
                <w:szCs w:val="24"/>
              </w:rPr>
              <w:t>规划位于田家湖生态新城，用地总规模30亩。按照现代会展中心的标准进行建设，室内外展厅面积2万平方米，不少于200个室内外标准展位，配套会议中心、停车场地、后勤服务等设施。</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6" w:name="_Toc62653458"/>
      <w:r>
        <w:rPr>
          <w:rFonts w:hint="eastAsia" w:ascii="仿宋_GB2312" w:hAnsi="仿宋" w:eastAsia="仿宋_GB2312" w:cs="仿宋"/>
          <w:b/>
          <w:bCs/>
          <w:sz w:val="30"/>
          <w:szCs w:val="30"/>
          <w:lang w:val="zh-TW" w:eastAsia="zh-TW"/>
        </w:rPr>
        <w:t>（七）着重发展与区域产业发展相匹配的现代物流园区</w:t>
      </w:r>
      <w:bookmarkEnd w:id="36"/>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结合华容县现代物流业发展规划和“十四五”交通规划，立足于城乡物流业发展，对外贸易发展，打通乡镇最后一公里物流配送。充分发挥高铁新城华容站前的物流综合服务功能，利用交通优势和区位优势，打造现代智慧物流园区，服务于城区和周边乡镇发展。在“十四五”期间华容县力争打造湘北鄂南物流枢纽核心功能区，聚集培育一批现代物流企业。同时在重点乡镇以产地农业发展，建设配套交易市场、物流园，带动工农业货运流通，提升华容县物流业规模和实力。</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9"/>
              <w:spacing w:line="520" w:lineRule="exact"/>
              <w:ind w:firstLine="0" w:firstLineChars="0"/>
              <w:jc w:val="center"/>
              <w:rPr>
                <w:rFonts w:hint="eastAsia" w:ascii="仿宋_GB2312" w:hAnsi="仿宋" w:eastAsia="仿宋_GB2312"/>
                <w:b/>
                <w:sz w:val="24"/>
                <w:szCs w:val="24"/>
              </w:rPr>
            </w:pPr>
            <w:r>
              <w:rPr>
                <w:rFonts w:hint="eastAsia" w:ascii="仿宋_GB2312" w:hAnsi="仿宋" w:eastAsia="仿宋_GB2312"/>
                <w:b/>
                <w:sz w:val="24"/>
                <w:szCs w:val="24"/>
              </w:rPr>
              <w:t>专栏七：华容县物流园区</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华容铁水联运储备基地：</w:t>
            </w:r>
            <w:r>
              <w:rPr>
                <w:rFonts w:hint="eastAsia" w:ascii="仿宋_GB2312" w:hAnsi="仿宋" w:eastAsia="仿宋_GB2312"/>
                <w:sz w:val="24"/>
                <w:szCs w:val="24"/>
              </w:rPr>
              <w:t>位于长江右岸、华容县境东北部洪山头镇长宁村，属于岳阳港华容港区洪山头作业区。总用地总规模约2475亩，设计近期周转能力近期1400万吨/年、二期3600万吨/年、远期5000万吨/年，建设内容包括铁路专用线、铁水联运码头及煤炭物流园三部分：1.铁路专用线，总长度29.712公里，其中正线长约27.285公里，松木桥疏解线长约2.427公里，按国铁Ⅱ级标准建设；2.铁水联运码头，新建4个3000吨级煤炭出口泊位；3.煤炭物流园，总投资10亿元，主要建设受煤设施、全面储煤设施。</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高铁新城现代智慧物流园区：</w:t>
            </w:r>
            <w:r>
              <w:rPr>
                <w:rFonts w:hint="eastAsia" w:ascii="仿宋_GB2312" w:hAnsi="仿宋" w:eastAsia="仿宋_GB2312"/>
                <w:sz w:val="24"/>
                <w:szCs w:val="24"/>
              </w:rPr>
              <w:t>规划在高铁新城华容站前以东的国土空间范围内集中打造华容现代智慧物流园区，引导宏发、宏超等本土物流企业发展壮大，吸引国内知名的第三方物流企业和电商龙头企业入驻建立物流服务区域中心，引导物流产业链上下游企业入驻，形成区域物流节点。</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宏发智慧物流园:</w:t>
            </w:r>
            <w:r>
              <w:rPr>
                <w:rFonts w:hint="eastAsia" w:ascii="仿宋_GB2312" w:hAnsi="仿宋" w:eastAsia="仿宋_GB2312"/>
                <w:sz w:val="24"/>
                <w:szCs w:val="24"/>
              </w:rPr>
              <w:t>项目规划用地总规模135.6亩，位于高铁新城智慧物流园区，十里铺华容火车站南，陵园湖以东，华容大道东路以北。项目以智慧物流模式，打造集电子商务（含农村电商平台）、名优特农产品展示展销、零担快递物流、大型智能仓储、冷链仓储物流、第三方物流、最后一公里物流配送、产品质量追溯、与物联网平台对接、供应链金融等配套服务于一体的现代物流平台，分信息交易、电商中心、零担货运、冷链运输、中转仓储、再生物资仓储、冷库和车辆检测站、加油加气站等功能。</w:t>
            </w:r>
          </w:p>
          <w:p>
            <w:pPr>
              <w:spacing w:line="520" w:lineRule="exact"/>
              <w:ind w:firstLine="482" w:firstLineChars="200"/>
              <w:jc w:val="left"/>
              <w:rPr>
                <w:rFonts w:hint="eastAsia" w:ascii="仿宋_GB2312" w:hAnsi="仿宋" w:eastAsia="仿宋_GB2312"/>
                <w:b/>
                <w:sz w:val="24"/>
                <w:szCs w:val="24"/>
              </w:rPr>
            </w:pPr>
            <w:r>
              <w:rPr>
                <w:rFonts w:hint="eastAsia" w:ascii="仿宋_GB2312" w:hAnsi="黑体" w:eastAsia="仿宋_GB2312" w:cs="宋体"/>
                <w:b/>
                <w:kern w:val="0"/>
                <w:sz w:val="24"/>
                <w:szCs w:val="24"/>
              </w:rPr>
              <w:t>宏超智慧物流园（二期）</w:t>
            </w:r>
            <w:r>
              <w:rPr>
                <w:rFonts w:hint="eastAsia" w:ascii="仿宋_GB2312" w:hAnsi="黑体" w:eastAsia="仿宋_GB2312" w:cs="宋体"/>
                <w:kern w:val="0"/>
                <w:sz w:val="24"/>
                <w:szCs w:val="24"/>
              </w:rPr>
              <w:t>：项目</w:t>
            </w:r>
            <w:r>
              <w:rPr>
                <w:rFonts w:hint="eastAsia" w:ascii="仿宋_GB2312" w:hAnsi="仿宋" w:eastAsia="仿宋_GB2312"/>
                <w:sz w:val="24"/>
                <w:szCs w:val="24"/>
              </w:rPr>
              <w:t>位于高铁新城智慧物流园区，</w:t>
            </w:r>
            <w:r>
              <w:rPr>
                <w:rFonts w:hint="eastAsia" w:ascii="仿宋_GB2312" w:hAnsi="黑体" w:eastAsia="仿宋_GB2312" w:cs="宋体"/>
                <w:kern w:val="0"/>
                <w:sz w:val="24"/>
                <w:szCs w:val="24"/>
              </w:rPr>
              <w:t>华容大道东路与桥东路交汇处西侧地块内，主要开展零担、仓储、第三方物流、冷链仓库、电商、物流信息服务物流服务项目。</w:t>
            </w:r>
            <w:r>
              <w:rPr>
                <w:rFonts w:hint="eastAsia" w:ascii="仿宋_GB2312" w:eastAsia="仿宋_GB2312" w:cs="黑体"/>
                <w:color w:val="000000"/>
                <w:kern w:val="0"/>
                <w:sz w:val="24"/>
                <w:szCs w:val="24"/>
              </w:rPr>
              <w:t>项目一期已完成了1栋物流综合大楼、三栋零担物流仓库和10000平米停车场的升级改造工作，将引导宏发物流中心现有的26家零担物流企业入场经营。计划</w:t>
            </w:r>
            <w:r>
              <w:rPr>
                <w:rFonts w:hint="eastAsia" w:ascii="仿宋_GB2312" w:hAnsi="黑体" w:eastAsia="仿宋_GB2312" w:cs="宋体"/>
                <w:kern w:val="0"/>
                <w:sz w:val="24"/>
                <w:szCs w:val="24"/>
              </w:rPr>
              <w:t>新征南侧用地40亩，新建4000平米冷链仓库、4000平米普通物流仓库、18000平米停车场</w:t>
            </w:r>
          </w:p>
          <w:p>
            <w:pPr>
              <w:spacing w:line="520" w:lineRule="exact"/>
              <w:ind w:firstLine="482" w:firstLineChars="200"/>
              <w:jc w:val="left"/>
              <w:rPr>
                <w:rFonts w:hint="eastAsia" w:ascii="仿宋_GB2312" w:hAnsi="仿宋" w:eastAsia="仿宋_GB2312"/>
                <w:sz w:val="24"/>
                <w:szCs w:val="24"/>
              </w:rPr>
            </w:pPr>
            <w:r>
              <w:rPr>
                <w:rFonts w:hint="eastAsia" w:ascii="仿宋_GB2312" w:hAnsi="仿宋" w:eastAsia="仿宋_GB2312"/>
                <w:b/>
                <w:sz w:val="24"/>
                <w:szCs w:val="24"/>
              </w:rPr>
              <w:t>快递物流分拣配送中心：</w:t>
            </w:r>
            <w:r>
              <w:rPr>
                <w:rFonts w:hint="eastAsia" w:ascii="仿宋_GB2312" w:hAnsi="仿宋" w:eastAsia="仿宋_GB2312"/>
                <w:sz w:val="24"/>
                <w:szCs w:val="24"/>
              </w:rPr>
              <w:t>规划位于与现代智慧物流园区，预计用地总规模15亩，包括物流配送中心、仓储中心、物流信息中心（物流大数据平台）、配送库区、交易展示厅及办公区，配套物流设备、运输车辆、计算机及网络设备系统等。</w:t>
            </w:r>
          </w:p>
          <w:p>
            <w:pPr>
              <w:spacing w:line="520" w:lineRule="exact"/>
              <w:ind w:firstLine="482" w:firstLineChars="200"/>
              <w:jc w:val="left"/>
              <w:rPr>
                <w:rFonts w:hint="eastAsia" w:ascii="仿宋_GB2312" w:hAnsi="仿宋" w:eastAsia="仿宋_GB2312"/>
                <w:sz w:val="30"/>
                <w:szCs w:val="30"/>
              </w:rPr>
            </w:pPr>
            <w:r>
              <w:rPr>
                <w:rFonts w:hint="eastAsia" w:ascii="仿宋_GB2312" w:hAnsi="黑体" w:eastAsia="仿宋_GB2312" w:cs="宋体"/>
                <w:b/>
                <w:kern w:val="0"/>
                <w:sz w:val="24"/>
                <w:szCs w:val="24"/>
              </w:rPr>
              <w:t>农资配送中心</w:t>
            </w:r>
            <w:r>
              <w:rPr>
                <w:rFonts w:hint="eastAsia" w:ascii="仿宋_GB2312" w:hAnsi="黑体" w:eastAsia="仿宋_GB2312" w:cs="宋体"/>
                <w:kern w:val="0"/>
                <w:sz w:val="24"/>
                <w:szCs w:val="24"/>
              </w:rPr>
              <w:t>：选址护城社区农机农技产业市场周边，规划用地总规模30亩，结合湘北农机大市场和远大农资市场的农资农机交易，提供面向区域农村地区的农业物资周转配送服务。</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7" w:name="_Toc62653459"/>
      <w:r>
        <w:rPr>
          <w:rFonts w:hint="eastAsia" w:ascii="仿宋_GB2312" w:hAnsi="仿宋" w:eastAsia="仿宋_GB2312" w:cs="仿宋"/>
          <w:b/>
          <w:bCs/>
          <w:sz w:val="30"/>
          <w:szCs w:val="30"/>
          <w:lang w:val="zh-TW" w:eastAsia="zh-TW"/>
        </w:rPr>
        <w:t>（八）科学规范相关专业网点的建设</w:t>
      </w:r>
      <w:bookmarkEnd w:id="37"/>
    </w:p>
    <w:p>
      <w:pPr>
        <w:spacing w:line="640" w:lineRule="exact"/>
        <w:ind w:firstLine="600" w:firstLineChars="200"/>
        <w:rPr>
          <w:rFonts w:ascii="仿宋_GB2312" w:hAnsi="仿宋" w:eastAsia="仿宋_GB2312"/>
          <w:sz w:val="30"/>
          <w:szCs w:val="30"/>
        </w:rPr>
      </w:pPr>
      <w:r>
        <w:rPr>
          <w:rFonts w:hint="eastAsia" w:ascii="仿宋_GB2312" w:hAnsi="仿宋" w:eastAsia="仿宋_GB2312"/>
          <w:sz w:val="30"/>
          <w:szCs w:val="30"/>
        </w:rPr>
        <w:t>“十四五”期间合理布局规划华容县加油站工作，科学确定加油站发展规模，优化加油站网点的空间布局，规范加油站基础设施不断完善。加油站规划要充分考虑城市、城镇建设的快速发展和高速公路、干线公路形成网络对加油需求量分布的影响。随着城乡总体规划和交通规划逐步实施，根据华容车辆加油需求，在城镇规划建设区、新建或改造的干线公路两侧、新建高速公路配套服务区以及部分县乡村道路等区域合理规划新建加油站，确保全县成品油销售市场健康有序发展。</w:t>
      </w:r>
    </w:p>
    <w:p>
      <w:pPr>
        <w:spacing w:line="640" w:lineRule="exact"/>
        <w:ind w:firstLine="600" w:firstLineChars="200"/>
        <w:rPr>
          <w:rFonts w:hint="eastAsia" w:ascii="仿宋_GB2312" w:hAnsi="仿宋" w:eastAsia="仿宋_GB2312"/>
          <w:sz w:val="30"/>
          <w:szCs w:val="30"/>
        </w:rPr>
      </w:pPr>
    </w:p>
    <w:tbl>
      <w:tblPr>
        <w:tblStyle w:val="6"/>
        <w:tblW w:w="0" w:type="auto"/>
        <w:tblInd w:w="0" w:type="dxa"/>
        <w:tblLayout w:type="fixed"/>
        <w:tblCellMar>
          <w:top w:w="0" w:type="dxa"/>
          <w:left w:w="108" w:type="dxa"/>
          <w:bottom w:w="0" w:type="dxa"/>
          <w:right w:w="108" w:type="dxa"/>
        </w:tblCellMar>
      </w:tblPr>
      <w:tblGrid>
        <w:gridCol w:w="8521"/>
      </w:tblGrid>
      <w:tr>
        <w:tblPrEx>
          <w:tblCellMar>
            <w:top w:w="0" w:type="dxa"/>
            <w:left w:w="108" w:type="dxa"/>
            <w:bottom w:w="0" w:type="dxa"/>
            <w:right w:w="108" w:type="dxa"/>
          </w:tblCellMar>
        </w:tblPrEx>
        <w:tc>
          <w:tcPr>
            <w:tcW w:w="8521" w:type="dxa"/>
            <w:tcBorders>
              <w:top w:val="single" w:color="auto" w:sz="4" w:space="0"/>
              <w:left w:val="single" w:color="auto" w:sz="4" w:space="0"/>
              <w:bottom w:val="single" w:color="auto" w:sz="4" w:space="0"/>
              <w:right w:val="single" w:color="auto" w:sz="4" w:space="0"/>
            </w:tcBorders>
            <w:noWrap w:val="0"/>
            <w:vAlign w:val="top"/>
          </w:tcPr>
          <w:p>
            <w:pPr>
              <w:pStyle w:val="9"/>
              <w:spacing w:line="520" w:lineRule="exact"/>
              <w:ind w:firstLine="0" w:firstLineChars="0"/>
              <w:jc w:val="center"/>
              <w:rPr>
                <w:rFonts w:hint="eastAsia" w:ascii="仿宋_GB2312" w:hAnsi="仿宋" w:eastAsia="仿宋_GB2312"/>
                <w:b/>
                <w:sz w:val="24"/>
                <w:szCs w:val="24"/>
              </w:rPr>
            </w:pPr>
            <w:r>
              <w:rPr>
                <w:rFonts w:hint="eastAsia" w:ascii="仿宋_GB2312" w:hAnsi="仿宋" w:eastAsia="仿宋_GB2312"/>
                <w:b/>
                <w:sz w:val="24"/>
                <w:szCs w:val="24"/>
              </w:rPr>
              <w:t>专栏八：华容县加油站网点规划</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华容县加油站点：</w:t>
            </w:r>
            <w:r>
              <w:rPr>
                <w:rFonts w:hint="eastAsia" w:ascii="仿宋_GB2312" w:hAnsi="仿宋" w:eastAsia="仿宋_GB2312"/>
                <w:sz w:val="24"/>
                <w:szCs w:val="24"/>
              </w:rPr>
              <w:t>华容县现有加油站52处，中心城区12处，县域其它区域40处。中心城区规划新建5个加油站，包括沿河路加油站、十里铺加油站、田家湖加油站、杏花加油站、中石化容城大道加油站。对三封寺复兴村加油站进行迁建。</w:t>
            </w:r>
          </w:p>
          <w:p>
            <w:pPr>
              <w:pStyle w:val="9"/>
              <w:spacing w:line="520" w:lineRule="exact"/>
              <w:ind w:firstLine="480"/>
              <w:jc w:val="left"/>
              <w:rPr>
                <w:rFonts w:hint="eastAsia" w:ascii="仿宋_GB2312" w:hAnsi="仿宋" w:eastAsia="仿宋_GB2312"/>
                <w:sz w:val="30"/>
                <w:szCs w:val="30"/>
              </w:rPr>
            </w:pPr>
            <w:r>
              <w:rPr>
                <w:rFonts w:hint="eastAsia" w:ascii="仿宋_GB2312" w:hAnsi="仿宋" w:eastAsia="仿宋_GB2312"/>
                <w:sz w:val="24"/>
                <w:szCs w:val="24"/>
              </w:rPr>
              <w:t>结合县域农村资源产业路、旅游通景路、乡镇通三级路等公路建设的着力推进，依托七女峰运动休闲小镇、墨山休闲度假小镇、禹山湿地农旅小镇、桃花山康养小镇等特色小镇的规划建设，以及美丽乡村示范村的打造，合理评估未来县域广大乡村地区的交通运输发展需求，按照行业规范和流程，在“十四五”规划实施过程中，监管评估，合理增添县域乡村加油站点。</w:t>
            </w:r>
          </w:p>
        </w:tc>
      </w:tr>
    </w:tbl>
    <w:p>
      <w:pPr>
        <w:spacing w:line="640" w:lineRule="exact"/>
        <w:ind w:firstLine="602"/>
        <w:outlineLvl w:val="1"/>
        <w:rPr>
          <w:rFonts w:hint="eastAsia" w:ascii="仿宋_GB2312" w:hAnsi="仿宋" w:eastAsia="仿宋_GB2312" w:cs="仿宋"/>
          <w:b/>
          <w:bCs/>
          <w:sz w:val="30"/>
          <w:szCs w:val="30"/>
          <w:lang w:val="zh-TW" w:eastAsia="zh-TW"/>
        </w:rPr>
      </w:pPr>
      <w:bookmarkStart w:id="38" w:name="_Toc55996882"/>
      <w:bookmarkStart w:id="39" w:name="_Toc62653460"/>
      <w:r>
        <w:rPr>
          <w:rFonts w:hint="eastAsia" w:ascii="仿宋_GB2312" w:hAnsi="仿宋" w:eastAsia="仿宋_GB2312" w:cs="仿宋"/>
          <w:b/>
          <w:bCs/>
          <w:sz w:val="30"/>
          <w:szCs w:val="30"/>
          <w:lang w:val="zh-TW" w:eastAsia="zh-TW"/>
        </w:rPr>
        <w:t>（</w:t>
      </w:r>
      <w:r>
        <w:rPr>
          <w:rFonts w:hint="eastAsia" w:ascii="仿宋_GB2312" w:hAnsi="仿宋" w:eastAsia="仿宋_GB2312" w:cs="仿宋"/>
          <w:b/>
          <w:bCs/>
          <w:sz w:val="30"/>
          <w:szCs w:val="30"/>
          <w:lang w:val="zh-TW"/>
        </w:rPr>
        <w:t>九</w:t>
      </w:r>
      <w:r>
        <w:rPr>
          <w:rFonts w:hint="eastAsia" w:ascii="仿宋_GB2312" w:hAnsi="仿宋" w:eastAsia="仿宋_GB2312" w:cs="仿宋"/>
          <w:b/>
          <w:bCs/>
          <w:sz w:val="30"/>
          <w:szCs w:val="30"/>
          <w:lang w:val="zh-TW" w:eastAsia="zh-TW"/>
        </w:rPr>
        <w:t>）打造安全有保障的</w:t>
      </w:r>
      <w:r>
        <w:rPr>
          <w:rFonts w:hint="eastAsia" w:ascii="仿宋_GB2312" w:hAnsi="仿宋" w:eastAsia="仿宋_GB2312" w:cs="仿宋"/>
          <w:b/>
          <w:bCs/>
          <w:sz w:val="30"/>
          <w:szCs w:val="30"/>
          <w:lang w:val="zh-TW"/>
        </w:rPr>
        <w:t>应急保障和</w:t>
      </w:r>
      <w:r>
        <w:rPr>
          <w:rFonts w:hint="eastAsia" w:ascii="仿宋_GB2312" w:hAnsi="仿宋" w:eastAsia="仿宋_GB2312" w:cs="仿宋"/>
          <w:b/>
          <w:bCs/>
          <w:sz w:val="30"/>
          <w:szCs w:val="30"/>
          <w:lang w:val="zh-TW" w:eastAsia="zh-TW"/>
        </w:rPr>
        <w:t>粮食</w:t>
      </w:r>
      <w:r>
        <w:rPr>
          <w:rFonts w:hint="eastAsia" w:ascii="仿宋_GB2312" w:hAnsi="仿宋" w:eastAsia="仿宋_GB2312" w:cs="仿宋"/>
          <w:b/>
          <w:bCs/>
          <w:sz w:val="30"/>
          <w:szCs w:val="30"/>
          <w:lang w:val="zh-TW"/>
        </w:rPr>
        <w:t>仓储</w:t>
      </w:r>
      <w:r>
        <w:rPr>
          <w:rFonts w:hint="eastAsia" w:ascii="仿宋_GB2312" w:hAnsi="仿宋" w:eastAsia="仿宋_GB2312" w:cs="仿宋"/>
          <w:b/>
          <w:bCs/>
          <w:sz w:val="30"/>
          <w:szCs w:val="30"/>
          <w:lang w:val="zh-TW" w:eastAsia="zh-TW"/>
        </w:rPr>
        <w:t>体系</w:t>
      </w:r>
      <w:bookmarkEnd w:id="38"/>
      <w:bookmarkEnd w:id="39"/>
    </w:p>
    <w:p>
      <w:pPr>
        <w:spacing w:line="6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随着全县新型城镇化、农业现代化加快发展，建设更高水平的粮食收储供应保障体系，实现快速反应、科学调度、精准调控，着力打造运转高效、生态环保的现代粮食仓储物流体系，加快实施“粮安工程”，尽快适应粮食资源，加强粮食物流重要节点建设，大力提升粮食信息化水平，运用现代信息技术改造传统粮食行业，全力提升粮食企业生产经营管理、粮食部门调控监管服务的信息化水平。全面提高粮食应急能力，纵深推进粮食流通能力现代化建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CellMar>
            <w:top w:w="0" w:type="dxa"/>
            <w:left w:w="108" w:type="dxa"/>
            <w:bottom w:w="0" w:type="dxa"/>
            <w:right w:w="108" w:type="dxa"/>
          </w:tblCellMar>
        </w:tblPrEx>
        <w:tc>
          <w:tcPr>
            <w:tcW w:w="8522" w:type="dxa"/>
            <w:shd w:val="clear" w:color="auto" w:fill="FFFFFF"/>
            <w:noWrap w:val="0"/>
            <w:vAlign w:val="top"/>
          </w:tcPr>
          <w:p>
            <w:pPr>
              <w:spacing w:line="520" w:lineRule="exact"/>
              <w:jc w:val="center"/>
              <w:rPr>
                <w:rFonts w:hint="eastAsia" w:ascii="仿宋_GB2312" w:hAnsi="仿宋" w:eastAsia="仿宋_GB2312" w:cs="宋体"/>
                <w:b/>
                <w:kern w:val="0"/>
                <w:sz w:val="24"/>
                <w:szCs w:val="24"/>
              </w:rPr>
            </w:pPr>
            <w:r>
              <w:rPr>
                <w:rFonts w:hint="eastAsia" w:ascii="仿宋_GB2312" w:hAnsi="仿宋" w:eastAsia="仿宋_GB2312" w:cs="宋体"/>
                <w:b/>
                <w:kern w:val="0"/>
                <w:sz w:val="24"/>
                <w:szCs w:val="24"/>
              </w:rPr>
              <w:t>专栏九 应急保障和粮食仓储项目规划</w:t>
            </w:r>
          </w:p>
          <w:p>
            <w:pPr>
              <w:pStyle w:val="9"/>
              <w:spacing w:line="520" w:lineRule="exact"/>
              <w:ind w:firstLine="482"/>
              <w:jc w:val="left"/>
              <w:rPr>
                <w:rFonts w:hint="eastAsia" w:ascii="仿宋_GB2312" w:hAnsi="仿宋" w:eastAsia="仿宋_GB2312"/>
                <w:b/>
                <w:sz w:val="24"/>
                <w:szCs w:val="24"/>
              </w:rPr>
            </w:pPr>
            <w:r>
              <w:rPr>
                <w:rFonts w:hint="eastAsia" w:ascii="仿宋_GB2312" w:hAnsi="仿宋" w:eastAsia="仿宋_GB2312"/>
                <w:b/>
                <w:sz w:val="24"/>
                <w:szCs w:val="24"/>
              </w:rPr>
              <w:t>华容县粮油现代物流园：</w:t>
            </w:r>
            <w:r>
              <w:rPr>
                <w:rFonts w:hint="eastAsia" w:ascii="仿宋_GB2312" w:hAnsi="黑体" w:eastAsia="仿宋_GB2312" w:cs="宋体"/>
                <w:kern w:val="0"/>
                <w:sz w:val="24"/>
                <w:szCs w:val="24"/>
              </w:rPr>
              <w:t>位于华容港区，规划用地总规模300亩，属于粮食物流仓储加工项目，建设为集粮食仓储物流、粮食加工、贸易平台、检验检测、信息服务于一体的专业化粮油现代物流园区。重点围绕中国好粮油示范县，探索新型粮食供销体系的建立。支持其它粮食加工企业、贸易企业依托华容港区建设大宗粮油物流基地。</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华容县丰穗粮食购销有限公司粮食标准化储备仓建设项目：</w:t>
            </w:r>
            <w:r>
              <w:rPr>
                <w:rFonts w:hint="eastAsia" w:ascii="仿宋_GB2312" w:hAnsi="黑体" w:eastAsia="仿宋_GB2312" w:cs="宋体"/>
                <w:kern w:val="0"/>
                <w:sz w:val="24"/>
                <w:szCs w:val="24"/>
              </w:rPr>
              <w:t>项目用地总面积为22770.1平方米，合34.16亩。新建3.5万吨（麦容）粮食仓库5栋、配套设施用房、粮食质检结算中心、配备粮库工艺设备等及相关附属设施。</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华容县战略应急物资储备库标准化建设项目：</w:t>
            </w:r>
            <w:r>
              <w:rPr>
                <w:rFonts w:hint="eastAsia" w:ascii="仿宋_GB2312" w:hAnsi="仿宋" w:eastAsia="仿宋_GB2312"/>
                <w:sz w:val="24"/>
                <w:szCs w:val="24"/>
              </w:rPr>
              <w:t>项目用地总规模4000平方米，总建筑面积3500平方米（救灾物资储备库面积800平方米、防汛器材储备库面积800平方米、其他物资储备1000平方米、办公楼和消毒加工配套用房900平方米）、及晾晒坪、停车场、围墙、绿化、消防设施及物资搬运设备等配套设施</w:t>
            </w:r>
          </w:p>
          <w:p>
            <w:pPr>
              <w:pStyle w:val="9"/>
              <w:spacing w:line="520" w:lineRule="exact"/>
              <w:ind w:firstLine="482"/>
              <w:jc w:val="left"/>
              <w:rPr>
                <w:rFonts w:hint="eastAsia" w:ascii="仿宋_GB2312" w:hAnsi="仿宋" w:eastAsia="仿宋_GB2312"/>
                <w:sz w:val="24"/>
                <w:szCs w:val="24"/>
              </w:rPr>
            </w:pPr>
            <w:r>
              <w:rPr>
                <w:rFonts w:hint="eastAsia" w:ascii="仿宋_GB2312" w:hAnsi="仿宋" w:eastAsia="仿宋_GB2312"/>
                <w:b/>
                <w:sz w:val="24"/>
                <w:szCs w:val="24"/>
              </w:rPr>
              <w:t>吉娃米业粮食应急加工及配送中心项目</w:t>
            </w:r>
            <w:r>
              <w:rPr>
                <w:rFonts w:hint="eastAsia" w:ascii="仿宋_GB2312" w:hAnsi="仿宋" w:eastAsia="仿宋_GB2312"/>
                <w:sz w:val="24"/>
                <w:szCs w:val="24"/>
              </w:rPr>
              <w:t>：项目用地总规模18亩，建筑面积4088平方米。建设日产200吨留胚大米生产线及厂房一栋、8000吨大米储存应急保障仓一栋、6000吨低温原粮储存仓一栋及功能设备、相关附属设施。</w:t>
            </w:r>
          </w:p>
        </w:tc>
      </w:tr>
    </w:tbl>
    <w:p>
      <w:pPr>
        <w:spacing w:before="100" w:beforeAutospacing="1" w:after="100" w:afterAutospacing="1" w:line="360" w:lineRule="auto"/>
        <w:jc w:val="center"/>
        <w:outlineLvl w:val="0"/>
        <w:rPr>
          <w:rFonts w:hint="eastAsia" w:ascii="仿宋_GB2312" w:hAnsi="仿宋" w:eastAsia="仿宋_GB2312"/>
          <w:b/>
          <w:color w:val="000000"/>
          <w:sz w:val="36"/>
          <w:szCs w:val="30"/>
        </w:rPr>
      </w:pPr>
      <w:r>
        <w:rPr>
          <w:rFonts w:hint="eastAsia" w:ascii="仿宋_GB2312" w:hAnsi="仿宋" w:eastAsia="仿宋_GB2312"/>
          <w:b/>
          <w:color w:val="000000"/>
          <w:sz w:val="36"/>
          <w:szCs w:val="30"/>
        </w:rPr>
        <w:br w:type="page"/>
      </w:r>
      <w:bookmarkStart w:id="40" w:name="_Toc62653461"/>
      <w:r>
        <w:rPr>
          <w:rFonts w:hint="eastAsia" w:ascii="仿宋_GB2312" w:hAnsi="仿宋" w:eastAsia="仿宋_GB2312"/>
          <w:b/>
          <w:color w:val="000000"/>
          <w:sz w:val="36"/>
          <w:szCs w:val="30"/>
        </w:rPr>
        <w:t>五、保障措施</w:t>
      </w:r>
      <w:bookmarkEnd w:id="40"/>
    </w:p>
    <w:p>
      <w:pPr>
        <w:spacing w:line="640" w:lineRule="exact"/>
        <w:ind w:firstLine="602"/>
        <w:outlineLvl w:val="1"/>
        <w:rPr>
          <w:rFonts w:hint="eastAsia" w:ascii="仿宋_GB2312" w:hAnsi="仿宋" w:eastAsia="仿宋_GB2312" w:cs="仿宋"/>
          <w:b/>
          <w:sz w:val="30"/>
          <w:szCs w:val="30"/>
          <w:lang w:val="zh-TW" w:eastAsia="zh-TW"/>
        </w:rPr>
      </w:pPr>
      <w:bookmarkStart w:id="41" w:name="_Toc62653462"/>
      <w:r>
        <w:rPr>
          <w:rFonts w:hint="eastAsia" w:ascii="仿宋_GB2312" w:hAnsi="仿宋" w:eastAsia="仿宋_GB2312" w:cs="仿宋"/>
          <w:b/>
          <w:sz w:val="30"/>
          <w:szCs w:val="30"/>
          <w:lang w:val="zh-TW" w:eastAsia="zh-TW"/>
        </w:rPr>
        <w:t>（一）强化政策支持</w:t>
      </w:r>
      <w:bookmarkEnd w:id="41"/>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全面改善商贸流通产业的政策环境，加强资金、土地等发展要素的保障，同时加大对本土龙头企业和重点项目的支持力度和中小商贸企业的扶持力度。一是设立华容县商贸流通专项资金，扩大财政资金规模，完善商贸流通企业和金融业合作机制，搭建全新的融资平台，扩宽商贸流通企业的融资渠道，鼓励金融机构和民间资本参与；二是优化土地管理制度，适当增加商贸用地指标，争取国土、规划部门对农产品批发市场、农贸市场、物流配送中心等流通基础设施和重大流通项目用地优先予以保障；三是重点支持县商贸流通品牌产业和薄弱环节，加大商贸流通企业扶持力度，降低商贸流通企业成本。搭建品牌信息处理平台，形成有效的品牌维护及竞争策略，扩大和提升本土重点产业的品牌影响力，加快形成以本土龙头企业为核心的商贸流通产业链。</w:t>
      </w:r>
    </w:p>
    <w:p>
      <w:pPr>
        <w:spacing w:line="640" w:lineRule="exact"/>
        <w:ind w:firstLine="602"/>
        <w:outlineLvl w:val="1"/>
        <w:rPr>
          <w:rFonts w:hint="eastAsia" w:ascii="仿宋_GB2312" w:hAnsi="仿宋" w:eastAsia="仿宋_GB2312" w:cs="仿宋"/>
          <w:b/>
          <w:sz w:val="30"/>
          <w:szCs w:val="30"/>
          <w:lang w:val="zh-TW" w:eastAsia="zh-TW"/>
        </w:rPr>
      </w:pPr>
      <w:bookmarkStart w:id="42" w:name="_Toc62653463"/>
      <w:r>
        <w:rPr>
          <w:rFonts w:hint="eastAsia" w:ascii="仿宋_GB2312" w:hAnsi="仿宋" w:eastAsia="仿宋_GB2312" w:cs="仿宋"/>
          <w:b/>
          <w:sz w:val="30"/>
          <w:szCs w:val="30"/>
          <w:lang w:val="zh-TW" w:eastAsia="zh-TW"/>
        </w:rPr>
        <w:t>（二）优化发展环境</w:t>
      </w:r>
      <w:bookmarkEnd w:id="42"/>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政府要为流通产业发展营造透明公正便捷高效的营商环境，严格执行《优化营商环境条例》和《湖南省优化经济发展环境规定》，落实国家关于复制广</w:t>
      </w:r>
      <w:r>
        <w:rPr>
          <w:rFonts w:hint="eastAsia" w:ascii="仿宋_GB2312" w:hAnsi="仿宋" w:eastAsia="仿宋_GB2312" w:cs="仿宋"/>
          <w:bCs/>
          <w:sz w:val="30"/>
          <w:szCs w:val="30"/>
          <w:lang w:val="zh-TW"/>
        </w:rPr>
        <w:t>东</w:t>
      </w:r>
      <w:r>
        <w:rPr>
          <w:rFonts w:hint="eastAsia" w:ascii="仿宋_GB2312" w:hAnsi="仿宋" w:eastAsia="仿宋_GB2312" w:cs="仿宋"/>
          <w:bCs/>
          <w:sz w:val="30"/>
          <w:szCs w:val="30"/>
          <w:lang w:val="zh-TW" w:eastAsia="zh-TW"/>
        </w:rPr>
        <w:t>自贸区、京沪两地优化营商环境改革举措的要求，坚持市场化、法制化、国际化的原则，实行市场准入负面清单和公平竞争审查制度，加快打造市场化、法治化、国际化营商环境。充分发挥市场在资源配置中起决定性作用的同时。坚定不移优化营商环境，降低市场准入门槛。一是强化为市场主体服务，同时发挥政府对商贸流通业的服务力度；二是为就业创业提供便利，严格按照国家、省、市对支持商贸流通业发展的法律法规，优化流通企业行政审批，提高审批效率；三是完善执法监督机制，实行多部门联合执法相互监督，精简执法程序，着力解决职能问题；四是加快构建华容高质量发展“防火墙”，完善市场应急体系，严格守住防范化解重大风险的底线，进一步提高市场供应和应急能力。</w:t>
      </w:r>
    </w:p>
    <w:p>
      <w:pPr>
        <w:spacing w:line="640" w:lineRule="exact"/>
        <w:ind w:firstLine="602"/>
        <w:outlineLvl w:val="1"/>
        <w:rPr>
          <w:rFonts w:hint="eastAsia" w:ascii="仿宋_GB2312" w:hAnsi="仿宋" w:eastAsia="仿宋_GB2312" w:cs="仿宋"/>
          <w:b/>
          <w:sz w:val="30"/>
          <w:szCs w:val="30"/>
          <w:lang w:val="zh-TW" w:eastAsia="zh-TW"/>
        </w:rPr>
      </w:pPr>
      <w:bookmarkStart w:id="43" w:name="_Toc62653464"/>
      <w:r>
        <w:rPr>
          <w:rFonts w:hint="eastAsia" w:ascii="仿宋_GB2312" w:hAnsi="仿宋" w:eastAsia="仿宋_GB2312" w:cs="仿宋"/>
          <w:b/>
          <w:sz w:val="30"/>
          <w:szCs w:val="30"/>
          <w:lang w:val="zh-TW" w:eastAsia="zh-TW"/>
        </w:rPr>
        <w:t>（三）加强规划实施管理</w:t>
      </w:r>
      <w:bookmarkEnd w:id="43"/>
    </w:p>
    <w:p>
      <w:pPr>
        <w:pStyle w:val="9"/>
        <w:spacing w:line="640" w:lineRule="exact"/>
        <w:ind w:firstLine="602"/>
        <w:rPr>
          <w:rFonts w:hint="eastAsia" w:ascii="仿宋_GB2312" w:hAnsi="仿宋" w:eastAsia="仿宋_GB2312" w:cs="仿宋"/>
          <w:bCs/>
          <w:sz w:val="30"/>
          <w:szCs w:val="30"/>
          <w:lang w:val="zh-TW" w:eastAsia="zh-TW"/>
        </w:rPr>
      </w:pPr>
      <w:r>
        <w:rPr>
          <w:rFonts w:hint="eastAsia" w:ascii="仿宋_GB2312" w:hAnsi="仿宋" w:eastAsia="仿宋_GB2312" w:cs="仿宋"/>
          <w:b/>
          <w:bCs/>
          <w:sz w:val="30"/>
          <w:szCs w:val="30"/>
          <w:lang w:val="zh-TW" w:eastAsia="zh-TW"/>
        </w:rPr>
        <w:t>加强组织领导</w:t>
      </w:r>
      <w:r>
        <w:rPr>
          <w:rFonts w:hint="eastAsia" w:ascii="仿宋_GB2312" w:hAnsi="仿宋" w:eastAsia="仿宋_GB2312" w:cs="仿宋"/>
          <w:bCs/>
          <w:sz w:val="30"/>
          <w:szCs w:val="30"/>
          <w:lang w:val="zh-TW" w:eastAsia="zh-TW"/>
        </w:rPr>
        <w:t>进一步发挥县商贸流通产业促进领导小组统筹协调职能，建立商贸流通重大推进事项会议协调机制，加强对相关规划、重大政策、企业发展和重大项目建设等指导协调，同时让更多的社会大众通过法定程序参与规划的决策与监督，推进公众参与项目决策、实施的规范化、制度化。强化“互联网+监督”，加快公共资源交易全流程电子化进程。严格落实 “一岗双责”，加强政府系统党风廉政建设。</w:t>
      </w:r>
    </w:p>
    <w:p>
      <w:pPr>
        <w:pStyle w:val="9"/>
        <w:spacing w:line="640" w:lineRule="exact"/>
        <w:ind w:firstLine="602"/>
        <w:rPr>
          <w:rFonts w:hint="eastAsia" w:ascii="仿宋_GB2312" w:hAnsi="仿宋" w:eastAsia="仿宋_GB2312" w:cs="仿宋"/>
          <w:b/>
          <w:bCs/>
          <w:sz w:val="30"/>
          <w:szCs w:val="30"/>
          <w:lang w:val="zh-TW" w:eastAsia="zh-TW"/>
        </w:rPr>
      </w:pPr>
      <w:r>
        <w:rPr>
          <w:rFonts w:hint="eastAsia" w:ascii="仿宋_GB2312" w:hAnsi="仿宋" w:eastAsia="仿宋_GB2312" w:cs="仿宋"/>
          <w:b/>
          <w:bCs/>
          <w:sz w:val="30"/>
          <w:szCs w:val="30"/>
          <w:lang w:val="zh-TW" w:eastAsia="zh-TW"/>
        </w:rPr>
        <w:t>完善项目支撑体系</w:t>
      </w:r>
      <w:r>
        <w:rPr>
          <w:rFonts w:hint="eastAsia" w:ascii="仿宋_GB2312" w:hAnsi="仿宋" w:eastAsia="仿宋_GB2312" w:cs="仿宋"/>
          <w:bCs/>
          <w:sz w:val="30"/>
          <w:szCs w:val="30"/>
          <w:lang w:val="zh-TW" w:eastAsia="zh-TW"/>
        </w:rPr>
        <w:t>坚持以新发展理念为引领，深入践行“一三五”基本思路。突出项目建设，显著增强发展后劲。突出抓好“十四五”项目库重点项目，强化规划引导，协调解决商贸流通业发展规划与各地方城市总体规划、土地利用规划、交通发展规划、工业发展规划、城市道路建设规划和旅游规划等的相互关系，使各个规划能够相互衔接，有机结合，保证商贸流通业发展规划的实施。强力推动华容商贸流通业高质量发展，奋力谱写建设富饶美丽幸福新湖南的华容篇章。</w:t>
      </w:r>
    </w:p>
    <w:p>
      <w:pPr>
        <w:spacing w:line="640" w:lineRule="exact"/>
        <w:ind w:firstLine="602"/>
        <w:outlineLvl w:val="1"/>
        <w:rPr>
          <w:rFonts w:hint="eastAsia" w:ascii="仿宋_GB2312" w:hAnsi="仿宋" w:eastAsia="仿宋_GB2312" w:cs="仿宋"/>
          <w:b/>
          <w:sz w:val="30"/>
          <w:szCs w:val="30"/>
          <w:lang w:val="zh-TW" w:eastAsia="zh-TW"/>
        </w:rPr>
      </w:pPr>
      <w:bookmarkStart w:id="44" w:name="_Toc62653465"/>
      <w:r>
        <w:rPr>
          <w:rFonts w:hint="eastAsia" w:ascii="仿宋_GB2312" w:hAnsi="仿宋" w:eastAsia="仿宋_GB2312" w:cs="仿宋"/>
          <w:b/>
          <w:sz w:val="30"/>
          <w:szCs w:val="30"/>
          <w:lang w:val="zh-TW" w:eastAsia="zh-TW"/>
        </w:rPr>
        <w:t>（四）提高产业信息化程度，加快信息平台建设</w:t>
      </w:r>
      <w:bookmarkEnd w:id="44"/>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主动适应“互联网+”时代发展新趋势，拓展华容县网络经济空间，积极推广5G网络技术、物联网、计算机等现代化信息工具在商贸流通领域中的应用，提升商贸零售企业的经营、管理方式和水平。加强零售、餐饮住宿、社区服务、电子商务、重大项目建设、流通产业等领域的大数据开发、分析与应用。鼓励企业间数据共享，形成数据共享共用的可靠平台，搭建商贸流通业统计调查机制和评价体系，不断提高数据数量，保证数据质量。重点鼓励发展电子商务、网上购物、电视购物、电话购物、自动售货等新型交易方式；鼓励微信、支付宝等移动支付应用，提高社会支付效率；加快现代物流体系建设，提升商品流通速度。努力建成“网络化、智能化、服务化、协同化”的“互联网+”产业生态体系。</w:t>
      </w:r>
    </w:p>
    <w:p>
      <w:pPr>
        <w:spacing w:line="640" w:lineRule="exact"/>
        <w:ind w:firstLine="602"/>
        <w:outlineLvl w:val="1"/>
        <w:rPr>
          <w:rFonts w:hint="eastAsia" w:ascii="仿宋_GB2312" w:hAnsi="仿宋" w:eastAsia="仿宋_GB2312" w:cs="仿宋"/>
          <w:b/>
          <w:sz w:val="30"/>
          <w:szCs w:val="30"/>
          <w:lang w:val="zh-TW" w:eastAsia="zh-TW"/>
        </w:rPr>
      </w:pPr>
      <w:bookmarkStart w:id="45" w:name="_Toc62653466"/>
      <w:r>
        <w:rPr>
          <w:rFonts w:hint="eastAsia" w:ascii="仿宋_GB2312" w:hAnsi="仿宋" w:eastAsia="仿宋_GB2312" w:cs="仿宋"/>
          <w:b/>
          <w:sz w:val="30"/>
          <w:szCs w:val="30"/>
          <w:lang w:val="zh-TW" w:eastAsia="zh-TW"/>
        </w:rPr>
        <w:t>（五）加强人才队伍建设</w:t>
      </w:r>
      <w:bookmarkEnd w:id="45"/>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大力引进和培养商贸流通专业人才，构建商贸发展人才队伍，提高商贸流通领域员工的整体素质，重点推动高端商务人才的优化聚集，全面加强商务领域人才队伍建设。引进人才纳入全县重点人才培养计划，给予人才补贴、住房保障、医疗保障、职称评聘、政治待遇、配偶随迁安置和子女入学安排等优惠政策。鼓励开设现代物流、电子商务、现代会展等专业，培养符合产业发展需要的专业人才。打造一批商贸流通业专业人才培训示范基地。统筹规划全县商务人才资源，开展社会化继续教育、职业技能培训等，推动商贸流通企业与省内外教育与培训机构的联合与合作，完善人才教育支撑体系，加大各类急需适用人才培养力度；加强全县商务</w:t>
      </w:r>
      <w:r>
        <w:rPr>
          <w:rFonts w:hint="eastAsia" w:ascii="仿宋_GB2312" w:hAnsi="仿宋" w:eastAsia="仿宋_GB2312" w:cs="仿宋"/>
          <w:bCs/>
          <w:sz w:val="30"/>
          <w:szCs w:val="30"/>
          <w:lang w:val="zh-TW"/>
        </w:rPr>
        <w:t>粮食</w:t>
      </w:r>
      <w:r>
        <w:rPr>
          <w:rFonts w:hint="eastAsia" w:ascii="仿宋_GB2312" w:hAnsi="仿宋" w:eastAsia="仿宋_GB2312" w:cs="仿宋"/>
          <w:bCs/>
          <w:sz w:val="30"/>
          <w:szCs w:val="30"/>
          <w:lang w:val="zh-TW" w:eastAsia="zh-TW"/>
        </w:rPr>
        <w:t>系统干部队伍、企业经营管理队伍、专业技术队伍的培训；积极推进商务人才在国内外的合作、交流、培训。</w:t>
      </w:r>
    </w:p>
    <w:p>
      <w:pPr>
        <w:spacing w:line="640" w:lineRule="exact"/>
        <w:ind w:firstLine="602"/>
        <w:outlineLvl w:val="1"/>
        <w:rPr>
          <w:rFonts w:hint="eastAsia" w:ascii="仿宋_GB2312" w:hAnsi="仿宋" w:eastAsia="仿宋_GB2312" w:cs="仿宋"/>
          <w:b/>
          <w:sz w:val="30"/>
          <w:szCs w:val="30"/>
          <w:lang w:val="zh-TW" w:eastAsia="zh-TW"/>
        </w:rPr>
      </w:pPr>
      <w:bookmarkStart w:id="46" w:name="_Toc62653467"/>
      <w:r>
        <w:rPr>
          <w:rFonts w:hint="eastAsia" w:ascii="仿宋_GB2312" w:hAnsi="仿宋" w:eastAsia="仿宋_GB2312" w:cs="仿宋"/>
          <w:b/>
          <w:sz w:val="30"/>
          <w:szCs w:val="30"/>
          <w:lang w:val="zh-TW" w:eastAsia="zh-TW"/>
        </w:rPr>
        <w:t>（六）支持行业协会加快发展</w:t>
      </w:r>
      <w:bookmarkEnd w:id="46"/>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鼓励发展商贸流通行业专业协会的建设，培育一批有一定知名度和影响力的内贸流通行业协会。引导行业协会制定行业规范和标准，加强行业协会的自身建设，提升行业的信用评价。政府要简政放权，推动行业协会与行政机关脱钩，制订政府职能转移目录、服务采购目录、行业组织资质目录，将部分事务性工作事项交由行业协会承担，加大政府购买服务力度。同时鼓励行业协会构建信息公共平台，加强行业管理，明确具体监测指标，确保数据信息完整可靠，为流通业提供政策、法律、资金、技术、人才等服务，及时反映产业发展情况，保障流通企业快速发展。</w:t>
      </w:r>
    </w:p>
    <w:p>
      <w:pPr>
        <w:spacing w:line="640" w:lineRule="exact"/>
        <w:rPr>
          <w:rFonts w:hint="eastAsia" w:ascii="仿宋_GB2312" w:hAnsi="宋体" w:eastAsia="仿宋_GB2312"/>
          <w:sz w:val="30"/>
          <w:szCs w:val="30"/>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spacing w:before="100" w:beforeAutospacing="1" w:after="100" w:afterAutospacing="1" w:line="360" w:lineRule="auto"/>
        <w:jc w:val="left"/>
        <w:outlineLvl w:val="0"/>
        <w:rPr>
          <w:rFonts w:hint="eastAsia" w:ascii="仿宋_GB2312" w:hAnsi="宋体" w:eastAsia="仿宋_GB2312" w:cs="宋体"/>
          <w:b/>
          <w:bCs/>
          <w:kern w:val="0"/>
          <w:sz w:val="28"/>
          <w:szCs w:val="30"/>
        </w:rPr>
      </w:pPr>
      <w:bookmarkStart w:id="47" w:name="_Toc62653468"/>
      <w:r>
        <w:rPr>
          <w:rFonts w:hint="eastAsia" w:ascii="仿宋_GB2312" w:hAnsi="仿宋" w:eastAsia="仿宋_GB2312"/>
          <w:b/>
          <w:color w:val="000000"/>
          <w:sz w:val="32"/>
          <w:szCs w:val="30"/>
        </w:rPr>
        <w:t xml:space="preserve">附件一  </w:t>
      </w:r>
      <w:r>
        <w:rPr>
          <w:rFonts w:hint="eastAsia" w:ascii="仿宋_GB2312" w:hAnsi="宋体" w:eastAsia="仿宋_GB2312" w:cs="宋体"/>
          <w:b/>
          <w:bCs/>
          <w:kern w:val="0"/>
          <w:sz w:val="32"/>
          <w:szCs w:val="36"/>
        </w:rPr>
        <w:t>华容县商贸流通和粮食产业“十四五”规划重大项目一览表</w:t>
      </w:r>
      <w:bookmarkEnd w:id="47"/>
    </w:p>
    <w:tbl>
      <w:tblPr>
        <w:tblStyle w:val="6"/>
        <w:tblW w:w="4958" w:type="pct"/>
        <w:jc w:val="center"/>
        <w:tblLayout w:type="autofit"/>
        <w:tblCellMar>
          <w:top w:w="0" w:type="dxa"/>
          <w:left w:w="108" w:type="dxa"/>
          <w:bottom w:w="0" w:type="dxa"/>
          <w:right w:w="108" w:type="dxa"/>
        </w:tblCellMar>
      </w:tblPr>
      <w:tblGrid>
        <w:gridCol w:w="850"/>
        <w:gridCol w:w="1274"/>
        <w:gridCol w:w="1277"/>
        <w:gridCol w:w="2524"/>
        <w:gridCol w:w="1202"/>
        <w:gridCol w:w="740"/>
        <w:gridCol w:w="1297"/>
      </w:tblGrid>
      <w:tr>
        <w:tblPrEx>
          <w:tblCellMar>
            <w:top w:w="0" w:type="dxa"/>
            <w:left w:w="108" w:type="dxa"/>
            <w:bottom w:w="0" w:type="dxa"/>
            <w:right w:w="108" w:type="dxa"/>
          </w:tblCellMar>
        </w:tblPrEx>
        <w:trPr>
          <w:cantSplit/>
          <w:trHeight w:val="750" w:hRule="atLeast"/>
          <w:tblHeader/>
          <w:jc w:val="center"/>
        </w:trPr>
        <w:tc>
          <w:tcPr>
            <w:tcW w:w="46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序号</w:t>
            </w:r>
          </w:p>
        </w:tc>
        <w:tc>
          <w:tcPr>
            <w:tcW w:w="695"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名称</w:t>
            </w:r>
          </w:p>
        </w:tc>
        <w:tc>
          <w:tcPr>
            <w:tcW w:w="697"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建设地址</w:t>
            </w:r>
          </w:p>
        </w:tc>
        <w:tc>
          <w:tcPr>
            <w:tcW w:w="1377"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建设规模及主要内容</w:t>
            </w:r>
          </w:p>
        </w:tc>
        <w:tc>
          <w:tcPr>
            <w:tcW w:w="656"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计划投资（亿元）</w:t>
            </w:r>
          </w:p>
        </w:tc>
        <w:tc>
          <w:tcPr>
            <w:tcW w:w="404"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建设性质</w:t>
            </w:r>
          </w:p>
        </w:tc>
        <w:tc>
          <w:tcPr>
            <w:tcW w:w="707"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建设起止</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一、城镇现代商贸服务（7个）</w:t>
            </w:r>
          </w:p>
        </w:tc>
      </w:tr>
      <w:tr>
        <w:tblPrEx>
          <w:tblCellMar>
            <w:top w:w="0" w:type="dxa"/>
            <w:left w:w="108" w:type="dxa"/>
            <w:bottom w:w="0" w:type="dxa"/>
            <w:right w:w="108" w:type="dxa"/>
          </w:tblCellMar>
        </w:tblPrEx>
        <w:trPr>
          <w:cantSplit/>
          <w:trHeight w:val="75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状元湖民俗商业街</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状元湖沿线</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依托状元湖生态湿地公园、烈士公园、烈士博物馆等文化底蕴打造一个民俗文化风情街，包括城市印象展示、民间传统手工艺、古玩古画、休闲购物、地方美食、民风民俗体验的环形商业步行街，首期规划街长约1000米。</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3</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2021-2024</w:t>
            </w:r>
          </w:p>
        </w:tc>
      </w:tr>
      <w:tr>
        <w:tblPrEx>
          <w:tblCellMar>
            <w:top w:w="0" w:type="dxa"/>
            <w:left w:w="108" w:type="dxa"/>
            <w:bottom w:w="0" w:type="dxa"/>
            <w:right w:w="108" w:type="dxa"/>
          </w:tblCellMar>
        </w:tblPrEx>
        <w:trPr>
          <w:cantSplit/>
          <w:trHeight w:val="75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步步高新天地商业综合体</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西正街与范蠡中路交汇处东北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在建大型购物中心，建筑面积约5万平方米。项目属于老城升级的主要综合配套，是按照现代商业理念建设的集休闲、娱乐、餐饮、购物、亲子为一体的大型综合项目，将带动提升全县消费服务场所形象。</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5</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2021-2023</w:t>
            </w:r>
          </w:p>
        </w:tc>
      </w:tr>
      <w:tr>
        <w:tblPrEx>
          <w:tblCellMar>
            <w:top w:w="0" w:type="dxa"/>
            <w:left w:w="108" w:type="dxa"/>
            <w:bottom w:w="0" w:type="dxa"/>
            <w:right w:w="108" w:type="dxa"/>
          </w:tblCellMar>
        </w:tblPrEx>
        <w:trPr>
          <w:cantSplit/>
          <w:trHeight w:val="75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w:t>
            </w:r>
          </w:p>
        </w:tc>
        <w:tc>
          <w:tcPr>
            <w:tcW w:w="695"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城北（泰和）城市综合体</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迎宾北路与杏花村东路交汇处西南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建筑面积约8万多平方米，盘活项目，完成招商、内外装修、开业运营等相关工作，建设集五星级酒店和综合商业配套于一体的城市商业综合体。</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续建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75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火车站商业步行街</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华容火车站站前区域</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规划新建火车站前商业步行街，街长500米，未来服务于华容站，打造一条具有本地特色，满足往来游客购物、餐饮、休闲、住宿、娱乐的综合性商业街区。</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338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5</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注滋口镇水乡风情街</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注滋口镇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仿宋" w:eastAsia="仿宋_GB2312"/>
                <w:sz w:val="24"/>
                <w:szCs w:val="24"/>
              </w:rPr>
              <w:t>以藕池河和洞庭湖湖区生态环境为基础，发挥本地农特产和优势水产资源，打造以水乡文化底蕴的滨河特色餐饮休闲街区，促进注滋口城镇的商贸流通发展，提升城镇整体形象</w:t>
            </w:r>
            <w:r>
              <w:rPr>
                <w:rFonts w:hint="eastAsia" w:ascii="仿宋_GB2312" w:hAnsi="黑体" w:eastAsia="仿宋_GB2312" w:cs="宋体"/>
                <w:kern w:val="0"/>
                <w:sz w:val="24"/>
                <w:szCs w:val="24"/>
              </w:rPr>
              <w:t>。</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0.8</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w:t>
            </w:r>
            <w:r>
              <w:rPr>
                <w:rFonts w:ascii="仿宋_GB2312" w:hAnsi="黑体" w:eastAsia="仿宋_GB2312" w:cs="宋体"/>
                <w:color w:val="000000"/>
                <w:kern w:val="0"/>
                <w:sz w:val="24"/>
                <w:szCs w:val="24"/>
              </w:rPr>
              <w:t>5</w:t>
            </w:r>
          </w:p>
        </w:tc>
      </w:tr>
      <w:tr>
        <w:tblPrEx>
          <w:tblCellMar>
            <w:top w:w="0" w:type="dxa"/>
            <w:left w:w="108" w:type="dxa"/>
            <w:bottom w:w="0" w:type="dxa"/>
            <w:right w:w="108" w:type="dxa"/>
          </w:tblCellMar>
        </w:tblPrEx>
        <w:trPr>
          <w:cantSplit/>
          <w:trHeight w:val="4247"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东山镇塔市驿商业特色街</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塔市驿镇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围绕塔市驿文化历史底蕴和区域地理位置，打造湘北文化特色商业街区，建设具有地方文化特色的综合性商业街区，包括精品酒店、游客集散中心、城市广场、商业步行街、商业综合体和特色民宿，打造成为具有代表性的滨江特色文化长廊。</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w:t>
            </w:r>
            <w:r>
              <w:rPr>
                <w:rFonts w:ascii="仿宋_GB2312" w:hAnsi="黑体" w:eastAsia="仿宋_GB2312" w:cs="宋体"/>
                <w:color w:val="000000"/>
                <w:kern w:val="0"/>
                <w:sz w:val="24"/>
                <w:szCs w:val="24"/>
              </w:rPr>
              <w:t>5</w:t>
            </w:r>
          </w:p>
        </w:tc>
      </w:tr>
      <w:tr>
        <w:tblPrEx>
          <w:tblCellMar>
            <w:top w:w="0" w:type="dxa"/>
            <w:left w:w="108" w:type="dxa"/>
            <w:bottom w:w="0" w:type="dxa"/>
            <w:right w:w="108" w:type="dxa"/>
          </w:tblCellMar>
        </w:tblPrEx>
        <w:trPr>
          <w:cantSplit/>
          <w:trHeight w:val="192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7</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三封寺镇华一村农旅休闲基地</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三封寺镇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依托七女峰旅游风景区建设一批特色民宿和农家乐，打造近郊休闲目的地，丰富城市居民休闲生活。</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2022-202</w:t>
            </w:r>
            <w:r>
              <w:rPr>
                <w:rFonts w:ascii="仿宋_GB2312" w:hAnsi="黑体" w:eastAsia="仿宋_GB2312" w:cs="宋体"/>
                <w:color w:val="000000"/>
                <w:kern w:val="0"/>
                <w:sz w:val="24"/>
                <w:szCs w:val="24"/>
              </w:rPr>
              <w:t>5</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二、现代流通（20个）</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（一）商品交易市场（5个）</w:t>
            </w:r>
          </w:p>
        </w:tc>
      </w:tr>
      <w:tr>
        <w:tblPrEx>
          <w:tblCellMar>
            <w:top w:w="0" w:type="dxa"/>
            <w:left w:w="108" w:type="dxa"/>
            <w:bottom w:w="0" w:type="dxa"/>
            <w:right w:w="108" w:type="dxa"/>
          </w:tblCellMar>
        </w:tblPrEx>
        <w:trPr>
          <w:cantSplit/>
          <w:trHeight w:val="76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8</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中农联农产品电商物流园</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华容大道东段以北，华都国家建材城西侧</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用地总规模105亩。按照辐射整个湘北鄂南市场的农产品综合市场，整合农产品集散、批发、交易、冷链物流、电商等功能。积极发展农产品电子商务交易，打造垂直电商平台。成为推动全县现代农业发展，科学建立农产品消费流通体系中的核心，并与城乡农贸市场、生鲜超市共同形成农副产品的批零网络。</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5</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w:t>
            </w:r>
            <w:r>
              <w:rPr>
                <w:rFonts w:ascii="仿宋_GB2312" w:hAnsi="黑体" w:eastAsia="仿宋_GB2312" w:cs="宋体"/>
                <w:color w:val="000000"/>
                <w:kern w:val="0"/>
                <w:sz w:val="24"/>
                <w:szCs w:val="24"/>
              </w:rPr>
              <w:t>2</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9</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湘北汽车城</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人民大道南段</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规划用地总规模171.68亩，拟建集汽车展览、新车销售、二手车交易、汽车修理美容、汽车配件销售等功能于一体的管理规范的汽车产业城。</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4</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w:t>
            </w:r>
            <w:r>
              <w:rPr>
                <w:rFonts w:ascii="仿宋_GB2312" w:hAnsi="黑体" w:eastAsia="仿宋_GB2312" w:cs="宋体"/>
                <w:color w:val="000000"/>
                <w:kern w:val="0"/>
                <w:sz w:val="24"/>
                <w:szCs w:val="24"/>
              </w:rPr>
              <w:t>2</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10</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华都国际建材城</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华容大道东段</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用地总规模147亩，规划总建筑面积约17.2万平方米的华都国际建材城的整体开业，形成以家居交易、建材交易、家具用品交易为主的消费市场。</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续建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2021-2022</w:t>
            </w:r>
          </w:p>
        </w:tc>
      </w:tr>
      <w:tr>
        <w:tblPrEx>
          <w:tblCellMar>
            <w:top w:w="0" w:type="dxa"/>
            <w:left w:w="108" w:type="dxa"/>
            <w:bottom w:w="0" w:type="dxa"/>
            <w:right w:w="108" w:type="dxa"/>
          </w:tblCellMar>
        </w:tblPrEx>
        <w:trPr>
          <w:cantSplit/>
          <w:trHeight w:val="76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11</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正诚综合交易市场</w:t>
            </w:r>
          </w:p>
        </w:tc>
        <w:tc>
          <w:tcPr>
            <w:tcW w:w="697" w:type="pct"/>
            <w:tcBorders>
              <w:top w:val="nil"/>
              <w:left w:val="nil"/>
              <w:bottom w:val="single" w:color="auto" w:sz="8"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章华镇蔡兴村，306东侧，远大农资市场以南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推动在建的正诚综合市场的开业运营，以二手商品交易、回收为主的综合性市场，用地总规模74亩。</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2021-2023</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12</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再生资源交易市场</w:t>
            </w:r>
          </w:p>
        </w:tc>
        <w:tc>
          <w:tcPr>
            <w:tcW w:w="697" w:type="pct"/>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浩吉铁路华容站场以北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规划用地总规模约72亩，拟建以报废汽车零件回收拆解、再生资源回收、应急救援管理服务、普通货物运输、汽车维修等功能为一体的专业市场。</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1.2</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2021-2023</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（二）现代物流业（5个）</w:t>
            </w:r>
          </w:p>
        </w:tc>
      </w:tr>
      <w:tr>
        <w:tblPrEx>
          <w:tblCellMar>
            <w:top w:w="0" w:type="dxa"/>
            <w:left w:w="108" w:type="dxa"/>
            <w:bottom w:w="0" w:type="dxa"/>
            <w:right w:w="108" w:type="dxa"/>
          </w:tblCellMar>
        </w:tblPrEx>
        <w:trPr>
          <w:cantSplit/>
          <w:trHeight w:val="112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13</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华容铁水联运储备基地</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位于长江右岸、华容县境东北部洪山头镇长宁村，属于岳阳港华容港区洪山头作业区</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总用地总规模约2475亩，设计近期周转能力近期1400万吨/年、二期3600万吨/年、远期5000万吨/年，建设内容包括铁路专用线、铁水联运码头及煤炭物流园三部分：1.铁路专用线，总长度29.712公里，其中正线长约27.285公里，松木桥疏解线长约2.427公里，按国铁Ⅱ级标准建设；2.铁水联运码头，新建4个3000吨级煤炭出口泊位；3.煤炭物流园，总投资10亿元，主要建设受煤设施、全面储煤设施。</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26</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续建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18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14</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宏发智慧物流园</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高铁新城现代智慧物流园区，十里铺华容火车站南，陵园湖以东，华容大道东路以北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项目规划用地总规模135.6亩。项目以智慧物流模式，打造集电子商务（含农村电商平台）、名优特农产品展示展销、零担快递物流、大型智能仓储、冷链仓储物流、第三方物流、最后一公里物流配送、产品质量追溯、与物联网平台对接、供应链金融等配套服务于一体的现代物流平台，分信息交易、电商中心、零担货运、冷链运输、中转仓储、再生物资仓储、冷库和车辆检测站、加油加气站等功能。总建筑面积70277.5平方米，包括综合楼20998.5平方米，再生物资仓库12350.0平方米，零担专线11837.4平方米，分拣中心13526.7平方米，冷链仓库6315平方米，维修车间2713.4平方米，加油站840平方米，检测用房1622.5平方米，门卫74.0平方米。</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3</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75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15</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宏超智慧物流园（二期）</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高铁新城现代智慧物流园区，华容大道东路与桥东路交汇处西侧地块内</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新征南侧用地40亩，新建4000平米冷链仓库、4000平米普通物流仓库、18000平米停车场</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续建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2021-2024</w:t>
            </w:r>
          </w:p>
        </w:tc>
      </w:tr>
      <w:tr>
        <w:tblPrEx>
          <w:tblCellMar>
            <w:top w:w="0" w:type="dxa"/>
            <w:left w:w="108" w:type="dxa"/>
            <w:bottom w:w="0" w:type="dxa"/>
            <w:right w:w="108" w:type="dxa"/>
          </w:tblCellMar>
        </w:tblPrEx>
        <w:trPr>
          <w:cantSplit/>
          <w:trHeight w:val="75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16</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快递物流分拣配送中心</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高铁新城现代智慧物流园区</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规划用地总规模15亩，包括物流配送中心、仓储中心、物流信息中心（物流大数据平台）、配送库区、交易展示厅及办公区，配套物流设备、运输车辆、计算机及网络设备系统等。</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0.3</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17</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农资配送中心</w:t>
            </w:r>
          </w:p>
        </w:tc>
        <w:tc>
          <w:tcPr>
            <w:tcW w:w="697" w:type="pct"/>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章华镇护城社区</w:t>
            </w:r>
          </w:p>
        </w:tc>
        <w:tc>
          <w:tcPr>
            <w:tcW w:w="1377" w:type="pct"/>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规划用地总规模30亩，结合湘北农机大市场和远大农资市场的农资农机交易，提供面向区域农村地区的农业物资周转配送服务。</w:t>
            </w:r>
          </w:p>
        </w:tc>
        <w:tc>
          <w:tcPr>
            <w:tcW w:w="656"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0.8</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（三）农贸市场（10个）</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18</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书院路菜市场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书院路与一纺巷交汇处西北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标准菜市场，规划用地总规模1500平方米，核心服务范围为状元湖周边区域</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0.5</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2021-2023</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19</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北岸尚都菜市场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华鲇路与白鼎山南路交汇处东北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标准菜市场，规划用地总规模3000平方米，核心服务范围为人民大道以西，华鲇路西段两厢的区域</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0.3</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2020-2021</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杏花村西路菜市场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杏花村西路与白鼎山中路交汇处西北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标准菜市场，规划用地总规模2000平方米，核心服务范围为县政府以西，杏花村西路两厢的区域</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0.6</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2023-2024</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21</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水产社区菜市场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牛桊山路与书院路交汇处西南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标准菜市场，规划用地总规模2400平方米，核心服务范围为华容大道东路以北，华容火车站以西的区域</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0.6</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2021-2022</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22</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田家湖菜市场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田家湖大道与港西南路交汇处西北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标准菜市场，规划用地总规模2000平方米，核心服务范围为港西路以西，田家湖大道两厢区域</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0.7</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2022-2023</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23</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石伏菜市场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桥东路与华容大道东路交汇处东南</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标准菜市场，规划用地总规模1500平方米，核心服务范围为石伏社区级周边区域</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0.5</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2023-2024</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24</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治河渡菜市场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治河渡镇卫生院北侧</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综合农贸市场，规划用地总规模5000平方米，承接蔬菜基地郊菜集散进城功能，兼顾辐射周边区域</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2022-2023</w:t>
            </w:r>
          </w:p>
        </w:tc>
      </w:tr>
      <w:tr>
        <w:tblPrEx>
          <w:tblCellMar>
            <w:top w:w="0" w:type="dxa"/>
            <w:left w:w="108" w:type="dxa"/>
            <w:bottom w:w="0" w:type="dxa"/>
            <w:right w:w="108" w:type="dxa"/>
          </w:tblCellMar>
        </w:tblPrEx>
        <w:trPr>
          <w:cantSplit/>
          <w:trHeight w:val="76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25</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梅田湖镇农贸市场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梅田湖镇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标准化建设梅田湖镇农贸市场。</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0.5</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改造</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2021-2023</w:t>
            </w:r>
          </w:p>
        </w:tc>
      </w:tr>
      <w:tr>
        <w:tblPrEx>
          <w:tblCellMar>
            <w:top w:w="0" w:type="dxa"/>
            <w:left w:w="108" w:type="dxa"/>
            <w:bottom w:w="0" w:type="dxa"/>
            <w:right w:w="108" w:type="dxa"/>
          </w:tblCellMar>
        </w:tblPrEx>
        <w:trPr>
          <w:cantSplit/>
          <w:trHeight w:val="76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26</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注滋口镇农贸市场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注滋口镇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标准化改造提升注滋口镇农贸市场</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0.5</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改造</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2022-2023</w:t>
            </w:r>
          </w:p>
        </w:tc>
      </w:tr>
      <w:tr>
        <w:tblPrEx>
          <w:tblCellMar>
            <w:top w:w="0" w:type="dxa"/>
            <w:left w:w="108" w:type="dxa"/>
            <w:bottom w:w="0" w:type="dxa"/>
            <w:right w:w="108" w:type="dxa"/>
          </w:tblCellMar>
        </w:tblPrEx>
        <w:trPr>
          <w:cantSplit/>
          <w:trHeight w:val="76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27</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塔市驿农贸市场</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东山镇塔市驿</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标准化改扩建塔市驿农贸市场</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0.6</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改造</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2023-2024</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三、电商会展（3个）</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（一）电子商务（2个）</w:t>
            </w:r>
          </w:p>
        </w:tc>
      </w:tr>
      <w:tr>
        <w:tblPrEx>
          <w:tblCellMar>
            <w:top w:w="0" w:type="dxa"/>
            <w:left w:w="108" w:type="dxa"/>
            <w:bottom w:w="0" w:type="dxa"/>
            <w:right w:w="108" w:type="dxa"/>
          </w:tblCellMar>
        </w:tblPrEx>
        <w:trPr>
          <w:cantSplit/>
          <w:trHeight w:val="2811"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28</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华容县电子商务运营服务中心</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华容智慧物流园</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规划设置于，不单独新增用地。完善设计、营销、研发、管理、结算、数据分析等电商综合保障服务，促进电子商务产业链上下游协同发展，创造特色产业链和新的服务岗位。</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0.8</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2021-2023</w:t>
            </w:r>
          </w:p>
        </w:tc>
      </w:tr>
      <w:tr>
        <w:tblPrEx>
          <w:tblCellMar>
            <w:top w:w="0" w:type="dxa"/>
            <w:left w:w="108" w:type="dxa"/>
            <w:bottom w:w="0" w:type="dxa"/>
            <w:right w:w="108" w:type="dxa"/>
          </w:tblCellMar>
        </w:tblPrEx>
        <w:trPr>
          <w:cantSplit/>
          <w:trHeight w:val="341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29</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农村电商物流中心</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梅田湖镇、注滋口镇、东山镇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分别在梅田湖、注滋口、东山建设辐射农村的电商物流中心，用地总规模约2000平方米，打造乡镇农村电商互通、物流互通、信息互通的物流平台。</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0.6</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2021-2023</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（二）会展服务业（1个）</w:t>
            </w:r>
          </w:p>
        </w:tc>
      </w:tr>
      <w:tr>
        <w:tblPrEx>
          <w:tblCellMar>
            <w:top w:w="0" w:type="dxa"/>
            <w:left w:w="108" w:type="dxa"/>
            <w:bottom w:w="0" w:type="dxa"/>
            <w:right w:w="108" w:type="dxa"/>
          </w:tblCellMar>
        </w:tblPrEx>
        <w:trPr>
          <w:cantSplit/>
          <w:trHeight w:val="1299"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华容会展中心</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田家湖生态新城</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用地总规模30亩。按照现代会展中心的标准进行建设，室内外展厅面积2万平方米，不少于200个室内外标准展位，配套会议中心、停车场地、后勤服务等设施。</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2021-2024</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四、粮食流通和应急仓储（4个）</w:t>
            </w:r>
          </w:p>
        </w:tc>
      </w:tr>
      <w:tr>
        <w:tblPrEx>
          <w:tblCellMar>
            <w:top w:w="0" w:type="dxa"/>
            <w:left w:w="108" w:type="dxa"/>
            <w:bottom w:w="0" w:type="dxa"/>
            <w:right w:w="108" w:type="dxa"/>
          </w:tblCellMar>
        </w:tblPrEx>
        <w:trPr>
          <w:cantSplit/>
          <w:trHeight w:val="750"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31</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华容县粮油现代物流园</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华容港区</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用地总规模300亩，属于粮食物流仓储加工项目，建设为集粮食仓储物流、粮食加工、贸易平台、检验检测、信息服务于一体的专业化粮油现代物流园区。重点围绕中国好粮油示范县，探索新型粮食供销体系的建立。支持其它粮食加工企业、贸易企业依托华容港区建设大宗粮油物流基地。</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5</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489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32</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华容县战略应急物资储备库标准化建设项目</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章华镇护城社区</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按照相关规范和标准，将物资储备库进行标准化改造。用地总规模4000平方米，总建筑面积3500平方米（含救灾物资储备库面积800平方米、其他物资储备1000平方米、办公楼和消毒加工配套用房900平方米、晾晒和停车场800平方米），绿化面积200平方米、消防设施及物资搬运设备购置等。</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0.21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2021-2022</w:t>
            </w:r>
          </w:p>
        </w:tc>
      </w:tr>
      <w:tr>
        <w:tblPrEx>
          <w:tblCellMar>
            <w:top w:w="0" w:type="dxa"/>
            <w:left w:w="108" w:type="dxa"/>
            <w:bottom w:w="0" w:type="dxa"/>
            <w:right w:w="108" w:type="dxa"/>
          </w:tblCellMar>
        </w:tblPrEx>
        <w:trPr>
          <w:cantSplit/>
          <w:trHeight w:val="3107"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33</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华容县丰穗粮食购销有限公司粮食标准化储备仓建设</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万庾镇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新建3.5万吨（麦容）粮食仓库5栋、配套设施用房、粮食质检结算中心、配备粮库工艺设备等及相关附属设施。项目用地总面积为22770.1平方米，合34.16亩。</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0.32</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w:t>
            </w:r>
            <w:r>
              <w:rPr>
                <w:rFonts w:ascii="仿宋_GB2312" w:hAnsi="黑体" w:eastAsia="仿宋_GB2312" w:cs="宋体"/>
                <w:color w:val="000000"/>
                <w:kern w:val="0"/>
                <w:sz w:val="24"/>
                <w:szCs w:val="24"/>
              </w:rPr>
              <w:t>1</w:t>
            </w:r>
          </w:p>
        </w:tc>
      </w:tr>
      <w:tr>
        <w:tblPrEx>
          <w:tblCellMar>
            <w:top w:w="0" w:type="dxa"/>
            <w:left w:w="108" w:type="dxa"/>
            <w:bottom w:w="0" w:type="dxa"/>
            <w:right w:w="108" w:type="dxa"/>
          </w:tblCellMar>
        </w:tblPrEx>
        <w:trPr>
          <w:cantSplit/>
          <w:trHeight w:val="4102"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34</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吉娃米业粮食应急加工及配送中心项目</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鲇鱼须镇</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配套华容国家粮食储备应急物流配送，保障区域粮食安全供应，用地总规模1.72万平方米。扩建建筑面积4088平方米。建设日产200吨留胚大米生产线及厂房一栋、6000吨大米储存应急保障仓一栋、配送中心及相关附属设施建设。</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0.28</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2020-2022</w:t>
            </w:r>
          </w:p>
        </w:tc>
      </w:tr>
      <w:tr>
        <w:tblPrEx>
          <w:tblCellMar>
            <w:top w:w="0" w:type="dxa"/>
            <w:left w:w="108" w:type="dxa"/>
            <w:bottom w:w="0" w:type="dxa"/>
            <w:right w:w="108" w:type="dxa"/>
          </w:tblCellMar>
        </w:tblPrEx>
        <w:trPr>
          <w:cantSplit/>
          <w:trHeight w:val="454" w:hRule="atLeast"/>
          <w:jc w:val="center"/>
        </w:trPr>
        <w:tc>
          <w:tcPr>
            <w:tcW w:w="5000" w:type="pct"/>
            <w:gridSpan w:val="7"/>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bCs/>
                <w:color w:val="000000"/>
                <w:kern w:val="0"/>
                <w:sz w:val="24"/>
                <w:szCs w:val="24"/>
              </w:rPr>
            </w:pPr>
            <w:r>
              <w:rPr>
                <w:rFonts w:hint="eastAsia" w:ascii="仿宋_GB2312" w:hAnsi="黑体" w:eastAsia="仿宋_GB2312" w:cs="宋体"/>
                <w:b/>
                <w:bCs/>
                <w:color w:val="000000"/>
                <w:kern w:val="0"/>
                <w:sz w:val="24"/>
                <w:szCs w:val="24"/>
              </w:rPr>
              <w:t>五、特许行业（1个）</w:t>
            </w:r>
          </w:p>
        </w:tc>
      </w:tr>
      <w:tr>
        <w:tblPrEx>
          <w:tblCellMar>
            <w:top w:w="0" w:type="dxa"/>
            <w:left w:w="108" w:type="dxa"/>
            <w:bottom w:w="0" w:type="dxa"/>
            <w:right w:w="108" w:type="dxa"/>
          </w:tblCellMar>
        </w:tblPrEx>
        <w:trPr>
          <w:cantSplit/>
          <w:trHeight w:val="375" w:hRule="atLeast"/>
          <w:jc w:val="center"/>
        </w:trPr>
        <w:tc>
          <w:tcPr>
            <w:tcW w:w="464"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35</w:t>
            </w:r>
          </w:p>
        </w:tc>
        <w:tc>
          <w:tcPr>
            <w:tcW w:w="695"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华容县加油站点</w:t>
            </w:r>
          </w:p>
        </w:tc>
        <w:tc>
          <w:tcPr>
            <w:tcW w:w="69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县域</w:t>
            </w:r>
          </w:p>
        </w:tc>
        <w:tc>
          <w:tcPr>
            <w:tcW w:w="1377"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华容县规划新建6个加油站点。包括沿河路加油站、十里铺加油站、田家湖加油站、三封寺加油站、杏花加油站、中石化容城大道加油站</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1.2</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2021-2025</w:t>
            </w:r>
          </w:p>
        </w:tc>
      </w:tr>
      <w:tr>
        <w:tblPrEx>
          <w:tblCellMar>
            <w:top w:w="0" w:type="dxa"/>
            <w:left w:w="108" w:type="dxa"/>
            <w:bottom w:w="0" w:type="dxa"/>
            <w:right w:w="108" w:type="dxa"/>
          </w:tblCellMar>
        </w:tblPrEx>
        <w:trPr>
          <w:cantSplit/>
          <w:trHeight w:val="375" w:hRule="atLeast"/>
          <w:jc w:val="center"/>
        </w:trPr>
        <w:tc>
          <w:tcPr>
            <w:tcW w:w="3233"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合计</w:t>
            </w:r>
          </w:p>
        </w:tc>
        <w:tc>
          <w:tcPr>
            <w:tcW w:w="65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ascii="仿宋_GB2312" w:hAnsi="黑体" w:eastAsia="仿宋_GB2312" w:cs="宋体"/>
                <w:b/>
                <w:bCs/>
                <w:kern w:val="0"/>
                <w:sz w:val="24"/>
                <w:szCs w:val="24"/>
              </w:rPr>
              <w:t>73.31</w:t>
            </w:r>
          </w:p>
        </w:tc>
        <w:tc>
          <w:tcPr>
            <w:tcW w:w="404"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p>
        </w:tc>
        <w:tc>
          <w:tcPr>
            <w:tcW w:w="7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p>
        </w:tc>
      </w:tr>
    </w:tbl>
    <w:p>
      <w:pPr>
        <w:widowControl/>
        <w:jc w:val="center"/>
        <w:rPr>
          <w:rFonts w:hint="eastAsia" w:ascii="仿宋_GB2312" w:hAnsi="宋体" w:eastAsia="仿宋_GB2312" w:cs="宋体"/>
          <w:b/>
          <w:bCs/>
          <w:kern w:val="0"/>
          <w:sz w:val="30"/>
          <w:szCs w:val="30"/>
        </w:rPr>
        <w:sectPr>
          <w:pgSz w:w="11906" w:h="16838"/>
          <w:pgMar w:top="1800" w:right="1440" w:bottom="1800" w:left="1440" w:header="851" w:footer="992" w:gutter="0"/>
          <w:cols w:space="425" w:num="1"/>
          <w:docGrid w:type="lines" w:linePitch="312" w:charSpace="0"/>
        </w:sectPr>
      </w:pPr>
    </w:p>
    <w:p>
      <w:pPr>
        <w:spacing w:before="100" w:beforeAutospacing="1" w:after="100" w:afterAutospacing="1" w:line="360" w:lineRule="auto"/>
        <w:jc w:val="left"/>
        <w:outlineLvl w:val="0"/>
        <w:rPr>
          <w:rFonts w:hint="eastAsia" w:ascii="仿宋_GB2312" w:hAnsi="宋体" w:eastAsia="仿宋_GB2312"/>
          <w:sz w:val="32"/>
          <w:szCs w:val="32"/>
        </w:rPr>
      </w:pPr>
      <w:bookmarkStart w:id="48" w:name="_Toc62653469"/>
      <w:r>
        <w:rPr>
          <w:rFonts w:hint="eastAsia" w:ascii="仿宋_GB2312" w:hAnsi="仿宋" w:eastAsia="仿宋_GB2312"/>
          <w:b/>
          <w:color w:val="000000"/>
          <w:sz w:val="32"/>
          <w:szCs w:val="32"/>
        </w:rPr>
        <w:t xml:space="preserve">附件二  </w:t>
      </w:r>
      <w:r>
        <w:rPr>
          <w:rFonts w:hint="eastAsia" w:ascii="仿宋_GB2312" w:hAnsi="黑体" w:eastAsia="仿宋_GB2312" w:cs="宋体"/>
          <w:b/>
          <w:bCs/>
          <w:kern w:val="0"/>
          <w:sz w:val="32"/>
          <w:szCs w:val="32"/>
        </w:rPr>
        <w:t>华容县城镇现代商贸服务布局规划一览表</w:t>
      </w:r>
      <w:bookmarkEnd w:id="48"/>
    </w:p>
    <w:tbl>
      <w:tblPr>
        <w:tblStyle w:val="6"/>
        <w:tblW w:w="4900" w:type="pct"/>
        <w:jc w:val="center"/>
        <w:tblLayout w:type="fixed"/>
        <w:tblCellMar>
          <w:top w:w="0" w:type="dxa"/>
          <w:left w:w="108" w:type="dxa"/>
          <w:bottom w:w="0" w:type="dxa"/>
          <w:right w:w="108" w:type="dxa"/>
        </w:tblCellMar>
      </w:tblPr>
      <w:tblGrid>
        <w:gridCol w:w="1620"/>
        <w:gridCol w:w="1514"/>
        <w:gridCol w:w="1418"/>
        <w:gridCol w:w="3134"/>
        <w:gridCol w:w="1371"/>
      </w:tblGrid>
      <w:tr>
        <w:tblPrEx>
          <w:tblCellMar>
            <w:top w:w="0" w:type="dxa"/>
            <w:left w:w="108" w:type="dxa"/>
            <w:bottom w:w="0" w:type="dxa"/>
            <w:right w:w="108" w:type="dxa"/>
          </w:tblCellMar>
        </w:tblPrEx>
        <w:trPr>
          <w:cantSplit/>
          <w:trHeight w:val="720" w:hRule="atLeast"/>
          <w:tblHeader/>
          <w:jc w:val="center"/>
        </w:trPr>
        <w:tc>
          <w:tcPr>
            <w:tcW w:w="894" w:type="pct"/>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名称</w:t>
            </w:r>
          </w:p>
        </w:tc>
        <w:tc>
          <w:tcPr>
            <w:tcW w:w="836"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地址</w:t>
            </w:r>
          </w:p>
        </w:tc>
        <w:tc>
          <w:tcPr>
            <w:tcW w:w="783"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规模/档次</w:t>
            </w:r>
          </w:p>
        </w:tc>
        <w:tc>
          <w:tcPr>
            <w:tcW w:w="1730"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规划内容</w:t>
            </w:r>
          </w:p>
        </w:tc>
        <w:tc>
          <w:tcPr>
            <w:tcW w:w="757" w:type="pct"/>
            <w:tcBorders>
              <w:top w:val="single" w:color="auto" w:sz="8" w:space="0"/>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规划方案</w:t>
            </w:r>
          </w:p>
        </w:tc>
      </w:tr>
      <w:tr>
        <w:tblPrEx>
          <w:tblCellMar>
            <w:top w:w="0" w:type="dxa"/>
            <w:left w:w="108" w:type="dxa"/>
            <w:bottom w:w="0" w:type="dxa"/>
            <w:right w:w="108" w:type="dxa"/>
          </w:tblCellMar>
        </w:tblPrEx>
        <w:trPr>
          <w:cantSplit/>
          <w:trHeight w:val="720" w:hRule="atLeast"/>
          <w:jc w:val="center"/>
        </w:trPr>
        <w:tc>
          <w:tcPr>
            <w:tcW w:w="5000" w:type="pct"/>
            <w:gridSpan w:val="5"/>
            <w:tcBorders>
              <w:top w:val="single" w:color="auto" w:sz="4" w:space="0"/>
              <w:left w:val="single" w:color="auto" w:sz="8" w:space="0"/>
              <w:bottom w:val="single" w:color="auto" w:sz="4" w:space="0"/>
              <w:right w:val="single" w:color="000000" w:sz="8" w:space="0"/>
            </w:tcBorders>
            <w:shd w:val="clear" w:color="auto" w:fill="auto"/>
            <w:noWrap w:val="0"/>
            <w:vAlign w:val="center"/>
          </w:tcPr>
          <w:p>
            <w:pPr>
              <w:widowControl/>
              <w:jc w:val="left"/>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商业综合体/商业街区</w:t>
            </w:r>
          </w:p>
        </w:tc>
      </w:tr>
      <w:tr>
        <w:tblPrEx>
          <w:tblCellMar>
            <w:top w:w="0" w:type="dxa"/>
            <w:left w:w="108" w:type="dxa"/>
            <w:bottom w:w="0" w:type="dxa"/>
            <w:right w:w="108" w:type="dxa"/>
          </w:tblCellMar>
        </w:tblPrEx>
        <w:trPr>
          <w:cantSplit/>
          <w:trHeight w:val="75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华容城市广场</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沿河北路</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街长约1000米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主要包括服饰服贸、休闲运动、餐饮美食、数码电子、亲子游乐、娱乐文化为主的综合性街区</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87"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范蠡步行街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容城街</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街长约250米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主要包括服饰服贸、休闲运动、餐饮美食、数码电子为主的综合性街区</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提升改造</w:t>
            </w:r>
          </w:p>
        </w:tc>
      </w:tr>
      <w:tr>
        <w:tblPrEx>
          <w:tblCellMar>
            <w:top w:w="0" w:type="dxa"/>
            <w:left w:w="108" w:type="dxa"/>
            <w:bottom w:w="0" w:type="dxa"/>
            <w:right w:w="108" w:type="dxa"/>
          </w:tblCellMar>
        </w:tblPrEx>
        <w:trPr>
          <w:cantSplit/>
          <w:trHeight w:val="1125"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北岸商业街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华鲇路</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街长约500米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围绕北岸商业广场，形成城南商圈，建设一条现代化商业步行街，完善北岸商业广场及周边商业配套，打造成为集餐饮住宿、休闲娱乐、亲子教育等综合性的商业步行街。</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1125"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步步高新天地商业综合体</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西正街与范蠡中路交汇处东北</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建筑面积约5万平方米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项目属于老城升级的主要综合配套，是按照现代商业理念建设的集休闲、娱乐、餐饮、购物、亲子为一体的大型综合项目，将带动提升全县消费服务场所形象。</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96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火车站商业步行街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十里铺华容站前</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街长约500米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未来服务于华容站，打造一条具有本地特色，满足往来游客购物、餐饮、休闲、住宿、娱乐的综合性商业街区。</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150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状元湖民俗街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状元湖沿线</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街长约1000米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依托状元湖生态湿地公园、烈士公园、烈士博物馆等文化底蕴打造一个民俗文化风情街，包括城市印象展示、民间传统手工艺、古玩古画、休闲购物、地方美食、民风民俗体验的环形商业步行街，首期规划街长约1000米。</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96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城北（泰和）城市综合体</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迎宾北路与杏花村东路交汇处西南</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建筑面积约8万多平方米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盘活项目，完成招商、内外装修、开业运营等相关工作，建设集五星级酒店和综合商业配套于一体的城市商业综合体。</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“十四五”期间开业运营</w:t>
            </w:r>
          </w:p>
        </w:tc>
      </w:tr>
      <w:tr>
        <w:tblPrEx>
          <w:tblCellMar>
            <w:top w:w="0" w:type="dxa"/>
            <w:left w:w="108" w:type="dxa"/>
            <w:bottom w:w="0" w:type="dxa"/>
            <w:right w:w="108" w:type="dxa"/>
          </w:tblCellMar>
        </w:tblPrEx>
        <w:trPr>
          <w:cantSplit/>
          <w:trHeight w:val="96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城东商业综合体</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华容大道东段南侧，怀乡中学北</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用地总规模约50亩</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规划为未来城东片区商业综合性项目，为周边居民及火车站外来人口、园区产业人口提供一站式消费服务。</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远期规划新增</w:t>
            </w:r>
          </w:p>
        </w:tc>
      </w:tr>
      <w:tr>
        <w:tblPrEx>
          <w:tblCellMar>
            <w:top w:w="0" w:type="dxa"/>
            <w:left w:w="108" w:type="dxa"/>
            <w:bottom w:w="0" w:type="dxa"/>
            <w:right w:w="108" w:type="dxa"/>
          </w:tblCellMar>
        </w:tblPrEx>
        <w:trPr>
          <w:cantSplit/>
          <w:trHeight w:val="96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注滋口特色渔街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注滋口镇</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街长约500米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围绕藕池河和洞庭湖湖区优势资源，打造以渔为文化的滨河特色餐饮、美食街区，提升整体城镇的商贸流通发展。</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150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东山镇塔市驿商业特色街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塔市驿镇</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建筑面积约5万平方米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围绕塔市驿文化历史底蕴和区域地理位置，打造湘北文化特色商业街区，建设具有地方文化特色的综合性商业街区，包括精品酒店、游客集散中心、城市广场、商业步行街、商业综合体和特色民宿，打造成为具有代表性的滨江特色文化长廊。</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150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三封寺镇华一村特色民宿</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三封寺镇</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建筑面积约1万平方米</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kern w:val="0"/>
                <w:sz w:val="24"/>
                <w:szCs w:val="24"/>
              </w:rPr>
              <w:t>依托七女峰旅游风景区建设一批特色民宿和农家乐，打造近郊休闲目的地，丰富城市居民休闲生活。</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720" w:hRule="atLeast"/>
          <w:jc w:val="center"/>
        </w:trPr>
        <w:tc>
          <w:tcPr>
            <w:tcW w:w="5000" w:type="pct"/>
            <w:gridSpan w:val="5"/>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left"/>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大型超市</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步步高超市（工农桥店）</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桥西路2号</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w:t>
            </w:r>
          </w:p>
        </w:tc>
        <w:tc>
          <w:tcPr>
            <w:tcW w:w="173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大型超市</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步步高超市（北正街店）</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桥西路与北正街交汇处</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w:t>
            </w:r>
          </w:p>
        </w:tc>
        <w:tc>
          <w:tcPr>
            <w:tcW w:w="173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大型超市</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好又多超市（迎宾中路店）</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迎宾中路1号</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w:t>
            </w:r>
          </w:p>
        </w:tc>
        <w:tc>
          <w:tcPr>
            <w:tcW w:w="173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大型超市</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世纪联华</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沿河北路华容城市广场</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w:t>
            </w:r>
          </w:p>
        </w:tc>
        <w:tc>
          <w:tcPr>
            <w:tcW w:w="173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大型超市</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好爱家购物中心</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华容大道西路与荷花塘路交汇东南</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w:t>
            </w:r>
          </w:p>
        </w:tc>
        <w:tc>
          <w:tcPr>
            <w:tcW w:w="173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大型超市</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960" w:hRule="atLeast"/>
          <w:jc w:val="center"/>
        </w:trPr>
        <w:tc>
          <w:tcPr>
            <w:tcW w:w="894" w:type="pct"/>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大型超市</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迎宾北路与杏花村东路交汇处西南</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w:t>
            </w:r>
          </w:p>
        </w:tc>
        <w:tc>
          <w:tcPr>
            <w:tcW w:w="173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大型超市</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720" w:hRule="atLeast"/>
          <w:jc w:val="center"/>
        </w:trPr>
        <w:tc>
          <w:tcPr>
            <w:tcW w:w="5000" w:type="pct"/>
            <w:gridSpan w:val="5"/>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left"/>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宾馆酒店</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途派·雅酒店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桥西路与北正街交叉口</w:t>
            </w:r>
          </w:p>
        </w:tc>
        <w:tc>
          <w:tcPr>
            <w:tcW w:w="7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三星级舒适型</w:t>
            </w:r>
          </w:p>
        </w:tc>
        <w:tc>
          <w:tcPr>
            <w:tcW w:w="173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住宿、餐饮、健身、会议、洗衣</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雅好精选酒店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华容大道中路61号</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三星级舒适型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住宿、娱乐、洗衣</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宏发国际大酒店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华容大道中路002号</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三星级舒适型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雅好花园酒店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华容大道中路</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三星级舒适型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住宿、餐饮、会议、洗衣</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途派连锁酒店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人民大道人民广场对面</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三星级舒适型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住宿、餐饮、会议、商务、休闲、娱乐</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明威国际大酒店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沿河北路华容城市广场F区</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四星级高端型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住宿、餐饮、会议、商务、休闲、娱乐</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维也纳酒店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华容大道109号曼联·融城嘉园</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四星级高端型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住宿、餐饮、会议、商务、休闲、娱乐</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华冠国际大酒店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华鲇路与人民南路交汇处</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四星级高端型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住宿、餐饮、会议、商务、休闲、娱乐</w:t>
            </w:r>
          </w:p>
        </w:tc>
        <w:tc>
          <w:tcPr>
            <w:tcW w:w="757"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提质升级</w:t>
            </w:r>
          </w:p>
        </w:tc>
      </w:tr>
      <w:tr>
        <w:tblPrEx>
          <w:tblCellMar>
            <w:top w:w="0" w:type="dxa"/>
            <w:left w:w="108" w:type="dxa"/>
            <w:bottom w:w="0" w:type="dxa"/>
            <w:right w:w="108" w:type="dxa"/>
          </w:tblCellMar>
        </w:tblPrEx>
        <w:trPr>
          <w:cantSplit/>
          <w:trHeight w:val="960" w:hRule="atLeast"/>
          <w:jc w:val="center"/>
        </w:trPr>
        <w:tc>
          <w:tcPr>
            <w:tcW w:w="894" w:type="pct"/>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（泰和）五星级酒店</w:t>
            </w:r>
          </w:p>
        </w:tc>
        <w:tc>
          <w:tcPr>
            <w:tcW w:w="83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迎宾北路与杏花村东路交汇处西南</w:t>
            </w:r>
          </w:p>
        </w:tc>
        <w:tc>
          <w:tcPr>
            <w:tcW w:w="783"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五星级高端型</w:t>
            </w:r>
          </w:p>
        </w:tc>
        <w:tc>
          <w:tcPr>
            <w:tcW w:w="1730"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住宿、餐饮、会议、商务、休闲、娱乐</w:t>
            </w:r>
          </w:p>
        </w:tc>
        <w:tc>
          <w:tcPr>
            <w:tcW w:w="757"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“十四五”期间规划新增</w:t>
            </w:r>
          </w:p>
        </w:tc>
      </w:tr>
      <w:tr>
        <w:tblPrEx>
          <w:tblCellMar>
            <w:top w:w="0" w:type="dxa"/>
            <w:left w:w="108" w:type="dxa"/>
            <w:bottom w:w="0" w:type="dxa"/>
            <w:right w:w="108" w:type="dxa"/>
          </w:tblCellMar>
        </w:tblPrEx>
        <w:trPr>
          <w:cantSplit/>
          <w:trHeight w:val="720" w:hRule="atLeast"/>
          <w:jc w:val="center"/>
        </w:trPr>
        <w:tc>
          <w:tcPr>
            <w:tcW w:w="894" w:type="pct"/>
            <w:tcBorders>
              <w:top w:val="nil"/>
              <w:left w:val="single" w:color="auto" w:sz="8" w:space="0"/>
              <w:bottom w:val="single" w:color="auto" w:sz="8" w:space="0"/>
              <w:right w:val="single" w:color="auto" w:sz="4" w:space="0"/>
            </w:tcBorders>
            <w:shd w:val="clear" w:color="auto" w:fill="auto"/>
            <w:noWrap/>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高端酒店</w:t>
            </w:r>
          </w:p>
        </w:tc>
        <w:tc>
          <w:tcPr>
            <w:tcW w:w="836"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华容大道东路以南，状元湖东侧</w:t>
            </w:r>
          </w:p>
        </w:tc>
        <w:tc>
          <w:tcPr>
            <w:tcW w:w="783"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四星及以上高端酒店</w:t>
            </w:r>
          </w:p>
        </w:tc>
        <w:tc>
          <w:tcPr>
            <w:tcW w:w="1730" w:type="pct"/>
            <w:tcBorders>
              <w:top w:val="nil"/>
              <w:left w:val="nil"/>
              <w:bottom w:val="single" w:color="auto" w:sz="8"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住宿、餐饮、会议、商务、休闲、娱乐</w:t>
            </w:r>
          </w:p>
        </w:tc>
        <w:tc>
          <w:tcPr>
            <w:tcW w:w="757" w:type="pct"/>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远期规划新增</w:t>
            </w:r>
          </w:p>
        </w:tc>
      </w:tr>
    </w:tbl>
    <w:p>
      <w:pPr>
        <w:spacing w:line="360" w:lineRule="auto"/>
        <w:rPr>
          <w:rFonts w:hint="eastAsia" w:ascii="仿宋_GB2312" w:hAnsi="宋体" w:eastAsia="仿宋_GB2312"/>
          <w:sz w:val="30"/>
          <w:szCs w:val="30"/>
        </w:rPr>
        <w:sectPr>
          <w:pgSz w:w="11906" w:h="16838"/>
          <w:pgMar w:top="1800" w:right="1440" w:bottom="1800" w:left="1440" w:header="851" w:footer="992" w:gutter="0"/>
          <w:cols w:space="425" w:num="1"/>
          <w:docGrid w:type="lines" w:linePitch="312" w:charSpace="0"/>
        </w:sectPr>
      </w:pPr>
    </w:p>
    <w:p>
      <w:pPr>
        <w:spacing w:before="100" w:beforeAutospacing="1" w:after="100" w:afterAutospacing="1" w:line="360" w:lineRule="auto"/>
        <w:jc w:val="left"/>
        <w:outlineLvl w:val="0"/>
        <w:rPr>
          <w:rFonts w:hint="eastAsia" w:ascii="仿宋_GB2312" w:hAnsi="黑体" w:eastAsia="仿宋_GB2312"/>
          <w:sz w:val="32"/>
          <w:szCs w:val="32"/>
        </w:rPr>
      </w:pPr>
      <w:bookmarkStart w:id="49" w:name="_Toc62653470"/>
      <w:r>
        <w:rPr>
          <w:rFonts w:hint="eastAsia" w:ascii="仿宋_GB2312" w:hAnsi="仿宋" w:eastAsia="仿宋_GB2312"/>
          <w:b/>
          <w:color w:val="000000"/>
          <w:sz w:val="32"/>
          <w:szCs w:val="32"/>
        </w:rPr>
        <w:t xml:space="preserve">附件三  </w:t>
      </w:r>
      <w:r>
        <w:rPr>
          <w:rFonts w:hint="eastAsia" w:ascii="仿宋_GB2312" w:hAnsi="黑体" w:eastAsia="仿宋_GB2312"/>
          <w:b/>
          <w:sz w:val="32"/>
          <w:szCs w:val="32"/>
        </w:rPr>
        <w:t>华容县农贸市场建设发展规划布局</w:t>
      </w:r>
      <w:bookmarkEnd w:id="49"/>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农贸市场作为老百姓日常生活中必不可少的“菜篮子、米袋子”，是经济社会安稳的平衡器，也是民生文化传承的烟火之地，其发展质量与水平体现着一个城市的形象和底蕴。在新时期内外环境产生较大变化的背景下，按照全县统筹发展的原则，从农贸市场的建设提升入手，优化农副产品流通网络布局，增加居民就业，带动产业发展，改善人居环境，引导全县城市建设走上高质量之路。</w:t>
      </w:r>
    </w:p>
    <w:p>
      <w:pPr>
        <w:pStyle w:val="9"/>
        <w:spacing w:line="640" w:lineRule="exact"/>
        <w:ind w:firstLine="602"/>
        <w:rPr>
          <w:rFonts w:hint="eastAsia" w:ascii="仿宋_GB2312" w:hAnsi="仿宋" w:eastAsia="仿宋_GB2312" w:cs="仿宋"/>
          <w:b/>
          <w:bCs/>
          <w:sz w:val="30"/>
          <w:szCs w:val="30"/>
          <w:lang w:val="zh-TW" w:eastAsia="zh-TW"/>
        </w:rPr>
      </w:pPr>
      <w:r>
        <w:rPr>
          <w:rFonts w:hint="eastAsia" w:ascii="仿宋_GB2312" w:hAnsi="仿宋" w:eastAsia="仿宋_GB2312" w:cs="仿宋"/>
          <w:b/>
          <w:bCs/>
          <w:sz w:val="30"/>
          <w:szCs w:val="30"/>
          <w:lang w:val="zh-TW"/>
        </w:rPr>
        <w:t>1.</w:t>
      </w:r>
      <w:r>
        <w:rPr>
          <w:rFonts w:hint="eastAsia" w:ascii="仿宋_GB2312" w:hAnsi="仿宋" w:eastAsia="仿宋_GB2312" w:cs="仿宋"/>
          <w:b/>
          <w:bCs/>
          <w:sz w:val="30"/>
          <w:szCs w:val="30"/>
          <w:lang w:val="zh-TW" w:eastAsia="zh-TW"/>
        </w:rPr>
        <w:t>发展现状</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近年来，全县农贸市场的建设新建与改造并举，取得较大的进展。城区已有建成投入使用的农贸市场10个，建成待投入使用的农贸市场1处，另有1处农贸市场已初步完成选址工作。建成的农贸市场共有摊位466个，档口237个，门面86个，其中青年、桥西、马鞍、南门等处于居民密集区的市场整体经营情况较好。</w:t>
      </w:r>
    </w:p>
    <w:tbl>
      <w:tblPr>
        <w:tblStyle w:val="6"/>
        <w:tblW w:w="483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6"/>
        <w:gridCol w:w="2327"/>
        <w:gridCol w:w="1074"/>
        <w:gridCol w:w="991"/>
        <w:gridCol w:w="991"/>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7"/>
            <w:tcBorders>
              <w:top w:val="nil"/>
              <w:left w:val="nil"/>
              <w:bottom w:val="single" w:color="auto" w:sz="4" w:space="0"/>
              <w:right w:val="nil"/>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城区农贸市场现状一览表（2020年8月）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tcBorders>
              <w:top w:val="single" w:color="auto" w:sz="4" w:space="0"/>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序号</w:t>
            </w:r>
          </w:p>
        </w:tc>
        <w:tc>
          <w:tcPr>
            <w:tcW w:w="793" w:type="pct"/>
            <w:tcBorders>
              <w:top w:val="single" w:color="auto" w:sz="4" w:space="0"/>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名称</w:t>
            </w:r>
          </w:p>
        </w:tc>
        <w:tc>
          <w:tcPr>
            <w:tcW w:w="1303" w:type="pct"/>
            <w:tcBorders>
              <w:top w:val="single" w:color="auto" w:sz="4" w:space="0"/>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地址</w:t>
            </w:r>
          </w:p>
        </w:tc>
        <w:tc>
          <w:tcPr>
            <w:tcW w:w="601" w:type="pct"/>
            <w:tcBorders>
              <w:top w:val="single" w:color="auto" w:sz="4" w:space="0"/>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摊位数</w:t>
            </w:r>
          </w:p>
        </w:tc>
        <w:tc>
          <w:tcPr>
            <w:tcW w:w="555" w:type="pct"/>
            <w:tcBorders>
              <w:top w:val="single" w:color="auto" w:sz="4" w:space="0"/>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档口数</w:t>
            </w:r>
          </w:p>
        </w:tc>
        <w:tc>
          <w:tcPr>
            <w:tcW w:w="555" w:type="pct"/>
            <w:tcBorders>
              <w:top w:val="single" w:color="auto" w:sz="4" w:space="0"/>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门面数</w:t>
            </w:r>
          </w:p>
        </w:tc>
        <w:tc>
          <w:tcPr>
            <w:tcW w:w="796" w:type="pct"/>
            <w:tcBorders>
              <w:top w:val="single" w:color="auto" w:sz="4" w:space="0"/>
            </w:tcBorders>
            <w:shd w:val="clear" w:color="auto" w:fill="auto"/>
            <w:noWrap/>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南门市场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解放路与新市街交汇处东北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青年市场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户部巷东侧</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86</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城兴市场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政通路与金融巷交汇处西南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桥西市场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华鲇路与港西路交汇处西北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桥东市场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桥东路南侧，桥东街社区东</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72</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北门市场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岳圣巷与北正街交汇处西南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71</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华阳市场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迎宾北路与华阳路交汇处东南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马鞍市场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马鞍山路与港西北路交汇处西南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陵园市场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桥东路与大厦路交汇处东北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李家湖市场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桥东路与李兴路交汇处西北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79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北岸尚都市场</w:t>
            </w:r>
          </w:p>
        </w:tc>
        <w:tc>
          <w:tcPr>
            <w:tcW w:w="1303"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华鲇路和白鼎山路交汇处东北</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已建设，未移交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7" w:type="pct"/>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2096" w:type="pct"/>
            <w:gridSpan w:val="2"/>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w:t>
            </w:r>
          </w:p>
        </w:tc>
        <w:tc>
          <w:tcPr>
            <w:tcW w:w="601"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466</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237</w:t>
            </w:r>
          </w:p>
        </w:tc>
        <w:tc>
          <w:tcPr>
            <w:tcW w:w="555" w:type="pct"/>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86</w:t>
            </w:r>
          </w:p>
        </w:tc>
        <w:tc>
          <w:tcPr>
            <w:tcW w:w="796" w:type="pct"/>
            <w:shd w:val="clear" w:color="auto" w:fill="auto"/>
            <w:noWrap/>
            <w:vAlign w:val="center"/>
          </w:tcPr>
          <w:p>
            <w:pPr>
              <w:widowControl/>
              <w:jc w:val="center"/>
              <w:rPr>
                <w:rFonts w:hint="eastAsia" w:ascii="仿宋_GB2312" w:hAnsi="宋体" w:eastAsia="仿宋_GB2312" w:cs="宋体"/>
                <w:color w:val="000000"/>
                <w:kern w:val="0"/>
                <w:sz w:val="24"/>
                <w:szCs w:val="24"/>
              </w:rPr>
            </w:pPr>
          </w:p>
        </w:tc>
      </w:tr>
    </w:tbl>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目前，城区桥联路、政通路、状元街等部分街道和区域还有若干门面和摊位进行场外经营，主要由城郊菜农和部分流动商贩进行经营。</w:t>
      </w:r>
    </w:p>
    <w:p>
      <w:pPr>
        <w:pStyle w:val="9"/>
        <w:spacing w:line="640" w:lineRule="exact"/>
        <w:ind w:firstLine="602"/>
        <w:rPr>
          <w:rFonts w:hint="eastAsia" w:ascii="仿宋_GB2312" w:hAnsi="仿宋" w:eastAsia="仿宋_GB2312" w:cs="仿宋"/>
          <w:b/>
          <w:bCs/>
          <w:sz w:val="30"/>
          <w:szCs w:val="30"/>
          <w:lang w:val="zh-TW" w:eastAsia="zh-TW"/>
        </w:rPr>
      </w:pPr>
      <w:r>
        <w:rPr>
          <w:rFonts w:hint="eastAsia" w:ascii="仿宋_GB2312" w:hAnsi="仿宋" w:eastAsia="仿宋_GB2312" w:cs="仿宋"/>
          <w:b/>
          <w:bCs/>
          <w:sz w:val="30"/>
          <w:szCs w:val="30"/>
          <w:lang w:val="zh-TW"/>
        </w:rPr>
        <w:t>2.</w:t>
      </w:r>
      <w:r>
        <w:rPr>
          <w:rFonts w:hint="eastAsia" w:ascii="仿宋_GB2312" w:hAnsi="仿宋" w:eastAsia="仿宋_GB2312" w:cs="仿宋"/>
          <w:b/>
          <w:bCs/>
          <w:sz w:val="30"/>
          <w:szCs w:val="30"/>
          <w:lang w:val="zh-TW" w:eastAsia="zh-TW"/>
        </w:rPr>
        <w:t>存在问题与解决思路</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全县</w:t>
      </w:r>
      <w:r>
        <w:rPr>
          <w:rFonts w:hint="eastAsia" w:ascii="仿宋_GB2312" w:hAnsi="仿宋" w:eastAsia="仿宋_GB2312" w:cs="仿宋"/>
          <w:bCs/>
          <w:sz w:val="30"/>
          <w:szCs w:val="30"/>
          <w:lang w:val="zh-TW" w:eastAsia="zh-TW"/>
        </w:rPr>
        <w:t>农贸市场经过多年发展建设，虽然标准化，服务水平等方面有所提高，但仍然存在以下问题亟待解决：</w:t>
      </w:r>
    </w:p>
    <w:p>
      <w:pPr>
        <w:pStyle w:val="9"/>
        <w:spacing w:line="640" w:lineRule="exact"/>
        <w:ind w:firstLine="602"/>
        <w:rPr>
          <w:rFonts w:hint="eastAsia" w:ascii="仿宋_GB2312" w:hAnsi="仿宋" w:eastAsia="仿宋_GB2312" w:cs="仿宋"/>
          <w:bCs/>
          <w:sz w:val="30"/>
          <w:szCs w:val="30"/>
          <w:lang w:val="zh-TW" w:eastAsia="zh-TW"/>
        </w:rPr>
      </w:pPr>
      <w:r>
        <w:rPr>
          <w:rFonts w:hint="eastAsia" w:ascii="仿宋_GB2312" w:hAnsi="仿宋" w:eastAsia="仿宋_GB2312" w:cs="仿宋"/>
          <w:b/>
          <w:bCs/>
          <w:sz w:val="30"/>
          <w:szCs w:val="30"/>
          <w:lang w:val="zh-TW"/>
        </w:rPr>
        <w:t>（1）</w:t>
      </w:r>
      <w:r>
        <w:rPr>
          <w:rFonts w:hint="eastAsia" w:ascii="仿宋_GB2312" w:hAnsi="仿宋" w:eastAsia="仿宋_GB2312" w:cs="仿宋"/>
          <w:b/>
          <w:bCs/>
          <w:sz w:val="30"/>
          <w:szCs w:val="30"/>
          <w:lang w:val="zh-TW" w:eastAsia="zh-TW"/>
        </w:rPr>
        <w:t>市场布局仍然不尽合理。</w:t>
      </w:r>
      <w:r>
        <w:rPr>
          <w:rFonts w:hint="eastAsia" w:ascii="仿宋_GB2312" w:hAnsi="仿宋" w:eastAsia="仿宋_GB2312" w:cs="仿宋"/>
          <w:bCs/>
          <w:sz w:val="30"/>
          <w:szCs w:val="30"/>
          <w:lang w:val="zh-TW" w:eastAsia="zh-TW"/>
        </w:rPr>
        <w:t>现有市场主要集中布局于老城区，新城区、城市发展重点区域的农贸市场建设滞后于人口聚集速度，也滞后于其它公共服务设施的建设速度。新城区的居民在日常性农副产品消费上，仍然选择不足，存在“远、少、贵、难”的现象。</w:t>
      </w:r>
    </w:p>
    <w:p>
      <w:pPr>
        <w:pStyle w:val="9"/>
        <w:spacing w:line="640" w:lineRule="exact"/>
        <w:ind w:firstLine="602"/>
        <w:rPr>
          <w:rFonts w:hint="eastAsia" w:ascii="仿宋_GB2312" w:hAnsi="仿宋" w:eastAsia="仿宋_GB2312" w:cs="仿宋"/>
          <w:bCs/>
          <w:sz w:val="30"/>
          <w:szCs w:val="30"/>
          <w:lang w:val="zh-TW" w:eastAsia="zh-TW"/>
        </w:rPr>
      </w:pPr>
      <w:r>
        <w:rPr>
          <w:rFonts w:hint="eastAsia" w:ascii="仿宋_GB2312" w:hAnsi="仿宋" w:eastAsia="仿宋_GB2312" w:cs="仿宋"/>
          <w:b/>
          <w:bCs/>
          <w:sz w:val="30"/>
          <w:szCs w:val="30"/>
          <w:lang w:val="zh-TW"/>
        </w:rPr>
        <w:t>（2）</w:t>
      </w:r>
      <w:r>
        <w:rPr>
          <w:rFonts w:hint="eastAsia" w:ascii="仿宋_GB2312" w:hAnsi="仿宋" w:eastAsia="仿宋_GB2312" w:cs="仿宋"/>
          <w:b/>
          <w:bCs/>
          <w:sz w:val="30"/>
          <w:szCs w:val="30"/>
          <w:lang w:val="zh-TW" w:eastAsia="zh-TW"/>
        </w:rPr>
        <w:t>市场内部经营环境差，对周边环境污染情况时有发生。</w:t>
      </w:r>
      <w:r>
        <w:rPr>
          <w:rFonts w:hint="eastAsia" w:ascii="仿宋_GB2312" w:hAnsi="仿宋" w:eastAsia="仿宋_GB2312" w:cs="仿宋"/>
          <w:bCs/>
          <w:sz w:val="30"/>
          <w:szCs w:val="30"/>
          <w:lang w:val="zh-TW" w:eastAsia="zh-TW"/>
        </w:rPr>
        <w:t>部分市场的硬件设施不能满足市场经营的要求，市场内部卫生、消防设施缺乏，加之传统的在市场内宰杀活禽（畜）的经营习惯与市场空气流动性差的现状结合，导致市场内部环境较为恶劣。部分市场周边市政设施不足，难以满足市场内污染物独立封闭处理。上述内外环境的不足，对创建安全文明的生产生活环境带来极大的难度，且存在较大的生产安全隐患。</w:t>
      </w:r>
    </w:p>
    <w:p>
      <w:pPr>
        <w:pStyle w:val="9"/>
        <w:spacing w:line="640" w:lineRule="exact"/>
        <w:ind w:firstLine="602"/>
        <w:rPr>
          <w:rFonts w:hint="eastAsia" w:ascii="仿宋_GB2312" w:hAnsi="仿宋" w:eastAsia="仿宋_GB2312" w:cs="仿宋"/>
          <w:bCs/>
          <w:sz w:val="30"/>
          <w:szCs w:val="30"/>
          <w:lang w:val="zh-TW" w:eastAsia="zh-TW"/>
        </w:rPr>
      </w:pPr>
      <w:r>
        <w:rPr>
          <w:rFonts w:hint="eastAsia" w:ascii="仿宋_GB2312" w:hAnsi="仿宋" w:eastAsia="仿宋_GB2312" w:cs="仿宋"/>
          <w:b/>
          <w:bCs/>
          <w:sz w:val="30"/>
          <w:szCs w:val="30"/>
          <w:lang w:val="zh-TW"/>
        </w:rPr>
        <w:t>（3）</w:t>
      </w:r>
      <w:r>
        <w:rPr>
          <w:rFonts w:hint="eastAsia" w:ascii="仿宋_GB2312" w:hAnsi="仿宋" w:eastAsia="仿宋_GB2312" w:cs="仿宋"/>
          <w:b/>
          <w:bCs/>
          <w:sz w:val="30"/>
          <w:szCs w:val="30"/>
          <w:lang w:val="zh-TW" w:eastAsia="zh-TW"/>
        </w:rPr>
        <w:t>部分场外占道经营情况突出。</w:t>
      </w:r>
      <w:r>
        <w:rPr>
          <w:rFonts w:hint="eastAsia" w:ascii="仿宋_GB2312" w:hAnsi="仿宋" w:eastAsia="仿宋_GB2312" w:cs="仿宋"/>
          <w:bCs/>
          <w:sz w:val="30"/>
          <w:szCs w:val="30"/>
          <w:lang w:val="zh-TW" w:eastAsia="zh-TW"/>
        </w:rPr>
        <w:t>青年、马鞍、城兴等市场商贩聚集较多，桥西、陵园等市场周边场地较少，均导致交易高峰期占道经营的情况突出，大量摊贩挤占市场内外通道，导致交通堵塞，周边环境压力极大。</w:t>
      </w:r>
    </w:p>
    <w:p>
      <w:pPr>
        <w:pStyle w:val="9"/>
        <w:spacing w:line="640" w:lineRule="exact"/>
        <w:ind w:firstLine="602"/>
        <w:rPr>
          <w:rFonts w:hint="eastAsia" w:ascii="仿宋_GB2312" w:hAnsi="仿宋" w:eastAsia="仿宋_GB2312" w:cs="仿宋"/>
          <w:bCs/>
          <w:sz w:val="30"/>
          <w:szCs w:val="30"/>
          <w:lang w:val="zh-TW" w:eastAsia="zh-TW"/>
        </w:rPr>
      </w:pPr>
      <w:r>
        <w:rPr>
          <w:rFonts w:hint="eastAsia" w:ascii="仿宋_GB2312" w:hAnsi="仿宋" w:eastAsia="仿宋_GB2312" w:cs="仿宋"/>
          <w:b/>
          <w:bCs/>
          <w:sz w:val="30"/>
          <w:szCs w:val="30"/>
          <w:lang w:val="zh-TW" w:eastAsia="zh-TW"/>
        </w:rPr>
        <w:t>（4）管理水平不高，管理投入不足。</w:t>
      </w:r>
      <w:r>
        <w:rPr>
          <w:rFonts w:hint="eastAsia" w:ascii="仿宋_GB2312" w:hAnsi="仿宋" w:eastAsia="仿宋_GB2312" w:cs="仿宋"/>
          <w:bCs/>
          <w:sz w:val="30"/>
          <w:szCs w:val="30"/>
          <w:lang w:val="zh-TW" w:eastAsia="zh-TW"/>
        </w:rPr>
        <w:t>现有农贸市场普遍管理人员少，管理手段原始，缺少科学系统的管理体系。部分改造市场智能设备投入后，缺少日常运营与维护，基本处于闲置状态，没有充分发挥其作用。</w:t>
      </w:r>
    </w:p>
    <w:p>
      <w:pPr>
        <w:pStyle w:val="9"/>
        <w:spacing w:line="640" w:lineRule="exact"/>
        <w:ind w:firstLine="602"/>
        <w:rPr>
          <w:rFonts w:hint="eastAsia" w:ascii="仿宋_GB2312" w:hAnsi="仿宋" w:eastAsia="仿宋_GB2312" w:cs="仿宋"/>
          <w:bCs/>
          <w:sz w:val="30"/>
          <w:szCs w:val="30"/>
          <w:lang w:val="zh-TW" w:eastAsia="zh-TW"/>
        </w:rPr>
      </w:pPr>
      <w:r>
        <w:rPr>
          <w:rFonts w:hint="eastAsia" w:ascii="仿宋_GB2312" w:hAnsi="仿宋" w:eastAsia="仿宋_GB2312" w:cs="仿宋"/>
          <w:b/>
          <w:bCs/>
          <w:sz w:val="30"/>
          <w:szCs w:val="30"/>
          <w:lang w:val="zh-TW"/>
        </w:rPr>
        <w:t>（5）</w:t>
      </w:r>
      <w:r>
        <w:rPr>
          <w:rFonts w:hint="eastAsia" w:ascii="仿宋_GB2312" w:hAnsi="仿宋" w:eastAsia="仿宋_GB2312" w:cs="仿宋"/>
          <w:b/>
          <w:bCs/>
          <w:sz w:val="30"/>
          <w:szCs w:val="30"/>
          <w:lang w:val="zh-TW" w:eastAsia="zh-TW"/>
        </w:rPr>
        <w:t>缺少农副产品批发市场，冷链物流发展缓慢。</w:t>
      </w:r>
      <w:r>
        <w:rPr>
          <w:rFonts w:hint="eastAsia" w:ascii="仿宋_GB2312" w:hAnsi="仿宋" w:eastAsia="仿宋_GB2312" w:cs="仿宋"/>
          <w:bCs/>
          <w:sz w:val="30"/>
          <w:szCs w:val="30"/>
          <w:lang w:val="zh-TW" w:eastAsia="zh-TW"/>
        </w:rPr>
        <w:t>城区缺少农副产品批发市场与冷链市场，目前仅在桥东市场规划了小规模的农批与冷链区域，不能满足日渐高涨的消费需求，同时也制约了本地农产品的外向流通发展。</w:t>
      </w:r>
    </w:p>
    <w:p>
      <w:pPr>
        <w:pStyle w:val="9"/>
        <w:spacing w:line="640" w:lineRule="exact"/>
        <w:ind w:firstLine="602"/>
        <w:rPr>
          <w:rFonts w:hint="eastAsia" w:ascii="仿宋_GB2312" w:hAnsi="仿宋" w:eastAsia="仿宋_GB2312" w:cs="仿宋"/>
          <w:b/>
          <w:bCs/>
          <w:sz w:val="30"/>
          <w:szCs w:val="30"/>
          <w:lang w:val="zh-TW" w:eastAsia="zh-TW"/>
        </w:rPr>
      </w:pPr>
      <w:r>
        <w:rPr>
          <w:rFonts w:hint="eastAsia" w:ascii="仿宋_GB2312" w:hAnsi="仿宋" w:eastAsia="仿宋_GB2312" w:cs="仿宋"/>
          <w:b/>
          <w:bCs/>
          <w:sz w:val="30"/>
          <w:szCs w:val="30"/>
          <w:lang w:val="zh-TW"/>
        </w:rPr>
        <w:t>3.</w:t>
      </w:r>
      <w:r>
        <w:rPr>
          <w:rFonts w:hint="eastAsia" w:ascii="仿宋_GB2312" w:hAnsi="仿宋" w:eastAsia="仿宋_GB2312" w:cs="仿宋"/>
          <w:b/>
          <w:bCs/>
          <w:sz w:val="30"/>
          <w:szCs w:val="30"/>
          <w:lang w:val="zh-TW" w:eastAsia="zh-TW"/>
        </w:rPr>
        <w:t>介于上述存在问题，提出以下解决思路：</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（1）</w:t>
      </w:r>
      <w:r>
        <w:rPr>
          <w:rFonts w:hint="eastAsia" w:ascii="仿宋_GB2312" w:hAnsi="仿宋" w:eastAsia="仿宋_GB2312" w:cs="仿宋"/>
          <w:bCs/>
          <w:sz w:val="30"/>
          <w:szCs w:val="30"/>
          <w:lang w:val="zh-TW" w:eastAsia="zh-TW"/>
        </w:rPr>
        <w:t>加快推动中农联华容农产品电商物流园的建设，尽快疏解城区农贸市场批发功能，同时打造成为本地优质农产品对外输出的产地市场。</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（2）</w:t>
      </w:r>
      <w:r>
        <w:rPr>
          <w:rFonts w:hint="eastAsia" w:ascii="仿宋_GB2312" w:hAnsi="仿宋" w:eastAsia="仿宋_GB2312" w:cs="仿宋"/>
          <w:bCs/>
          <w:sz w:val="30"/>
          <w:szCs w:val="30"/>
          <w:lang w:val="zh-TW" w:eastAsia="zh-TW"/>
        </w:rPr>
        <w:t>按照标准，在新建大型居民聚集区新增标准化农贸市场或生鲜超市。规划先行，未来城区新建大型居民聚集区，必须按照相关规划和标准，配建便民的农副产品零售场所。</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（3）</w:t>
      </w:r>
      <w:r>
        <w:rPr>
          <w:rFonts w:hint="eastAsia" w:ascii="仿宋_GB2312" w:hAnsi="仿宋" w:eastAsia="仿宋_GB2312" w:cs="仿宋"/>
          <w:bCs/>
          <w:sz w:val="30"/>
          <w:szCs w:val="30"/>
          <w:lang w:val="zh-TW" w:eastAsia="zh-TW"/>
        </w:rPr>
        <w:t>新建市场禁止活禽（畜）宰杀，现有农贸市场内活禽（畜）宰杀商户全部按照密闭式管理，设置负压操作间，设置独立通风系统。对居民购物动线和货物进出动线进行优化，通过科学规划管理，提升农贸市场流通效率和环境卫生。</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（4）</w:t>
      </w:r>
      <w:r>
        <w:rPr>
          <w:rFonts w:hint="eastAsia" w:ascii="仿宋_GB2312" w:hAnsi="仿宋" w:eastAsia="仿宋_GB2312" w:cs="仿宋"/>
          <w:bCs/>
          <w:sz w:val="30"/>
          <w:szCs w:val="30"/>
          <w:lang w:val="zh-TW" w:eastAsia="zh-TW"/>
        </w:rPr>
        <w:t>参考国家及农贸市场建设先进城市经验，设置我县农贸市场建设管理标准，指导农贸市场标准化改造，科学化运营管理。新建与改造农贸市场必须按照标准进行建设，并接受社会舆论监督。</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（5）</w:t>
      </w:r>
      <w:r>
        <w:rPr>
          <w:rFonts w:hint="eastAsia" w:ascii="仿宋_GB2312" w:hAnsi="仿宋" w:eastAsia="仿宋_GB2312" w:cs="仿宋"/>
          <w:bCs/>
          <w:sz w:val="30"/>
          <w:szCs w:val="30"/>
          <w:lang w:val="zh-TW" w:eastAsia="zh-TW"/>
        </w:rPr>
        <w:t>优化农贸市场外部环境，结合城市更新，改在相关地下管网，增设停车位、广场空间，引导占道经营的城郊菜农、流动摊贩入场在指定区域有序经营。</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（6）</w:t>
      </w:r>
      <w:r>
        <w:rPr>
          <w:rFonts w:hint="eastAsia" w:ascii="仿宋_GB2312" w:hAnsi="仿宋" w:eastAsia="仿宋_GB2312" w:cs="仿宋"/>
          <w:bCs/>
          <w:sz w:val="30"/>
          <w:szCs w:val="30"/>
          <w:lang w:val="zh-TW" w:eastAsia="zh-TW"/>
        </w:rPr>
        <w:t>加强食品安全管理，对农产品溯源、药残监测等设施设备进行投入，并对监测结果在市场内及时公示。充分发挥智能设备的作用，推进智慧城市逐步落地。</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（7）</w:t>
      </w:r>
      <w:r>
        <w:rPr>
          <w:rFonts w:hint="eastAsia" w:ascii="仿宋_GB2312" w:hAnsi="仿宋" w:eastAsia="仿宋_GB2312" w:cs="仿宋"/>
          <w:bCs/>
          <w:sz w:val="30"/>
          <w:szCs w:val="30"/>
          <w:lang w:val="zh-TW" w:eastAsia="zh-TW"/>
        </w:rPr>
        <w:t>与城管部门、交通部门、环保部门做好联动服务，试点周边交通潮汐式管理，安装智能设备实时监控周边环境状态，确保环境安全。科学增加服务频次，认真倾听商户意见，及时处理商户问题，引导商户守法合规经营。</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rPr>
        <w:t>（8）</w:t>
      </w:r>
      <w:r>
        <w:rPr>
          <w:rFonts w:hint="eastAsia" w:ascii="仿宋_GB2312" w:hAnsi="仿宋" w:eastAsia="仿宋_GB2312" w:cs="仿宋"/>
          <w:bCs/>
          <w:sz w:val="30"/>
          <w:szCs w:val="30"/>
          <w:lang w:val="zh-TW" w:eastAsia="zh-TW"/>
        </w:rPr>
        <w:t>创新建设运营模式，积极引入社会资本投资农贸市场建设，通过经营补贴、奖励、配建商铺等方式来维持市场的可持续运营。</w:t>
      </w:r>
    </w:p>
    <w:p>
      <w:pPr>
        <w:pStyle w:val="9"/>
        <w:spacing w:line="640" w:lineRule="exact"/>
        <w:ind w:firstLine="602"/>
        <w:rPr>
          <w:rFonts w:hint="eastAsia" w:ascii="仿宋_GB2312" w:hAnsi="仿宋" w:eastAsia="仿宋_GB2312" w:cs="仿宋"/>
          <w:b/>
          <w:bCs/>
          <w:sz w:val="30"/>
          <w:szCs w:val="30"/>
          <w:lang w:val="zh-TW" w:eastAsia="zh-TW"/>
        </w:rPr>
      </w:pPr>
      <w:r>
        <w:rPr>
          <w:rFonts w:hint="eastAsia" w:ascii="仿宋_GB2312" w:hAnsi="仿宋" w:eastAsia="仿宋_GB2312" w:cs="仿宋"/>
          <w:b/>
          <w:bCs/>
          <w:sz w:val="30"/>
          <w:szCs w:val="30"/>
          <w:lang w:val="zh-TW"/>
        </w:rPr>
        <w:t>4.</w:t>
      </w:r>
      <w:r>
        <w:rPr>
          <w:rFonts w:hint="eastAsia" w:ascii="仿宋_GB2312" w:hAnsi="仿宋" w:eastAsia="仿宋_GB2312" w:cs="仿宋"/>
          <w:b/>
          <w:bCs/>
          <w:sz w:val="30"/>
          <w:szCs w:val="30"/>
          <w:lang w:val="zh-TW" w:eastAsia="zh-TW"/>
        </w:rPr>
        <w:t>布局谋划与实施方案</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三年内，初步形成 “城郊专业市场+城区农贸市场+社区生鲜菜店”的三级农副产品流通集散体系。</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农副产品专业市场以批发为主，以智慧化、信息化为发展动力，整合农副产品初步加工、分拣包装、常温仓储、冷链物流等交易链上各个环节，解决区域农副产品高效流通集散的同时实现“带一促二”，真正做到流通促进消费，流通拉动生产。</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老城区农贸市场按照相关标准完成的改造升级，剥离现有市场内批发功能，逐步减少市场内活禽（畜）宰杀商户。新城区按照0.7-1公里（步行15分钟）的服务半径规划标准农贸市场，其中对已有人口规模且初步具备经营条件的区域先行建设，暂不具备的区域做好规划预留。充分利用现有物业，鼓励发展社区生鲜菜店，解决无法满足农贸市场建设条件的部分插花地带或边缘地带居民的日常消费。鼓励各市场主体提供线上服务，结合城市日常配送服务，提供新的服务模式，突破物理空间限制，扩大交易服务半径。</w:t>
      </w:r>
    </w:p>
    <w:p>
      <w:pPr>
        <w:pStyle w:val="9"/>
        <w:spacing w:line="640" w:lineRule="exact"/>
        <w:ind w:firstLine="600"/>
        <w:rPr>
          <w:rFonts w:hint="eastAsia" w:ascii="仿宋_GB2312" w:hAnsi="仿宋" w:eastAsia="仿宋_GB2312" w:cs="仿宋"/>
          <w:bCs/>
          <w:sz w:val="30"/>
          <w:szCs w:val="30"/>
          <w:lang w:val="zh-TW" w:eastAsia="zh-TW"/>
        </w:rPr>
      </w:pPr>
      <w:r>
        <w:rPr>
          <w:rFonts w:hint="eastAsia" w:ascii="仿宋_GB2312" w:hAnsi="仿宋" w:eastAsia="仿宋_GB2312" w:cs="仿宋"/>
          <w:bCs/>
          <w:sz w:val="30"/>
          <w:szCs w:val="30"/>
          <w:lang w:val="zh-TW" w:eastAsia="zh-TW"/>
        </w:rPr>
        <w:t>重点在城东、火车站、石伏（产业园）、华容大道西段、田家湖等区域规划新增农贸市场，同时完成桥西、华阳、陵园、李家湖等老旧农贸市场进行改造升级。</w:t>
      </w:r>
    </w:p>
    <w:p>
      <w:pPr>
        <w:pStyle w:val="9"/>
        <w:spacing w:line="640" w:lineRule="exact"/>
        <w:ind w:firstLine="600"/>
        <w:rPr>
          <w:rFonts w:hint="eastAsia" w:ascii="仿宋_GB2312" w:hAnsi="黑体" w:eastAsia="仿宋_GB2312" w:cs="宋体"/>
          <w:b/>
          <w:bCs/>
          <w:kern w:val="0"/>
          <w:sz w:val="24"/>
          <w:szCs w:val="24"/>
        </w:rPr>
      </w:pPr>
      <w:r>
        <w:rPr>
          <w:rFonts w:hint="eastAsia" w:ascii="仿宋_GB2312" w:hAnsi="仿宋" w:eastAsia="仿宋_GB2312" w:cs="仿宋"/>
          <w:bCs/>
          <w:sz w:val="30"/>
          <w:szCs w:val="30"/>
          <w:lang w:val="zh-TW" w:eastAsia="zh-TW"/>
        </w:rPr>
        <w:t>通过三年的建设，解决农贸市场发展的不平衡不充分，满足适应消费者日益增长的美好生活需要，将城区农贸市场的“脏乱差”形象彻底改变，打造美丽宜居的新华容的 “开放式餐厅”。</w:t>
      </w:r>
    </w:p>
    <w:p>
      <w:pPr>
        <w:spacing w:line="360" w:lineRule="auto"/>
        <w:jc w:val="center"/>
        <w:rPr>
          <w:rFonts w:hint="eastAsia" w:ascii="仿宋_GB2312" w:hAnsi="宋体" w:eastAsia="仿宋_GB2312"/>
          <w:sz w:val="30"/>
          <w:szCs w:val="30"/>
        </w:rPr>
      </w:pPr>
      <w:r>
        <w:rPr>
          <w:rFonts w:hint="eastAsia" w:ascii="仿宋_GB2312" w:hAnsi="黑体" w:eastAsia="仿宋_GB2312" w:cs="宋体"/>
          <w:b/>
          <w:bCs/>
          <w:kern w:val="0"/>
          <w:sz w:val="30"/>
          <w:szCs w:val="30"/>
        </w:rPr>
        <w:t>华容县中心城区农贸市场规划布局一览表</w:t>
      </w:r>
    </w:p>
    <w:tbl>
      <w:tblPr>
        <w:tblStyle w:val="6"/>
        <w:tblW w:w="490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277"/>
        <w:gridCol w:w="2268"/>
        <w:gridCol w:w="1134"/>
        <w:gridCol w:w="1417"/>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blHeader/>
        </w:trPr>
        <w:tc>
          <w:tcPr>
            <w:tcW w:w="469" w:type="pct"/>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序号</w:t>
            </w:r>
          </w:p>
        </w:tc>
        <w:tc>
          <w:tcPr>
            <w:tcW w:w="704" w:type="pct"/>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名称</w:t>
            </w:r>
          </w:p>
        </w:tc>
        <w:tc>
          <w:tcPr>
            <w:tcW w:w="1250" w:type="pct"/>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地址</w:t>
            </w:r>
          </w:p>
        </w:tc>
        <w:tc>
          <w:tcPr>
            <w:tcW w:w="625" w:type="pct"/>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市场类型</w:t>
            </w:r>
          </w:p>
        </w:tc>
        <w:tc>
          <w:tcPr>
            <w:tcW w:w="781" w:type="pct"/>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用地总规模（平方米）</w:t>
            </w:r>
          </w:p>
        </w:tc>
        <w:tc>
          <w:tcPr>
            <w:tcW w:w="1172" w:type="pct"/>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规划方案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南门市场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解放路与新市街交汇处东北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4445</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“十四五”期间，完成标准化改造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青年市场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户部巷东侧</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3200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“十四五”期间，完成标准化改造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城兴农贸市场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政通路与金融巷交汇处西南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4300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现状保留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桥西市场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华鲇路与港西路交汇处西北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2200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“十四五”期间，完成标准化改造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5</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桥东农贸市场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桥东路南侧，桥东街社区居委会对侧</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5500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现状保留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北门市场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岳圣巷与北正街交汇处西南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6000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现状保留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7</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华阳菜市场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迎宾北路与华阳路交汇处东南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1000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“十四五”期间，完成标准化改造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8</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马鞍农贸市场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马鞍山路与港西北路交汇处西南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2400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现状保留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9</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陵园市场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桥东路与大厦路交汇处东北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现状保留，待桥东农贸市场功能逐步成熟后，调整退出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10</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李家湖集贸市场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李兴路东侧</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1200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“十四五”期间，完成标准化改造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11</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书院路菜市场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书院路与一纺巷交汇处西北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1500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“十四五”期间规划新建，核心服务范围为状元湖周边区域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12</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北岸尚都菜市场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华鲇路与白鼎山南路交汇处东北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“十四五”期间规划新建，核心服务范围为人民大道以西，华鲇路西段两厢的区域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13</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杏花村西路菜市场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杏花村西路与白鼎山中路交汇处西北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“十四五”期间规划新建，核心服务范围为县政府以西，杏花村西路两厢的区域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14</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水产社区菜市场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牛桊山路与书院路交汇处西南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2400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“十四五”期间规划新建，核心服务范围为华容大道东路以北，华容火车站以西的区域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15</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田家湖菜市场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田家湖大道与港西南路交汇处西北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“十四五”期间规划新建，核心服务范围为港西路以西，田家湖大道两厢区域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16</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石伏菜市场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桥东路与华容大道东路交汇处东南</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1500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“十四五”期间规划新建，核心服务范围为石伏社区级周边区域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17</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治河渡农贸市场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治河渡镇卫生院北侧</w:t>
            </w:r>
          </w:p>
        </w:tc>
        <w:tc>
          <w:tcPr>
            <w:tcW w:w="62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综合农贸市场</w:t>
            </w:r>
          </w:p>
        </w:tc>
        <w:tc>
          <w:tcPr>
            <w:tcW w:w="78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5000</w:t>
            </w:r>
          </w:p>
        </w:tc>
        <w:tc>
          <w:tcPr>
            <w:tcW w:w="117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“十四五”期间规划新建，承接蔬菜基地郊菜集散进城功能，兼顾辐射周边区域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18</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火车站菜市场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华容火车站站前居民聚集区</w:t>
            </w:r>
          </w:p>
        </w:tc>
        <w:tc>
          <w:tcPr>
            <w:tcW w:w="625"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2500</w:t>
            </w:r>
          </w:p>
        </w:tc>
        <w:tc>
          <w:tcPr>
            <w:tcW w:w="1172"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远期规划建设，核心服务范围为华容火车站周边区域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19</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普圣堂菜市场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人民大道和田家湖大道交汇区域</w:t>
            </w:r>
          </w:p>
        </w:tc>
        <w:tc>
          <w:tcPr>
            <w:tcW w:w="625"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2000</w:t>
            </w:r>
          </w:p>
        </w:tc>
        <w:tc>
          <w:tcPr>
            <w:tcW w:w="1172"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远期规划建设，核心服务范围为人民大道和田家湖大道交汇周边区域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46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w:t>
            </w:r>
          </w:p>
        </w:tc>
        <w:tc>
          <w:tcPr>
            <w:tcW w:w="704"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白鼎菜市场</w:t>
            </w:r>
          </w:p>
        </w:tc>
        <w:tc>
          <w:tcPr>
            <w:tcW w:w="1250"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护城乡白鼎村</w:t>
            </w:r>
          </w:p>
        </w:tc>
        <w:tc>
          <w:tcPr>
            <w:tcW w:w="625"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标准菜市场</w:t>
            </w:r>
          </w:p>
        </w:tc>
        <w:tc>
          <w:tcPr>
            <w:tcW w:w="781"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2000</w:t>
            </w:r>
          </w:p>
        </w:tc>
        <w:tc>
          <w:tcPr>
            <w:tcW w:w="1172" w:type="pct"/>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远期规划建设，核心服务范围为护城乡白鼎村周边区域</w:t>
            </w:r>
          </w:p>
        </w:tc>
      </w:tr>
    </w:tbl>
    <w:p>
      <w:pPr>
        <w:spacing w:line="360" w:lineRule="auto"/>
        <w:rPr>
          <w:rFonts w:hint="eastAsia" w:ascii="仿宋_GB2312" w:hAnsi="宋体" w:eastAsia="仿宋_GB2312"/>
          <w:sz w:val="30"/>
          <w:szCs w:val="30"/>
        </w:rPr>
      </w:pPr>
    </w:p>
    <w:p>
      <w:pPr>
        <w:spacing w:line="360" w:lineRule="auto"/>
        <w:rPr>
          <w:rFonts w:hint="eastAsia" w:ascii="仿宋_GB2312" w:hAnsi="宋体" w:eastAsia="仿宋_GB2312"/>
          <w:sz w:val="30"/>
          <w:szCs w:val="30"/>
        </w:rPr>
        <w:sectPr>
          <w:pgSz w:w="11906" w:h="16838"/>
          <w:pgMar w:top="1800" w:right="1440" w:bottom="1800" w:left="1440" w:header="851" w:footer="992" w:gutter="0"/>
          <w:cols w:space="425" w:num="1"/>
          <w:docGrid w:type="lines" w:linePitch="312" w:charSpace="0"/>
        </w:sectPr>
      </w:pPr>
    </w:p>
    <w:p>
      <w:pPr>
        <w:spacing w:before="100" w:beforeAutospacing="1" w:after="100" w:afterAutospacing="1" w:line="360" w:lineRule="auto"/>
        <w:jc w:val="left"/>
        <w:outlineLvl w:val="0"/>
        <w:rPr>
          <w:rFonts w:hint="eastAsia" w:ascii="仿宋_GB2312" w:hAnsi="仿宋" w:eastAsia="仿宋_GB2312"/>
          <w:b/>
          <w:color w:val="000000"/>
          <w:sz w:val="32"/>
          <w:szCs w:val="32"/>
        </w:rPr>
      </w:pPr>
      <w:bookmarkStart w:id="50" w:name="_Toc62653471"/>
      <w:r>
        <w:rPr>
          <w:rFonts w:hint="eastAsia" w:ascii="仿宋_GB2312" w:hAnsi="仿宋" w:eastAsia="仿宋_GB2312"/>
          <w:b/>
          <w:color w:val="000000"/>
          <w:sz w:val="32"/>
          <w:szCs w:val="32"/>
        </w:rPr>
        <w:t xml:space="preserve">附件四  </w:t>
      </w:r>
      <w:r>
        <w:rPr>
          <w:rFonts w:hint="eastAsia" w:ascii="仿宋_GB2312" w:hAnsi="宋体" w:eastAsia="仿宋_GB2312" w:cs="宋体"/>
          <w:b/>
          <w:bCs/>
          <w:kern w:val="0"/>
          <w:sz w:val="32"/>
          <w:szCs w:val="32"/>
        </w:rPr>
        <w:t>华容县中心城区商品交易市场布局规划一览表</w:t>
      </w:r>
      <w:bookmarkEnd w:id="50"/>
    </w:p>
    <w:tbl>
      <w:tblPr>
        <w:tblStyle w:val="6"/>
        <w:tblW w:w="4873" w:type="pct"/>
        <w:jc w:val="center"/>
        <w:tblLayout w:type="autofit"/>
        <w:tblCellMar>
          <w:top w:w="0" w:type="dxa"/>
          <w:left w:w="108" w:type="dxa"/>
          <w:bottom w:w="0" w:type="dxa"/>
          <w:right w:w="108" w:type="dxa"/>
        </w:tblCellMar>
      </w:tblPr>
      <w:tblGrid>
        <w:gridCol w:w="1534"/>
        <w:gridCol w:w="1544"/>
        <w:gridCol w:w="1382"/>
        <w:gridCol w:w="1931"/>
        <w:gridCol w:w="939"/>
        <w:gridCol w:w="1677"/>
      </w:tblGrid>
      <w:tr>
        <w:tblPrEx>
          <w:tblCellMar>
            <w:top w:w="0" w:type="dxa"/>
            <w:left w:w="108" w:type="dxa"/>
            <w:bottom w:w="0" w:type="dxa"/>
            <w:right w:w="108" w:type="dxa"/>
          </w:tblCellMar>
        </w:tblPrEx>
        <w:trPr>
          <w:cantSplit/>
          <w:trHeight w:val="750" w:hRule="atLeast"/>
          <w:tblHeader/>
          <w:jc w:val="center"/>
        </w:trPr>
        <w:tc>
          <w:tcPr>
            <w:tcW w:w="852" w:type="pct"/>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名称</w:t>
            </w:r>
          </w:p>
        </w:tc>
        <w:tc>
          <w:tcPr>
            <w:tcW w:w="857"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地址</w:t>
            </w:r>
          </w:p>
        </w:tc>
        <w:tc>
          <w:tcPr>
            <w:tcW w:w="767"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市场类型</w:t>
            </w:r>
          </w:p>
        </w:tc>
        <w:tc>
          <w:tcPr>
            <w:tcW w:w="1072"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市场功能</w:t>
            </w:r>
          </w:p>
        </w:tc>
        <w:tc>
          <w:tcPr>
            <w:tcW w:w="521"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用地总规模（平方米）</w:t>
            </w:r>
          </w:p>
        </w:tc>
        <w:tc>
          <w:tcPr>
            <w:tcW w:w="931" w:type="pct"/>
            <w:tcBorders>
              <w:top w:val="single" w:color="auto" w:sz="8" w:space="0"/>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b/>
                <w:bCs/>
                <w:kern w:val="0"/>
                <w:sz w:val="24"/>
                <w:szCs w:val="24"/>
              </w:rPr>
            </w:pPr>
            <w:r>
              <w:rPr>
                <w:rFonts w:hint="eastAsia" w:ascii="仿宋_GB2312" w:hAnsi="黑体" w:eastAsia="仿宋_GB2312" w:cs="宋体"/>
                <w:b/>
                <w:bCs/>
                <w:kern w:val="0"/>
                <w:sz w:val="24"/>
                <w:szCs w:val="24"/>
              </w:rPr>
              <w:t>规划方案</w:t>
            </w:r>
          </w:p>
        </w:tc>
      </w:tr>
      <w:tr>
        <w:tblPrEx>
          <w:tblCellMar>
            <w:top w:w="0" w:type="dxa"/>
            <w:left w:w="108" w:type="dxa"/>
            <w:bottom w:w="0" w:type="dxa"/>
            <w:right w:w="108" w:type="dxa"/>
          </w:tblCellMar>
        </w:tblPrEx>
        <w:trPr>
          <w:cantSplit/>
          <w:trHeight w:val="2010"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华阳市场</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迎宾北路与华容大道东路交汇处东北地块内</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综合交易市场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食品饮料、烟酒副食、茶叶、文化办公用品、粮油、小商品等批零交易，具备一般仓储功能。</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50000</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优化市场整体经营环境，引导各类商户入相关新建专业市场集聚经营，逐步转移仓储、物流等对交通和环境影响较大的功能至专业园区。</w:t>
            </w:r>
          </w:p>
        </w:tc>
      </w:tr>
      <w:tr>
        <w:tblPrEx>
          <w:tblCellMar>
            <w:top w:w="0" w:type="dxa"/>
            <w:left w:w="108" w:type="dxa"/>
            <w:bottom w:w="0" w:type="dxa"/>
            <w:right w:w="108" w:type="dxa"/>
          </w:tblCellMar>
        </w:tblPrEx>
        <w:trPr>
          <w:cantSplit/>
          <w:trHeight w:val="1185"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海燕市场</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迎宾中路和桥西路交汇处东南角地块内</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纺织、服装、鞋帽市场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主要以服装、鞋帽、纺织品等商品展示交易为主。</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12000</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重点对市场内巷道的经营环境进行提升，鼓励引入体验服务，通过模式创新，打造发展新动力。</w:t>
            </w:r>
          </w:p>
        </w:tc>
      </w:tr>
      <w:tr>
        <w:tblPrEx>
          <w:tblCellMar>
            <w:top w:w="0" w:type="dxa"/>
            <w:left w:w="108" w:type="dxa"/>
            <w:bottom w:w="0" w:type="dxa"/>
            <w:right w:w="108" w:type="dxa"/>
          </w:tblCellMar>
        </w:tblPrEx>
        <w:trPr>
          <w:cantSplit/>
          <w:trHeight w:val="1335"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湘北农机大市场</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章华镇护城蔡兴村，S306西侧</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生产资料市场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定位以农业生产机械及相关生产用具为主的专业生产资料市场。</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53667</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盘活现有资产，按照现代农业生产资料市场的模式为西洞庭湖区提供相关服务。</w:t>
            </w:r>
          </w:p>
        </w:tc>
      </w:tr>
      <w:tr>
        <w:tblPrEx>
          <w:tblCellMar>
            <w:top w:w="0" w:type="dxa"/>
            <w:left w:w="108" w:type="dxa"/>
            <w:bottom w:w="0" w:type="dxa"/>
            <w:right w:w="108" w:type="dxa"/>
          </w:tblCellMar>
        </w:tblPrEx>
        <w:trPr>
          <w:cantSplit/>
          <w:trHeight w:val="1605"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远大农资市场</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章华镇护城蔡兴村，S306东侧</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生产资料市场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主要以种子、农药、化肥等农业生产资料的交易服务为主，具备一般仓储功能。</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21000</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保留完善，引入电商、远程教育等等新的经营理念，提高区域农业现代化水平，提升农业生产效率。</w:t>
            </w:r>
          </w:p>
        </w:tc>
      </w:tr>
      <w:tr>
        <w:tblPrEx>
          <w:tblCellMar>
            <w:top w:w="0" w:type="dxa"/>
            <w:left w:w="108" w:type="dxa"/>
            <w:bottom w:w="0" w:type="dxa"/>
            <w:right w:w="108" w:type="dxa"/>
          </w:tblCellMar>
        </w:tblPrEx>
        <w:trPr>
          <w:cantSplit/>
          <w:trHeight w:val="1635"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华都国际家居建材市场</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华容大道西路</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家具、五金及装饰材料市场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以家具、建材、五金、家具用品的展示交易为主。</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172000</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保留完善，厘清制约市场经营的相关因素，尽快推进经营进入正常周期，为城市及周边区域提供相关专业服务。</w:t>
            </w:r>
          </w:p>
        </w:tc>
      </w:tr>
      <w:tr>
        <w:tblPrEx>
          <w:tblCellMar>
            <w:top w:w="0" w:type="dxa"/>
            <w:left w:w="108" w:type="dxa"/>
            <w:bottom w:w="0" w:type="dxa"/>
            <w:right w:w="108" w:type="dxa"/>
          </w:tblCellMar>
        </w:tblPrEx>
        <w:trPr>
          <w:cantSplit/>
          <w:trHeight w:val="1230"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中农联农产品电商物流园</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华容大道西路，华都国家建材城西侧</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农产品综合市场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主要包括农产品集散、批发、交易、冷链物流、电商发展等综合性农产品电商物流园。</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70000</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w:t>
            </w:r>
          </w:p>
        </w:tc>
      </w:tr>
      <w:tr>
        <w:tblPrEx>
          <w:tblCellMar>
            <w:top w:w="0" w:type="dxa"/>
            <w:left w:w="108" w:type="dxa"/>
            <w:bottom w:w="0" w:type="dxa"/>
            <w:right w:w="108" w:type="dxa"/>
          </w:tblCellMar>
        </w:tblPrEx>
        <w:trPr>
          <w:cantSplit/>
          <w:trHeight w:val="1650"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湘北汽车城</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人民大道南段</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汽车、摩托车及零配件市场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拟建集汽车展览、新车销售、二手车交易、汽车修理美容、汽车配件销售等功能于一体的管理规范的汽车产业城。</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114453</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w:t>
            </w:r>
          </w:p>
        </w:tc>
      </w:tr>
      <w:tr>
        <w:tblPrEx>
          <w:tblCellMar>
            <w:top w:w="0" w:type="dxa"/>
            <w:left w:w="108" w:type="dxa"/>
            <w:bottom w:w="0" w:type="dxa"/>
            <w:right w:w="108" w:type="dxa"/>
          </w:tblCellMar>
        </w:tblPrEx>
        <w:trPr>
          <w:cantSplit/>
          <w:trHeight w:val="1275" w:hRule="atLeast"/>
          <w:jc w:val="center"/>
        </w:trPr>
        <w:tc>
          <w:tcPr>
            <w:tcW w:w="852"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再生资源交易市场</w:t>
            </w:r>
          </w:p>
        </w:tc>
        <w:tc>
          <w:tcPr>
            <w:tcW w:w="85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浩吉铁路华容站场以北</w:t>
            </w:r>
          </w:p>
        </w:tc>
        <w:tc>
          <w:tcPr>
            <w:tcW w:w="76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其它专业市场</w:t>
            </w:r>
          </w:p>
        </w:tc>
        <w:tc>
          <w:tcPr>
            <w:tcW w:w="1072" w:type="pct"/>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报废汽车零件回收拆解、再生资源回收、应急救援管理服务、普通货物运输、汽车维修等。</w:t>
            </w:r>
          </w:p>
        </w:tc>
        <w:tc>
          <w:tcPr>
            <w:tcW w:w="521"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48000</w:t>
            </w:r>
          </w:p>
        </w:tc>
        <w:tc>
          <w:tcPr>
            <w:tcW w:w="9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w:t>
            </w:r>
          </w:p>
        </w:tc>
      </w:tr>
      <w:tr>
        <w:tblPrEx>
          <w:tblCellMar>
            <w:top w:w="0" w:type="dxa"/>
            <w:left w:w="108" w:type="dxa"/>
            <w:bottom w:w="0" w:type="dxa"/>
            <w:right w:w="108" w:type="dxa"/>
          </w:tblCellMar>
        </w:tblPrEx>
        <w:trPr>
          <w:cantSplit/>
          <w:trHeight w:val="900" w:hRule="atLeast"/>
          <w:jc w:val="center"/>
        </w:trPr>
        <w:tc>
          <w:tcPr>
            <w:tcW w:w="852" w:type="pct"/>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正诚综合交易市场</w:t>
            </w:r>
          </w:p>
        </w:tc>
        <w:tc>
          <w:tcPr>
            <w:tcW w:w="857" w:type="pct"/>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章华镇蔡兴村，S306东侧，远大农资市场以南</w:t>
            </w:r>
          </w:p>
        </w:tc>
        <w:tc>
          <w:tcPr>
            <w:tcW w:w="767" w:type="pct"/>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其它专业市场</w:t>
            </w:r>
          </w:p>
        </w:tc>
        <w:tc>
          <w:tcPr>
            <w:tcW w:w="1072" w:type="pct"/>
            <w:tcBorders>
              <w:top w:val="nil"/>
              <w:left w:val="nil"/>
              <w:bottom w:val="single" w:color="auto" w:sz="8" w:space="0"/>
              <w:right w:val="single" w:color="auto" w:sz="4" w:space="0"/>
            </w:tcBorders>
            <w:shd w:val="clear" w:color="auto" w:fill="auto"/>
            <w:noWrap w:val="0"/>
            <w:vAlign w:val="center"/>
          </w:tcPr>
          <w:p>
            <w:pPr>
              <w:widowControl/>
              <w:jc w:val="left"/>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拟建以二手商品交易为主的综合市场。</w:t>
            </w:r>
          </w:p>
        </w:tc>
        <w:tc>
          <w:tcPr>
            <w:tcW w:w="521" w:type="pct"/>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49333</w:t>
            </w:r>
          </w:p>
        </w:tc>
        <w:tc>
          <w:tcPr>
            <w:tcW w:w="931"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“十四五”期间规划新建</w:t>
            </w:r>
          </w:p>
        </w:tc>
      </w:tr>
    </w:tbl>
    <w:p>
      <w:pPr>
        <w:spacing w:line="360" w:lineRule="auto"/>
        <w:rPr>
          <w:rFonts w:hint="eastAsia" w:ascii="仿宋_GB2312" w:hAnsi="宋体" w:eastAsia="仿宋_GB2312"/>
          <w:sz w:val="30"/>
          <w:szCs w:val="30"/>
        </w:rPr>
      </w:pPr>
    </w:p>
    <w:p>
      <w:pPr>
        <w:spacing w:line="360" w:lineRule="auto"/>
        <w:rPr>
          <w:rFonts w:hint="eastAsia" w:ascii="仿宋_GB2312" w:hAnsi="宋体" w:eastAsia="仿宋_GB2312"/>
          <w:sz w:val="30"/>
          <w:szCs w:val="30"/>
        </w:rPr>
        <w:sectPr>
          <w:pgSz w:w="11906" w:h="16838"/>
          <w:pgMar w:top="1800" w:right="1440" w:bottom="1800" w:left="1440" w:header="851" w:footer="992" w:gutter="0"/>
          <w:cols w:space="425" w:num="1"/>
          <w:docGrid w:type="lines" w:linePitch="312" w:charSpace="0"/>
        </w:sectPr>
      </w:pPr>
    </w:p>
    <w:p>
      <w:pPr>
        <w:spacing w:before="100" w:beforeAutospacing="1" w:after="100" w:afterAutospacing="1" w:line="360" w:lineRule="auto"/>
        <w:jc w:val="left"/>
        <w:outlineLvl w:val="0"/>
        <w:rPr>
          <w:rFonts w:hint="eastAsia" w:ascii="仿宋_GB2312" w:hAnsi="宋体" w:eastAsia="仿宋_GB2312"/>
          <w:sz w:val="32"/>
          <w:szCs w:val="32"/>
        </w:rPr>
      </w:pPr>
      <w:bookmarkStart w:id="51" w:name="_Toc62653472"/>
      <w:r>
        <w:rPr>
          <w:rFonts w:hint="eastAsia" w:ascii="仿宋_GB2312" w:hAnsi="仿宋" w:eastAsia="仿宋_GB2312"/>
          <w:b/>
          <w:color w:val="000000"/>
          <w:sz w:val="32"/>
          <w:szCs w:val="32"/>
        </w:rPr>
        <w:t xml:space="preserve">附件五  </w:t>
      </w:r>
      <w:r>
        <w:rPr>
          <w:rFonts w:hint="eastAsia" w:ascii="仿宋_GB2312" w:eastAsia="仿宋_GB2312" w:cs="黑体"/>
          <w:b/>
          <w:bCs/>
          <w:color w:val="000000"/>
          <w:kern w:val="0"/>
          <w:sz w:val="32"/>
          <w:szCs w:val="32"/>
        </w:rPr>
        <w:t>华容县现代物流、电子商务和会展服务规划布局一览表</w:t>
      </w:r>
      <w:bookmarkEnd w:id="51"/>
    </w:p>
    <w:tbl>
      <w:tblPr>
        <w:tblStyle w:val="6"/>
        <w:tblW w:w="5010" w:type="pct"/>
        <w:tblInd w:w="0" w:type="dxa"/>
        <w:tblLayout w:type="autofit"/>
        <w:tblCellMar>
          <w:top w:w="0" w:type="dxa"/>
          <w:left w:w="30" w:type="dxa"/>
          <w:bottom w:w="0" w:type="dxa"/>
          <w:right w:w="30" w:type="dxa"/>
        </w:tblCellMar>
      </w:tblPr>
      <w:tblGrid>
        <w:gridCol w:w="1278"/>
        <w:gridCol w:w="1240"/>
        <w:gridCol w:w="1012"/>
        <w:gridCol w:w="3587"/>
        <w:gridCol w:w="1987"/>
      </w:tblGrid>
      <w:tr>
        <w:tblPrEx>
          <w:tblCellMar>
            <w:top w:w="0" w:type="dxa"/>
            <w:left w:w="30" w:type="dxa"/>
            <w:bottom w:w="0" w:type="dxa"/>
            <w:right w:w="30" w:type="dxa"/>
          </w:tblCellMar>
        </w:tblPrEx>
        <w:trPr>
          <w:cantSplit/>
          <w:trHeight w:val="462" w:hRule="atLeast"/>
          <w:tblHeader/>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名称</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地址</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用地总规模</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主要内容</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规划方案</w:t>
            </w:r>
          </w:p>
        </w:tc>
      </w:tr>
      <w:tr>
        <w:tblPrEx>
          <w:tblCellMar>
            <w:top w:w="0" w:type="dxa"/>
            <w:left w:w="30" w:type="dxa"/>
            <w:bottom w:w="0" w:type="dxa"/>
            <w:right w:w="30" w:type="dxa"/>
          </w:tblCellMar>
        </w:tblPrEx>
        <w:trPr>
          <w:cantSplit/>
          <w:trHeight w:val="493" w:hRule="atLeast"/>
        </w:trPr>
        <w:tc>
          <w:tcPr>
            <w:tcW w:w="5000" w:type="pct"/>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现代物流体系</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宏发配送中心</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港东北路与华容大道中路交汇处东北地块内</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约30000平方米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目前主要提供零担、第三方物流、物流信息服务等服务，现有约26家零担物流企业。</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“十四五”期间，随着城区主要物流通道的外移，现有物流服务功能将转移至城市外围新建物流项目内。本项目地块进行功能调整。</w:t>
            </w:r>
          </w:p>
        </w:tc>
      </w:tr>
      <w:tr>
        <w:tblPrEx>
          <w:tblCellMar>
            <w:top w:w="0" w:type="dxa"/>
            <w:left w:w="30" w:type="dxa"/>
            <w:bottom w:w="0" w:type="dxa"/>
            <w:right w:w="30" w:type="dxa"/>
          </w:tblCellMar>
        </w:tblPrEx>
        <w:trPr>
          <w:cantSplit/>
          <w:trHeight w:val="1264"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宏超智慧物流园</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hAnsi="黑体" w:eastAsia="仿宋_GB2312" w:cs="宋体"/>
                <w:kern w:val="0"/>
                <w:sz w:val="24"/>
                <w:szCs w:val="24"/>
              </w:rPr>
              <w:t>高铁新城现代智慧物流园区，</w:t>
            </w:r>
            <w:r>
              <w:rPr>
                <w:rFonts w:hint="eastAsia" w:ascii="仿宋_GB2312" w:eastAsia="仿宋_GB2312" w:cs="黑体"/>
                <w:color w:val="000000"/>
                <w:kern w:val="0"/>
                <w:sz w:val="24"/>
                <w:szCs w:val="24"/>
              </w:rPr>
              <w:t>华容大道东路与桥东路交汇处西侧地块内</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共计约50000平方米，二期计划扩建27000平方米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主要开展零担、仓储、第三方物流、冷链仓库、电商、物流信息服务物流服务项目。</w:t>
            </w:r>
          </w:p>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项目一期已完成了1栋物流综合大楼、三栋零担物流仓库和10000平米停车场的升级改造工作，将引导宏发物流中心现有的26家零担物流企业入场经营。</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二期计划新征南侧用地40亩，新建4000平米冷链仓库、4000普通物流仓库、18000平米停车场。</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华阳仓储配送中心</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华容大道东路与迎宾大道交汇处东北地块内</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约10000平方米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目前主要为华阳市场提供仓储及物流配送服务。</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“十四五”期间，引导调整物流仓储服务功能至城市外围新建物流项目内。</w:t>
            </w:r>
          </w:p>
        </w:tc>
      </w:tr>
      <w:tr>
        <w:tblPrEx>
          <w:tblCellMar>
            <w:top w:w="0" w:type="dxa"/>
            <w:left w:w="30" w:type="dxa"/>
            <w:bottom w:w="0" w:type="dxa"/>
            <w:right w:w="30" w:type="dxa"/>
          </w:tblCellMar>
        </w:tblPrEx>
        <w:trPr>
          <w:cantSplit/>
          <w:trHeight w:val="1402"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华容铁水联运储备基地</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位于长江右岸、华容县境东北部洪山头镇长宁村，属于岳阳港华容港区洪山头作业区</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约2475亩</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设计近期周转能力近期1400万吨/年、二期3600万吨/年、远期5000万吨/年，建设内容包括铁路专用线、铁水联运码头及煤炭物流园三部分：1.铁路专用线，总长度29.712公里，其中正线长约27.285公里，松木桥疏解线长约2.427公里，按国铁Ⅱ级标准建设；2.铁水联运码头，新建4个3000吨级煤炭出口泊位；3.煤炭物流园，总投资10亿元，主要建设受煤设施、全面储煤设施。</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“十四五”期间，继续进行建设。</w:t>
            </w:r>
          </w:p>
        </w:tc>
      </w:tr>
      <w:tr>
        <w:tblPrEx>
          <w:tblCellMar>
            <w:top w:w="0" w:type="dxa"/>
            <w:left w:w="30" w:type="dxa"/>
            <w:bottom w:w="0" w:type="dxa"/>
            <w:right w:w="30" w:type="dxa"/>
          </w:tblCellMar>
        </w:tblPrEx>
        <w:trPr>
          <w:cantSplit/>
          <w:trHeight w:val="1649"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宏发智慧物流园</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hAnsi="黑体" w:eastAsia="仿宋_GB2312" w:cs="宋体"/>
                <w:color w:val="000000"/>
                <w:kern w:val="0"/>
                <w:sz w:val="24"/>
                <w:szCs w:val="24"/>
              </w:rPr>
              <w:t>高铁新城现代智慧物流园区，十里铺华容火车站南，陵园湖以东，华容大道东路以北</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90400平方米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项目以智慧物流模式，打造集电子商务（含农村电商平台）、名优特农产品展示展销、零担快递物流、大型智能仓储、冷链仓储物流、第三方物流、最后一公里物流配送、产品质量追溯、与物联网平台对接、供应链金融等配套服务于一体的现代物流平台，分信息交易、电商中心、零担货运、冷链运输、中转仓储、再生物资仓储、冷库和车辆检测站、加油加气站等功能。定位为二级通用集散型综合物流园，园区物流强度为260万吨/KM2·年。</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完成建设。总建筑面积70277.5平方米，包括综合楼20998.5平方米，再生物资仓库12350.0平方米，零担专线11837.4平方米，分拣中心13526.7平方米，冷链仓库6315.0平方米，维修车间2713.4平方米，加油站840平方米，检测用房1622.5平方米，门卫74.0平方米。</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hAnsi="黑体" w:eastAsia="仿宋_GB2312" w:cs="宋体"/>
                <w:kern w:val="0"/>
                <w:sz w:val="24"/>
                <w:szCs w:val="24"/>
              </w:rPr>
              <w:t>快递物流分拣配送中心</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hAnsi="黑体" w:eastAsia="仿宋_GB2312" w:cs="宋体"/>
                <w:kern w:val="0"/>
                <w:sz w:val="24"/>
                <w:szCs w:val="24"/>
              </w:rPr>
              <w:t>高铁新城现代智慧物流园区</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13300平方米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包括物流配送中心、仓储中心、物流信息中心（物流大数据平台）、配送库区、交易展示厅及办公区，配套物流设备、运输车辆、计算机及网络设备系统等。</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r>
        <w:tblPrEx>
          <w:tblCellMar>
            <w:top w:w="0" w:type="dxa"/>
            <w:left w:w="30" w:type="dxa"/>
            <w:bottom w:w="0" w:type="dxa"/>
            <w:right w:w="30" w:type="dxa"/>
          </w:tblCellMar>
        </w:tblPrEx>
        <w:trPr>
          <w:cantSplit/>
          <w:trHeight w:val="385"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农资配送中心</w:t>
            </w:r>
          </w:p>
        </w:tc>
        <w:tc>
          <w:tcPr>
            <w:tcW w:w="681" w:type="pct"/>
            <w:tcBorders>
              <w:top w:val="single" w:color="auto" w:sz="6" w:space="0"/>
              <w:left w:val="single" w:color="auto" w:sz="6" w:space="0"/>
              <w:bottom w:val="single" w:color="auto" w:sz="6" w:space="0"/>
              <w:right w:val="single" w:color="000000" w:sz="2"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章华镇护城社区</w:t>
            </w:r>
          </w:p>
        </w:tc>
        <w:tc>
          <w:tcPr>
            <w:tcW w:w="556" w:type="pct"/>
            <w:tcBorders>
              <w:top w:val="single" w:color="auto" w:sz="6" w:space="0"/>
              <w:left w:val="single" w:color="000000" w:sz="2" w:space="0"/>
              <w:bottom w:val="single" w:color="auto" w:sz="6" w:space="0"/>
              <w:right w:val="single" w:color="000000" w:sz="2"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20000平方米</w:t>
            </w:r>
          </w:p>
        </w:tc>
        <w:tc>
          <w:tcPr>
            <w:tcW w:w="1970" w:type="pct"/>
            <w:tcBorders>
              <w:top w:val="single" w:color="auto" w:sz="6" w:space="0"/>
              <w:left w:val="single" w:color="000000" w:sz="2"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结合湘北农机大市场和远大农资市场的农资农机交易，提供面向区域农村地区的农业物资周转配送服务。</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r>
        <w:tblPrEx>
          <w:tblCellMar>
            <w:top w:w="0" w:type="dxa"/>
            <w:left w:w="30" w:type="dxa"/>
            <w:bottom w:w="0" w:type="dxa"/>
            <w:right w:w="30" w:type="dxa"/>
          </w:tblCellMar>
        </w:tblPrEx>
        <w:trPr>
          <w:cantSplit/>
          <w:trHeight w:val="493" w:hRule="atLeast"/>
        </w:trPr>
        <w:tc>
          <w:tcPr>
            <w:tcW w:w="5000" w:type="pct"/>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粮食流通与应急仓储</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华容县粮油现代物流园</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华容港区</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300亩</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属于粮食物流仓储加工项目，建设为集粮食仓储物流、粮食加工、贸易平台、检验检测、信息服务于一体的专业化粮油现代物流园区。重点围绕中国好粮油示范县，探索新型粮食供销体系的建立。支持其它粮食加工企业、贸易企业依托华容港区建设大宗粮油物流基地。</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hAnsi="黑体" w:eastAsia="仿宋_GB2312" w:cs="宋体"/>
                <w:color w:val="000000"/>
                <w:kern w:val="0"/>
                <w:sz w:val="24"/>
                <w:szCs w:val="24"/>
              </w:rPr>
              <w:t>华容县战略应急物资储备库标准化建设项目</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章华镇护城社区</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4000平方米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按照相关规范和标准，将物资储备库进行标准化改造。用地总规模4000平方米，总建筑面积3500平方米（含救灾物资储备库面积800平方米、其他物资储备1000平方米、办公楼和消毒加工配套用房900平方米、晾晒和停车场800平方米），绿化面积200平方米、消防设施及物资搬运设备购置等。</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hAnsi="黑体" w:eastAsia="仿宋_GB2312" w:cs="宋体"/>
                <w:color w:val="000000"/>
                <w:kern w:val="0"/>
                <w:sz w:val="24"/>
                <w:szCs w:val="24"/>
              </w:rPr>
              <w:t>华容县丰穗粮食购销有限公司粮食标准化储备仓建设项目</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万庾镇</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34.16亩</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新建3.5万吨(麦容)粮食仓库5栋、配套设施用房、粮食质检结算中心、配备粮库工艺设备等及相关附属</w:t>
            </w:r>
          </w:p>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设施。项目用地总面积为22770.1平方米,合34.16亩;项目新建、建构筑物总用地总规模8036.4平方米新建、建构筑物总建筑面积8450.3平方米，新建、建构筑物可计入容积率总面积16070.2平方米;库区绿地总面积3000平方米，建筑密度35.6%，容积率0.71,绿地率13.2%。 项目总投资估算为3800万元。</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吉娃米业粮食应急加工及配送中心项目</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鲇鱼须镇</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17200平方米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配套华容国家粮食储备应急物流配送，保障区域粮食安全供应。扩建建筑面积4088平方米。建设日产200吨留胚大米生产线及厂房一栋、6000吨大米储存应急保障仓一栋、配送中心及相关附属设施建设。</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r>
        <w:tblPrEx>
          <w:tblCellMar>
            <w:top w:w="0" w:type="dxa"/>
            <w:left w:w="30" w:type="dxa"/>
            <w:bottom w:w="0" w:type="dxa"/>
            <w:right w:w="30" w:type="dxa"/>
          </w:tblCellMar>
        </w:tblPrEx>
        <w:trPr>
          <w:cantSplit/>
          <w:trHeight w:val="493" w:hRule="atLeast"/>
        </w:trPr>
        <w:tc>
          <w:tcPr>
            <w:tcW w:w="5000" w:type="pct"/>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b/>
                <w:bCs/>
                <w:color w:val="000000"/>
                <w:kern w:val="0"/>
                <w:sz w:val="24"/>
                <w:szCs w:val="24"/>
              </w:rPr>
            </w:pPr>
            <w:r>
              <w:rPr>
                <w:rFonts w:hint="eastAsia" w:ascii="仿宋_GB2312" w:eastAsia="仿宋_GB2312" w:cs="黑体"/>
                <w:b/>
                <w:bCs/>
                <w:color w:val="000000"/>
                <w:kern w:val="0"/>
                <w:sz w:val="24"/>
                <w:szCs w:val="24"/>
              </w:rPr>
              <w:t>电子商务和会展中心</w:t>
            </w:r>
          </w:p>
        </w:tc>
      </w:tr>
      <w:tr>
        <w:tblPrEx>
          <w:tblCellMar>
            <w:top w:w="0" w:type="dxa"/>
            <w:left w:w="30" w:type="dxa"/>
            <w:bottom w:w="0" w:type="dxa"/>
            <w:right w:w="30" w:type="dxa"/>
          </w:tblCellMar>
        </w:tblPrEx>
        <w:trPr>
          <w:cantSplit/>
          <w:trHeight w:val="49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华容县电子商务运营服务中心—长江经济带电商产业园</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桥东路以南，华容河东岸</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约40亩</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以“绿色农产品”为核心的立体化电子商务区，至2020年已入驻企业41家。完善设计、营销、研发、管理、结算、数据分析等电商综合保障服务，促进电子商务产业链上下游协同发展，创造特色产业链和新的服务岗位。</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提档升级</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农村电商物流中心</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梅田湖镇、注滋口镇、东山镇</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约2000平方米</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分别在梅田湖、注滋口、东山建设辐射农村的电商物流中心，用地总规模约2000平方米，打造乡镇农村电商互通、物流互通、信息互通的物流平台。</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r>
        <w:tblPrEx>
          <w:tblCellMar>
            <w:top w:w="0" w:type="dxa"/>
            <w:left w:w="30" w:type="dxa"/>
            <w:bottom w:w="0" w:type="dxa"/>
            <w:right w:w="30" w:type="dxa"/>
          </w:tblCellMar>
        </w:tblPrEx>
        <w:trPr>
          <w:cantSplit/>
          <w:trHeight w:val="863" w:hRule="atLeast"/>
        </w:trPr>
        <w:tc>
          <w:tcPr>
            <w:tcW w:w="70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华容会展中心</w:t>
            </w:r>
          </w:p>
        </w:tc>
        <w:tc>
          <w:tcPr>
            <w:tcW w:w="68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田家湖生态新城</w:t>
            </w:r>
          </w:p>
        </w:tc>
        <w:tc>
          <w:tcPr>
            <w:tcW w:w="55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30亩</w:t>
            </w:r>
          </w:p>
        </w:tc>
        <w:tc>
          <w:tcPr>
            <w:tcW w:w="197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left"/>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按照现代会展中心的标准进行建设，室内外展厅面积2万平方米，不少于200个室内外标准展位，配套会议中心、停车场地、后勤服务等设施。</w:t>
            </w:r>
          </w:p>
        </w:tc>
        <w:tc>
          <w:tcPr>
            <w:tcW w:w="109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eastAsia="仿宋_GB2312" w:cs="黑体"/>
                <w:color w:val="000000"/>
                <w:kern w:val="0"/>
                <w:sz w:val="24"/>
                <w:szCs w:val="24"/>
              </w:rPr>
            </w:pPr>
            <w:r>
              <w:rPr>
                <w:rFonts w:hint="eastAsia" w:ascii="仿宋_GB2312" w:eastAsia="仿宋_GB2312" w:cs="黑体"/>
                <w:color w:val="000000"/>
                <w:kern w:val="0"/>
                <w:sz w:val="24"/>
                <w:szCs w:val="24"/>
              </w:rPr>
              <w:t>“十四五”期间规划新建。</w:t>
            </w:r>
          </w:p>
        </w:tc>
      </w:tr>
    </w:tbl>
    <w:p>
      <w:pPr>
        <w:spacing w:line="360" w:lineRule="auto"/>
        <w:rPr>
          <w:rFonts w:hint="eastAsia" w:ascii="仿宋_GB2312" w:hAnsi="宋体" w:eastAsia="仿宋_GB2312"/>
          <w:sz w:val="30"/>
          <w:szCs w:val="30"/>
        </w:rPr>
      </w:pPr>
    </w:p>
    <w:p>
      <w:pPr>
        <w:spacing w:line="360" w:lineRule="auto"/>
        <w:rPr>
          <w:rFonts w:hint="eastAsia" w:ascii="仿宋_GB2312" w:hAnsi="宋体" w:eastAsia="仿宋_GB2312"/>
          <w:sz w:val="30"/>
          <w:szCs w:val="30"/>
        </w:rPr>
        <w:sectPr>
          <w:pgSz w:w="11906" w:h="16838"/>
          <w:pgMar w:top="1800" w:right="1440" w:bottom="1800" w:left="1440" w:header="851" w:footer="992" w:gutter="0"/>
          <w:cols w:space="425" w:num="1"/>
          <w:docGrid w:type="lines" w:linePitch="312" w:charSpace="0"/>
        </w:sectPr>
      </w:pPr>
    </w:p>
    <w:p>
      <w:pPr>
        <w:spacing w:before="100" w:beforeAutospacing="1" w:after="100" w:afterAutospacing="1" w:line="360" w:lineRule="auto"/>
        <w:jc w:val="left"/>
        <w:outlineLvl w:val="0"/>
        <w:rPr>
          <w:rFonts w:hint="eastAsia" w:ascii="仿宋_GB2312" w:hAnsi="仿宋" w:eastAsia="仿宋_GB2312"/>
          <w:b/>
          <w:color w:val="000000"/>
          <w:sz w:val="32"/>
          <w:szCs w:val="32"/>
        </w:rPr>
      </w:pPr>
      <w:bookmarkStart w:id="52" w:name="_Toc62653473"/>
      <w:r>
        <w:rPr>
          <w:rFonts w:hint="eastAsia" w:ascii="仿宋_GB2312" w:hAnsi="仿宋" w:eastAsia="仿宋_GB2312"/>
          <w:b/>
          <w:color w:val="000000"/>
          <w:sz w:val="32"/>
          <w:szCs w:val="32"/>
        </w:rPr>
        <w:t>附件六  华容县加油站发展现状与规划布局</w:t>
      </w:r>
      <w:bookmarkEnd w:id="52"/>
    </w:p>
    <w:p>
      <w:pPr>
        <w:widowControl/>
        <w:jc w:val="center"/>
        <w:rPr>
          <w:rFonts w:hint="eastAsia" w:ascii="仿宋_GB2312" w:hAnsi="黑体" w:eastAsia="仿宋_GB2312" w:cs="宋体"/>
          <w:b/>
          <w:bCs/>
          <w:kern w:val="0"/>
          <w:sz w:val="30"/>
          <w:szCs w:val="30"/>
        </w:rPr>
      </w:pPr>
      <w:r>
        <w:rPr>
          <w:rFonts w:hint="eastAsia" w:ascii="仿宋_GB2312" w:hAnsi="黑体" w:eastAsia="仿宋_GB2312" w:cs="宋体"/>
          <w:b/>
          <w:bCs/>
          <w:kern w:val="0"/>
          <w:sz w:val="30"/>
          <w:szCs w:val="30"/>
        </w:rPr>
        <w:t>华容县加油站现状分布一览表（52家）</w:t>
      </w:r>
    </w:p>
    <w:p>
      <w:pPr>
        <w:widowControl/>
        <w:jc w:val="left"/>
        <w:rPr>
          <w:rFonts w:hint="eastAsia" w:ascii="仿宋_GB2312" w:hAnsi="黑体" w:eastAsia="仿宋_GB2312" w:cs="宋体"/>
          <w:b/>
          <w:bCs/>
          <w:kern w:val="0"/>
          <w:sz w:val="30"/>
          <w:szCs w:val="30"/>
        </w:rPr>
      </w:pPr>
      <w:r>
        <w:rPr>
          <w:rFonts w:hint="eastAsia" w:ascii="仿宋_GB2312" w:hAnsi="黑体" w:eastAsia="仿宋_GB2312" w:cs="宋体"/>
          <w:b/>
          <w:bCs/>
          <w:kern w:val="0"/>
          <w:sz w:val="30"/>
          <w:szCs w:val="30"/>
        </w:rPr>
        <w:t>中心城区12家：</w:t>
      </w:r>
    </w:p>
    <w:tbl>
      <w:tblPr>
        <w:tblStyle w:val="6"/>
        <w:tblW w:w="4979" w:type="pct"/>
        <w:jc w:val="center"/>
        <w:tblLayout w:type="fixed"/>
        <w:tblCellMar>
          <w:top w:w="0" w:type="dxa"/>
          <w:left w:w="108" w:type="dxa"/>
          <w:bottom w:w="0" w:type="dxa"/>
          <w:right w:w="108" w:type="dxa"/>
        </w:tblCellMar>
      </w:tblPr>
      <w:tblGrid>
        <w:gridCol w:w="677"/>
        <w:gridCol w:w="995"/>
        <w:gridCol w:w="995"/>
        <w:gridCol w:w="711"/>
        <w:gridCol w:w="850"/>
        <w:gridCol w:w="990"/>
        <w:gridCol w:w="710"/>
        <w:gridCol w:w="933"/>
        <w:gridCol w:w="850"/>
        <w:gridCol w:w="699"/>
        <w:gridCol w:w="793"/>
      </w:tblGrid>
      <w:tr>
        <w:tblPrEx>
          <w:tblCellMar>
            <w:top w:w="0" w:type="dxa"/>
            <w:left w:w="108" w:type="dxa"/>
            <w:bottom w:w="0" w:type="dxa"/>
            <w:right w:w="108" w:type="dxa"/>
          </w:tblCellMar>
        </w:tblPrEx>
        <w:trPr>
          <w:cantSplit/>
          <w:trHeight w:val="375" w:hRule="atLeast"/>
          <w:tblHeader/>
          <w:jc w:val="center"/>
        </w:trPr>
        <w:tc>
          <w:tcPr>
            <w:tcW w:w="367" w:type="pct"/>
            <w:vMerge w:val="restart"/>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序号</w:t>
            </w:r>
          </w:p>
        </w:tc>
        <w:tc>
          <w:tcPr>
            <w:tcW w:w="540"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名称</w:t>
            </w:r>
          </w:p>
        </w:tc>
        <w:tc>
          <w:tcPr>
            <w:tcW w:w="540"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地址</w:t>
            </w:r>
          </w:p>
        </w:tc>
        <w:tc>
          <w:tcPr>
            <w:tcW w:w="386"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等级</w:t>
            </w:r>
          </w:p>
        </w:tc>
        <w:tc>
          <w:tcPr>
            <w:tcW w:w="462"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用地</w:t>
            </w:r>
          </w:p>
          <w:p>
            <w:pPr>
              <w:widowControl/>
              <w:jc w:val="center"/>
              <w:rPr>
                <w:rFonts w:hint="eastAsia" w:ascii="仿宋_GB2312" w:hAnsi="黑体" w:eastAsia="仿宋_GB2312" w:cs="宋体"/>
                <w:b/>
                <w:kern w:val="0"/>
                <w:sz w:val="24"/>
                <w:szCs w:val="24"/>
                <w:lang w:eastAsia="zh-CN"/>
              </w:rPr>
            </w:pPr>
            <w:r>
              <w:rPr>
                <w:rFonts w:hint="eastAsia" w:ascii="仿宋_GB2312" w:hAnsi="黑体" w:eastAsia="仿宋_GB2312" w:cs="宋体"/>
                <w:b/>
                <w:kern w:val="0"/>
                <w:sz w:val="24"/>
                <w:szCs w:val="24"/>
              </w:rPr>
              <w:t>总规模</w:t>
            </w:r>
          </w:p>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（平方米）</w:t>
            </w:r>
          </w:p>
        </w:tc>
        <w:tc>
          <w:tcPr>
            <w:tcW w:w="538"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零售</w:t>
            </w:r>
          </w:p>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证号</w:t>
            </w:r>
          </w:p>
        </w:tc>
        <w:tc>
          <w:tcPr>
            <w:tcW w:w="386"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产权归属</w:t>
            </w:r>
          </w:p>
        </w:tc>
        <w:tc>
          <w:tcPr>
            <w:tcW w:w="507"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经营权归属</w:t>
            </w:r>
          </w:p>
        </w:tc>
        <w:tc>
          <w:tcPr>
            <w:tcW w:w="462"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4"/>
                <w:szCs w:val="24"/>
                <w:lang w:eastAsia="zh-CN"/>
              </w:rPr>
            </w:pPr>
            <w:r>
              <w:rPr>
                <w:rFonts w:hint="eastAsia" w:ascii="仿宋_GB2312" w:hAnsi="黑体" w:eastAsia="仿宋_GB2312" w:cs="宋体"/>
                <w:b/>
                <w:kern w:val="0"/>
                <w:sz w:val="24"/>
                <w:szCs w:val="24"/>
              </w:rPr>
              <w:t>服务半径</w:t>
            </w:r>
          </w:p>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（KM）</w:t>
            </w:r>
          </w:p>
        </w:tc>
        <w:tc>
          <w:tcPr>
            <w:tcW w:w="811" w:type="pct"/>
            <w:gridSpan w:val="2"/>
            <w:tcBorders>
              <w:top w:val="single" w:color="auto" w:sz="8" w:space="0"/>
              <w:left w:val="nil"/>
              <w:bottom w:val="single" w:color="auto" w:sz="4" w:space="0"/>
              <w:right w:val="single" w:color="000000" w:sz="8" w:space="0"/>
            </w:tcBorders>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2019年销售量（吨）</w:t>
            </w:r>
          </w:p>
        </w:tc>
      </w:tr>
      <w:tr>
        <w:tblPrEx>
          <w:tblCellMar>
            <w:top w:w="0" w:type="dxa"/>
            <w:left w:w="108" w:type="dxa"/>
            <w:bottom w:w="0" w:type="dxa"/>
            <w:right w:w="108" w:type="dxa"/>
          </w:tblCellMar>
        </w:tblPrEx>
        <w:trPr>
          <w:cantSplit/>
          <w:trHeight w:val="390" w:hRule="atLeast"/>
          <w:tblHeader/>
          <w:jc w:val="center"/>
        </w:trPr>
        <w:tc>
          <w:tcPr>
            <w:tcW w:w="367" w:type="pct"/>
            <w:vMerge w:val="continue"/>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540"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540"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386"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462"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538"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386"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507"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462"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kern w:val="0"/>
                <w:sz w:val="24"/>
                <w:szCs w:val="24"/>
              </w:rPr>
            </w:pPr>
          </w:p>
        </w:tc>
        <w:tc>
          <w:tcPr>
            <w:tcW w:w="38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柴油</w:t>
            </w:r>
          </w:p>
        </w:tc>
        <w:tc>
          <w:tcPr>
            <w:tcW w:w="431"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汽油</w:t>
            </w:r>
          </w:p>
        </w:tc>
      </w:tr>
      <w:tr>
        <w:tblPrEx>
          <w:tblCellMar>
            <w:top w:w="0" w:type="dxa"/>
            <w:left w:w="108" w:type="dxa"/>
            <w:bottom w:w="0" w:type="dxa"/>
            <w:right w:w="108" w:type="dxa"/>
          </w:tblCellMar>
        </w:tblPrEx>
        <w:trPr>
          <w:cantSplit/>
          <w:trHeight w:val="720" w:hRule="atLeast"/>
          <w:jc w:val="center"/>
        </w:trPr>
        <w:tc>
          <w:tcPr>
            <w:tcW w:w="367" w:type="pct"/>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w:t>
            </w:r>
          </w:p>
        </w:tc>
        <w:tc>
          <w:tcPr>
            <w:tcW w:w="540"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华容县车站路加油站</w:t>
            </w:r>
          </w:p>
        </w:tc>
        <w:tc>
          <w:tcPr>
            <w:tcW w:w="540"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华容县章华镇石伏村</w:t>
            </w:r>
          </w:p>
        </w:tc>
        <w:tc>
          <w:tcPr>
            <w:tcW w:w="386"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2800</w:t>
            </w:r>
          </w:p>
        </w:tc>
        <w:tc>
          <w:tcPr>
            <w:tcW w:w="538"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405067</w:t>
            </w:r>
          </w:p>
        </w:tc>
        <w:tc>
          <w:tcPr>
            <w:tcW w:w="386"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7"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刘超红</w:t>
            </w:r>
          </w:p>
        </w:tc>
        <w:tc>
          <w:tcPr>
            <w:tcW w:w="462"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380" w:type="pct"/>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1736</w:t>
            </w:r>
          </w:p>
        </w:tc>
        <w:tc>
          <w:tcPr>
            <w:tcW w:w="431" w:type="pct"/>
            <w:tcBorders>
              <w:top w:val="single" w:color="auto" w:sz="8" w:space="0"/>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882</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中国石化华容县护城加油站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华容县护城乡蔡兴村</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1800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405008</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10</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154</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763</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中国石化华容县城关镇加油站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华容县城关镇桥东街</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260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405001</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209</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1138</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中国石化华容县黄湖加油站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华容县二桥东路</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2400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405061</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296</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1554</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5</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中国石化二桥加油站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华容县章华镇华容大道中路</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405010</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611</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4272</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普圣堂加油站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华容县章华镇五星村</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405078</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黄泽良</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280</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180</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7</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中国石油华容大道加油站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华容县华容大道中路</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2400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405057</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中石油</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中石油</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13</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72</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1062</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8</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中国石化华容县新城加油站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华容县城关镇华容大道西路</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2400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405060</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中石化</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5</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163</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1386</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9</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华容县万圣加油站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华容县章华镇万圣村</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1960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405071</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陈金保</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95</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225</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10</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华容县杨家桥加油站</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华容县章华镇治湖村五组</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二级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2400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405068</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刘先菊</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870</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720</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11</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花子坟加油站（国源石化有限公司）</w:t>
            </w:r>
          </w:p>
        </w:tc>
        <w:tc>
          <w:tcPr>
            <w:tcW w:w="54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华容县章华镇兴南村</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2800</w:t>
            </w:r>
          </w:p>
        </w:tc>
        <w:tc>
          <w:tcPr>
            <w:tcW w:w="538"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405076</w:t>
            </w:r>
          </w:p>
        </w:tc>
        <w:tc>
          <w:tcPr>
            <w:tcW w:w="386"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7"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文慧元</w:t>
            </w:r>
          </w:p>
        </w:tc>
        <w:tc>
          <w:tcPr>
            <w:tcW w:w="462"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380" w:type="pct"/>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200</w:t>
            </w:r>
          </w:p>
        </w:tc>
        <w:tc>
          <w:tcPr>
            <w:tcW w:w="431" w:type="pct"/>
            <w:tcBorders>
              <w:top w:val="nil"/>
              <w:left w:val="nil"/>
              <w:bottom w:val="single" w:color="auto" w:sz="4" w:space="0"/>
              <w:right w:val="single" w:color="auto" w:sz="8"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300</w:t>
            </w:r>
          </w:p>
        </w:tc>
      </w:tr>
      <w:tr>
        <w:tblPrEx>
          <w:tblCellMar>
            <w:top w:w="0" w:type="dxa"/>
            <w:left w:w="108" w:type="dxa"/>
            <w:bottom w:w="0" w:type="dxa"/>
            <w:right w:w="108" w:type="dxa"/>
          </w:tblCellMar>
        </w:tblPrEx>
        <w:trPr>
          <w:cantSplit/>
          <w:trHeight w:val="720" w:hRule="atLeast"/>
          <w:jc w:val="center"/>
        </w:trPr>
        <w:tc>
          <w:tcPr>
            <w:tcW w:w="367" w:type="pct"/>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12</w:t>
            </w:r>
          </w:p>
        </w:tc>
        <w:tc>
          <w:tcPr>
            <w:tcW w:w="540" w:type="pct"/>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白鼎山加油站</w:t>
            </w:r>
          </w:p>
        </w:tc>
        <w:tc>
          <w:tcPr>
            <w:tcW w:w="540" w:type="pct"/>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华容县田家湖新区华鲇路与田家湖大道西南角</w:t>
            </w:r>
          </w:p>
        </w:tc>
        <w:tc>
          <w:tcPr>
            <w:tcW w:w="386" w:type="pct"/>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462"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p>
        </w:tc>
        <w:tc>
          <w:tcPr>
            <w:tcW w:w="538"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p>
        </w:tc>
        <w:tc>
          <w:tcPr>
            <w:tcW w:w="386"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p>
        </w:tc>
        <w:tc>
          <w:tcPr>
            <w:tcW w:w="507"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p>
        </w:tc>
        <w:tc>
          <w:tcPr>
            <w:tcW w:w="462" w:type="pct"/>
            <w:tcBorders>
              <w:top w:val="nil"/>
              <w:left w:val="nil"/>
              <w:bottom w:val="single" w:color="auto" w:sz="8" w:space="0"/>
              <w:right w:val="single" w:color="auto" w:sz="4" w:space="0"/>
            </w:tcBorders>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w:t>
            </w:r>
          </w:p>
        </w:tc>
        <w:tc>
          <w:tcPr>
            <w:tcW w:w="380"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4"/>
                <w:szCs w:val="24"/>
              </w:rPr>
            </w:pPr>
          </w:p>
        </w:tc>
        <w:tc>
          <w:tcPr>
            <w:tcW w:w="431" w:type="pct"/>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4"/>
                <w:szCs w:val="24"/>
              </w:rPr>
            </w:pPr>
          </w:p>
        </w:tc>
      </w:tr>
    </w:tbl>
    <w:p>
      <w:pPr>
        <w:widowControl/>
        <w:jc w:val="left"/>
        <w:rPr>
          <w:rFonts w:hint="eastAsia" w:ascii="仿宋_GB2312" w:hAnsi="宋体" w:eastAsia="仿宋_GB2312" w:cs="宋体"/>
          <w:b/>
          <w:bCs/>
          <w:kern w:val="0"/>
          <w:sz w:val="30"/>
          <w:szCs w:val="30"/>
        </w:rPr>
      </w:pPr>
      <w:r>
        <w:rPr>
          <w:rFonts w:hint="eastAsia" w:ascii="仿宋_GB2312" w:hAnsi="宋体" w:eastAsia="仿宋_GB2312" w:cs="宋体"/>
          <w:b/>
          <w:bCs/>
          <w:kern w:val="0"/>
          <w:sz w:val="30"/>
          <w:szCs w:val="30"/>
        </w:rPr>
        <w:t>县域乡镇：40家</w:t>
      </w:r>
    </w:p>
    <w:tbl>
      <w:tblPr>
        <w:tblStyle w:val="6"/>
        <w:tblW w:w="4982" w:type="pct"/>
        <w:jc w:val="center"/>
        <w:tblLayout w:type="fixed"/>
        <w:tblCellMar>
          <w:top w:w="0" w:type="dxa"/>
          <w:left w:w="108" w:type="dxa"/>
          <w:bottom w:w="0" w:type="dxa"/>
          <w:right w:w="108" w:type="dxa"/>
        </w:tblCellMar>
      </w:tblPr>
      <w:tblGrid>
        <w:gridCol w:w="710"/>
        <w:gridCol w:w="993"/>
        <w:gridCol w:w="993"/>
        <w:gridCol w:w="709"/>
        <w:gridCol w:w="847"/>
        <w:gridCol w:w="991"/>
        <w:gridCol w:w="709"/>
        <w:gridCol w:w="993"/>
        <w:gridCol w:w="851"/>
        <w:gridCol w:w="709"/>
        <w:gridCol w:w="704"/>
      </w:tblGrid>
      <w:tr>
        <w:tblPrEx>
          <w:tblCellMar>
            <w:top w:w="0" w:type="dxa"/>
            <w:left w:w="108" w:type="dxa"/>
            <w:bottom w:w="0" w:type="dxa"/>
            <w:right w:w="108" w:type="dxa"/>
          </w:tblCellMar>
        </w:tblPrEx>
        <w:trPr>
          <w:cantSplit/>
          <w:trHeight w:val="375" w:hRule="atLeast"/>
          <w:tblHeader/>
          <w:jc w:val="center"/>
        </w:trPr>
        <w:tc>
          <w:tcPr>
            <w:tcW w:w="385" w:type="pct"/>
            <w:vMerge w:val="restart"/>
            <w:tcBorders>
              <w:top w:val="single" w:color="auto" w:sz="8" w:space="0"/>
              <w:left w:val="single" w:color="auto" w:sz="8"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序号</w:t>
            </w:r>
          </w:p>
        </w:tc>
        <w:tc>
          <w:tcPr>
            <w:tcW w:w="539"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名称</w:t>
            </w:r>
          </w:p>
        </w:tc>
        <w:tc>
          <w:tcPr>
            <w:tcW w:w="539"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地址</w:t>
            </w:r>
          </w:p>
        </w:tc>
        <w:tc>
          <w:tcPr>
            <w:tcW w:w="385"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等级</w:t>
            </w:r>
          </w:p>
        </w:tc>
        <w:tc>
          <w:tcPr>
            <w:tcW w:w="460"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用地</w:t>
            </w:r>
          </w:p>
          <w:p>
            <w:pPr>
              <w:widowControl/>
              <w:jc w:val="center"/>
              <w:rPr>
                <w:rFonts w:hint="eastAsia" w:ascii="仿宋_GB2312" w:hAnsi="黑体" w:eastAsia="仿宋_GB2312" w:cs="宋体"/>
                <w:b/>
                <w:kern w:val="0"/>
                <w:sz w:val="22"/>
                <w:szCs w:val="24"/>
                <w:lang w:eastAsia="zh-CN"/>
              </w:rPr>
            </w:pPr>
            <w:r>
              <w:rPr>
                <w:rFonts w:hint="eastAsia" w:ascii="仿宋_GB2312" w:hAnsi="黑体" w:eastAsia="仿宋_GB2312" w:cs="宋体"/>
                <w:b/>
                <w:kern w:val="0"/>
                <w:sz w:val="22"/>
                <w:szCs w:val="24"/>
              </w:rPr>
              <w:t>规模</w:t>
            </w:r>
          </w:p>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（平方米）</w:t>
            </w:r>
          </w:p>
        </w:tc>
        <w:tc>
          <w:tcPr>
            <w:tcW w:w="538"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零售</w:t>
            </w:r>
          </w:p>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证号</w:t>
            </w:r>
          </w:p>
        </w:tc>
        <w:tc>
          <w:tcPr>
            <w:tcW w:w="385"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产权</w:t>
            </w:r>
          </w:p>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归属</w:t>
            </w:r>
          </w:p>
        </w:tc>
        <w:tc>
          <w:tcPr>
            <w:tcW w:w="539"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经营权</w:t>
            </w:r>
          </w:p>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归属</w:t>
            </w:r>
          </w:p>
        </w:tc>
        <w:tc>
          <w:tcPr>
            <w:tcW w:w="462" w:type="pct"/>
            <w:vMerge w:val="restart"/>
            <w:tcBorders>
              <w:top w:val="single" w:color="auto" w:sz="8"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lang w:eastAsia="zh-CN"/>
              </w:rPr>
            </w:pPr>
            <w:r>
              <w:rPr>
                <w:rFonts w:hint="eastAsia" w:ascii="仿宋_GB2312" w:hAnsi="黑体" w:eastAsia="仿宋_GB2312" w:cs="宋体"/>
                <w:b/>
                <w:kern w:val="0"/>
                <w:sz w:val="22"/>
                <w:szCs w:val="24"/>
              </w:rPr>
              <w:t>服务半径</w:t>
            </w:r>
          </w:p>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（KM）</w:t>
            </w:r>
          </w:p>
        </w:tc>
        <w:tc>
          <w:tcPr>
            <w:tcW w:w="767" w:type="pct"/>
            <w:gridSpan w:val="2"/>
            <w:tcBorders>
              <w:top w:val="single" w:color="auto" w:sz="8" w:space="0"/>
              <w:left w:val="nil"/>
              <w:bottom w:val="single" w:color="auto" w:sz="4" w:space="0"/>
              <w:right w:val="single" w:color="000000" w:sz="8"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2019年销售量（吨）</w:t>
            </w:r>
          </w:p>
        </w:tc>
      </w:tr>
      <w:tr>
        <w:tblPrEx>
          <w:tblCellMar>
            <w:top w:w="0" w:type="dxa"/>
            <w:left w:w="108" w:type="dxa"/>
            <w:bottom w:w="0" w:type="dxa"/>
            <w:right w:w="108" w:type="dxa"/>
          </w:tblCellMar>
        </w:tblPrEx>
        <w:trPr>
          <w:cantSplit/>
          <w:trHeight w:val="375" w:hRule="atLeast"/>
          <w:tblHeader/>
          <w:jc w:val="center"/>
        </w:trPr>
        <w:tc>
          <w:tcPr>
            <w:tcW w:w="385" w:type="pct"/>
            <w:vMerge w:val="continue"/>
            <w:tcBorders>
              <w:left w:val="single" w:color="auto" w:sz="8"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539"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539"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385"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460"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538"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385"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539"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462" w:type="pct"/>
            <w:vMerge w:val="continue"/>
            <w:tcBorders>
              <w:top w:val="single" w:color="auto" w:sz="8"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黑体" w:eastAsia="仿宋_GB2312" w:cs="宋体"/>
                <w:b/>
                <w:kern w:val="0"/>
                <w:sz w:val="22"/>
                <w:szCs w:val="24"/>
              </w:rPr>
            </w:pP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柴油</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b/>
                <w:kern w:val="0"/>
                <w:sz w:val="22"/>
                <w:szCs w:val="24"/>
              </w:rPr>
            </w:pPr>
            <w:r>
              <w:rPr>
                <w:rFonts w:hint="eastAsia" w:ascii="仿宋_GB2312" w:hAnsi="黑体" w:eastAsia="仿宋_GB2312" w:cs="宋体"/>
                <w:b/>
                <w:kern w:val="0"/>
                <w:sz w:val="22"/>
                <w:szCs w:val="24"/>
              </w:rPr>
              <w:t>汽油</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华容县天子山加油站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华容县东山镇关山村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2600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405073</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张志中</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132</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226</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中石化东山加油站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华容县东山镇墟场</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405002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318</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698</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中石油华容东高速连接线加油站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华容县章华镇前锋村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二级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2870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405069</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157</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362</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华容县禹山泰安加油站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华容县禹山镇八岭村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1250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405065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王磊</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130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中国石化华容县墨峰加油站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华容县三封寺镇马涧村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一级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2800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405056</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857</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830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中国石油华容松木桥加油站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华容县三封寺镇松木桥</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405011</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32</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376</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7</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中国石油公司岳常高速华容服务区二区加油站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华容县三封寺镇金盆村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一级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2660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405064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1400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2150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中国石油公司岳常高速华容服务区一区加油站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华容县三封寺镇金盆村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一级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2660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405063</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2500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9</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中国石油华容县三封寺加油站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华容县三封寺镇墟场</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二级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1800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405014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35</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262</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中国石化华容县珠头山加油站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华容县胜峰乡珠头山</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二级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405007</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163</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280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11</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中国石化华容县石伏村加油站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华容县胜峰乡石伏村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1800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405009</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2551</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1707</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华容县胜峰乡跑马岭加油站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华容县胜峰乡跑岭</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1800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405059</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周正</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160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13</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华容县治河渡加油站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华容县治河渡镇黄蓬村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2400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405020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徐世杰</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14</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华容县团洲乡中心加油站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华容县团洲乡团胜村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1800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405077</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路开立</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29</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25</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华容县众诚石化众诚加油站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华容县插旗镇众诚村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405072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黄赞斌</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67</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163</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16</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中国石化华容县插旗加油站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华容县插旗镇</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405055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244</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673</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17</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华容县南山加油站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华容县南山乡南山村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405016</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罗绍元</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140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18</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华容县兴鑫石化有限公司</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华容县万庾镇鼎山村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405075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张军</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171</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126</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19</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华容县东山镇洪山农机加油站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华容县东山镇洪山头村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405041</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季孟笔</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幸福加油站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华容县注滋口镇坝上社区</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405048</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罗智</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21</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中国石化注滋口加油站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华容县注滋口镇注东村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405049</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70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22</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宏旗加油站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华容县新河乡集镇</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2400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405062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周红旗</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250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23</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中国石化塔市驿加油站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华容县塔市墟场</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405004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7</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225</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515</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24</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中国石化万庾加油站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华容县万庾镇塘场</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405054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139</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358</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25</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华容县宋家嘴农机加油站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华容县鲇鱼须镇白合村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1180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405023</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张业</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85</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26</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华容县注市四门闸加油站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华容县注市镇四门闸</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405028</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罗丽红</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90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27</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华容县建林石化加油站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华容县新河乡南堤村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405042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虢建林</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320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450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28</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华容县新沙加油站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华容县塔市驿新沙村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405051</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邹坤</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29</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中国石化华容县操军加油站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华容县操军乡张家湾</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405032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中石化</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11</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108</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187</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30</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华容县鲇市城乡加油站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华容县鲇鱼须镇湘北村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405012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缪杰</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105</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31</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华容县新建加油站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华容县梅田湖镇三合村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1120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405066</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刘绍华</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200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32</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中国石油华容操军镇加油站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华容县操军镇</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二级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2800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405047</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中石油</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175</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782</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33</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华容县梅田湖加油站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华容县梅田湖镇北</w:t>
            </w:r>
            <w:r>
              <w:rPr>
                <w:rFonts w:hint="eastAsia" w:ascii="微软雅黑" w:hAnsi="微软雅黑" w:eastAsia="微软雅黑" w:cs="微软雅黑"/>
                <w:kern w:val="0"/>
                <w:sz w:val="22"/>
                <w:szCs w:val="24"/>
              </w:rPr>
              <w:t>剅</w:t>
            </w:r>
            <w:r>
              <w:rPr>
                <w:rFonts w:hint="eastAsia" w:ascii="仿宋_GB2312" w:hAnsi="黑体" w:eastAsia="仿宋_GB2312" w:cs="宋体"/>
                <w:kern w:val="0"/>
                <w:sz w:val="22"/>
                <w:szCs w:val="24"/>
              </w:rPr>
              <w:t>口村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2100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405070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杨高</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78</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86</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34</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华容县插旗镇禹州加油站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华容县插旗镇禹州村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405025</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刘乾辉</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10</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150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35</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华容县幸福加油站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华容县幸福乡墟场</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405027</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杨桂华</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36</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富强加油站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华容县万庾镇白铺村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2200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405074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李锋</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80</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120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37</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国能石化</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华容县注滋口镇舒南村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2656</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405029</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唐子慧</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218</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214</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38</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华容县景昊加油站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华容县景港镇景港村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1800</w:t>
            </w:r>
          </w:p>
        </w:tc>
        <w:tc>
          <w:tcPr>
            <w:tcW w:w="538"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405036</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社会</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梁英</w:t>
            </w: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7</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55</w:t>
            </w:r>
          </w:p>
        </w:tc>
        <w:tc>
          <w:tcPr>
            <w:tcW w:w="382" w:type="pct"/>
            <w:tcBorders>
              <w:top w:val="nil"/>
              <w:left w:val="nil"/>
              <w:bottom w:val="single" w:color="auto" w:sz="4" w:space="0"/>
              <w:right w:val="single" w:color="auto" w:sz="8"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80</w:t>
            </w: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39</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蔡家湖加油站</w:t>
            </w:r>
          </w:p>
        </w:tc>
        <w:tc>
          <w:tcPr>
            <w:tcW w:w="539"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华容县章华镇紫南村</w:t>
            </w:r>
          </w:p>
        </w:tc>
        <w:tc>
          <w:tcPr>
            <w:tcW w:w="385"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53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38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5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462" w:type="pct"/>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6</w:t>
            </w:r>
          </w:p>
        </w:tc>
        <w:tc>
          <w:tcPr>
            <w:tcW w:w="38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382" w:type="pc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2"/>
                <w:szCs w:val="24"/>
              </w:rPr>
            </w:pPr>
          </w:p>
        </w:tc>
      </w:tr>
      <w:tr>
        <w:tblPrEx>
          <w:tblCellMar>
            <w:top w:w="0" w:type="dxa"/>
            <w:left w:w="108" w:type="dxa"/>
            <w:bottom w:w="0" w:type="dxa"/>
            <w:right w:w="108" w:type="dxa"/>
          </w:tblCellMar>
        </w:tblPrEx>
        <w:trPr>
          <w:trHeight w:val="720" w:hRule="atLeast"/>
          <w:jc w:val="center"/>
        </w:trPr>
        <w:tc>
          <w:tcPr>
            <w:tcW w:w="385" w:type="pct"/>
            <w:tcBorders>
              <w:top w:val="nil"/>
              <w:left w:val="single" w:color="auto" w:sz="8" w:space="0"/>
              <w:bottom w:val="single" w:color="auto" w:sz="8"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40</w:t>
            </w:r>
          </w:p>
        </w:tc>
        <w:tc>
          <w:tcPr>
            <w:tcW w:w="539" w:type="pct"/>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华容道加油站</w:t>
            </w:r>
          </w:p>
        </w:tc>
        <w:tc>
          <w:tcPr>
            <w:tcW w:w="539" w:type="pct"/>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华容县东山镇邓家村</w:t>
            </w:r>
          </w:p>
        </w:tc>
        <w:tc>
          <w:tcPr>
            <w:tcW w:w="385" w:type="pct"/>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三级</w:t>
            </w:r>
          </w:p>
        </w:tc>
        <w:tc>
          <w:tcPr>
            <w:tcW w:w="460"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538"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385"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539"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462" w:type="pct"/>
            <w:tcBorders>
              <w:top w:val="nil"/>
              <w:left w:val="nil"/>
              <w:bottom w:val="single" w:color="auto" w:sz="8" w:space="0"/>
              <w:right w:val="single" w:color="auto" w:sz="4" w:space="0"/>
            </w:tcBorders>
            <w:shd w:val="clear" w:color="000000" w:fill="FFFFFF"/>
            <w:noWrap w:val="0"/>
            <w:vAlign w:val="center"/>
          </w:tcPr>
          <w:p>
            <w:pPr>
              <w:widowControl/>
              <w:jc w:val="center"/>
              <w:rPr>
                <w:rFonts w:hint="eastAsia" w:ascii="仿宋_GB2312" w:hAnsi="黑体" w:eastAsia="仿宋_GB2312" w:cs="宋体"/>
                <w:kern w:val="0"/>
                <w:sz w:val="22"/>
                <w:szCs w:val="24"/>
              </w:rPr>
            </w:pPr>
            <w:r>
              <w:rPr>
                <w:rFonts w:hint="eastAsia" w:ascii="仿宋_GB2312" w:hAnsi="黑体" w:eastAsia="仿宋_GB2312" w:cs="宋体"/>
                <w:kern w:val="0"/>
                <w:sz w:val="22"/>
                <w:szCs w:val="24"/>
              </w:rPr>
              <w:t>7</w:t>
            </w:r>
          </w:p>
        </w:tc>
        <w:tc>
          <w:tcPr>
            <w:tcW w:w="385" w:type="pct"/>
            <w:tcBorders>
              <w:top w:val="nil"/>
              <w:left w:val="nil"/>
              <w:bottom w:val="single" w:color="auto" w:sz="8" w:space="0"/>
              <w:right w:val="single" w:color="auto" w:sz="4" w:space="0"/>
            </w:tcBorders>
            <w:shd w:val="clear" w:color="auto" w:fill="auto"/>
            <w:noWrap/>
            <w:vAlign w:val="center"/>
          </w:tcPr>
          <w:p>
            <w:pPr>
              <w:widowControl/>
              <w:jc w:val="center"/>
              <w:rPr>
                <w:rFonts w:hint="eastAsia" w:ascii="仿宋_GB2312" w:hAnsi="黑体" w:eastAsia="仿宋_GB2312" w:cs="宋体"/>
                <w:kern w:val="0"/>
                <w:sz w:val="22"/>
                <w:szCs w:val="24"/>
              </w:rPr>
            </w:pPr>
          </w:p>
        </w:tc>
        <w:tc>
          <w:tcPr>
            <w:tcW w:w="382" w:type="pct"/>
            <w:tcBorders>
              <w:top w:val="nil"/>
              <w:left w:val="nil"/>
              <w:bottom w:val="single" w:color="auto" w:sz="8" w:space="0"/>
              <w:right w:val="single" w:color="auto" w:sz="8" w:space="0"/>
            </w:tcBorders>
            <w:shd w:val="clear" w:color="auto" w:fill="auto"/>
            <w:noWrap/>
            <w:vAlign w:val="center"/>
          </w:tcPr>
          <w:p>
            <w:pPr>
              <w:widowControl/>
              <w:jc w:val="center"/>
              <w:rPr>
                <w:rFonts w:hint="eastAsia" w:ascii="仿宋_GB2312" w:hAnsi="黑体" w:eastAsia="仿宋_GB2312" w:cs="宋体"/>
                <w:kern w:val="0"/>
                <w:sz w:val="22"/>
                <w:szCs w:val="24"/>
              </w:rPr>
            </w:pPr>
          </w:p>
        </w:tc>
      </w:tr>
    </w:tbl>
    <w:p>
      <w:pPr>
        <w:spacing w:line="360" w:lineRule="auto"/>
        <w:rPr>
          <w:rFonts w:hint="eastAsia" w:ascii="仿宋_GB2312" w:hAnsi="宋体" w:eastAsia="仿宋_GB2312"/>
          <w:sz w:val="30"/>
          <w:szCs w:val="30"/>
        </w:rPr>
        <w:sectPr>
          <w:pgSz w:w="11906" w:h="16838"/>
          <w:pgMar w:top="1800" w:right="1440" w:bottom="1800" w:left="1440" w:header="851" w:footer="992" w:gutter="0"/>
          <w:cols w:space="425" w:num="1"/>
          <w:docGrid w:type="lines" w:linePitch="312" w:charSpace="0"/>
        </w:sectPr>
      </w:pPr>
    </w:p>
    <w:p>
      <w:pPr>
        <w:widowControl/>
        <w:jc w:val="center"/>
        <w:rPr>
          <w:rFonts w:hint="eastAsia" w:ascii="仿宋_GB2312" w:hAnsi="黑体" w:eastAsia="仿宋_GB2312" w:cs="宋体"/>
          <w:b/>
          <w:bCs/>
          <w:kern w:val="0"/>
          <w:sz w:val="30"/>
          <w:szCs w:val="30"/>
        </w:rPr>
      </w:pPr>
      <w:r>
        <w:rPr>
          <w:rFonts w:hint="eastAsia" w:ascii="仿宋_GB2312" w:hAnsi="黑体" w:eastAsia="仿宋_GB2312" w:cs="宋体"/>
          <w:b/>
          <w:bCs/>
          <w:kern w:val="0"/>
          <w:sz w:val="30"/>
          <w:szCs w:val="30"/>
        </w:rPr>
        <w:t>华容县加油站规划布局一览表（6家）</w:t>
      </w:r>
    </w:p>
    <w:tbl>
      <w:tblPr>
        <w:tblStyle w:val="6"/>
        <w:tblW w:w="48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902"/>
        <w:gridCol w:w="935"/>
        <w:gridCol w:w="669"/>
        <w:gridCol w:w="938"/>
        <w:gridCol w:w="742"/>
        <w:gridCol w:w="804"/>
        <w:gridCol w:w="862"/>
        <w:gridCol w:w="804"/>
        <w:gridCol w:w="669"/>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blHeader/>
          <w:jc w:val="center"/>
        </w:trPr>
        <w:tc>
          <w:tcPr>
            <w:tcW w:w="309"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序号</w:t>
            </w:r>
          </w:p>
        </w:tc>
        <w:tc>
          <w:tcPr>
            <w:tcW w:w="529"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名称</w:t>
            </w:r>
          </w:p>
        </w:tc>
        <w:tc>
          <w:tcPr>
            <w:tcW w:w="548"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地址</w:t>
            </w:r>
          </w:p>
        </w:tc>
        <w:tc>
          <w:tcPr>
            <w:tcW w:w="392"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等级</w:t>
            </w:r>
          </w:p>
        </w:tc>
        <w:tc>
          <w:tcPr>
            <w:tcW w:w="550"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用地</w:t>
            </w:r>
          </w:p>
          <w:p>
            <w:pPr>
              <w:widowControl/>
              <w:jc w:val="center"/>
              <w:rPr>
                <w:rFonts w:hint="eastAsia" w:ascii="仿宋_GB2312" w:hAnsi="黑体" w:eastAsia="仿宋_GB2312" w:cs="宋体"/>
                <w:b/>
                <w:kern w:val="0"/>
                <w:sz w:val="24"/>
                <w:szCs w:val="24"/>
                <w:lang w:eastAsia="zh-CN"/>
              </w:rPr>
            </w:pPr>
            <w:r>
              <w:rPr>
                <w:rFonts w:hint="eastAsia" w:ascii="仿宋_GB2312" w:hAnsi="黑体" w:eastAsia="仿宋_GB2312" w:cs="宋体"/>
                <w:b/>
                <w:kern w:val="0"/>
                <w:sz w:val="24"/>
                <w:szCs w:val="24"/>
              </w:rPr>
              <w:t>规模</w:t>
            </w:r>
          </w:p>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（平方米）</w:t>
            </w:r>
          </w:p>
        </w:tc>
        <w:tc>
          <w:tcPr>
            <w:tcW w:w="435"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零售</w:t>
            </w:r>
          </w:p>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证号</w:t>
            </w:r>
          </w:p>
        </w:tc>
        <w:tc>
          <w:tcPr>
            <w:tcW w:w="471"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产权归属</w:t>
            </w:r>
          </w:p>
        </w:tc>
        <w:tc>
          <w:tcPr>
            <w:tcW w:w="505"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经营权</w:t>
            </w:r>
          </w:p>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归属</w:t>
            </w:r>
          </w:p>
        </w:tc>
        <w:tc>
          <w:tcPr>
            <w:tcW w:w="471" w:type="pct"/>
            <w:vMerge w:val="restar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服务</w:t>
            </w:r>
          </w:p>
          <w:p>
            <w:pPr>
              <w:widowControl/>
              <w:jc w:val="center"/>
              <w:rPr>
                <w:rFonts w:hint="eastAsia" w:ascii="仿宋_GB2312" w:hAnsi="黑体" w:eastAsia="仿宋_GB2312" w:cs="宋体"/>
                <w:b/>
                <w:kern w:val="0"/>
                <w:sz w:val="24"/>
                <w:szCs w:val="24"/>
                <w:lang w:eastAsia="zh-CN"/>
              </w:rPr>
            </w:pPr>
            <w:r>
              <w:rPr>
                <w:rFonts w:hint="eastAsia" w:ascii="仿宋_GB2312" w:hAnsi="黑体" w:eastAsia="仿宋_GB2312" w:cs="宋体"/>
                <w:b/>
                <w:kern w:val="0"/>
                <w:sz w:val="24"/>
                <w:szCs w:val="24"/>
              </w:rPr>
              <w:t>半径</w:t>
            </w:r>
          </w:p>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（KM）</w:t>
            </w:r>
          </w:p>
        </w:tc>
        <w:tc>
          <w:tcPr>
            <w:tcW w:w="792" w:type="pct"/>
            <w:gridSpan w:val="2"/>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2019年销售量（吨）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jc w:val="center"/>
        </w:trPr>
        <w:tc>
          <w:tcPr>
            <w:tcW w:w="309"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529"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548"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392"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550"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435"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471"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505"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471" w:type="pct"/>
            <w:vMerge w:val="continue"/>
            <w:shd w:val="clear" w:color="auto" w:fill="auto"/>
            <w:noWrap w:val="0"/>
            <w:vAlign w:val="center"/>
          </w:tcPr>
          <w:p>
            <w:pPr>
              <w:widowControl/>
              <w:jc w:val="left"/>
              <w:rPr>
                <w:rFonts w:hint="eastAsia" w:ascii="仿宋_GB2312" w:hAnsi="黑体" w:eastAsia="仿宋_GB2312" w:cs="宋体"/>
                <w:b/>
                <w:kern w:val="0"/>
                <w:sz w:val="24"/>
                <w:szCs w:val="24"/>
              </w:rPr>
            </w:pPr>
          </w:p>
        </w:tc>
        <w:tc>
          <w:tcPr>
            <w:tcW w:w="392" w:type="pc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柴油</w:t>
            </w:r>
          </w:p>
        </w:tc>
        <w:tc>
          <w:tcPr>
            <w:tcW w:w="400" w:type="pct"/>
            <w:shd w:val="clear" w:color="000000" w:fill="FFFFFF"/>
            <w:noWrap w:val="0"/>
            <w:vAlign w:val="center"/>
          </w:tcPr>
          <w:p>
            <w:pPr>
              <w:widowControl/>
              <w:jc w:val="center"/>
              <w:rPr>
                <w:rFonts w:hint="eastAsia" w:ascii="仿宋_GB2312" w:hAnsi="黑体" w:eastAsia="仿宋_GB2312" w:cs="宋体"/>
                <w:b/>
                <w:kern w:val="0"/>
                <w:sz w:val="24"/>
                <w:szCs w:val="24"/>
              </w:rPr>
            </w:pPr>
            <w:r>
              <w:rPr>
                <w:rFonts w:hint="eastAsia" w:ascii="仿宋_GB2312" w:hAnsi="黑体" w:eastAsia="仿宋_GB2312" w:cs="宋体"/>
                <w:b/>
                <w:kern w:val="0"/>
                <w:sz w:val="24"/>
                <w:szCs w:val="24"/>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1</w:t>
            </w:r>
          </w:p>
        </w:tc>
        <w:tc>
          <w:tcPr>
            <w:tcW w:w="52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华容县杏花加油站</w:t>
            </w:r>
          </w:p>
        </w:tc>
        <w:tc>
          <w:tcPr>
            <w:tcW w:w="548"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华容县杏花村西路</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550"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6600</w:t>
            </w:r>
          </w:p>
        </w:tc>
        <w:tc>
          <w:tcPr>
            <w:tcW w:w="43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2018.6.8</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民营</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东1.8公里西1.8公里</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400"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w:t>
            </w:r>
          </w:p>
        </w:tc>
        <w:tc>
          <w:tcPr>
            <w:tcW w:w="52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华容县中石化容城大道加油站</w:t>
            </w:r>
          </w:p>
        </w:tc>
        <w:tc>
          <w:tcPr>
            <w:tcW w:w="548"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华容县章华镇容城大道迎宾北路连接处</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550"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3000</w:t>
            </w:r>
          </w:p>
        </w:tc>
        <w:tc>
          <w:tcPr>
            <w:tcW w:w="43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2019.1.21</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国营</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新规划路</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400"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w:t>
            </w:r>
          </w:p>
        </w:tc>
        <w:tc>
          <w:tcPr>
            <w:tcW w:w="52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华容县十里铺加油站</w:t>
            </w:r>
          </w:p>
        </w:tc>
        <w:tc>
          <w:tcPr>
            <w:tcW w:w="548"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华容县章华镇十里铺村</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550"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3000</w:t>
            </w:r>
          </w:p>
        </w:tc>
        <w:tc>
          <w:tcPr>
            <w:tcW w:w="43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2016.04.11</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民营</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东1.9公里西2.9公里</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400"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4</w:t>
            </w:r>
          </w:p>
        </w:tc>
        <w:tc>
          <w:tcPr>
            <w:tcW w:w="52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华容县田家湖加油站</w:t>
            </w:r>
          </w:p>
        </w:tc>
        <w:tc>
          <w:tcPr>
            <w:tcW w:w="548"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华容县田家大道</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550"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3000</w:t>
            </w:r>
          </w:p>
        </w:tc>
        <w:tc>
          <w:tcPr>
            <w:tcW w:w="43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2020.6.19</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5"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国营</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东1.6公里西2.1公里</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400"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5</w:t>
            </w:r>
          </w:p>
        </w:tc>
        <w:tc>
          <w:tcPr>
            <w:tcW w:w="52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沿河路加油站</w:t>
            </w:r>
          </w:p>
        </w:tc>
        <w:tc>
          <w:tcPr>
            <w:tcW w:w="548"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杏花村东路与沿河路交汇处北</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城区</w:t>
            </w:r>
          </w:p>
        </w:tc>
        <w:tc>
          <w:tcPr>
            <w:tcW w:w="550" w:type="pct"/>
            <w:shd w:val="clear" w:color="auto" w:fill="auto"/>
            <w:noWrap/>
            <w:vAlign w:val="center"/>
          </w:tcPr>
          <w:p>
            <w:pPr>
              <w:widowControl/>
              <w:jc w:val="center"/>
              <w:rPr>
                <w:rFonts w:hint="eastAsia" w:ascii="仿宋_GB2312" w:hAnsi="黑体" w:eastAsia="仿宋_GB2312" w:cs="宋体"/>
                <w:kern w:val="0"/>
                <w:sz w:val="24"/>
                <w:szCs w:val="24"/>
              </w:rPr>
            </w:pPr>
          </w:p>
        </w:tc>
        <w:tc>
          <w:tcPr>
            <w:tcW w:w="435" w:type="pct"/>
            <w:shd w:val="clear" w:color="auto" w:fill="auto"/>
            <w:noWrap/>
            <w:vAlign w:val="center"/>
          </w:tcPr>
          <w:p>
            <w:pPr>
              <w:widowControl/>
              <w:jc w:val="center"/>
              <w:rPr>
                <w:rFonts w:hint="eastAsia" w:ascii="仿宋_GB2312" w:hAnsi="黑体" w:eastAsia="仿宋_GB2312" w:cs="宋体"/>
                <w:kern w:val="0"/>
                <w:sz w:val="24"/>
                <w:szCs w:val="24"/>
              </w:rPr>
            </w:pPr>
          </w:p>
        </w:tc>
        <w:tc>
          <w:tcPr>
            <w:tcW w:w="471" w:type="pct"/>
            <w:shd w:val="clear" w:color="auto" w:fill="auto"/>
            <w:noWrap/>
            <w:vAlign w:val="center"/>
          </w:tcPr>
          <w:p>
            <w:pPr>
              <w:widowControl/>
              <w:jc w:val="center"/>
              <w:rPr>
                <w:rFonts w:hint="eastAsia" w:ascii="仿宋_GB2312" w:hAnsi="黑体" w:eastAsia="仿宋_GB2312" w:cs="宋体"/>
                <w:kern w:val="0"/>
                <w:sz w:val="24"/>
                <w:szCs w:val="24"/>
              </w:rPr>
            </w:pPr>
          </w:p>
        </w:tc>
        <w:tc>
          <w:tcPr>
            <w:tcW w:w="505" w:type="pct"/>
            <w:shd w:val="clear" w:color="auto" w:fill="auto"/>
            <w:noWrap/>
            <w:vAlign w:val="center"/>
          </w:tcPr>
          <w:p>
            <w:pPr>
              <w:widowControl/>
              <w:jc w:val="center"/>
              <w:rPr>
                <w:rFonts w:hint="eastAsia" w:ascii="仿宋_GB2312" w:hAnsi="黑体" w:eastAsia="仿宋_GB2312" w:cs="宋体"/>
                <w:kern w:val="0"/>
                <w:sz w:val="24"/>
                <w:szCs w:val="24"/>
              </w:rPr>
            </w:pP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西2.6公里南1.8公里</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新建</w:t>
            </w:r>
          </w:p>
        </w:tc>
        <w:tc>
          <w:tcPr>
            <w:tcW w:w="400"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新规划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0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6</w:t>
            </w:r>
          </w:p>
        </w:tc>
        <w:tc>
          <w:tcPr>
            <w:tcW w:w="529"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华容县三封寺加油站</w:t>
            </w:r>
          </w:p>
        </w:tc>
        <w:tc>
          <w:tcPr>
            <w:tcW w:w="548"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华容县三封寺镇复兴村</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三级</w:t>
            </w:r>
          </w:p>
        </w:tc>
        <w:tc>
          <w:tcPr>
            <w:tcW w:w="550"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3000</w:t>
            </w:r>
          </w:p>
        </w:tc>
        <w:tc>
          <w:tcPr>
            <w:tcW w:w="435"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2019.04.25</w:t>
            </w:r>
          </w:p>
        </w:tc>
        <w:tc>
          <w:tcPr>
            <w:tcW w:w="471"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社会</w:t>
            </w:r>
          </w:p>
        </w:tc>
        <w:tc>
          <w:tcPr>
            <w:tcW w:w="505"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民营</w:t>
            </w:r>
          </w:p>
        </w:tc>
        <w:tc>
          <w:tcPr>
            <w:tcW w:w="471"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西1.5公里东3.6公里</w:t>
            </w:r>
          </w:p>
        </w:tc>
        <w:tc>
          <w:tcPr>
            <w:tcW w:w="392" w:type="pct"/>
            <w:shd w:val="clear" w:color="auto" w:fill="auto"/>
            <w:noWrap w:val="0"/>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迁建</w:t>
            </w:r>
          </w:p>
        </w:tc>
        <w:tc>
          <w:tcPr>
            <w:tcW w:w="400" w:type="pct"/>
            <w:shd w:val="clear" w:color="auto" w:fill="auto"/>
            <w:noWrap/>
            <w:vAlign w:val="center"/>
          </w:tcPr>
          <w:p>
            <w:pPr>
              <w:widowControl/>
              <w:jc w:val="center"/>
              <w:rPr>
                <w:rFonts w:hint="eastAsia" w:ascii="仿宋_GB2312" w:hAnsi="黑体" w:eastAsia="仿宋_GB2312" w:cs="宋体"/>
                <w:kern w:val="0"/>
                <w:sz w:val="24"/>
                <w:szCs w:val="24"/>
              </w:rPr>
            </w:pPr>
            <w:r>
              <w:rPr>
                <w:rFonts w:hint="eastAsia" w:ascii="仿宋_GB2312" w:hAnsi="黑体" w:eastAsia="仿宋_GB2312" w:cs="宋体"/>
                <w:kern w:val="0"/>
                <w:sz w:val="24"/>
                <w:szCs w:val="24"/>
              </w:rPr>
              <w:t>规划未建</w:t>
            </w:r>
          </w:p>
        </w:tc>
      </w:tr>
    </w:tbl>
    <w:p>
      <w:pPr>
        <w:spacing w:line="360" w:lineRule="auto"/>
        <w:rPr>
          <w:rFonts w:hint="eastAsia" w:ascii="仿宋_GB2312" w:hAnsi="宋体" w:eastAsia="仿宋_GB2312"/>
          <w:sz w:val="30"/>
          <w:szCs w:val="30"/>
        </w:rPr>
      </w:pPr>
    </w:p>
    <w:p>
      <w:pPr>
        <w:rPr>
          <w:rFonts w:hint="eastAsia"/>
        </w:rPr>
      </w:pPr>
    </w:p>
    <w:p>
      <w:bookmarkStart w:id="53" w:name="_GoBack"/>
      <w:bookmarkEnd w:id="53"/>
    </w:p>
    <w:sectPr>
      <w:pgSz w:w="11906" w:h="16838"/>
      <w:pgMar w:top="1985" w:right="1701" w:bottom="1985"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118</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4"/>
        <w:rPr>
          <w:rFonts w:hint="eastAsia" w:ascii="仿宋_GB2312" w:eastAsia="仿宋_GB2312"/>
          <w:lang w:eastAsia="zh-CN"/>
        </w:rPr>
      </w:pPr>
      <w:r>
        <w:rPr>
          <w:rStyle w:val="8"/>
          <w:rFonts w:hint="eastAsia" w:ascii="仿宋_GB2312" w:eastAsia="仿宋_GB2312"/>
        </w:rPr>
        <w:footnoteRef/>
      </w:r>
      <w:r>
        <w:rPr>
          <w:rFonts w:hint="eastAsia" w:ascii="仿宋_GB2312" w:hAnsi="宋体" w:eastAsia="仿宋_GB2312" w:cs="宋体"/>
          <w:b/>
        </w:rPr>
        <w:t>一主两副两轴</w:t>
      </w:r>
      <w:r>
        <w:rPr>
          <w:rFonts w:hint="eastAsia" w:ascii="仿宋_GB2312" w:hAnsi="Arial" w:eastAsia="仿宋_GB2312" w:cs="Arial"/>
          <w:b/>
        </w:rPr>
        <w:t>”</w:t>
      </w:r>
      <w:r>
        <w:rPr>
          <w:rFonts w:hint="eastAsia" w:ascii="仿宋_GB2312" w:hAnsi="Arial" w:eastAsia="仿宋_GB2312" w:cs="Arial"/>
          <w:lang w:eastAsia="zh-CN"/>
        </w:rPr>
        <w:t>：总体构建“一主两副两轴”的点轴辐射型城镇发展格局。“一主”是华容县城，作为整个县域城镇体系发展的核心增长极，实施“东扩西移北控南展”战略。“两副”是注滋口、东山两个中心镇，作为全县城镇体系结构的次中心。“两轴”是城镇发展的主轴与次轴，即：沿G240至G353沿线形成“东山—三封寺—县城—新河—操军”城镇发展的主轴；沿省道S217、S218沿线的梅田湖、鲇鱼须、万庾、县城、禹山、插旗、注滋口、团洲等乡镇形成城镇发展的次轴。</w:t>
      </w:r>
    </w:p>
  </w:footnote>
  <w:footnote w:id="1">
    <w:p>
      <w:pPr>
        <w:pStyle w:val="4"/>
        <w:rPr>
          <w:rFonts w:hint="eastAsia" w:ascii="仿宋_GB2312" w:eastAsia="仿宋_GB2312"/>
          <w:lang w:eastAsia="zh-CN"/>
        </w:rPr>
      </w:pPr>
      <w:r>
        <w:rPr>
          <w:rStyle w:val="8"/>
          <w:rFonts w:hint="eastAsia" w:ascii="仿宋_GB2312" w:eastAsia="仿宋_GB2312"/>
        </w:rPr>
        <w:footnoteRef/>
      </w:r>
      <w:r>
        <w:rPr>
          <w:rFonts w:hint="eastAsia" w:ascii="仿宋_GB2312" w:eastAsia="仿宋_GB2312"/>
          <w:b/>
        </w:rPr>
        <w:t>“</w:t>
      </w:r>
      <w:r>
        <w:rPr>
          <w:rFonts w:hint="eastAsia" w:ascii="仿宋_GB2312" w:hAnsi="宋体" w:eastAsia="仿宋_GB2312" w:cs="宋体"/>
          <w:b/>
        </w:rPr>
        <w:t>一核三带多点</w:t>
      </w:r>
      <w:r>
        <w:rPr>
          <w:rFonts w:hint="eastAsia" w:ascii="仿宋_GB2312" w:eastAsia="仿宋_GB2312"/>
          <w:b/>
        </w:rPr>
        <w:t>”</w:t>
      </w:r>
      <w:r>
        <w:rPr>
          <w:rFonts w:hint="eastAsia" w:ascii="仿宋_GB2312" w:eastAsia="仿宋_GB2312"/>
          <w:b/>
          <w:lang w:eastAsia="zh-CN"/>
        </w:rPr>
        <w:t>：</w:t>
      </w:r>
      <w:r>
        <w:rPr>
          <w:rFonts w:hint="eastAsia" w:ascii="仿宋_GB2312" w:eastAsia="仿宋_GB2312"/>
          <w:lang w:eastAsia="zh-CN"/>
        </w:rPr>
        <w:t>“一核”即县城综合旅游服务中心；“三带”即华容河流域休闲农业旅游带、长江—桃花山—七女峰—东洞庭湖生态旅游带、塔市驿—章华镇—操军镇文化旅游带；“多点”即多个美丽乡村旅游点，通过干线公路、旅游公路、绿道等建设，将景区景点串联成线、并联成网。</w:t>
      </w:r>
    </w:p>
  </w:footnote>
  <w:footnote w:id="2">
    <w:p>
      <w:pPr>
        <w:pStyle w:val="4"/>
        <w:rPr>
          <w:rFonts w:hint="eastAsia" w:ascii="仿宋_GB2312" w:hAnsi="仿宋" w:eastAsia="仿宋_GB2312"/>
        </w:rPr>
      </w:pPr>
      <w:r>
        <w:rPr>
          <w:rStyle w:val="8"/>
          <w:rFonts w:hint="eastAsia" w:ascii="仿宋_GB2312" w:hAnsi="仿宋" w:eastAsia="仿宋_GB2312"/>
        </w:rPr>
        <w:footnoteRef/>
      </w:r>
      <w:r>
        <w:rPr>
          <w:rFonts w:hint="eastAsia" w:ascii="仿宋_GB2312" w:hAnsi="仿宋" w:eastAsia="仿宋_GB2312" w:cs="Arial"/>
          <w:b/>
          <w:color w:val="191919"/>
          <w:shd w:val="clear" w:color="auto" w:fill="FFFFFF"/>
        </w:rPr>
        <w:t>一区一港四口岸：</w:t>
      </w:r>
      <w:r>
        <w:rPr>
          <w:rFonts w:hint="eastAsia" w:ascii="仿宋_GB2312" w:hAnsi="仿宋" w:eastAsia="仿宋_GB2312" w:cs="Arial"/>
          <w:color w:val="191919"/>
          <w:shd w:val="clear" w:color="auto" w:fill="FFFFFF"/>
        </w:rPr>
        <w:t>岳阳城陵矶综合保税区、启运港退税政策试点港、汽车整车进口口岸、进口肉类指定口岸、进口粮食指定口岸和固废进口（2021年1月1日起，我国将禁止以任何方式进口固体废物，禁止我国境外固体废物进境倾倒、堆放、处置）指定口岸</w:t>
      </w:r>
    </w:p>
  </w:footnote>
  <w:footnote w:id="3">
    <w:p>
      <w:pPr>
        <w:pStyle w:val="4"/>
        <w:rPr>
          <w:rFonts w:hint="eastAsia" w:ascii="仿宋_GB2312" w:eastAsia="仿宋_GB2312"/>
          <w:lang w:eastAsia="zh-CN"/>
        </w:rPr>
      </w:pPr>
      <w:r>
        <w:rPr>
          <w:rStyle w:val="8"/>
          <w:rFonts w:hint="eastAsia" w:ascii="仿宋_GB2312" w:eastAsia="仿宋_GB2312"/>
        </w:rPr>
        <w:footnoteRef/>
      </w:r>
      <w:r>
        <w:rPr>
          <w:rFonts w:hint="eastAsia" w:ascii="仿宋_GB2312" w:hAnsi="宋体" w:eastAsia="仿宋_GB2312" w:cs="宋体"/>
          <w:b/>
        </w:rPr>
        <w:t>“4+1”产业集群</w:t>
      </w:r>
      <w:r>
        <w:rPr>
          <w:rFonts w:hint="eastAsia" w:ascii="仿宋_GB2312" w:hAnsi="宋体" w:eastAsia="仿宋_GB2312" w:cs="宋体"/>
          <w:b/>
          <w:lang w:eastAsia="zh-CN"/>
        </w:rPr>
        <w:t>：</w:t>
      </w:r>
      <w:r>
        <w:rPr>
          <w:rFonts w:hint="eastAsia" w:ascii="仿宋_GB2312" w:hAnsi="宋体" w:eastAsia="仿宋_GB2312" w:cs="宋体"/>
        </w:rPr>
        <w:t>立足产业基础和发展趋势，大力发展纺织服装、食品加工、医药制造、通用设备制造等四大产业链，加快发展绿色能源，做大做强</w:t>
      </w:r>
      <w:r>
        <w:rPr>
          <w:rFonts w:hint="eastAsia" w:ascii="仿宋_GB2312" w:hAnsi="Arial" w:eastAsia="仿宋_GB2312" w:cs="Arial"/>
        </w:rPr>
        <w:t>“</w:t>
      </w:r>
      <w:r>
        <w:rPr>
          <w:rFonts w:hint="eastAsia" w:ascii="仿宋_GB2312" w:eastAsia="仿宋_GB2312"/>
        </w:rPr>
        <w:t>4+1”产业集群，推动产业朝“高新特精”方向发展</w:t>
      </w:r>
      <w:r>
        <w:rPr>
          <w:rFonts w:hint="eastAsia" w:ascii="仿宋_GB2312" w:hAnsi="宋体" w:eastAsia="仿宋_GB2312" w:cs="宋体"/>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eastAsia="仿宋_GB2312"/>
        <w:sz w:val="11"/>
      </w:rPr>
    </w:pPr>
    <w:r>
      <w:rPr>
        <w:rFonts w:hint="eastAsia" w:ascii="仿宋_GB2312" w:hAnsi="黑体" w:eastAsia="仿宋_GB2312"/>
        <w:sz w:val="24"/>
      </w:rPr>
      <w:t>华容县商贸流通业“十四五”发展规划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60967"/>
    <w:rsid w:val="2B96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semiHidden/>
    <w:unhideWhenUsed/>
    <w:uiPriority w:val="0"/>
    <w:pPr>
      <w:pBdr>
        <w:top w:val="none" w:color="auto" w:sz="0" w:space="0"/>
        <w:left w:val="none" w:color="auto" w:sz="0" w:space="0"/>
        <w:bottom w:val="none" w:color="auto" w:sz="0" w:space="0"/>
        <w:right w:val="none" w:color="auto" w:sz="0" w:space="0"/>
        <w:between w:val="none" w:color="auto" w:sz="0" w:space="0"/>
      </w:pBdr>
      <w:snapToGrid w:val="0"/>
      <w:jc w:val="left"/>
    </w:pPr>
    <w:rPr>
      <w:rFonts w:ascii="Arial Unicode MS" w:hAnsi="Arial Unicode MS" w:eastAsia="Arial Unicode MS"/>
      <w:color w:val="000000"/>
      <w:kern w:val="0"/>
      <w:sz w:val="18"/>
      <w:szCs w:val="18"/>
      <w:u w:val="none" w:color="000000"/>
    </w:rPr>
  </w:style>
  <w:style w:type="paragraph" w:styleId="5">
    <w:name w:val="toc 2"/>
    <w:basedOn w:val="1"/>
    <w:next w:val="1"/>
    <w:unhideWhenUsed/>
    <w:qFormat/>
    <w:uiPriority w:val="0"/>
    <w:pPr>
      <w:tabs>
        <w:tab w:val="right" w:leader="dot" w:pos="8296"/>
      </w:tabs>
      <w:spacing w:line="360" w:lineRule="auto"/>
      <w:jc w:val="center"/>
    </w:pPr>
    <w:rPr>
      <w:rFonts w:ascii="宋体" w:hAnsi="宋体"/>
      <w:b/>
      <w:sz w:val="52"/>
      <w:szCs w:val="52"/>
    </w:rPr>
  </w:style>
  <w:style w:type="character" w:styleId="8">
    <w:name w:val="footnote reference"/>
    <w:semiHidden/>
    <w:unhideWhenUsed/>
    <w:uiPriority w:val="0"/>
    <w:rPr>
      <w:vertAlign w:val="superscript"/>
    </w:rPr>
  </w:style>
  <w:style w:type="paragraph" w:customStyle="1" w:styleId="9">
    <w:name w:val="列出段落"/>
    <w:basedOn w:val="1"/>
    <w:qFormat/>
    <w:uiPriority w:val="0"/>
    <w:pPr>
      <w:ind w:firstLine="420" w:firstLineChars="200"/>
    </w:pPr>
    <w:rPr>
      <w:rFonts w:ascii="Calibri" w:hAnsi="Calibri"/>
    </w:rPr>
  </w:style>
  <w:style w:type="character" w:customStyle="1" w:styleId="10">
    <w:name w:val=" Char Char7"/>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00&#23453;&#39568;&#39033;&#30446;&#36164;&#26009;\&#39033;&#30446;&#36164;&#26009;\5&#21326;&#23481;&#39033;&#30446;\3.&#21326;&#23481;&#35843;&#30740;\&#21326;&#23481;&#21439;&#22522;&#30784;&#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00&#23453;&#39568;&#39033;&#30446;&#36164;&#26009;\&#39033;&#30446;&#36164;&#26009;\5&#21326;&#23481;&#39033;&#30446;\3.&#21326;&#23481;&#35843;&#30740;\&#21326;&#23481;&#21439;&#22522;&#3078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1" i="0" u="none" strike="noStrike" kern="1200" spc="0" baseline="0">
                <a:solidFill>
                  <a:schemeClr val="tx1">
                    <a:lumMod val="65000"/>
                    <a:lumOff val="35000"/>
                  </a:schemeClr>
                </a:solidFill>
                <a:latin typeface="+mn-lt"/>
                <a:ea typeface="+mn-ea"/>
                <a:cs typeface="+mn-cs"/>
              </a:defRPr>
            </a:pPr>
            <a:r>
              <a:rPr lang="en-US" altLang="zh-CN" sz="1100" b="1">
                <a:effectLst/>
              </a:rPr>
              <a:t>2015-2020</a:t>
            </a:r>
            <a:r>
              <a:rPr lang="zh-CN" altLang="zh-CN" sz="1100" b="1">
                <a:effectLst/>
              </a:rPr>
              <a:t>年</a:t>
            </a:r>
            <a:r>
              <a:rPr lang="zh-CN" altLang="en-US" sz="1100" b="1">
                <a:effectLst/>
              </a:rPr>
              <a:t>华容县</a:t>
            </a:r>
            <a:r>
              <a:rPr lang="zh-CN" altLang="zh-CN" sz="1100" b="1">
                <a:effectLst/>
              </a:rPr>
              <a:t>社会消费品零售总额</a:t>
            </a:r>
            <a:r>
              <a:rPr lang="zh-CN" altLang="en-US" sz="1100" b="1">
                <a:effectLst/>
              </a:rPr>
              <a:t>（单位：亿元）</a:t>
            </a:r>
            <a:endParaRPr lang="zh-CN" altLang="zh-CN" sz="1100" b="1">
              <a:effectLst/>
            </a:endParaRPr>
          </a:p>
        </c:rich>
      </c:tx>
      <c:layout/>
      <c:overlay val="0"/>
      <c:spPr>
        <a:noFill/>
        <a:ln>
          <a:noFill/>
        </a:ln>
        <a:effectLst/>
      </c:spPr>
    </c:title>
    <c:autoTitleDeleted val="0"/>
    <c:plotArea>
      <c:layout/>
      <c:barChart>
        <c:barDir val="col"/>
        <c:grouping val="clustered"/>
        <c:varyColors val="0"/>
        <c:ser>
          <c:idx val="0"/>
          <c:order val="0"/>
          <c:tx>
            <c:strRef>
              <c:f>Sheet3!$B$20</c:f>
              <c:strCache>
                <c:ptCount val="1"/>
                <c:pt idx="0">
                  <c:v>社会消费品零售总额</c:v>
                </c:pt>
              </c:strCache>
            </c:strRef>
          </c:tx>
          <c:spPr>
            <a:solidFill>
              <a:schemeClr val="accent1"/>
            </a:solidFill>
            <a:ln>
              <a:noFill/>
            </a:ln>
            <a:effectLst/>
          </c:spPr>
          <c:invertIfNegative val="0"/>
          <c:dLbls>
            <c:dLbl>
              <c:idx val="2"/>
              <c:layout>
                <c:manualLayout>
                  <c:x val="0"/>
                  <c:y val="0.0555555555555555"/>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Sheet3!$A$21:$A$26</c:f>
              <c:numCache>
                <c:formatCode>General</c:formatCode>
                <c:ptCount val="6"/>
                <c:pt idx="0">
                  <c:v>2015</c:v>
                </c:pt>
                <c:pt idx="1">
                  <c:v>2016</c:v>
                </c:pt>
                <c:pt idx="2">
                  <c:v>2017</c:v>
                </c:pt>
                <c:pt idx="3">
                  <c:v>2018</c:v>
                </c:pt>
                <c:pt idx="4">
                  <c:v>2019</c:v>
                </c:pt>
                <c:pt idx="5">
                  <c:v>2020</c:v>
                </c:pt>
              </c:numCache>
            </c:numRef>
          </c:cat>
          <c:val>
            <c:numRef>
              <c:f>Sheet3!$B$21:$B$26</c:f>
              <c:numCache>
                <c:formatCode>General</c:formatCode>
                <c:ptCount val="6"/>
                <c:pt idx="0">
                  <c:v>91.48</c:v>
                </c:pt>
                <c:pt idx="1">
                  <c:v>95.87</c:v>
                </c:pt>
                <c:pt idx="2">
                  <c:v>105.41</c:v>
                </c:pt>
                <c:pt idx="3">
                  <c:v>113.59</c:v>
                </c:pt>
                <c:pt idx="4">
                  <c:v>125.41</c:v>
                </c:pt>
                <c:pt idx="5">
                  <c:v>127.7</c:v>
                </c:pt>
              </c:numCache>
            </c:numRef>
          </c:val>
        </c:ser>
        <c:dLbls>
          <c:showLegendKey val="1"/>
          <c:showVal val="1"/>
          <c:showCatName val="1"/>
          <c:showSerName val="1"/>
          <c:showPercent val="1"/>
          <c:showBubbleSize val="1"/>
        </c:dLbls>
        <c:gapWidth val="219"/>
        <c:overlap val="-27"/>
        <c:axId val="252047744"/>
        <c:axId val="252049280"/>
      </c:barChart>
      <c:lineChart>
        <c:grouping val="standard"/>
        <c:varyColors val="0"/>
        <c:ser>
          <c:idx val="1"/>
          <c:order val="1"/>
          <c:tx>
            <c:strRef>
              <c:f>Sheet3!$C$20</c:f>
              <c:strCache>
                <c:ptCount val="1"/>
                <c:pt idx="0">
                  <c:v>增长率</c:v>
                </c:pt>
              </c:strCache>
            </c:strRef>
          </c:tx>
          <c:spPr>
            <a:ln w="28575" cap="rnd" cmpd="sng" algn="ctr">
              <a:solidFill>
                <a:schemeClr val="accent2"/>
              </a:solidFill>
              <a:prstDash val="solid"/>
              <a:round/>
            </a:ln>
            <a:effectLst/>
          </c:spPr>
          <c:marker>
            <c:symbol val="none"/>
          </c:marker>
          <c:dLbls>
            <c:dLbl>
              <c:idx val="2"/>
              <c:layout>
                <c:manualLayout>
                  <c:x val="-0.0435903324584427"/>
                  <c:y val="-0.0439468503937008"/>
                </c:manualLayout>
              </c:layout>
              <c:dLblPos val="r"/>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0.0483681102362205"/>
                  <c:y val="0.0069790755322251"/>
                </c:manualLayout>
              </c:layout>
              <c:dLblPos val="r"/>
              <c:showLegendKey val="1"/>
              <c:showVal val="1"/>
              <c:showCatName val="1"/>
              <c:showSerName val="1"/>
              <c:showPercent val="1"/>
              <c:showBubbleSize val="1"/>
              <c:extLst>
                <c:ext xmlns:c15="http://schemas.microsoft.com/office/drawing/2012/chart" uri="{CE6537A1-D6FC-4f65-9D91-7224C49458BB}">
                  <c15:layout/>
                </c:ext>
              </c:extLst>
            </c:dLbl>
            <c:dLbl>
              <c:idx val="4"/>
              <c:layout>
                <c:manualLayout>
                  <c:x val="-0.0519236657917761"/>
                  <c:y val="0.020867964421114"/>
                </c:manualLayout>
              </c:layout>
              <c:dLblPos val="r"/>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1"/>
            <c:showVal val="1"/>
            <c:showCatName val="1"/>
            <c:showSerName val="1"/>
            <c:showPercent val="1"/>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Sheet3!$A$21:$A$26</c:f>
              <c:numCache>
                <c:formatCode>General</c:formatCode>
                <c:ptCount val="6"/>
                <c:pt idx="0">
                  <c:v>2015</c:v>
                </c:pt>
                <c:pt idx="1">
                  <c:v>2016</c:v>
                </c:pt>
                <c:pt idx="2">
                  <c:v>2017</c:v>
                </c:pt>
                <c:pt idx="3">
                  <c:v>2018</c:v>
                </c:pt>
                <c:pt idx="4">
                  <c:v>2019</c:v>
                </c:pt>
                <c:pt idx="5">
                  <c:v>2020</c:v>
                </c:pt>
              </c:numCache>
            </c:numRef>
          </c:cat>
          <c:val>
            <c:numRef>
              <c:f>Sheet3!$C$21:$C$26</c:f>
              <c:numCache>
                <c:formatCode>0.0%</c:formatCode>
                <c:ptCount val="6"/>
                <c:pt idx="0">
                  <c:v>0.128</c:v>
                </c:pt>
                <c:pt idx="1">
                  <c:v>0.122</c:v>
                </c:pt>
                <c:pt idx="2">
                  <c:v>0.1</c:v>
                </c:pt>
                <c:pt idx="3">
                  <c:v>0.099</c:v>
                </c:pt>
                <c:pt idx="4">
                  <c:v>0.104</c:v>
                </c:pt>
                <c:pt idx="5">
                  <c:v>-0.023</c:v>
                </c:pt>
              </c:numCache>
            </c:numRef>
          </c:val>
          <c:smooth val="1"/>
        </c:ser>
        <c:dLbls>
          <c:showLegendKey val="1"/>
          <c:showVal val="1"/>
          <c:showCatName val="1"/>
          <c:showSerName val="1"/>
          <c:showPercent val="1"/>
          <c:showBubbleSize val="1"/>
        </c:dLbls>
        <c:marker val="0"/>
        <c:smooth val="1"/>
        <c:axId val="254891136"/>
        <c:axId val="252050816"/>
      </c:lineChart>
      <c:catAx>
        <c:axId val="2520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049280"/>
        <c:crosses val="autoZero"/>
        <c:auto val="1"/>
        <c:lblAlgn val="ctr"/>
        <c:lblOffset val="100"/>
        <c:noMultiLvlLbl val="0"/>
      </c:catAx>
      <c:valAx>
        <c:axId val="252049280"/>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047744"/>
        <c:crosses val="autoZero"/>
        <c:crossBetween val="between"/>
      </c:valAx>
      <c:catAx>
        <c:axId val="254891136"/>
        <c:scaling>
          <c:orientation val="minMax"/>
        </c:scaling>
        <c:delete val="1"/>
        <c:axPos val="b"/>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2050816"/>
        <c:crosses val="autoZero"/>
        <c:auto val="1"/>
        <c:lblAlgn val="ctr"/>
        <c:lblOffset val="100"/>
        <c:noMultiLvlLbl val="0"/>
      </c:catAx>
      <c:valAx>
        <c:axId val="252050816"/>
        <c:scaling>
          <c:orientation val="minMax"/>
        </c:scaling>
        <c:delete val="0"/>
        <c:axPos val="r"/>
        <c:numFmt formatCode="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89113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altLang="zh-CN" sz="1100" b="1" i="0" u="none" strike="noStrike" kern="1200" spc="0" baseline="0">
                <a:solidFill>
                  <a:sysClr val="windowText" lastClr="000000">
                    <a:lumMod val="65000"/>
                    <a:lumOff val="35000"/>
                  </a:sysClr>
                </a:solidFill>
                <a:effectLst/>
                <a:latin typeface="+mn-lt"/>
                <a:ea typeface="+mn-ea"/>
                <a:cs typeface="+mn-cs"/>
              </a:defRPr>
            </a:pPr>
            <a:r>
              <a:rPr lang="en-US" altLang="zh-CN" sz="1100" b="1" i="0" u="none" strike="noStrike" kern="1200" spc="0" baseline="0">
                <a:solidFill>
                  <a:sysClr val="windowText" lastClr="000000">
                    <a:lumMod val="65000"/>
                    <a:lumOff val="35000"/>
                  </a:sysClr>
                </a:solidFill>
                <a:effectLst/>
                <a:latin typeface="+mn-lt"/>
                <a:ea typeface="+mn-ea"/>
                <a:cs typeface="+mn-cs"/>
              </a:rPr>
              <a:t>2015-2020年华容县城镇及乡村社会消费品零售总额（单位：亿元）</a:t>
            </a:r>
            <a:endParaRPr lang="en-US" altLang="zh-CN" sz="1100" b="1" i="0" u="none" strike="noStrike" kern="1200" spc="0" baseline="0">
              <a:solidFill>
                <a:sysClr val="windowText" lastClr="000000">
                  <a:lumMod val="65000"/>
                  <a:lumOff val="35000"/>
                </a:sysClr>
              </a:solidFill>
              <a:effectLst/>
              <a:latin typeface="+mn-lt"/>
              <a:ea typeface="+mn-ea"/>
              <a:cs typeface="+mn-cs"/>
            </a:endParaRPr>
          </a:p>
        </c:rich>
      </c:tx>
      <c:layout/>
      <c:overlay val="0"/>
      <c:spPr>
        <a:noFill/>
        <a:ln>
          <a:noFill/>
        </a:ln>
        <a:effectLst/>
      </c:spPr>
    </c:title>
    <c:autoTitleDeleted val="0"/>
    <c:plotArea>
      <c:layout/>
      <c:barChart>
        <c:barDir val="col"/>
        <c:grouping val="clustered"/>
        <c:varyColors val="0"/>
        <c:ser>
          <c:idx val="0"/>
          <c:order val="0"/>
          <c:tx>
            <c:strRef>
              <c:f>Sheet3!$B$43</c:f>
              <c:strCache>
                <c:ptCount val="1"/>
                <c:pt idx="0">
                  <c:v>城镇</c:v>
                </c:pt>
              </c:strCache>
            </c:strRef>
          </c:tx>
          <c:spPr>
            <a:solidFill>
              <a:schemeClr val="accent1"/>
            </a:solidFill>
            <a:ln>
              <a:noFill/>
            </a:ln>
            <a:effectLst/>
          </c:spPr>
          <c:invertIfNegative val="0"/>
          <c:dLbls>
            <c:dLbl>
              <c:idx val="1"/>
              <c:layout>
                <c:manualLayout>
                  <c:x val="0.00277777777777778"/>
                  <c:y val="0"/>
                </c:manualLayout>
              </c:layout>
              <c:dLblPos val="outEnd"/>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Sheet3!$A$44:$A$49</c:f>
              <c:numCache>
                <c:formatCode>General</c:formatCode>
                <c:ptCount val="6"/>
                <c:pt idx="0">
                  <c:v>2015</c:v>
                </c:pt>
                <c:pt idx="1">
                  <c:v>2016</c:v>
                </c:pt>
                <c:pt idx="2">
                  <c:v>2017</c:v>
                </c:pt>
                <c:pt idx="3">
                  <c:v>2018</c:v>
                </c:pt>
                <c:pt idx="4">
                  <c:v>2019</c:v>
                </c:pt>
                <c:pt idx="5">
                  <c:v>2020</c:v>
                </c:pt>
              </c:numCache>
            </c:numRef>
          </c:cat>
          <c:val>
            <c:numRef>
              <c:f>Sheet3!$B$44:$B$49</c:f>
              <c:numCache>
                <c:formatCode>General</c:formatCode>
                <c:ptCount val="6"/>
                <c:pt idx="0">
                  <c:v>80.1</c:v>
                </c:pt>
                <c:pt idx="1">
                  <c:v>83.79</c:v>
                </c:pt>
                <c:pt idx="2">
                  <c:v>92.02</c:v>
                </c:pt>
                <c:pt idx="3">
                  <c:v>98.98</c:v>
                </c:pt>
                <c:pt idx="4">
                  <c:v>109.27</c:v>
                </c:pt>
                <c:pt idx="5">
                  <c:v>111.2</c:v>
                </c:pt>
              </c:numCache>
            </c:numRef>
          </c:val>
        </c:ser>
        <c:ser>
          <c:idx val="2"/>
          <c:order val="2"/>
          <c:tx>
            <c:strRef>
              <c:f>Sheet3!$D$43</c:f>
              <c:strCache>
                <c:ptCount val="1"/>
                <c:pt idx="0">
                  <c:v>乡村</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Sheet3!$A$44:$A$49</c:f>
              <c:numCache>
                <c:formatCode>General</c:formatCode>
                <c:ptCount val="6"/>
                <c:pt idx="0">
                  <c:v>2015</c:v>
                </c:pt>
                <c:pt idx="1">
                  <c:v>2016</c:v>
                </c:pt>
                <c:pt idx="2">
                  <c:v>2017</c:v>
                </c:pt>
                <c:pt idx="3">
                  <c:v>2018</c:v>
                </c:pt>
                <c:pt idx="4">
                  <c:v>2019</c:v>
                </c:pt>
                <c:pt idx="5">
                  <c:v>2020</c:v>
                </c:pt>
              </c:numCache>
            </c:numRef>
          </c:cat>
          <c:val>
            <c:numRef>
              <c:f>Sheet3!$D$44:$D$49</c:f>
              <c:numCache>
                <c:formatCode>General</c:formatCode>
                <c:ptCount val="6"/>
                <c:pt idx="0">
                  <c:v>11.38</c:v>
                </c:pt>
                <c:pt idx="1">
                  <c:v>12.08</c:v>
                </c:pt>
                <c:pt idx="2">
                  <c:v>13.39</c:v>
                </c:pt>
                <c:pt idx="3">
                  <c:v>14.61</c:v>
                </c:pt>
                <c:pt idx="4">
                  <c:v>16.14</c:v>
                </c:pt>
                <c:pt idx="5">
                  <c:v>16.5</c:v>
                </c:pt>
              </c:numCache>
            </c:numRef>
          </c:val>
        </c:ser>
        <c:dLbls>
          <c:showLegendKey val="1"/>
          <c:showVal val="1"/>
          <c:showCatName val="1"/>
          <c:showSerName val="1"/>
          <c:showPercent val="1"/>
          <c:showBubbleSize val="1"/>
        </c:dLbls>
        <c:gapWidth val="219"/>
        <c:axId val="178631808"/>
        <c:axId val="178633728"/>
      </c:barChart>
      <c:lineChart>
        <c:grouping val="standard"/>
        <c:varyColors val="0"/>
        <c:ser>
          <c:idx val="1"/>
          <c:order val="1"/>
          <c:tx>
            <c:strRef>
              <c:f>Sheet3!$C$43</c:f>
              <c:strCache>
                <c:ptCount val="1"/>
                <c:pt idx="0">
                  <c:v>城镇增长率</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numRef>
              <c:f>Sheet3!$A$44:$A$49</c:f>
              <c:numCache>
                <c:formatCode>General</c:formatCode>
                <c:ptCount val="6"/>
                <c:pt idx="0">
                  <c:v>2015</c:v>
                </c:pt>
                <c:pt idx="1">
                  <c:v>2016</c:v>
                </c:pt>
                <c:pt idx="2">
                  <c:v>2017</c:v>
                </c:pt>
                <c:pt idx="3">
                  <c:v>2018</c:v>
                </c:pt>
                <c:pt idx="4">
                  <c:v>2019</c:v>
                </c:pt>
                <c:pt idx="5">
                  <c:v>2020</c:v>
                </c:pt>
              </c:numCache>
            </c:numRef>
          </c:cat>
          <c:val>
            <c:numRef>
              <c:f>Sheet3!$C$44:$C$49</c:f>
              <c:numCache>
                <c:formatCode>0.0%</c:formatCode>
                <c:ptCount val="6"/>
                <c:pt idx="0">
                  <c:v>0.126</c:v>
                </c:pt>
                <c:pt idx="1">
                  <c:v>0.085</c:v>
                </c:pt>
                <c:pt idx="2">
                  <c:v>0.0980000000000001</c:v>
                </c:pt>
                <c:pt idx="3">
                  <c:v>0.087</c:v>
                </c:pt>
                <c:pt idx="4">
                  <c:v>0.104</c:v>
                </c:pt>
                <c:pt idx="5">
                  <c:v>-0.024</c:v>
                </c:pt>
              </c:numCache>
            </c:numRef>
          </c:val>
          <c:smooth val="1"/>
        </c:ser>
        <c:ser>
          <c:idx val="3"/>
          <c:order val="3"/>
          <c:tx>
            <c:strRef>
              <c:f>Sheet3!$E$43</c:f>
              <c:strCache>
                <c:ptCount val="1"/>
                <c:pt idx="0">
                  <c:v>乡村增长率</c:v>
                </c:pt>
              </c:strCache>
            </c:strRef>
          </c:tx>
          <c:spPr>
            <a:ln w="28575" cap="rnd" cmpd="sng" algn="ctr">
              <a:solidFill>
                <a:schemeClr val="accent4"/>
              </a:solidFill>
              <a:prstDash val="solid"/>
              <a:round/>
            </a:ln>
            <a:effectLst/>
          </c:spPr>
          <c:marker>
            <c:symbol val="circle"/>
            <c:size val="5"/>
            <c:spPr>
              <a:solidFill>
                <a:schemeClr val="accent4"/>
              </a:solidFill>
              <a:ln w="9525" cap="flat" cmpd="sng" algn="ctr">
                <a:solidFill>
                  <a:schemeClr val="accent4"/>
                </a:solidFill>
                <a:prstDash val="solid"/>
                <a:round/>
              </a:ln>
              <a:effectLst/>
            </c:spPr>
          </c:marker>
          <c:dLbls>
            <c:delete val="1"/>
          </c:dLbls>
          <c:cat>
            <c:numRef>
              <c:f>Sheet3!$A$44:$A$49</c:f>
              <c:numCache>
                <c:formatCode>General</c:formatCode>
                <c:ptCount val="6"/>
                <c:pt idx="0">
                  <c:v>2015</c:v>
                </c:pt>
                <c:pt idx="1">
                  <c:v>2016</c:v>
                </c:pt>
                <c:pt idx="2">
                  <c:v>2017</c:v>
                </c:pt>
                <c:pt idx="3">
                  <c:v>2018</c:v>
                </c:pt>
                <c:pt idx="4">
                  <c:v>2019</c:v>
                </c:pt>
                <c:pt idx="5">
                  <c:v>2020</c:v>
                </c:pt>
              </c:numCache>
            </c:numRef>
          </c:cat>
          <c:val>
            <c:numRef>
              <c:f>Sheet3!$E$44:$E$49</c:f>
              <c:numCache>
                <c:formatCode>0.0%</c:formatCode>
                <c:ptCount val="6"/>
                <c:pt idx="0">
                  <c:v>0.135</c:v>
                </c:pt>
                <c:pt idx="1">
                  <c:v>0.092</c:v>
                </c:pt>
                <c:pt idx="2">
                  <c:v>0.108</c:v>
                </c:pt>
                <c:pt idx="3">
                  <c:v>0.091</c:v>
                </c:pt>
                <c:pt idx="4">
                  <c:v>0.105</c:v>
                </c:pt>
                <c:pt idx="5">
                  <c:v>-0.021</c:v>
                </c:pt>
              </c:numCache>
            </c:numRef>
          </c:val>
          <c:smooth val="1"/>
        </c:ser>
        <c:dLbls>
          <c:showLegendKey val="0"/>
          <c:showVal val="0"/>
          <c:showCatName val="0"/>
          <c:showSerName val="0"/>
          <c:showPercent val="0"/>
          <c:showBubbleSize val="0"/>
        </c:dLbls>
        <c:marker val="1"/>
        <c:smooth val="1"/>
        <c:axId val="178637056"/>
        <c:axId val="178635520"/>
      </c:lineChart>
      <c:catAx>
        <c:axId val="17863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633728"/>
        <c:crosses val="autoZero"/>
        <c:auto val="1"/>
        <c:lblAlgn val="ctr"/>
        <c:lblOffset val="100"/>
        <c:noMultiLvlLbl val="0"/>
      </c:catAx>
      <c:valAx>
        <c:axId val="178633728"/>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631808"/>
        <c:crosses val="autoZero"/>
        <c:crossBetween val="between"/>
      </c:valAx>
      <c:catAx>
        <c:axId val="17863705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8635520"/>
        <c:crosses val="autoZero"/>
        <c:auto val="1"/>
        <c:lblAlgn val="ctr"/>
        <c:lblOffset val="100"/>
        <c:noMultiLvlLbl val="0"/>
      </c:catAx>
      <c:valAx>
        <c:axId val="178635520"/>
        <c:scaling>
          <c:orientation val="minMax"/>
        </c:scaling>
        <c:delete val="0"/>
        <c:axPos val="r"/>
        <c:numFmt formatCode="0.0%"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637056"/>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2021-11-09T07:19:00Z</dcterms:created>
  <dc:creator>Administrator</dc:creator>
  <cp:lastModifiedBy>Administrator</cp:lastModifiedBy>
  <dcterms:modified xsi:type="dcterms:W3CDTF">2021-11-09T07:19:28Z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20E21832E9A640519DBFCD1E205CDA11</vt:lpwstr>
  </property>
</Properties>
</file>