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名称：华容县信访局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105001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1年7月</w:t>
      </w:r>
      <w:r>
        <w:rPr>
          <w:rFonts w:eastAsia="仿宋_GB2312"/>
          <w:sz w:val="32"/>
        </w:rPr>
        <w:t>2</w:t>
      </w:r>
      <w:r>
        <w:rPr>
          <w:rFonts w:hint="eastAsia" w:eastAsia="仿宋_GB2312"/>
          <w:sz w:val="32"/>
        </w:rPr>
        <w:t>8日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涂剑</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13874063161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16</w:t>
            </w:r>
          </w:p>
        </w:tc>
        <w:tc>
          <w:tcPr>
            <w:tcW w:w="1479" w:type="dxa"/>
            <w:noWrap/>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实有人数</w:t>
            </w:r>
          </w:p>
        </w:tc>
        <w:tc>
          <w:tcPr>
            <w:tcW w:w="3106" w:type="dxa"/>
            <w:gridSpan w:val="8"/>
            <w:noWrap/>
            <w:vAlign w:val="center"/>
          </w:tcPr>
          <w:p>
            <w:pPr>
              <w:autoSpaceDN w:val="0"/>
              <w:spacing w:line="320" w:lineRule="exact"/>
              <w:jc w:val="center"/>
              <w:textAlignment w:val="center"/>
              <w:rPr>
                <w:rFonts w:hint="eastAsia" w:ascii="仿宋" w:hAnsi="仿宋" w:eastAsia="仿宋" w:cs="仿宋_GB2312"/>
                <w:color w:val="000000"/>
                <w:sz w:val="24"/>
                <w:lang w:val="en-US" w:eastAsia="zh-CN"/>
              </w:rPr>
            </w:pPr>
            <w:r>
              <w:rPr>
                <w:rFonts w:ascii="仿宋" w:hAnsi="仿宋" w:eastAsia="仿宋" w:cs="仿宋_GB2312"/>
                <w:color w:val="000000"/>
                <w:sz w:val="24"/>
              </w:rPr>
              <w:t>1</w:t>
            </w:r>
            <w:r>
              <w:rPr>
                <w:rFonts w:hint="eastAsia" w:ascii="仿宋" w:hAnsi="仿宋" w:eastAsia="仿宋"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（一）贯彻落实上级党委、政府和县委、县政府及县信访工作领导小组关于信访工作的意见、措施、办法。</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（二）负责处理人民群众给县委、县政府及其领导同志的来信，接待处理群众来信、来访、网络信访，为领导同志接待上访群众做好组织服务工作。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（三）受理、承办上级部门向县委、县政府交办的信访事项和县委、县政府及其领导交办的信访事项，并及时上报处理结果。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（四）向县委、县政府及其领导提供群众来信来访中的重要信息，及时反映倾向性、动态性问题和影响社会稳定的事件。</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（六）按照“属地管理、分级负责”、“谁主管、谁负责”的原则，向有关乡镇和部门转送、交办来信来访事项，并督促检查落实情况，协调办理重要信访问题。</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（七）协同有关部门处理跨地区、跨部门的重大信访问题，协调乡镇和部门解决群众反映的突出问题，协调处理群众到县到市赴省进京上访，协调全县各级党政机关的信访工作。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（八）开展信访工作宣传和调研；指导全县信访工作业务，总结推广信访工作经验，提出加强和改进信访工作的意见。</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（九）负责全县信访工作的综合管理，负责指导全县信访工作的组织建设和理论建设</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制定并组织实施信访工作规划，协助县委、县政府部署、督查信访工作。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（十）掌握全县信访工作队伍建设情况，提出加强信访队伍建设的措施，对信访工作中失职、渎职行为提出处理建议，组织信访干部培训。</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（十一）指导全县信访办公自动化建设和信访信息系统的运行、监管。</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十二</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完成县委、县政府交办的其他事项。</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目标1：争创省级三无县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目标2：全市排名领先，市排名第一的地位不动摇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目标3：信访工作总体呈现“三降一升”（总量、越级访、集体访下降，网上信访办理质量提升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目标4：积案化解有突破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46" w:type="dxa"/>
            <w:gridSpan w:val="15"/>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2020年</w:t>
            </w:r>
            <w:r>
              <w:rPr>
                <w:rFonts w:hint="eastAsia" w:ascii="仿宋_GB2312" w:hAnsi="仿宋_GB2312" w:eastAsia="仿宋_GB2312" w:cs="仿宋_GB2312"/>
                <w:color w:val="000000"/>
                <w:sz w:val="24"/>
              </w:rPr>
              <w:t>，我</w:t>
            </w:r>
            <w:r>
              <w:rPr>
                <w:rFonts w:hint="eastAsia" w:ascii="仿宋_GB2312" w:hAnsi="仿宋_GB2312" w:eastAsia="仿宋_GB2312" w:cs="仿宋_GB2312"/>
                <w:color w:val="000000"/>
                <w:sz w:val="24"/>
                <w:lang w:val="en-US" w:eastAsia="zh-CN"/>
              </w:rPr>
              <w:t>们坚持</w:t>
            </w:r>
            <w:r>
              <w:rPr>
                <w:rFonts w:hint="eastAsia" w:ascii="仿宋_GB2312" w:hAnsi="仿宋_GB2312" w:eastAsia="仿宋_GB2312" w:cs="仿宋_GB2312"/>
                <w:color w:val="000000"/>
                <w:sz w:val="24"/>
                <w:lang w:eastAsia="zh-CN"/>
              </w:rPr>
              <w:t>以</w:t>
            </w:r>
            <w:r>
              <w:rPr>
                <w:rFonts w:hint="eastAsia" w:ascii="仿宋_GB2312" w:hAnsi="仿宋_GB2312" w:eastAsia="仿宋_GB2312" w:cs="仿宋_GB2312"/>
                <w:color w:val="000000"/>
                <w:sz w:val="24"/>
                <w:lang w:val="en-US" w:eastAsia="zh-CN"/>
              </w:rPr>
              <w:t>习近平新时代中国特色社会主义重要思想为指导，认真贯彻落实习近平总书记关于加强和改进人民信访工作的重要思想，扎实推进新时代“枫桥经验”湖南化在华容落地生根。全县进京上访（含中途劝返）29批53人次。其中，国家信访局登记上访4批7人，非接待场所1批1人，外围查控12批19人次，中途劝返拟进京上访12批26人次（岳阳、武汉、郑州等地中途劝返）；赴省35批72人次（其中，个访32批52人次；集访3批20人次）；到市11批17人次（其中，个访10批12人次；集访1批5人）；上县357批1634人次（其中，个访290批875人次；集访67批759人次）。信访事项受理率、按期办结率、网上参评率、评价满意率、网上信访占比率、信访事项回访率、信访重点积案化解率等等多项工作全市领先，信访工作总体呈现“三下降一提升”（总量、越级访、集体访下降，</w:t>
            </w:r>
            <w:r>
              <w:rPr>
                <w:rFonts w:hint="eastAsia" w:ascii="仿宋_GB2312" w:hAnsi="仿宋_GB2312" w:eastAsia="仿宋_GB2312" w:cs="仿宋_GB2312"/>
                <w:color w:val="000000"/>
                <w:sz w:val="24"/>
              </w:rPr>
              <w:t>网上信访办理质量提升）的良好态势，</w:t>
            </w:r>
            <w:r>
              <w:rPr>
                <w:rFonts w:hint="eastAsia" w:ascii="仿宋_GB2312" w:hAnsi="仿宋_GB2312" w:eastAsia="仿宋_GB2312" w:cs="仿宋_GB2312"/>
                <w:color w:val="000000"/>
                <w:sz w:val="24"/>
                <w:lang w:val="en-US" w:eastAsia="zh-CN"/>
              </w:rPr>
              <w:t>群众满意率显著提升</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年成功创建省级信访工作“三无”县。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503.6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503.6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、二级机构</w:t>
            </w:r>
            <w:r>
              <w:rPr>
                <w:rFonts w:ascii="仿宋_GB2312" w:hAnsi="仿宋_GB2312" w:eastAsia="仿宋_GB2312" w:cs="仿宋_GB2312"/>
                <w:color w:val="000000"/>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、二级机构</w:t>
            </w:r>
            <w:r>
              <w:rPr>
                <w:rFonts w:ascii="仿宋_GB2312" w:hAnsi="仿宋_GB2312" w:eastAsia="仿宋_GB2312" w:cs="仿宋_GB2312"/>
                <w:color w:val="000000"/>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503.6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264</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0.5</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64.4</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预期目标</w:t>
            </w:r>
          </w:p>
        </w:tc>
        <w:tc>
          <w:tcPr>
            <w:tcW w:w="4585" w:type="dxa"/>
            <w:gridSpan w:val="9"/>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autoSpaceDN w:val="0"/>
              <w:spacing w:line="320" w:lineRule="exact"/>
              <w:jc w:val="center"/>
              <w:textAlignment w:val="center"/>
              <w:rPr>
                <w:rFonts w:ascii="仿宋" w:hAnsi="仿宋" w:eastAsia="仿宋" w:cs="仿宋_GB2312"/>
                <w:sz w:val="24"/>
              </w:rPr>
            </w:pPr>
          </w:p>
        </w:tc>
        <w:tc>
          <w:tcPr>
            <w:tcW w:w="3774" w:type="dxa"/>
            <w:gridSpan w:val="7"/>
            <w:noWrap/>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目标1：争创省级三无县</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目标2：全市排名领先市排名第一</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地位不动摇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目标3：信访工作总体呈现“三降一升”（总量、越级访、集体访下降，网上信访办理质量提升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目标4：全积案化解有突破</w:t>
            </w:r>
          </w:p>
          <w:p>
            <w:pPr>
              <w:autoSpaceDN w:val="0"/>
              <w:spacing w:line="600" w:lineRule="exact"/>
              <w:ind w:firstLine="480" w:firstLineChars="200"/>
              <w:jc w:val="center"/>
              <w:textAlignment w:val="center"/>
              <w:rPr>
                <w:rFonts w:ascii="仿宋" w:hAnsi="仿宋" w:eastAsia="仿宋" w:cs="仿宋_GB2312"/>
                <w:color w:val="FF0000"/>
                <w:sz w:val="24"/>
              </w:rPr>
            </w:pPr>
          </w:p>
          <w:p>
            <w:pPr>
              <w:autoSpaceDN w:val="0"/>
              <w:spacing w:line="320" w:lineRule="exact"/>
              <w:jc w:val="center"/>
              <w:textAlignment w:val="center"/>
              <w:rPr>
                <w:rFonts w:ascii="仿宋" w:hAnsi="仿宋" w:eastAsia="仿宋" w:cs="仿宋_GB2312"/>
                <w:color w:val="FF0000"/>
                <w:sz w:val="24"/>
              </w:rPr>
            </w:pPr>
          </w:p>
        </w:tc>
        <w:tc>
          <w:tcPr>
            <w:tcW w:w="4585" w:type="dxa"/>
            <w:gridSpan w:val="9"/>
            <w:noWrap/>
            <w:vAlign w:val="center"/>
          </w:tcPr>
          <w:p>
            <w:pPr>
              <w:autoSpaceDN w:val="0"/>
              <w:spacing w:line="320" w:lineRule="exact"/>
              <w:jc w:val="left"/>
              <w:textAlignment w:val="center"/>
              <w:rPr>
                <w:rFonts w:ascii="仿宋" w:hAnsi="仿宋" w:eastAsia="仿宋" w:cs="仿宋_GB2312"/>
                <w:color w:val="FF0000"/>
                <w:sz w:val="24"/>
              </w:rPr>
            </w:pPr>
            <w:r>
              <w:rPr>
                <w:rFonts w:hint="eastAsia" w:ascii="仿宋_GB2312" w:hAnsi="仿宋_GB2312" w:eastAsia="仿宋_GB2312" w:cs="仿宋_GB2312"/>
                <w:color w:val="000000"/>
                <w:sz w:val="24"/>
                <w:lang w:val="en-US" w:eastAsia="zh-CN"/>
              </w:rPr>
              <w:t xml:space="preserve">年内，全县初信初访一次性化解率均达98%以上，有效防止了“信转访”、“初变重”现象发生。同时，引导群众多“上网”、少“上访”，真正实现让“数据多跑路，群众少跑腿”，全面提升信访群众的满意率。连续9年获评全市信访工作“先进单位”，在2020年成功蝉联全省信访工作“三无”县的同时，全县14个乡镇有11个单位成功创建全市信访工作“三无”乡镇，创建率达78.5%，有力推进新时代“枫桥经验”湖南化在华容落地生根。三是标本兼治，狠抓“法治信访”，迈出信访工作新步伐。坚持源头治理、多措并举，围绕“法治信访”，积极推进访诉分离工作、广泛开展法治信访宣传、依法处置违法信访行为，借力迈出信访工作新步伐。年内，共指导依法分类处理20多件信访事项，将49件涉法涉诉信访事项导入司法途径解决；以《信访条例》修订15周年为契机，积极宣传《依法逐级走访办法》，引导群众依法逐级走访；坚持教育引导与“有力处置”并重，形成依法维权、理性信访的良好秩序。年内，共依法处理违法上访86人。其中，刑事拘留7人，行政拘留62人，训诫17人。目前，我县各级党政机关门口打横幅、堵门、堵路等违法上访行为基本绝迹。大力推进省委巡视组移交信访件办理。9月8日至11月13日，省委第四巡视组巡视华容期间，先后分五批向县委移交990件信访件，均按相关要求及时交办责任单位办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整体支出</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评价内容</w:t>
            </w:r>
          </w:p>
        </w:tc>
        <w:tc>
          <w:tcPr>
            <w:tcW w:w="2709" w:type="dxa"/>
            <w:gridSpan w:val="4"/>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绩效目标</w:t>
            </w:r>
          </w:p>
        </w:tc>
        <w:tc>
          <w:tcPr>
            <w:tcW w:w="2684"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ascii="仿宋" w:hAnsi="仿宋" w:eastAsia="仿宋" w:cs="仿宋_GB2312"/>
                <w:sz w:val="24"/>
              </w:rPr>
            </w:pPr>
          </w:p>
        </w:tc>
        <w:tc>
          <w:tcPr>
            <w:tcW w:w="1549" w:type="dxa"/>
            <w:gridSpan w:val="4"/>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产出目标</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质量指标</w:t>
            </w:r>
          </w:p>
        </w:tc>
        <w:tc>
          <w:tcPr>
            <w:tcW w:w="2709" w:type="dxa"/>
            <w:gridSpan w:val="4"/>
            <w:noWrap/>
            <w:vAlign w:val="center"/>
          </w:tcPr>
          <w:p>
            <w:pPr>
              <w:autoSpaceDN w:val="0"/>
              <w:spacing w:line="320" w:lineRule="exact"/>
              <w:jc w:val="center"/>
              <w:textAlignment w:val="center"/>
              <w:rPr>
                <w:rFonts w:ascii="仿宋" w:hAnsi="仿宋" w:eastAsia="仿宋" w:cs="仿宋_GB2312"/>
                <w:color w:val="FF0000"/>
                <w:sz w:val="24"/>
              </w:rPr>
            </w:pPr>
            <w:r>
              <w:rPr>
                <w:rFonts w:hint="eastAsia" w:ascii="仿宋" w:hAnsi="仿宋" w:eastAsia="仿宋" w:cs="仿宋_GB2312"/>
                <w:sz w:val="24"/>
              </w:rPr>
              <w:t>指标1：全市排名领先市排名第一的地位不动摇</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信访工作目标考核连续9年全市排名领先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 w:hAnsi="仿宋" w:eastAsia="仿宋" w:cs="仿宋_GB2312"/>
                <w:sz w:val="24"/>
              </w:rPr>
            </w:pPr>
          </w:p>
        </w:tc>
        <w:tc>
          <w:tcPr>
            <w:tcW w:w="1549" w:type="dxa"/>
            <w:gridSpan w:val="4"/>
            <w:vMerge w:val="continue"/>
            <w:noWrap/>
            <w:vAlign w:val="center"/>
          </w:tcPr>
          <w:p>
            <w:pPr>
              <w:autoSpaceDN w:val="0"/>
              <w:spacing w:line="320" w:lineRule="exact"/>
              <w:rPr>
                <w:rFonts w:ascii="仿宋" w:hAnsi="仿宋" w:eastAsia="仿宋" w:cs="仿宋_GB2312"/>
                <w:sz w:val="24"/>
              </w:rPr>
            </w:pPr>
          </w:p>
        </w:tc>
        <w:tc>
          <w:tcPr>
            <w:tcW w:w="1417" w:type="dxa"/>
            <w:gridSpan w:val="2"/>
            <w:vMerge w:val="continue"/>
            <w:noWrap/>
            <w:vAlign w:val="center"/>
          </w:tcPr>
          <w:p>
            <w:pPr>
              <w:spacing w:line="320" w:lineRule="exact"/>
              <w:rPr>
                <w:rFonts w:ascii="仿宋" w:hAnsi="仿宋" w:eastAsia="仿宋" w:cs="仿宋_GB2312"/>
                <w:sz w:val="24"/>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指标2：争创全省三无县</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2020年成功创建省级信访工作“三无”县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8"/>
                <w:szCs w:val="28"/>
              </w:rPr>
            </w:pPr>
          </w:p>
        </w:tc>
        <w:tc>
          <w:tcPr>
            <w:tcW w:w="1417" w:type="dxa"/>
            <w:gridSpan w:val="2"/>
            <w:vMerge w:val="continue"/>
            <w:noWrap/>
            <w:vAlign w:val="center"/>
          </w:tcPr>
          <w:p>
            <w:pPr>
              <w:spacing w:line="320" w:lineRule="exact"/>
              <w:rPr>
                <w:rFonts w:ascii="仿宋_GB2312" w:hAnsi="仿宋_GB2312" w:eastAsia="仿宋_GB2312" w:cs="仿宋_GB2312"/>
                <w:sz w:val="28"/>
                <w:szCs w:val="28"/>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8"/>
                <w:szCs w:val="28"/>
              </w:rPr>
            </w:pPr>
          </w:p>
        </w:tc>
        <w:tc>
          <w:tcPr>
            <w:tcW w:w="1417" w:type="dxa"/>
            <w:gridSpan w:val="2"/>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数量指标</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指标1：进京访同比批次、人次下降</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全县进京上访（含中途劝返）29批53人次。其中，国家信访局登记上访4批7人，非接待场所1批1人，外围查控12批19人次，中途劝返拟进京上访12批26人次（岳阳、武汉、郑州等地中途劝返）；（其中，个访10批12人次；集访1批5人）；上县357批1634人次（其中，个访290批875人次；集访67批759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指标2：到市赴省同比批次、人次下降</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赴省35批72人次（其中，个访32批52人次；集访3批20人次）；到市11批17人次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549" w:type="dxa"/>
            <w:gridSpan w:val="4"/>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417" w:type="dxa"/>
            <w:gridSpan w:val="2"/>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549" w:type="dxa"/>
            <w:gridSpan w:val="4"/>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417" w:type="dxa"/>
            <w:gridSpan w:val="2"/>
            <w:vMerge w:val="restart"/>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时效指标</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指标1：按时完成各项任务</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549" w:type="dxa"/>
            <w:gridSpan w:val="4"/>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417" w:type="dxa"/>
            <w:gridSpan w:val="2"/>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指标2：</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549" w:type="dxa"/>
            <w:gridSpan w:val="4"/>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417" w:type="dxa"/>
            <w:gridSpan w:val="2"/>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549" w:type="dxa"/>
            <w:gridSpan w:val="4"/>
            <w:vMerge w:val="continue"/>
            <w:noWrap/>
            <w:vAlign w:val="center"/>
          </w:tcPr>
          <w:p>
            <w:pPr>
              <w:autoSpaceDN w:val="0"/>
              <w:spacing w:line="320" w:lineRule="exact"/>
              <w:jc w:val="center"/>
              <w:textAlignment w:val="center"/>
              <w:rPr>
                <w:rFonts w:hint="eastAsia" w:ascii="仿宋" w:hAnsi="仿宋" w:eastAsia="仿宋" w:cs="仿宋_GB2312"/>
                <w:sz w:val="24"/>
                <w:lang w:val="en-US" w:eastAsia="zh-CN"/>
              </w:rPr>
            </w:pPr>
          </w:p>
        </w:tc>
        <w:tc>
          <w:tcPr>
            <w:tcW w:w="1417" w:type="dxa"/>
            <w:gridSpan w:val="2"/>
            <w:vMerge w:val="restart"/>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成本指标</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指标1：费用控制</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lang w:val="en-US" w:eastAsia="zh-CN"/>
              </w:rPr>
            </w:pPr>
            <w:r>
              <w:rPr>
                <w:rFonts w:hint="eastAsia" w:ascii="仿宋" w:hAnsi="仿宋" w:eastAsia="仿宋" w:cs="仿宋_GB2312"/>
                <w:sz w:val="24"/>
                <w:lang w:val="en-US" w:eastAsia="zh-CN"/>
              </w:rPr>
              <w:t>预算内控制成本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w:t>
            </w:r>
          </w:p>
        </w:tc>
        <w:tc>
          <w:tcPr>
            <w:tcW w:w="2684" w:type="dxa"/>
            <w:gridSpan w:val="6"/>
            <w:noWrap/>
            <w:vAlign w:val="center"/>
          </w:tcPr>
          <w:p>
            <w:pPr>
              <w:autoSpaceDN w:val="0"/>
              <w:spacing w:line="320" w:lineRule="exact"/>
              <w:jc w:val="center"/>
              <w:textAlignment w:val="center"/>
              <w:rPr>
                <w:rFonts w:ascii="仿宋" w:hAnsi="仿宋" w:eastAsia="仿宋"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vMerge w:val="continue"/>
            <w:noWrap/>
            <w:vAlign w:val="center"/>
          </w:tcPr>
          <w:p>
            <w:pPr>
              <w:autoSpaceDN w:val="0"/>
              <w:spacing w:line="320" w:lineRule="exact"/>
              <w:jc w:val="center"/>
              <w:textAlignment w:val="center"/>
              <w:rPr>
                <w:rFonts w:ascii="仿宋" w:hAnsi="仿宋" w:eastAsia="仿宋" w:cs="仿宋_GB2312"/>
                <w:sz w:val="24"/>
              </w:rPr>
            </w:pP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restart"/>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效益目标</w:t>
            </w:r>
          </w:p>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（预期实现的效益）</w:t>
            </w: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社会效益</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指标1：网上信访办理质量提升</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指标2：三无县创建</w:t>
            </w:r>
          </w:p>
          <w:p>
            <w:pPr>
              <w:autoSpaceDN w:val="0"/>
              <w:spacing w:line="320" w:lineRule="exact"/>
              <w:jc w:val="center"/>
              <w:textAlignment w:val="center"/>
              <w:rPr>
                <w:rFonts w:hint="eastAsia" w:ascii="仿宋" w:hAnsi="仿宋" w:eastAsia="仿宋" w:cs="仿宋_GB2312"/>
                <w:sz w:val="24"/>
              </w:rPr>
            </w:pPr>
          </w:p>
          <w:p>
            <w:pPr>
              <w:autoSpaceDN w:val="0"/>
              <w:spacing w:line="320" w:lineRule="exact"/>
              <w:jc w:val="center"/>
              <w:textAlignment w:val="center"/>
              <w:rPr>
                <w:rFonts w:hint="eastAsia" w:ascii="仿宋" w:hAnsi="仿宋" w:eastAsia="仿宋" w:cs="仿宋_GB2312"/>
                <w:sz w:val="24"/>
              </w:rPr>
            </w:pPr>
          </w:p>
        </w:tc>
        <w:tc>
          <w:tcPr>
            <w:tcW w:w="2684" w:type="dxa"/>
            <w:gridSpan w:val="6"/>
            <w:noWrap/>
            <w:vAlign w:val="center"/>
          </w:tcPr>
          <w:p>
            <w:pPr>
              <w:autoSpaceDN w:val="0"/>
              <w:spacing w:line="320" w:lineRule="exact"/>
              <w:jc w:val="center"/>
              <w:textAlignment w:val="center"/>
              <w:rPr>
                <w:rFonts w:ascii="仿宋" w:hAnsi="仿宋" w:eastAsia="仿宋" w:cs="仿宋_GB2312"/>
                <w:color w:val="FF0000"/>
                <w:sz w:val="24"/>
              </w:rPr>
            </w:pPr>
            <w:r>
              <w:rPr>
                <w:rFonts w:hint="eastAsia" w:ascii="仿宋" w:hAnsi="仿宋" w:eastAsia="仿宋" w:cs="仿宋_GB2312"/>
                <w:sz w:val="24"/>
                <w:lang w:val="en-US" w:eastAsia="zh-CN"/>
              </w:rPr>
              <w:t>2020年成功创建省级信访工作“三无”县,信访工作总体呈现“三降一升”（总量、越级访、集体访下降，网上信访办理质量提升</w:t>
            </w:r>
            <w:r>
              <w:rPr>
                <w:rFonts w:hint="eastAsia" w:ascii="仿宋" w:hAnsi="仿宋" w:eastAsia="仿宋" w:cs="仿宋_GB2312"/>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经济效益</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生态效益</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ascii="仿宋" w:hAnsi="仿宋" w:eastAsia="仿宋"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FF0000"/>
                <w:sz w:val="28"/>
                <w:szCs w:val="28"/>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8"/>
                <w:szCs w:val="28"/>
              </w:rPr>
            </w:pPr>
          </w:p>
        </w:tc>
        <w:tc>
          <w:tcPr>
            <w:tcW w:w="1417"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社会公众或服务对象满意度</w:t>
            </w:r>
          </w:p>
        </w:tc>
        <w:tc>
          <w:tcPr>
            <w:tcW w:w="2709" w:type="dxa"/>
            <w:gridSpan w:val="4"/>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指标1：积案化解</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指标2：社会公众或服务对象满意度</w:t>
            </w:r>
          </w:p>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w:t>
            </w:r>
          </w:p>
        </w:tc>
        <w:tc>
          <w:tcPr>
            <w:tcW w:w="2684" w:type="dxa"/>
            <w:gridSpan w:val="6"/>
            <w:noWrap/>
            <w:vAlign w:val="center"/>
          </w:tcPr>
          <w:p>
            <w:pPr>
              <w:autoSpaceDN w:val="0"/>
              <w:spacing w:line="320" w:lineRule="exact"/>
              <w:jc w:val="center"/>
              <w:textAlignment w:val="center"/>
              <w:rPr>
                <w:rFonts w:hint="eastAsia" w:ascii="仿宋" w:hAnsi="仿宋" w:eastAsia="仿宋" w:cs="仿宋_GB2312"/>
                <w:sz w:val="24"/>
              </w:rPr>
            </w:pPr>
            <w:r>
              <w:rPr>
                <w:rFonts w:hint="eastAsia" w:ascii="仿宋" w:hAnsi="仿宋" w:eastAsia="仿宋" w:cs="仿宋_GB2312"/>
                <w:sz w:val="24"/>
              </w:rPr>
              <w:t>坚持</w:t>
            </w:r>
            <w:r>
              <w:rPr>
                <w:rFonts w:hint="eastAsia" w:ascii="仿宋" w:hAnsi="仿宋" w:eastAsia="仿宋" w:cs="仿宋_GB2312"/>
                <w:sz w:val="24"/>
                <w:lang w:val="en-US" w:eastAsia="zh-CN"/>
              </w:rPr>
              <w:t>聚焦</w:t>
            </w:r>
            <w:r>
              <w:rPr>
                <w:rFonts w:hint="eastAsia" w:ascii="仿宋" w:hAnsi="仿宋" w:eastAsia="仿宋" w:cs="仿宋_GB2312"/>
                <w:sz w:val="24"/>
              </w:rPr>
              <w:t>中心、服务大局，</w:t>
            </w:r>
            <w:r>
              <w:rPr>
                <w:rFonts w:hint="eastAsia" w:ascii="仿宋" w:hAnsi="仿宋" w:eastAsia="仿宋" w:cs="仿宋_GB2312"/>
                <w:sz w:val="24"/>
                <w:lang w:val="en-US" w:eastAsia="zh-CN"/>
              </w:rPr>
              <w:t>围绕“责任信访”，构建全覆盖责任体系、用活联合督办机制、形成齐抓共管格局，聚力打造信访工作新动能。年内，共推动“天和大厦”、许定清等62件市领导包案、上级交办和自排重点问题妥善化解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绩效自评综合得分</w:t>
            </w:r>
          </w:p>
        </w:tc>
        <w:tc>
          <w:tcPr>
            <w:tcW w:w="6810" w:type="dxa"/>
            <w:gridSpan w:val="12"/>
            <w:noWrap/>
            <w:vAlign w:val="center"/>
          </w:tcPr>
          <w:p>
            <w:pPr>
              <w:autoSpaceDN w:val="0"/>
              <w:spacing w:line="320" w:lineRule="exact"/>
              <w:jc w:val="center"/>
              <w:textAlignment w:val="center"/>
              <w:rPr>
                <w:rFonts w:ascii="仿宋" w:hAnsi="仿宋" w:eastAsia="仿宋" w:cs="仿宋_GB2312"/>
                <w:sz w:val="24"/>
              </w:rPr>
            </w:pPr>
            <w:r>
              <w:rPr>
                <w:rFonts w:ascii="仿宋" w:hAnsi="仿宋" w:eastAsia="仿宋" w:cs="仿宋_GB2312"/>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评价等次</w:t>
            </w:r>
          </w:p>
        </w:tc>
        <w:tc>
          <w:tcPr>
            <w:tcW w:w="6810" w:type="dxa"/>
            <w:gridSpan w:val="1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姓名</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职务</w:t>
            </w:r>
            <w:r>
              <w:rPr>
                <w:rFonts w:ascii="仿宋" w:hAnsi="仿宋" w:eastAsia="仿宋" w:cs="仿宋_GB2312"/>
                <w:sz w:val="24"/>
              </w:rPr>
              <w:t>/</w:t>
            </w:r>
            <w:r>
              <w:rPr>
                <w:rFonts w:hint="eastAsia" w:ascii="仿宋" w:hAnsi="仿宋" w:eastAsia="仿宋" w:cs="仿宋_GB2312"/>
                <w:sz w:val="24"/>
              </w:rPr>
              <w:t>职称</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单位</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易文</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办公室主任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柴鹏</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政工室</w:t>
            </w:r>
            <w:r>
              <w:rPr>
                <w:rFonts w:hint="eastAsia" w:ascii="仿宋" w:hAnsi="仿宋" w:eastAsia="仿宋" w:cs="仿宋_GB2312"/>
                <w:sz w:val="24"/>
                <w:lang w:eastAsia="zh-CN"/>
              </w:rPr>
              <w:t>副</w:t>
            </w:r>
            <w:r>
              <w:rPr>
                <w:rFonts w:hint="eastAsia" w:ascii="仿宋" w:hAnsi="仿宋" w:eastAsia="仿宋" w:cs="仿宋_GB2312"/>
                <w:sz w:val="24"/>
              </w:rPr>
              <w:t>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黄政</w:t>
            </w:r>
          </w:p>
        </w:tc>
        <w:tc>
          <w:tcPr>
            <w:tcW w:w="3561" w:type="dxa"/>
            <w:gridSpan w:val="6"/>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接访一室主任</w:t>
            </w:r>
          </w:p>
        </w:tc>
        <w:tc>
          <w:tcPr>
            <w:tcW w:w="1479" w:type="dxa"/>
            <w:noWrap/>
            <w:vAlign w:val="center"/>
          </w:tcPr>
          <w:p>
            <w:pPr>
              <w:autoSpaceDN w:val="0"/>
              <w:spacing w:line="320" w:lineRule="exact"/>
              <w:jc w:val="center"/>
              <w:textAlignment w:val="center"/>
              <w:rPr>
                <w:rFonts w:ascii="仿宋" w:hAnsi="仿宋" w:eastAsia="仿宋" w:cs="仿宋_GB2312"/>
                <w:sz w:val="24"/>
              </w:rPr>
            </w:pPr>
            <w:r>
              <w:rPr>
                <w:rFonts w:hint="eastAsia" w:ascii="仿宋" w:hAnsi="仿宋" w:eastAsia="仿宋" w:cs="仿宋_GB2312"/>
                <w:sz w:val="24"/>
              </w:rPr>
              <w:t>信访局</w:t>
            </w:r>
          </w:p>
        </w:tc>
        <w:tc>
          <w:tcPr>
            <w:tcW w:w="3106" w:type="dxa"/>
            <w:gridSpan w:val="8"/>
            <w:noWrap/>
            <w:vAlign w:val="center"/>
          </w:tcPr>
          <w:p>
            <w:pPr>
              <w:autoSpaceDN w:val="0"/>
              <w:spacing w:line="320" w:lineRule="exact"/>
              <w:jc w:val="center"/>
              <w:textAlignment w:val="center"/>
              <w:rPr>
                <w:rFonts w:ascii="仿宋" w:hAnsi="仿宋" w:eastAsia="仿宋"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评价组组长（签字）：</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ind w:firstLine="6440" w:firstLineChars="23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部门（单位）意见：</w:t>
            </w: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jc w:val="left"/>
              <w:textAlignment w:val="center"/>
              <w:rPr>
                <w:rFonts w:ascii="仿宋_GB2312" w:hAnsi="仿宋_GB2312" w:eastAsia="仿宋_GB2312" w:cs="仿宋_GB2312"/>
                <w:color w:val="000000"/>
                <w:sz w:val="28"/>
                <w:szCs w:val="28"/>
              </w:rPr>
            </w:pPr>
          </w:p>
          <w:p>
            <w:pPr>
              <w:autoSpaceDN w:val="0"/>
              <w:spacing w:line="320" w:lineRule="exact"/>
              <w:ind w:firstLine="3920" w:firstLineChars="14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部门（单位）负责人（签章）：</w:t>
            </w:r>
          </w:p>
          <w:p>
            <w:pPr>
              <w:autoSpaceDN w:val="0"/>
              <w:spacing w:line="320" w:lineRule="exact"/>
              <w:ind w:firstLine="6440" w:firstLineChars="23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8"/>
                <w:szCs w:val="28"/>
              </w:rPr>
            </w:pPr>
            <w:r>
              <w:rPr>
                <w:rFonts w:hint="eastAsia" w:eastAsia="仿宋_GB2312"/>
                <w:sz w:val="28"/>
                <w:szCs w:val="28"/>
              </w:rPr>
              <w:t>财政部门归口业务科室意见：</w:t>
            </w: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rPr>
                <w:rFonts w:eastAsia="仿宋_GB2312"/>
                <w:sz w:val="28"/>
                <w:szCs w:val="28"/>
              </w:rPr>
            </w:pPr>
          </w:p>
          <w:p>
            <w:pPr>
              <w:spacing w:line="320" w:lineRule="exact"/>
              <w:ind w:firstLine="3360" w:firstLineChars="1200"/>
              <w:rPr>
                <w:rFonts w:eastAsia="仿宋_GB2312"/>
                <w:sz w:val="28"/>
                <w:szCs w:val="28"/>
              </w:rPr>
            </w:pPr>
            <w:r>
              <w:rPr>
                <w:rFonts w:hint="eastAsia" w:eastAsia="仿宋_GB2312"/>
                <w:sz w:val="28"/>
                <w:szCs w:val="28"/>
              </w:rPr>
              <w:t>财政部门归口业务科室负责人（签章）：</w:t>
            </w:r>
          </w:p>
          <w:p>
            <w:pPr>
              <w:autoSpaceDN w:val="0"/>
              <w:spacing w:line="320" w:lineRule="exact"/>
              <w:ind w:firstLine="6440" w:firstLineChars="2300"/>
              <w:jc w:val="left"/>
              <w:textAlignment w:val="center"/>
              <w:rPr>
                <w:rFonts w:ascii="仿宋_GB2312" w:hAnsi="仿宋_GB2312" w:eastAsia="仿宋_GB2312" w:cs="仿宋_GB2312"/>
                <w:color w:val="000000"/>
                <w:sz w:val="28"/>
                <w:szCs w:val="28"/>
              </w:rPr>
            </w:pPr>
            <w:r>
              <w:rPr>
                <w:rFonts w:hint="eastAsia" w:eastAsia="仿宋_GB2312"/>
                <w:sz w:val="28"/>
                <w:szCs w:val="28"/>
              </w:rPr>
              <w:t>年</w:t>
            </w:r>
            <w:r>
              <w:rPr>
                <w:rFonts w:hint="eastAsia" w:eastAsia="仿宋_GB2312"/>
                <w:sz w:val="28"/>
                <w:szCs w:val="28"/>
                <w:lang w:val="en-US" w:eastAsia="zh-CN"/>
              </w:rPr>
              <w:t xml:space="preserve">  </w:t>
            </w:r>
            <w:r>
              <w:rPr>
                <w:rFonts w:hint="eastAsia" w:eastAsia="仿宋_GB2312"/>
                <w:sz w:val="28"/>
                <w:szCs w:val="28"/>
              </w:rPr>
              <w:t>月</w:t>
            </w:r>
            <w:r>
              <w:rPr>
                <w:rFonts w:hint="eastAsia" w:eastAsia="仿宋_GB2312"/>
                <w:sz w:val="28"/>
                <w:szCs w:val="28"/>
                <w:lang w:val="en-US" w:eastAsia="zh-CN"/>
              </w:rPr>
              <w:t xml:space="preserve">  </w:t>
            </w:r>
            <w:r>
              <w:rPr>
                <w:rFonts w:hint="eastAsia" w:eastAsia="仿宋_GB2312"/>
                <w:sz w:val="28"/>
                <w:szCs w:val="28"/>
              </w:rPr>
              <w:t>日</w:t>
            </w:r>
          </w:p>
        </w:tc>
      </w:tr>
    </w:tbl>
    <w:p>
      <w:pPr>
        <w:rPr>
          <w:rFonts w:eastAsia="仿宋_GB2312" w:cs="仿宋_GB2312"/>
          <w:bCs/>
          <w:sz w:val="28"/>
          <w:szCs w:val="28"/>
        </w:rPr>
      </w:pPr>
      <w:r>
        <w:rPr>
          <w:rFonts w:hint="eastAsia" w:eastAsia="仿宋_GB2312" w:cs="仿宋_GB2312"/>
          <w:bCs/>
          <w:sz w:val="28"/>
          <w:szCs w:val="28"/>
        </w:rPr>
        <w:t>填报人（签名）： 涂剑                  联系电话：</w:t>
      </w:r>
      <w:r>
        <w:rPr>
          <w:rFonts w:hint="eastAsia" w:ascii="仿宋_GB2312" w:hAnsi="仿宋_GB2312" w:eastAsia="仿宋_GB2312" w:cs="仿宋_GB2312"/>
          <w:color w:val="000000"/>
          <w:sz w:val="24"/>
        </w:rPr>
        <w:t>13874063161</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五、评价报告综述（文字部分）</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一、部门（单位）概况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（一）部门（单位）基本情况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单位为财政全额预算拨款单位，核定人员编制</w:t>
            </w:r>
            <w:r>
              <w:rPr>
                <w:rFonts w:ascii="仿宋_GB2312" w:hAnsi="宋体" w:eastAsia="仿宋_GB2312" w:cs="宋体"/>
                <w:sz w:val="32"/>
                <w:szCs w:val="32"/>
                <w:shd w:val="clear" w:color="auto" w:fill="FFFFFF"/>
              </w:rPr>
              <w:t>16</w:t>
            </w:r>
            <w:r>
              <w:rPr>
                <w:rFonts w:hint="eastAsia" w:ascii="仿宋_GB2312" w:hAnsi="宋体" w:eastAsia="仿宋_GB2312" w:cs="宋体"/>
                <w:sz w:val="32"/>
                <w:szCs w:val="32"/>
                <w:shd w:val="clear" w:color="auto" w:fill="FFFFFF"/>
              </w:rPr>
              <w:t>人，实有人数为</w:t>
            </w: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lang w:val="en-US" w:eastAsia="zh-CN"/>
              </w:rPr>
              <w:t>8</w:t>
            </w:r>
            <w:r>
              <w:rPr>
                <w:rFonts w:hint="eastAsia" w:ascii="仿宋_GB2312" w:hAnsi="宋体" w:eastAsia="仿宋_GB2312" w:cs="宋体"/>
                <w:sz w:val="32"/>
                <w:szCs w:val="32"/>
                <w:shd w:val="clear" w:color="auto" w:fill="FFFFFF"/>
              </w:rPr>
              <w:t>人。</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、单位职责职能：</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（一）贯彻落实上级党委、政府和县委、县政府及县信访工作领导小组关于信访工作的意见、措施、办法。</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（二）负责处理人民群众给县委、县政府及其领导同志的来信，接待处理群众来信、来访、网络信访，为领导同志接待上访群众做好组织服务工作。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（三）受理、承办上级部门向县委、县政府交办的信访事项和县委、县政府及其领导交办的信访事项，并及时上报处理结果。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（四）向县委、县政府及其领导提供群众来信来访中的重要信息，及时反映倾向性、动态性问题和影响社会稳定的事件。</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（六）按照“属地管理、分级负责”、“谁主管、谁负责”的原则，向有关乡镇和部门转送、交办来信来访事项，并督促检查落实情况，协调办理重要信访问题。</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（七）协同有关部门处理跨地区、跨部门的重大信访问题，协调乡镇和部门解决群众反映的突出问题，协调处理群众到县到市赴省进京上访，协调全县各级党政机关的信访工作。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（八）开展信访工作宣传和调研；指导全县信访工作业务，总结推广信访工作经验，提出加强和改进信访工作的意见。</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（九）负责全县信访工作的综合管理，负责指导全县信访工作的组织建设和理论建设</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制定并组织实施信访工作规划，协助县委、县政府部署、督查信访工作。</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（十）掌握全县信访工作队伍建设情况，提出加强信访队伍建设的措施，对信访工作中失职、渎职行为提出处理建议，组织信访干部培训。</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（十一）指导全县信访办公自动化建设和信访信息系统的运行、监管。</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十二</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完成县委、县政府交办的其他事项。</w:t>
            </w:r>
          </w:p>
          <w:p>
            <w:pPr>
              <w:tabs>
                <w:tab w:val="left" w:pos="740"/>
              </w:tabs>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ab/>
            </w: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、单位内设机构：</w:t>
            </w:r>
          </w:p>
          <w:p>
            <w:pPr>
              <w:keepNext/>
              <w:keepLines/>
              <w:shd w:val="clear" w:color="auto" w:fill="FFFFFF"/>
              <w:autoSpaceDE w:val="0"/>
              <w:autoSpaceDN w:val="0"/>
              <w:adjustRightInd w:val="0"/>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办公室、办信网信室、综合接待室和协调督查室。</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（二）部门（单位）整体支出规模</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、收入情况：全年收入503.6万元，其中：预算安排503.6万元。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、支出情况</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全年支出503.6万元，其中：基本支出495</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万元，项目支出8.6万元。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二、部门（单位）整体支出管理及使用情况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（一）基本支出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、部门整体支出情况分析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2020年整体支出503.6万元，其中基本支出495万元，人员支出231万元，占基本支出46.7</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，公用支出264万元，占基本支出</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53.3</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。项目支出8.6万元。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、“三公经费”支出情况分析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2020年“三公经费”预算1.4万元，实际开支</w:t>
            </w:r>
            <w:r>
              <w:rPr>
                <w:rFonts w:ascii="仿宋_GB2312" w:hAnsi="宋体" w:eastAsia="仿宋_GB2312" w:cs="宋体"/>
                <w:sz w:val="32"/>
                <w:szCs w:val="32"/>
                <w:shd w:val="clear" w:color="auto" w:fill="FFFFFF"/>
              </w:rPr>
              <w:t>0.5</w:t>
            </w:r>
            <w:r>
              <w:rPr>
                <w:rFonts w:hint="eastAsia" w:ascii="仿宋_GB2312" w:hAnsi="宋体" w:eastAsia="仿宋_GB2312" w:cs="宋体"/>
                <w:sz w:val="32"/>
                <w:szCs w:val="32"/>
                <w:shd w:val="clear" w:color="auto" w:fill="FFFFFF"/>
              </w:rPr>
              <w:t>万元。“三公经费”与去年基本持平，控制在预算之内。</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3</w:t>
            </w:r>
            <w:r>
              <w:rPr>
                <w:rFonts w:hint="eastAsia" w:ascii="仿宋_GB2312" w:hAnsi="宋体" w:eastAsia="仿宋_GB2312" w:cs="宋体"/>
                <w:sz w:val="32"/>
                <w:szCs w:val="32"/>
                <w:shd w:val="clear" w:color="auto" w:fill="FFFFFF"/>
              </w:rPr>
              <w:t>、固定资产管理情况分析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按照例行节约，物尽其用的原则，资产管理采取统一建账，统一核算管理，对每件固定资产使用明确保管职责，闲置的资产，由办公室统一调整，合理流动，发挥其效益；至2020年</w:t>
            </w:r>
            <w:r>
              <w:rPr>
                <w:rFonts w:ascii="仿宋_GB2312" w:hAnsi="宋体" w:eastAsia="仿宋_GB2312" w:cs="宋体"/>
                <w:sz w:val="32"/>
                <w:szCs w:val="32"/>
                <w:shd w:val="clear" w:color="auto" w:fill="FFFFFF"/>
              </w:rPr>
              <w:t>12</w:t>
            </w:r>
            <w:r>
              <w:rPr>
                <w:rFonts w:hint="eastAsia" w:ascii="仿宋_GB2312" w:hAnsi="宋体" w:eastAsia="仿宋_GB2312" w:cs="宋体"/>
                <w:sz w:val="32"/>
                <w:szCs w:val="32"/>
                <w:shd w:val="clear" w:color="auto" w:fill="FFFFFF"/>
              </w:rPr>
              <w:t>月末固定资产64.4万元。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（二）专项支出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、专项资金安排落实、总投入等情况分析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2020年项目支出8.6万元</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主要用于信访维稳事项及疫情防控支出。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三、部门（单位）整体支出绩效情况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财务管理上，按照国家相关法律法规，制定了机关财务、公物购置使用、接待、会务等管理制度，并严格按照制度管理和执行，防范风险，保证财政资金的安全和高效运行。</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四、存在的主要问题</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一是“三公经费”有待更严格控制</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进一步加强厉行节约机制。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二是预算编制与实际支出项目有的存在差异，有待进一步优化预算，提高预算编制的准确性。</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五、改进措施和有关建议</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二是严格控制“三公经费”支出，杜绝挪用和挤占其他预算资金；进一步细化“三公经费”管理，压缩“三公经费”支出。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三是预算财务分析常态化，定期做好预算支出财务分析，做好部门整体支出预算评价工作。</w:t>
            </w:r>
          </w:p>
        </w:tc>
      </w:tr>
    </w:tbl>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900" w:type="dxa"/>
        <w:jc w:val="center"/>
        <w:tblLayout w:type="fixed"/>
        <w:tblCellMar>
          <w:top w:w="0" w:type="dxa"/>
          <w:left w:w="108" w:type="dxa"/>
          <w:bottom w:w="0" w:type="dxa"/>
          <w:right w:w="108" w:type="dxa"/>
        </w:tblCellMar>
      </w:tblPr>
      <w:tblGrid>
        <w:gridCol w:w="976"/>
        <w:gridCol w:w="940"/>
        <w:gridCol w:w="1390"/>
        <w:gridCol w:w="4174"/>
        <w:gridCol w:w="619"/>
        <w:gridCol w:w="720"/>
        <w:gridCol w:w="1081"/>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0" w:type="dxa"/>
        <w:jc w:val="center"/>
        <w:tblLayout w:type="fixed"/>
        <w:tblCellMar>
          <w:top w:w="0" w:type="dxa"/>
          <w:left w:w="108" w:type="dxa"/>
          <w:bottom w:w="0" w:type="dxa"/>
          <w:right w:w="108" w:type="dxa"/>
        </w:tblCellMar>
      </w:tblPr>
      <w:tblGrid>
        <w:gridCol w:w="979"/>
        <w:gridCol w:w="942"/>
        <w:gridCol w:w="1394"/>
        <w:gridCol w:w="4187"/>
        <w:gridCol w:w="621"/>
        <w:gridCol w:w="723"/>
        <w:gridCol w:w="1084"/>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hint="eastAsia"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rPr>
          <w:rFonts w:eastAsia="仿宋_GB2312"/>
          <w:sz w:val="32"/>
        </w:rPr>
      </w:pPr>
    </w:p>
    <w:p>
      <w:pPr>
        <w:spacing w:line="200" w:lineRule="exact"/>
        <w:rPr>
          <w:rFonts w:eastAsia="仿宋_GB2312"/>
          <w:sz w:val="32"/>
        </w:rPr>
      </w:pPr>
    </w:p>
    <w:p>
      <w:pPr>
        <w:spacing w:line="200" w:lineRule="exact"/>
        <w:rPr>
          <w:rFonts w:eastAsia="仿宋_GB2312"/>
          <w:sz w:val="32"/>
        </w:rPr>
      </w:pPr>
    </w:p>
    <w:sectPr>
      <w:footerReference r:id="rId6" w:type="default"/>
      <w:footerReference r:id="rId7"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SimSun-ExtB"/>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008BC"/>
    <w:rsid w:val="000A12AA"/>
    <w:rsid w:val="000B313E"/>
    <w:rsid w:val="000B645A"/>
    <w:rsid w:val="00113DB2"/>
    <w:rsid w:val="0012021B"/>
    <w:rsid w:val="0012152B"/>
    <w:rsid w:val="0015347B"/>
    <w:rsid w:val="0015619E"/>
    <w:rsid w:val="001A2010"/>
    <w:rsid w:val="001D3F9F"/>
    <w:rsid w:val="002148CA"/>
    <w:rsid w:val="00251E8B"/>
    <w:rsid w:val="0027352B"/>
    <w:rsid w:val="00280E9C"/>
    <w:rsid w:val="0029079A"/>
    <w:rsid w:val="002B22B9"/>
    <w:rsid w:val="002E5577"/>
    <w:rsid w:val="00304402"/>
    <w:rsid w:val="00353D1D"/>
    <w:rsid w:val="0035631D"/>
    <w:rsid w:val="00362E50"/>
    <w:rsid w:val="0041670E"/>
    <w:rsid w:val="00457E70"/>
    <w:rsid w:val="004834F7"/>
    <w:rsid w:val="00491DEE"/>
    <w:rsid w:val="004C051C"/>
    <w:rsid w:val="004D23E5"/>
    <w:rsid w:val="004F053F"/>
    <w:rsid w:val="00506363"/>
    <w:rsid w:val="00522FFC"/>
    <w:rsid w:val="00561AC8"/>
    <w:rsid w:val="00572882"/>
    <w:rsid w:val="005734CC"/>
    <w:rsid w:val="005B3176"/>
    <w:rsid w:val="005C18D6"/>
    <w:rsid w:val="00606A90"/>
    <w:rsid w:val="006074D7"/>
    <w:rsid w:val="00613B6B"/>
    <w:rsid w:val="00633A0E"/>
    <w:rsid w:val="006A1F8A"/>
    <w:rsid w:val="00764115"/>
    <w:rsid w:val="00770768"/>
    <w:rsid w:val="007B2063"/>
    <w:rsid w:val="007C6065"/>
    <w:rsid w:val="007D1A7E"/>
    <w:rsid w:val="00811ED7"/>
    <w:rsid w:val="00821D71"/>
    <w:rsid w:val="008277A9"/>
    <w:rsid w:val="00845EF6"/>
    <w:rsid w:val="00881210"/>
    <w:rsid w:val="0091592E"/>
    <w:rsid w:val="009357F4"/>
    <w:rsid w:val="009C72F1"/>
    <w:rsid w:val="009E329D"/>
    <w:rsid w:val="009F755A"/>
    <w:rsid w:val="00A50F68"/>
    <w:rsid w:val="00A96E55"/>
    <w:rsid w:val="00AB2317"/>
    <w:rsid w:val="00AC6FAF"/>
    <w:rsid w:val="00AF129A"/>
    <w:rsid w:val="00AF63E4"/>
    <w:rsid w:val="00B42999"/>
    <w:rsid w:val="00B65A20"/>
    <w:rsid w:val="00B9006C"/>
    <w:rsid w:val="00B93FD5"/>
    <w:rsid w:val="00CB219E"/>
    <w:rsid w:val="00CE1372"/>
    <w:rsid w:val="00D61A79"/>
    <w:rsid w:val="00D70321"/>
    <w:rsid w:val="00DA31E8"/>
    <w:rsid w:val="00DC02E0"/>
    <w:rsid w:val="00E454F0"/>
    <w:rsid w:val="00E618AC"/>
    <w:rsid w:val="00EC512D"/>
    <w:rsid w:val="00EC6778"/>
    <w:rsid w:val="00F05103"/>
    <w:rsid w:val="00F21737"/>
    <w:rsid w:val="00F3131F"/>
    <w:rsid w:val="00FC301E"/>
    <w:rsid w:val="00FC4A7E"/>
    <w:rsid w:val="083749E7"/>
    <w:rsid w:val="0DE528CD"/>
    <w:rsid w:val="118E7270"/>
    <w:rsid w:val="18725427"/>
    <w:rsid w:val="19FE4A3D"/>
    <w:rsid w:val="1DFA0724"/>
    <w:rsid w:val="263C173A"/>
    <w:rsid w:val="2CA33441"/>
    <w:rsid w:val="2CE55C20"/>
    <w:rsid w:val="2F287302"/>
    <w:rsid w:val="30426D13"/>
    <w:rsid w:val="32A37B82"/>
    <w:rsid w:val="3A43255A"/>
    <w:rsid w:val="3B0D1FD8"/>
    <w:rsid w:val="3D6201A1"/>
    <w:rsid w:val="477245B4"/>
    <w:rsid w:val="4B194825"/>
    <w:rsid w:val="4E4F0BB0"/>
    <w:rsid w:val="53F260A3"/>
    <w:rsid w:val="5BE95901"/>
    <w:rsid w:val="69DE4624"/>
    <w:rsid w:val="6A0A15CD"/>
    <w:rsid w:val="6B834021"/>
    <w:rsid w:val="6DF352BD"/>
    <w:rsid w:val="705E3E6D"/>
    <w:rsid w:val="71C1048A"/>
    <w:rsid w:val="73F35F5B"/>
    <w:rsid w:val="7961028E"/>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2"/>
    <w:basedOn w:val="1"/>
    <w:link w:val="9"/>
    <w:qFormat/>
    <w:uiPriority w:val="99"/>
    <w:pPr>
      <w:ind w:firstLine="588" w:firstLineChars="200"/>
    </w:pPr>
    <w:rPr>
      <w:rFonts w:ascii="仿宋_GB2312" w:hAnsi="Calibri" w:eastAsia="仿宋_GB2312"/>
      <w:sz w:val="32"/>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lock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正文文本缩进 2 Char"/>
    <w:basedOn w:val="7"/>
    <w:link w:val="3"/>
    <w:semiHidden/>
    <w:qFormat/>
    <w:locked/>
    <w:uiPriority w:val="99"/>
    <w:rPr>
      <w:rFonts w:cs="Times New Roman"/>
      <w:sz w:val="24"/>
      <w:szCs w:val="24"/>
    </w:rPr>
  </w:style>
  <w:style w:type="character" w:customStyle="1" w:styleId="10">
    <w:name w:val="页脚 Char"/>
    <w:basedOn w:val="7"/>
    <w:link w:val="4"/>
    <w:semiHidden/>
    <w:qFormat/>
    <w:locked/>
    <w:uiPriority w:val="99"/>
    <w:rPr>
      <w:rFonts w:cs="Times New Roman"/>
      <w:sz w:val="18"/>
      <w:szCs w:val="18"/>
    </w:rPr>
  </w:style>
  <w:style w:type="character" w:customStyle="1" w:styleId="11">
    <w:name w:val="页眉 Char"/>
    <w:basedOn w:val="7"/>
    <w:link w:val="5"/>
    <w:semiHidden/>
    <w:qFormat/>
    <w:locked/>
    <w:uiPriority w:val="99"/>
    <w:rPr>
      <w:rFonts w:cs="Times New Roman"/>
      <w:sz w:val="18"/>
      <w:szCs w:val="18"/>
    </w:rPr>
  </w:style>
  <w:style w:type="character" w:customStyle="1" w:styleId="12">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1135</Words>
  <Characters>6476</Characters>
  <Lines>53</Lines>
  <Paragraphs>15</Paragraphs>
  <TotalTime>2</TotalTime>
  <ScaleCrop>false</ScaleCrop>
  <LinksUpToDate>false</LinksUpToDate>
  <CharactersWithSpaces>7596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2021-07-28T06:52:00Z</cp:lastPrinted>
  <dcterms:modified xsi:type="dcterms:W3CDTF">2021-08-09T03:15:45Z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