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华容县机关事务服务中心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19</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1"/>
        <w:gridCol w:w="1015"/>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赵丽珍</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13874067028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要负责全县接待工作以及四大家重要接待活动；负责全县公务用车的购置、更新、维修、调配、使用、处置等工作并协助做好公务用车监督检查工作；负责县四大家机关后勤和物业服务工作；负责全县公共机构节约能源资源管理工作；负责全县行政事业单位国有资产及其经营性资产管理及办公用房集中统一管理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任务1：负责全县接待工作以及四大家重要接待活动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任务2：负责全县公务用车的购置、更新、维修、调配、使用、处置等工作并协助做好公务用车监督检查工作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任务3：负责县四大家机关后勤和物业服务工作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任务4：负责全县办公用房和公共机构节约能源资源管理工作</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接待工作充分发挥了招商引资等“窗口”“桥梁”作用，改善了县域经济；有效合理使用公务车辆，节约费用，消除安全隐患；机关后勤工作展示机关精神风貌、文明程度和管理水平的窗口；办公用房和国有资产降低办公用房维修、办公设备、公车配置支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65"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1676.05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1676.05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975.24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975.24</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700.81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700.81</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1684.30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501.35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250.69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250.66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1182.94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993.31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411.43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203.83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207.6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581.88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690.99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43.06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601.06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283.27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60.35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173.07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49.85</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283.27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60.35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173.07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49.85</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3495.6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3479.46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目标1：按质按量完成全县各项接待工作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目标2：加强公车管理，合理调派公车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目标3：搞好办公用房的管理和节能排工作，加强对机关后勤的基本建设、服务、安保等工作。：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基本完成了各项工作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指标1：全县机要通信、应急、调研接待、行政执法严格管理。</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指标2：</w:t>
            </w:r>
            <w:r>
              <w:rPr>
                <w:rFonts w:hint="eastAsia" w:ascii="仿宋" w:hAnsi="仿宋" w:eastAsia="仿宋" w:cs="仿宋"/>
                <w:sz w:val="24"/>
              </w:rPr>
              <w:t>简化礼仪的基础上，转变服务方式，重点突出“细节化、个性化、本土化”服务。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 xml:space="preserve">指标1：完成省、市接待任务情况。  </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指标2：</w:t>
            </w:r>
            <w:r>
              <w:rPr>
                <w:rFonts w:hint="eastAsia" w:ascii="仿宋" w:hAnsi="仿宋" w:eastAsia="仿宋" w:cs="仿宋"/>
                <w:color w:val="000000"/>
                <w:kern w:val="0"/>
                <w:sz w:val="24"/>
              </w:rPr>
              <w:t>全年完成出车情况</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指标3：四大家机关正常运转提供服务保障的基础性的工作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指标1：出车应急管理信息报送是否及时准确，突发事件处置是否到位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指标2：对上级的重要批示及时办结回复及妥善处理。</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指标2：降低办公用房维修支出和办公设备、公车配置支出。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 xml:space="preserve">指标1：承担中央、省市重大接待活动或中心工作，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 </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指标2：办公用房维修支出降低百分比20-30%；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指标1：加强与接待对象的联系，积极宣传介绍“华容芥菜”等农业产品的宣传。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指标2：科学决策、执行有效的运行机制和节能减排长效机制强化管理体系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指标1：指标：积极宣传了华容特色农产品的宣传。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指标2：节能工作格局节约用电、用水、降低油材料消耗等，逐步实行环保型社会，争取在在202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 xml:space="preserve">年基础上实现能耗 降低10%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ascii="仿宋" w:hAnsi="仿宋" w:eastAsia="仿宋" w:cs="仿宋"/>
                <w:color w:val="000000"/>
                <w:kern w:val="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kern w:val="0"/>
                <w:sz w:val="24"/>
              </w:rPr>
              <w:t>协助县委县政府做好培育生态文化、学习文化、法治文化和责任文化，为公众创造良好的生存环境。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指标2：争取在在202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 xml:space="preserve">年基础上实现能耗 降低10%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widowControl/>
              <w:jc w:val="left"/>
              <w:textAlignment w:val="center"/>
              <w:rPr>
                <w:rFonts w:ascii="仿宋" w:hAnsi="仿宋" w:eastAsia="仿宋" w:cs="仿宋"/>
                <w:color w:val="000000"/>
                <w:kern w:val="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kern w:val="0"/>
                <w:sz w:val="24"/>
              </w:rPr>
              <w:t>协助做好县委县政府外联协调工作，速进了县域经济。</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指标2</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加强能源管理，降低消耗、制止浪费，社会公众满意率达96%</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基本满意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陈兴</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张蕊</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张蕊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朱本炎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朱本炎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李向学</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李向学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19</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lang w:eastAsia="zh-CN"/>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19</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赵丽珍</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13787841896</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adjustRightInd w:val="0"/>
              <w:snapToGrid w:val="0"/>
              <w:spacing w:line="59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)华容县机关事务服务中心</w:t>
            </w:r>
            <w:r>
              <w:rPr>
                <w:rFonts w:hint="eastAsia" w:ascii="仿宋_GB2312" w:hAnsi="仿宋_GB2312" w:eastAsia="仿宋_GB2312" w:cs="仿宋_GB2312"/>
                <w:bCs/>
                <w:sz w:val="28"/>
                <w:szCs w:val="28"/>
              </w:rPr>
              <w:t>基本情况</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负责全县公务接待工作；四大家重要接待活动；主要领导交办的接待任务；按照县公务用车（保留车辆）规定使用范围提供车辆服务；协助做好公务用车监督检查工作。负责机关办公大楼管理、维护和机关大院物业服务工作；确定全县机关事业单位后勤服务项目和标准，指导全县机关事业单位后勤服务工作。负责全县公共机构节约能源资源管理工作，会同有关部门拟订全县公共机构节能规划和相关管理制度并组织实施，组织开展能耗统计、监测和评价考核、节能技术改造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接待活动；主要领导交办的接待任务；协助做好公务用车监督检查工作。确定全县机关事业单位后勤服务项目和标准，负责全县公共机构节约能源资源管理工作, 负责全县公共机构节约能源资源管理工作.</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（一）基本支出:本年度本单位用于了基本支出开支中。</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（二）专项支出：本年度单位专项支出用于了接待费、公务用车运行维护费中。</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1、专项资金安排落实、总投入等情况分析：专项资金专款专用、单位无挤占、挪用等现象。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2、专项资金实际使用情况分析：专项资金专款专用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3、专项资金管理情况分析：单位无挤占、挪用等现象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（一）专项组织情况分析：专项资金专款专用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（二）专项管理情况分析：专项资金专款专用</w:t>
            </w:r>
          </w:p>
          <w:p>
            <w:pPr>
              <w:widowControl/>
              <w:jc w:val="left"/>
              <w:textAlignment w:val="center"/>
              <w:rPr>
                <w:rFonts w:ascii="仿宋" w:hAnsi="仿宋" w:eastAsia="仿宋" w:cs="仿宋"/>
                <w:color w:val="000000"/>
                <w:kern w:val="0"/>
                <w:sz w:val="24"/>
              </w:rPr>
            </w:pPr>
            <w:r>
              <w:rPr>
                <w:rFonts w:hint="eastAsia" w:ascii="黑体" w:hAnsi="黑体" w:eastAsia="黑体" w:cs="黑体"/>
                <w:bCs/>
                <w:sz w:val="28"/>
                <w:szCs w:val="28"/>
              </w:rPr>
              <w:t>四、部门（单位）整体支出绩效情况：</w:t>
            </w:r>
            <w:r>
              <w:rPr>
                <w:rFonts w:hint="eastAsia" w:ascii="仿宋" w:hAnsi="仿宋" w:eastAsia="仿宋" w:cs="仿宋"/>
                <w:color w:val="000000"/>
                <w:kern w:val="0"/>
                <w:sz w:val="24"/>
              </w:rPr>
              <w:t>协助做好县委县政府外联协调工作，速进了县域经济。</w:t>
            </w:r>
          </w:p>
          <w:p>
            <w:pPr>
              <w:spacing w:line="560" w:lineRule="exact"/>
              <w:ind w:firstLine="560" w:firstLineChars="200"/>
              <w:rPr>
                <w:rFonts w:ascii="黑体" w:hAnsi="黑体" w:eastAsia="黑体" w:cs="黑体"/>
                <w:bCs/>
                <w:sz w:val="28"/>
                <w:szCs w:val="28"/>
              </w:rPr>
            </w:pPr>
            <w:r>
              <w:rPr>
                <w:rFonts w:hint="eastAsia" w:ascii="仿宋" w:hAnsi="仿宋" w:eastAsia="仿宋" w:cs="仿宋"/>
                <w:color w:val="000000"/>
                <w:kern w:val="0"/>
                <w:sz w:val="28"/>
                <w:szCs w:val="28"/>
              </w:rPr>
              <w:t>2加强能源管理，降低消耗、制止浪费，社会公众满意率达96%</w:t>
            </w:r>
          </w:p>
          <w:p>
            <w:pPr>
              <w:spacing w:line="56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五、存在的主要问题：</w:t>
            </w:r>
            <w:r>
              <w:rPr>
                <w:rFonts w:hint="eastAsia" w:ascii="仿宋" w:hAnsi="仿宋" w:eastAsia="仿宋" w:cs="仿宋"/>
                <w:bCs/>
                <w:sz w:val="28"/>
                <w:szCs w:val="28"/>
              </w:rPr>
              <w:t>我单位未能按节点及时监控绩效监控缺乏责任约束。</w:t>
            </w:r>
          </w:p>
          <w:p>
            <w:pPr>
              <w:spacing w:line="56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六、改进措施和有关建议：</w:t>
            </w:r>
            <w:r>
              <w:rPr>
                <w:rFonts w:hint="eastAsia" w:ascii="仿宋" w:hAnsi="仿宋" w:eastAsia="仿宋" w:cs="仿宋"/>
                <w:bCs/>
                <w:sz w:val="28"/>
                <w:szCs w:val="28"/>
              </w:rPr>
              <w:t>加强绩效及时监控提高我单位对绩效监控责任约束。</w:t>
            </w:r>
          </w:p>
          <w:p>
            <w:pPr>
              <w:spacing w:line="560" w:lineRule="exact"/>
              <w:ind w:firstLine="560" w:firstLine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公车用车平台专项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公车平台中心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华容机关事务服务中心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19</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10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1347"/>
        <w:gridCol w:w="801"/>
        <w:gridCol w:w="135"/>
        <w:gridCol w:w="1125"/>
        <w:gridCol w:w="236"/>
        <w:gridCol w:w="1036"/>
        <w:gridCol w:w="58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蔡国军</w:t>
            </w:r>
          </w:p>
        </w:tc>
        <w:tc>
          <w:tcPr>
            <w:tcW w:w="1347" w:type="dxa"/>
            <w:noWrap w:val="0"/>
            <w:vAlign w:val="center"/>
          </w:tcPr>
          <w:p>
            <w:pPr>
              <w:rPr>
                <w:rFonts w:hint="eastAsia" w:eastAsia="仿宋_GB2312"/>
                <w:sz w:val="24"/>
              </w:rPr>
            </w:pPr>
            <w:r>
              <w:rPr>
                <w:rFonts w:hint="eastAsia" w:eastAsia="仿宋_GB2312"/>
                <w:sz w:val="24"/>
              </w:rPr>
              <w:t>联系电话</w:t>
            </w:r>
          </w:p>
        </w:tc>
        <w:tc>
          <w:tcPr>
            <w:tcW w:w="3333" w:type="dxa"/>
            <w:gridSpan w:val="5"/>
            <w:noWrap w:val="0"/>
            <w:vAlign w:val="center"/>
          </w:tcPr>
          <w:p>
            <w:pPr>
              <w:rPr>
                <w:rFonts w:hint="default" w:eastAsia="仿宋_GB2312"/>
                <w:sz w:val="24"/>
                <w:lang w:val="en-US" w:eastAsia="zh-CN"/>
              </w:rPr>
            </w:pPr>
            <w:r>
              <w:rPr>
                <w:rFonts w:hint="eastAsia" w:eastAsia="仿宋_GB2312"/>
                <w:sz w:val="24"/>
                <w:lang w:val="en-US" w:eastAsia="zh-CN"/>
              </w:rPr>
              <w:t>18973085868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val="en-US" w:eastAsia="zh-CN"/>
              </w:rPr>
            </w:pPr>
            <w:r>
              <w:rPr>
                <w:rFonts w:hint="eastAsia" w:eastAsia="仿宋_GB2312"/>
                <w:sz w:val="24"/>
                <w:lang w:val="en-US" w:eastAsia="zh-CN"/>
              </w:rPr>
              <w:t>县政府机关大院</w:t>
            </w:r>
          </w:p>
        </w:tc>
        <w:tc>
          <w:tcPr>
            <w:tcW w:w="1347" w:type="dxa"/>
            <w:noWrap w:val="0"/>
            <w:vAlign w:val="center"/>
          </w:tcPr>
          <w:p>
            <w:pPr>
              <w:rPr>
                <w:rFonts w:hint="eastAsia" w:eastAsia="仿宋_GB2312"/>
                <w:sz w:val="24"/>
              </w:rPr>
            </w:pPr>
            <w:r>
              <w:rPr>
                <w:rFonts w:hint="eastAsia" w:eastAsia="仿宋_GB2312"/>
                <w:sz w:val="24"/>
              </w:rPr>
              <w:t>邮  编</w:t>
            </w:r>
          </w:p>
        </w:tc>
        <w:tc>
          <w:tcPr>
            <w:tcW w:w="3333" w:type="dxa"/>
            <w:gridSpan w:val="5"/>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545.8</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414.8</w:t>
            </w:r>
          </w:p>
        </w:tc>
        <w:tc>
          <w:tcPr>
            <w:tcW w:w="340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236"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419.08</w:t>
            </w:r>
          </w:p>
        </w:tc>
        <w:tc>
          <w:tcPr>
            <w:tcW w:w="1620"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3408" w:type="dxa"/>
            <w:gridSpan w:val="4"/>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236" w:type="dxa"/>
            <w:tcBorders>
              <w:bottom w:val="single" w:color="auto" w:sz="4" w:space="0"/>
            </w:tcBorders>
            <w:noWrap w:val="0"/>
            <w:vAlign w:val="center"/>
          </w:tcPr>
          <w:p>
            <w:pPr>
              <w:rPr>
                <w:rFonts w:hint="eastAsia" w:eastAsia="仿宋_GB2312"/>
                <w:spacing w:val="-6"/>
                <w:sz w:val="24"/>
              </w:rPr>
            </w:pPr>
          </w:p>
        </w:tc>
        <w:tc>
          <w:tcPr>
            <w:tcW w:w="1620" w:type="dxa"/>
            <w:gridSpan w:val="2"/>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414.8</w:t>
            </w: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4106"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127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平台司勤人员工资</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190.48</w:t>
            </w:r>
          </w:p>
        </w:tc>
        <w:tc>
          <w:tcPr>
            <w:tcW w:w="4106" w:type="dxa"/>
            <w:gridSpan w:val="6"/>
            <w:tcBorders>
              <w:bottom w:val="single" w:color="auto" w:sz="4" w:space="0"/>
            </w:tcBorders>
            <w:noWrap w:val="0"/>
            <w:vAlign w:val="center"/>
          </w:tcPr>
          <w:p>
            <w:pPr>
              <w:tabs>
                <w:tab w:val="left" w:pos="249"/>
              </w:tabs>
              <w:jc w:val="left"/>
              <w:rPr>
                <w:rFonts w:hint="default" w:eastAsia="仿宋_GB2312"/>
                <w:sz w:val="24"/>
                <w:lang w:val="en-US" w:eastAsia="zh-CN"/>
              </w:rPr>
            </w:pPr>
            <w:r>
              <w:rPr>
                <w:rFonts w:hint="eastAsia" w:eastAsia="仿宋_GB2312"/>
                <w:sz w:val="24"/>
                <w:lang w:eastAsia="zh-CN"/>
              </w:rPr>
              <w:tab/>
            </w:r>
            <w:r>
              <w:rPr>
                <w:rFonts w:hint="eastAsia" w:eastAsia="仿宋_GB2312"/>
                <w:sz w:val="24"/>
                <w:lang w:val="en-US" w:eastAsia="zh-CN"/>
              </w:rPr>
              <w:t>1月1#、4月1#、8月4#、11月1#</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公务车辆运行维护费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173.08</w:t>
            </w: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1月5#、4月4#、7月5#、10月10#、12月9#</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公务用车购置</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49.85</w:t>
            </w: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7月6#</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其他商品服务支出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5.68</w:t>
            </w: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12月9#</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419.08</w:t>
            </w:r>
          </w:p>
        </w:tc>
        <w:tc>
          <w:tcPr>
            <w:tcW w:w="4106" w:type="dxa"/>
            <w:gridSpan w:val="6"/>
            <w:tcBorders>
              <w:bottom w:val="single" w:color="auto" w:sz="4" w:space="0"/>
            </w:tcBorders>
            <w:noWrap w:val="0"/>
            <w:vAlign w:val="center"/>
          </w:tcPr>
          <w:p>
            <w:pPr>
              <w:jc w:val="center"/>
              <w:rPr>
                <w:rFonts w:hint="eastAsia" w:eastAsia="仿宋_GB2312"/>
                <w:b/>
                <w:sz w:val="24"/>
              </w:rPr>
            </w:pPr>
          </w:p>
        </w:tc>
        <w:tc>
          <w:tcPr>
            <w:tcW w:w="1272"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6837" w:type="dxa"/>
            <w:gridSpan w:val="11"/>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1272"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6837" w:type="dxa"/>
            <w:gridSpan w:val="11"/>
            <w:tcBorders>
              <w:bottom w:val="single" w:color="auto" w:sz="4" w:space="0"/>
            </w:tcBorders>
            <w:noWrap w:val="0"/>
            <w:vAlign w:val="center"/>
          </w:tcPr>
          <w:p>
            <w:pPr>
              <w:jc w:val="center"/>
              <w:rPr>
                <w:rFonts w:hint="eastAsia" w:eastAsia="仿宋_GB2312"/>
                <w:b/>
                <w:sz w:val="24"/>
                <w:lang w:eastAsia="zh-CN"/>
              </w:rPr>
            </w:pPr>
            <w:r>
              <w:rPr>
                <w:rFonts w:hint="eastAsia" w:eastAsia="仿宋_GB2312"/>
                <w:sz w:val="24"/>
                <w:lang w:eastAsia="zh-CN"/>
              </w:rPr>
              <w:t>公车平台</w:t>
            </w:r>
            <w:r>
              <w:rPr>
                <w:rFonts w:hint="eastAsia" w:eastAsia="仿宋_GB2312"/>
                <w:sz w:val="24"/>
              </w:rPr>
              <w:t>预期</w:t>
            </w:r>
            <w:r>
              <w:rPr>
                <w:rFonts w:hint="eastAsia" w:eastAsia="仿宋_GB2312"/>
                <w:sz w:val="24"/>
                <w:lang w:eastAsia="zh-CN"/>
              </w:rPr>
              <w:t>总</w:t>
            </w:r>
            <w:r>
              <w:rPr>
                <w:rFonts w:hint="eastAsia" w:eastAsia="仿宋_GB2312"/>
                <w:sz w:val="24"/>
              </w:rPr>
              <w:t>目标</w:t>
            </w:r>
            <w:r>
              <w:rPr>
                <w:rFonts w:hint="eastAsia" w:eastAsia="仿宋_GB2312"/>
                <w:sz w:val="24"/>
                <w:lang w:eastAsia="zh-CN"/>
              </w:rPr>
              <w:t>是合理有效配置公务用车资源，保障各涉改单位公务出行用车，降低行政成本。</w:t>
            </w:r>
          </w:p>
        </w:tc>
        <w:tc>
          <w:tcPr>
            <w:tcW w:w="1272" w:type="dxa"/>
            <w:gridSpan w:val="2"/>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2981" w:type="dxa"/>
            <w:gridSpan w:val="5"/>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125"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127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2846" w:type="dxa"/>
            <w:gridSpan w:val="4"/>
            <w:tcBorders>
              <w:bottom w:val="single" w:color="auto" w:sz="4" w:space="0"/>
            </w:tcBorders>
            <w:noWrap w:val="0"/>
            <w:vAlign w:val="center"/>
          </w:tcPr>
          <w:p>
            <w:pPr>
              <w:widowControl/>
              <w:jc w:val="left"/>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公务车辆48台，使用48台</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8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 w:hAnsi="仿宋" w:eastAsia="仿宋" w:cs="仿宋"/>
                <w:sz w:val="24"/>
                <w:lang w:eastAsia="zh-CN"/>
              </w:rPr>
              <w:t>公务车保质安全，未发生交通事故</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2846" w:type="dxa"/>
            <w:gridSpan w:val="4"/>
            <w:tcBorders>
              <w:bottom w:val="single" w:color="auto" w:sz="4" w:space="0"/>
            </w:tcBorders>
            <w:noWrap w:val="0"/>
            <w:vAlign w:val="center"/>
          </w:tcPr>
          <w:p>
            <w:pPr>
              <w:spacing w:line="360" w:lineRule="exact"/>
              <w:jc w:val="both"/>
              <w:rPr>
                <w:rFonts w:hint="eastAsia" w:eastAsia="仿宋_GB2312"/>
                <w:sz w:val="24"/>
                <w:lang w:eastAsia="zh-CN"/>
              </w:rPr>
            </w:pPr>
            <w:r>
              <w:rPr>
                <w:rFonts w:hint="eastAsia" w:eastAsia="仿宋_GB2312"/>
                <w:sz w:val="24"/>
                <w:lang w:eastAsia="zh-CN"/>
              </w:rPr>
              <w:t>公务用车项目资金如期使用，达到了预期绩效自评评</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color w:val="000000"/>
                <w:sz w:val="24"/>
                <w:lang w:eastAsia="zh-CN"/>
              </w:rPr>
              <w:t>公务用车项目运行成本控制安预期完成</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83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lang w:eastAsia="zh-CN"/>
              </w:rPr>
              <w:t>公务用车项目</w:t>
            </w:r>
            <w:r>
              <w:rPr>
                <w:rFonts w:hint="eastAsia" w:ascii="仿宋_GB2312" w:hAnsi="仿宋_GB2312" w:eastAsia="仿宋_GB2312" w:cs="仿宋_GB2312"/>
                <w:color w:val="000000"/>
                <w:sz w:val="24"/>
              </w:rPr>
              <w:t>降低油</w:t>
            </w:r>
            <w:r>
              <w:rPr>
                <w:rFonts w:hint="eastAsia" w:ascii="仿宋_GB2312" w:hAnsi="仿宋_GB2312" w:eastAsia="仿宋_GB2312" w:cs="仿宋_GB2312"/>
                <w:color w:val="000000"/>
                <w:sz w:val="24"/>
                <w:lang w:eastAsia="zh-CN"/>
              </w:rPr>
              <w:t>耗</w:t>
            </w:r>
            <w:r>
              <w:rPr>
                <w:rFonts w:hint="eastAsia" w:ascii="仿宋_GB2312" w:hAnsi="仿宋_GB2312" w:eastAsia="仿宋_GB2312" w:cs="仿宋_GB2312"/>
                <w:color w:val="000000"/>
                <w:sz w:val="24"/>
              </w:rPr>
              <w:t>等，逐步实行环保型社会，</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公务用车项目是</w:t>
            </w:r>
            <w:r>
              <w:rPr>
                <w:rFonts w:hint="eastAsia" w:ascii="仿宋_GB2312" w:hAnsi="仿宋_GB2312" w:eastAsia="仿宋_GB2312" w:cs="仿宋_GB2312"/>
                <w:color w:val="000000"/>
                <w:sz w:val="24"/>
              </w:rPr>
              <w:t>科学决策、有效的运行机制能减排长效机制强化管理体系</w:t>
            </w:r>
          </w:p>
          <w:p>
            <w:pPr>
              <w:spacing w:line="360" w:lineRule="exact"/>
              <w:jc w:val="center"/>
              <w:rPr>
                <w:rFonts w:hint="eastAsia" w:eastAsia="仿宋_GB2312"/>
                <w:sz w:val="24"/>
              </w:rPr>
            </w:pPr>
            <w:r>
              <w:rPr>
                <w:rFonts w:hint="eastAsia" w:ascii="仿宋_GB2312" w:hAnsi="仿宋_GB2312" w:eastAsia="仿宋_GB2312" w:cs="仿宋_GB2312"/>
                <w:color w:val="000000"/>
                <w:sz w:val="24"/>
              </w:rPr>
              <w:t>……</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公务用车项目减少车辆出行和环保节能</w:t>
            </w:r>
          </w:p>
          <w:p>
            <w:pPr>
              <w:autoSpaceDN w:val="0"/>
              <w:spacing w:line="320" w:lineRule="exact"/>
              <w:jc w:val="left"/>
              <w:textAlignment w:val="center"/>
              <w:rPr>
                <w:rFonts w:hint="eastAsia" w:ascii="仿宋_GB2312" w:hAnsi="仿宋_GB2312" w:eastAsia="仿宋_GB2312" w:cs="仿宋_GB2312"/>
                <w:color w:val="000000"/>
                <w:sz w:val="24"/>
              </w:rPr>
            </w:pPr>
          </w:p>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社会公众满意率达9</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w:t>
            </w:r>
          </w:p>
          <w:p>
            <w:pPr>
              <w:autoSpaceDN w:val="0"/>
              <w:spacing w:line="320" w:lineRule="exact"/>
              <w:jc w:val="left"/>
              <w:textAlignment w:val="center"/>
              <w:rPr>
                <w:rFonts w:hint="eastAsia" w:ascii="仿宋_GB2312" w:hAnsi="仿宋_GB2312" w:eastAsia="仿宋_GB2312" w:cs="仿宋_GB2312"/>
                <w:color w:val="000000"/>
                <w:sz w:val="24"/>
              </w:rPr>
            </w:pPr>
          </w:p>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3714" w:type="dxa"/>
            <w:gridSpan w:val="5"/>
            <w:noWrap w:val="0"/>
            <w:vAlign w:val="center"/>
          </w:tcPr>
          <w:p>
            <w:pPr>
              <w:jc w:val="center"/>
              <w:rPr>
                <w:rFonts w:hint="eastAsia" w:eastAsia="仿宋_GB2312"/>
                <w:sz w:val="24"/>
              </w:rPr>
            </w:pPr>
            <w:r>
              <w:rPr>
                <w:rFonts w:hint="eastAsia" w:eastAsia="仿宋_GB2312"/>
                <w:sz w:val="24"/>
              </w:rPr>
              <w:t>单  位</w:t>
            </w:r>
          </w:p>
        </w:tc>
        <w:tc>
          <w:tcPr>
            <w:tcW w:w="1272" w:type="dxa"/>
            <w:gridSpan w:val="2"/>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陈兴</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主任</w:t>
            </w:r>
          </w:p>
        </w:tc>
        <w:tc>
          <w:tcPr>
            <w:tcW w:w="3714" w:type="dxa"/>
            <w:gridSpan w:val="5"/>
            <w:noWrap w:val="0"/>
            <w:vAlign w:val="center"/>
          </w:tcPr>
          <w:p>
            <w:pPr>
              <w:rPr>
                <w:rFonts w:hint="eastAsia" w:eastAsia="仿宋_GB2312"/>
                <w:sz w:val="24"/>
                <w:lang w:eastAsia="zh-CN"/>
              </w:rPr>
            </w:pPr>
            <w:r>
              <w:rPr>
                <w:rFonts w:hint="eastAsia" w:eastAsia="仿宋_GB2312"/>
                <w:sz w:val="24"/>
                <w:lang w:eastAsia="zh-CN"/>
              </w:rPr>
              <w:t>华容县机关事务服务中心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陈兴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张蕊</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副主任</w:t>
            </w:r>
          </w:p>
        </w:tc>
        <w:tc>
          <w:tcPr>
            <w:tcW w:w="3714" w:type="dxa"/>
            <w:gridSpan w:val="5"/>
            <w:noWrap w:val="0"/>
            <w:vAlign w:val="center"/>
          </w:tcPr>
          <w:p>
            <w:pPr>
              <w:rPr>
                <w:rFonts w:hint="eastAsia" w:eastAsia="仿宋_GB2312"/>
                <w:sz w:val="24"/>
              </w:rPr>
            </w:pPr>
            <w:r>
              <w:rPr>
                <w:rFonts w:hint="eastAsia" w:eastAsia="仿宋_GB2312"/>
                <w:sz w:val="24"/>
                <w:lang w:eastAsia="zh-CN"/>
              </w:rPr>
              <w:t>华容县机关事务服务中心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张蕊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蔡国军</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平台中心主任</w:t>
            </w:r>
          </w:p>
        </w:tc>
        <w:tc>
          <w:tcPr>
            <w:tcW w:w="3714" w:type="dxa"/>
            <w:gridSpan w:val="5"/>
            <w:noWrap w:val="0"/>
            <w:vAlign w:val="center"/>
          </w:tcPr>
          <w:p>
            <w:pPr>
              <w:rPr>
                <w:rFonts w:hint="eastAsia" w:eastAsia="仿宋_GB2312"/>
                <w:sz w:val="24"/>
              </w:rPr>
            </w:pPr>
            <w:r>
              <w:rPr>
                <w:rFonts w:hint="eastAsia" w:eastAsia="仿宋_GB2312"/>
                <w:sz w:val="24"/>
                <w:lang w:eastAsia="zh-CN"/>
              </w:rPr>
              <w:t>华容县机关事务服务中心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蔡国军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华容县机关事务服务中心项目支出绩效评价</w:t>
            </w:r>
          </w:p>
          <w:p>
            <w:pPr>
              <w:spacing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报告综述</w:t>
            </w:r>
          </w:p>
          <w:p>
            <w:pPr>
              <w:spacing w:line="590" w:lineRule="exact"/>
              <w:ind w:firstLine="640" w:firstLineChars="200"/>
              <w:rPr>
                <w:rFonts w:hint="eastAsia" w:ascii="仿宋_GB2312" w:eastAsia="仿宋_GB2312"/>
                <w:sz w:val="32"/>
                <w:szCs w:val="32"/>
              </w:rPr>
            </w:pP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2020年，县机关事务服务中心紧紧围绕县委县政府的中心工作，以提高接待服务水平为目标，充分发挥接待“载体”功能，较好的完成了接待部门的职能作用，推动了我县各项工作的顺利开展。我办把绩效理念融入到了预算、执行、监督管理的全过程，在严格管理、简化礼仪的基础上，转变服务方式，重点突出“节约化、个性化、本土化”服务。</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根据县委、县政府部署，我办20</w:t>
            </w:r>
            <w:r>
              <w:rPr>
                <w:rFonts w:hint="eastAsia" w:ascii="仿宋_GB2312" w:eastAsia="仿宋_GB2312"/>
                <w:sz w:val="32"/>
                <w:szCs w:val="32"/>
                <w:lang w:val="en-US" w:eastAsia="zh-CN"/>
              </w:rPr>
              <w:t>17</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月开始着手筹建县公务用车平台，按照“边建设、边运行”的思路，各项工作稳步推进。</w:t>
            </w:r>
            <w:r>
              <w:rPr>
                <w:rFonts w:hint="eastAsia" w:ascii="仿宋_GB2312" w:eastAsia="仿宋_GB2312"/>
                <w:b/>
                <w:sz w:val="32"/>
                <w:szCs w:val="32"/>
              </w:rPr>
              <w:t>一是设施设备保障到位。</w:t>
            </w:r>
            <w:r>
              <w:rPr>
                <w:rFonts w:hint="eastAsia" w:ascii="仿宋_GB2312" w:eastAsia="仿宋_GB2312"/>
                <w:sz w:val="32"/>
                <w:szCs w:val="32"/>
              </w:rPr>
              <w:t>平台办公地点设政府一楼，设置了车辆调度、智能监控等五个功能室，添置了必要的办公设备，在北斗系统中设置了“华容县公务用车平台”专用系统，对公务用车轨迹进行实时监控，建立了公务用车专用停车场，公务用车实现车牌识别定点停放；</w:t>
            </w:r>
            <w:r>
              <w:rPr>
                <w:rFonts w:hint="eastAsia" w:ascii="仿宋_GB2312" w:eastAsia="仿宋_GB2312"/>
                <w:b/>
                <w:sz w:val="32"/>
                <w:szCs w:val="32"/>
              </w:rPr>
              <w:t>二是车辆移交顺利完成。</w:t>
            </w:r>
            <w:r>
              <w:rPr>
                <w:rFonts w:hint="eastAsia" w:ascii="仿宋_GB2312" w:eastAsia="仿宋_GB2312"/>
                <w:sz w:val="32"/>
                <w:szCs w:val="32"/>
              </w:rPr>
              <w:t>分两批次完成了四大家和部门单位35台保留车辆的移交，并统一“公务用车”标识等；</w:t>
            </w:r>
            <w:r>
              <w:rPr>
                <w:rFonts w:hint="eastAsia" w:ascii="仿宋_GB2312" w:eastAsia="仿宋_GB2312"/>
                <w:b/>
                <w:sz w:val="32"/>
                <w:szCs w:val="32"/>
              </w:rPr>
              <w:t>三是人员安排职责分明。</w:t>
            </w:r>
            <w:r>
              <w:rPr>
                <w:rFonts w:hint="eastAsia" w:ascii="仿宋_GB2312" w:eastAsia="仿宋_GB2312"/>
                <w:sz w:val="32"/>
                <w:szCs w:val="32"/>
              </w:rPr>
              <w:t>管理人员已全部到岗到位，分工明确，各司其职，车辆与司勤做到了“人车对应”。在不断完善硬件设施设备的同时，通过建立公务用车平台工作微信群，及时有效发布通知和反馈信息，司勤服务采取定向与机动管理相结合，既满足领导要求，又保障用车需要。全年，平台共出车</w:t>
            </w:r>
            <w:r>
              <w:rPr>
                <w:rFonts w:hint="eastAsia" w:ascii="仿宋_GB2312" w:eastAsia="仿宋_GB2312"/>
                <w:sz w:val="32"/>
                <w:szCs w:val="32"/>
                <w:lang w:val="en-US" w:eastAsia="zh-CN"/>
              </w:rPr>
              <w:t>7000</w:t>
            </w:r>
            <w:r>
              <w:rPr>
                <w:rFonts w:hint="eastAsia" w:ascii="仿宋_GB2312" w:eastAsia="仿宋_GB2312"/>
                <w:sz w:val="32"/>
                <w:szCs w:val="32"/>
              </w:rPr>
              <w:t>多次，行驶里程近</w:t>
            </w:r>
            <w:r>
              <w:rPr>
                <w:rFonts w:hint="eastAsia" w:ascii="仿宋_GB2312" w:eastAsia="仿宋_GB2312"/>
                <w:sz w:val="32"/>
                <w:szCs w:val="32"/>
                <w:lang w:val="en-US" w:eastAsia="zh-CN"/>
              </w:rPr>
              <w:t>40</w:t>
            </w:r>
            <w:r>
              <w:rPr>
                <w:rFonts w:hint="eastAsia" w:ascii="仿宋_GB2312" w:eastAsia="仿宋_GB2312"/>
                <w:sz w:val="32"/>
                <w:szCs w:val="32"/>
              </w:rPr>
              <w:t>多万公里，实现了“调度无差错、行车无事故、评价全满意”的工作目标，有力推进了全县公车改革实施步伐。</w:t>
            </w:r>
          </w:p>
          <w:p>
            <w:pPr>
              <w:spacing w:line="590" w:lineRule="exact"/>
              <w:ind w:firstLine="640" w:firstLineChars="200"/>
              <w:rPr>
                <w:rFonts w:hint="eastAsia" w:ascii="仿宋_GB2312" w:eastAsia="仿宋_GB2312"/>
                <w:sz w:val="32"/>
                <w:szCs w:val="32"/>
              </w:rPr>
            </w:pPr>
            <w:r>
              <w:rPr>
                <w:rFonts w:hint="eastAsia" w:ascii="仿宋_GB2312" w:eastAsia="仿宋_GB2312"/>
                <w:bCs/>
                <w:sz w:val="32"/>
                <w:szCs w:val="32"/>
              </w:rPr>
              <w:t>2020年5月</w:t>
            </w:r>
            <w:r>
              <w:rPr>
                <w:rFonts w:hint="eastAsia" w:ascii="仿宋_GB2312" w:eastAsia="仿宋_GB2312"/>
                <w:sz w:val="32"/>
                <w:szCs w:val="32"/>
              </w:rPr>
              <w:t>华容县机构改革，我办正式更名为县机关事务服务中心，核定全额事业编制</w:t>
            </w:r>
            <w:r>
              <w:rPr>
                <w:rFonts w:hint="eastAsia" w:ascii="仿宋_GB2312" w:eastAsia="仿宋_GB2312"/>
                <w:sz w:val="32"/>
                <w:szCs w:val="32"/>
                <w:lang w:val="en-US" w:eastAsia="zh-CN"/>
              </w:rPr>
              <w:t>34</w:t>
            </w:r>
            <w:r>
              <w:rPr>
                <w:rFonts w:hint="eastAsia" w:ascii="仿宋_GB2312" w:eastAsia="仿宋_GB2312"/>
                <w:sz w:val="32"/>
                <w:szCs w:val="32"/>
              </w:rPr>
              <w:t>人、司勤临时用工计划47人、后勤及保安人员31人。机关后勤工作切实做</w:t>
            </w:r>
            <w:r>
              <w:rPr>
                <w:rFonts w:hint="eastAsia" w:ascii="仿宋" w:hAnsi="仿宋" w:eastAsia="仿宋" w:cs="仿宋"/>
                <w:color w:val="000000"/>
                <w:kern w:val="0"/>
                <w:sz w:val="32"/>
                <w:szCs w:val="32"/>
                <w:lang w:bidi="ar"/>
              </w:rPr>
              <w:t>切实做到“真诚服务、认真负责、乐于奉献”，不断开创机关后勤服务工作新局面。</w:t>
            </w:r>
          </w:p>
          <w:p>
            <w:pPr>
              <w:spacing w:line="590" w:lineRule="exact"/>
              <w:ind w:firstLine="640" w:firstLineChars="200"/>
              <w:rPr>
                <w:rFonts w:hint="eastAsia" w:ascii="仿宋_GB2312" w:eastAsia="仿宋_GB2312"/>
                <w:sz w:val="32"/>
                <w:szCs w:val="32"/>
              </w:rPr>
            </w:pPr>
          </w:p>
          <w:p>
            <w:pPr>
              <w:spacing w:line="590" w:lineRule="exact"/>
              <w:ind w:firstLine="640" w:firstLineChars="200"/>
              <w:rPr>
                <w:rFonts w:hint="eastAsia" w:ascii="仿宋_GB2312" w:eastAsia="仿宋_GB2312"/>
                <w:sz w:val="32"/>
                <w:szCs w:val="32"/>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p>
            <w:pPr>
              <w:rPr>
                <w:rFonts w:eastAsia="楷体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43A50CF"/>
    <w:rsid w:val="082C68CC"/>
    <w:rsid w:val="083749E7"/>
    <w:rsid w:val="08657476"/>
    <w:rsid w:val="0DE528CD"/>
    <w:rsid w:val="10A676AC"/>
    <w:rsid w:val="126D0D92"/>
    <w:rsid w:val="14A532A4"/>
    <w:rsid w:val="18725427"/>
    <w:rsid w:val="1E4600FF"/>
    <w:rsid w:val="254E2FC7"/>
    <w:rsid w:val="263C173A"/>
    <w:rsid w:val="27C44DE3"/>
    <w:rsid w:val="2CA33441"/>
    <w:rsid w:val="2CE55C20"/>
    <w:rsid w:val="2F287302"/>
    <w:rsid w:val="30426D13"/>
    <w:rsid w:val="34142469"/>
    <w:rsid w:val="345B33E2"/>
    <w:rsid w:val="3A43255A"/>
    <w:rsid w:val="3BA37299"/>
    <w:rsid w:val="3C727AD3"/>
    <w:rsid w:val="3D6201A1"/>
    <w:rsid w:val="3EC46785"/>
    <w:rsid w:val="3F8A6044"/>
    <w:rsid w:val="42FE78AF"/>
    <w:rsid w:val="477245B4"/>
    <w:rsid w:val="4E4F0BB0"/>
    <w:rsid w:val="4EE36F4E"/>
    <w:rsid w:val="52BA4A7F"/>
    <w:rsid w:val="5BE95901"/>
    <w:rsid w:val="6A0A15CD"/>
    <w:rsid w:val="6DF352BD"/>
    <w:rsid w:val="705E3E6D"/>
    <w:rsid w:val="71C1048A"/>
    <w:rsid w:val="73F35F5B"/>
    <w:rsid w:val="77394F44"/>
    <w:rsid w:val="79C04582"/>
    <w:rsid w:val="7D1F0DA2"/>
    <w:rsid w:val="7D7478D8"/>
    <w:rsid w:val="7EFC2D6C"/>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2021-07-28T02:09:07Z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