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名称：中国共产主义青年团华容县委员会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122001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1年7月</w:t>
      </w:r>
      <w:r>
        <w:rPr>
          <w:rFonts w:eastAsia="仿宋_GB2312"/>
          <w:sz w:val="32"/>
        </w:rPr>
        <w:t>2</w:t>
      </w:r>
      <w:r>
        <w:rPr>
          <w:rFonts w:hint="eastAsia" w:eastAsia="仿宋_GB2312"/>
          <w:sz w:val="32"/>
        </w:rPr>
        <w:t>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9"/>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李航</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18390039098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、行使中共华容县委赋予的领导全县共青团、青联和少先队工作的职权，对全县青年社团组织进行指导和管理。</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、贯彻落实青少年工作方针、政策，参与制订青少年事业发展规划，对青少年活动阵地、青少年报刊、青少年服务机构的建设和青少年读物出版等事务进行规划和管理。</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、参与有关青少年事务的法律、法规的制订和实施，协助县委、县政府处理、协调与青少年利益有关的事务。</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、调查青少年思想动态和</w:t>
            </w:r>
            <w:bookmarkStart w:id="0" w:name="_GoBack"/>
            <w:bookmarkEnd w:id="0"/>
            <w:r>
              <w:rPr>
                <w:rFonts w:hint="eastAsia" w:ascii="仿宋_GB2312" w:hAnsi="仿宋_GB2312" w:eastAsia="仿宋_GB2312" w:cs="仿宋_GB2312"/>
                <w:color w:val="000000"/>
                <w:sz w:val="24"/>
              </w:rPr>
              <w:t>青年工作状况，研究青少年运动、青少年工作理论和青少年思想教育问题，提出相应的对策，开展各种有益的活动；研究青少年违法犯罪问题，协同有关部门开展青少年法制教育工作，预防青少年犯罪。</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、协助教育部门做好学生的教育管理工作，维护学校稳定和社会安定团结。</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、在全县经济建设中，组织和带领青少年发挥生力军和突击队的作用。</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、会同有关部门负责青少年外事工作和县外青少年组织、团体的交流工作；做好青年统战对象的团结教育工作。</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、承办县委、县政府交办的其他事项。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：实施青年培养工程，筑牢团员青年成长梦</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：突出青年创新创业实践、招商引资实践、精准扶贫实践</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：丰富和发展服务青年的载体，提升共青团的服务能力</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：协助政府做好青年事务，积极推进社会建设和管理</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：加强团的自身建设，不断增强共青团组织的吸引力、凝聚力和战斗力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团县委围绕县委、县政府中心任务和共青团重点工作，全面履行团组织各项职能。</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：实施青年培养工程，筑牢团员青年成长梦</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：实施青年建功工程，谱写魅力华容新篇章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：实施青年圆梦工程，唱响关爱成长主旋律</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：实施青年和谐工程，传递文明新风正能量</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5</w:t>
            </w:r>
            <w:r>
              <w:rPr>
                <w:rFonts w:hint="eastAsia" w:ascii="仿宋_GB2312" w:hAnsi="仿宋_GB2312" w:eastAsia="仿宋_GB2312" w:cs="仿宋_GB2312"/>
                <w:color w:val="auto"/>
                <w:sz w:val="24"/>
              </w:rPr>
              <w:t>：实施青年塑性工程，打造基层组织强堡垒</w:t>
            </w:r>
          </w:p>
        </w:tc>
        <w:tc>
          <w:tcPr>
            <w:tcW w:w="4585" w:type="dxa"/>
            <w:gridSpan w:val="9"/>
            <w:noWrap/>
            <w:vAlign w:val="center"/>
          </w:tcPr>
          <w:p>
            <w:pPr>
              <w:widowControl/>
              <w:spacing w:line="0" w:lineRule="atLeast"/>
              <w:ind w:firstLine="482" w:firstLineChars="20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1、坚持党建带团建，基层基础更加夯实。</w:t>
            </w:r>
            <w:r>
              <w:rPr>
                <w:rFonts w:hint="eastAsia" w:ascii="仿宋_GB2312" w:hAnsi="仿宋_GB2312" w:eastAsia="仿宋_GB2312" w:cs="仿宋_GB2312"/>
                <w:color w:val="000000"/>
                <w:kern w:val="0"/>
                <w:sz w:val="24"/>
                <w:szCs w:val="24"/>
                <w:lang w:val="en-US" w:eastAsia="zh-CN"/>
              </w:rPr>
              <w:t>组建“青年讲师团”，开展7场</w:t>
            </w:r>
            <w:r>
              <w:rPr>
                <w:rFonts w:hint="eastAsia" w:ascii="仿宋_GB2312" w:hAnsi="仿宋_GB2312" w:eastAsia="仿宋_GB2312" w:cs="仿宋_GB2312"/>
                <w:color w:val="000000"/>
                <w:kern w:val="0"/>
                <w:sz w:val="24"/>
                <w:szCs w:val="24"/>
                <w:lang w:eastAsia="zh-CN"/>
              </w:rPr>
              <w:t>集中宣讲，</w:t>
            </w:r>
            <w:r>
              <w:rPr>
                <w:rFonts w:hint="eastAsia" w:ascii="仿宋_GB2312" w:hAnsi="仿宋_GB2312" w:eastAsia="仿宋_GB2312" w:cs="仿宋_GB2312"/>
                <w:color w:val="000000"/>
                <w:kern w:val="0"/>
                <w:sz w:val="24"/>
                <w:szCs w:val="24"/>
                <w:lang w:val="en-US" w:eastAsia="zh-CN"/>
              </w:rPr>
              <w:t>覆盖青少年1500人次。组织开展“青年大学习”网上团课活动，参与学习人员累计达12万人，参与志愿服务学生团员突破1000人。强化非公经济组织和社会组织等社会领域新型青年群体建团，新建“两新”组织75个、社会组织2个，2020年新发展团员900人。</w:t>
            </w:r>
          </w:p>
          <w:p>
            <w:pPr>
              <w:widowControl/>
              <w:spacing w:line="0" w:lineRule="atLeast"/>
              <w:ind w:firstLine="482" w:firstLineChars="20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2、坚持正面引导，青年活力有效激发。</w:t>
            </w:r>
            <w:r>
              <w:rPr>
                <w:rFonts w:hint="eastAsia" w:ascii="仿宋_GB2312" w:hAnsi="仿宋_GB2312" w:eastAsia="仿宋_GB2312" w:cs="仿宋_GB2312"/>
                <w:color w:val="000000"/>
                <w:kern w:val="0"/>
                <w:sz w:val="24"/>
                <w:szCs w:val="24"/>
                <w:lang w:val="en-US" w:eastAsia="zh-CN"/>
              </w:rPr>
              <w:t>疫情防控期间，组织青少年参与“防疫微展示”活动；开展网上探店活动，助力复工复产。建立“华容青年”融媒体平台，微信公众号阅读量达40万余次；抖音作品浏览量达300余万。组织“普法进校园”公益课堂活动，印制普法宣传册近2万份；全力推进“三防”课程、预防艾滋病和心理健康教育，提升青少年自我保护意识和防范能力。</w:t>
            </w:r>
          </w:p>
          <w:p>
            <w:pPr>
              <w:widowControl/>
              <w:spacing w:line="0" w:lineRule="atLeast"/>
              <w:ind w:firstLine="482"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lang w:val="en-US" w:eastAsia="zh-CN"/>
              </w:rPr>
              <w:t>3、坚持创新争先，服务大局积极有为。</w:t>
            </w:r>
            <w:r>
              <w:rPr>
                <w:rFonts w:hint="eastAsia" w:ascii="仿宋_GB2312" w:hAnsi="仿宋_GB2312" w:eastAsia="仿宋_GB2312" w:cs="仿宋_GB2312"/>
                <w:color w:val="000000"/>
                <w:kern w:val="0"/>
                <w:sz w:val="24"/>
                <w:szCs w:val="24"/>
                <w:lang w:val="en-US" w:eastAsia="zh-CN"/>
              </w:rPr>
              <w:t>一是助力脱贫攻坚。以“助力精准扶贫--青年在行动”主题活动为抓手，推进“1+100+1”</w:t>
            </w:r>
            <w:r>
              <w:rPr>
                <w:rFonts w:hint="eastAsia" w:ascii="仿宋_GB2312" w:hAnsi="仿宋_GB2312" w:eastAsia="仿宋_GB2312" w:cs="仿宋_GB2312"/>
                <w:color w:val="000000"/>
                <w:kern w:val="0"/>
                <w:sz w:val="24"/>
                <w:szCs w:val="24"/>
                <w:lang w:eastAsia="zh-CN"/>
              </w:rPr>
              <w:t>联系青年工作制度，</w:t>
            </w:r>
            <w:r>
              <w:rPr>
                <w:rFonts w:hint="eastAsia" w:ascii="仿宋_GB2312" w:hAnsi="仿宋_GB2312" w:eastAsia="仿宋_GB2312" w:cs="仿宋_GB2312"/>
                <w:color w:val="000000"/>
                <w:kern w:val="0"/>
                <w:sz w:val="24"/>
                <w:szCs w:val="24"/>
                <w:lang w:val="en-US" w:eastAsia="zh-CN"/>
              </w:rPr>
              <w:t>共帮扶贫困户200多户，提供物资10多万元。二是组织志愿活动。组织开展“青清家园”、“青春无毒”、“闪耀容城 青年筑梦”、“怦然心动”青年联谊交友、“联通未来·报考无忧”等系列活动。特别是疫情防控期间招募73名志愿者，服务时长13750小时，其中7名志愿者获省级荣誉。三是开展爱心帮扶。积极引进省市级项目，争取助学金18万元，累计资助贫困学子45名。开展“情暖童心”、“团暖冬日”等关爱留守儿童扶贫助学活动，为200余名贫困学子和留守儿童捐赠爱心款物10多万元。</w:t>
            </w:r>
          </w:p>
          <w:p>
            <w:pPr>
              <w:numPr>
                <w:ilvl w:val="0"/>
                <w:numId w:val="0"/>
              </w:numPr>
              <w:autoSpaceDN w:val="0"/>
              <w:spacing w:line="320" w:lineRule="exact"/>
              <w:jc w:val="left"/>
              <w:textAlignment w:val="center"/>
              <w:rPr>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：服务党政中心，精准扶贫见成效</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：慰问贫困家庭，关爱留守儿童，扶贫助学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：年度内完成情况</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年度内完成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：经费预算</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：湖南好人活动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：党建共创金融普惠活动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：步步行善助学捐步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：社会公众和服务对象满意度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黎舒曼</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副书记</w:t>
            </w:r>
            <w:r>
              <w:rPr>
                <w:rFonts w:hint="eastAsia" w:ascii="仿宋_GB2312" w:hAnsi="仿宋_GB2312" w:eastAsia="仿宋_GB2312" w:cs="仿宋_GB2312"/>
                <w:color w:val="000000"/>
                <w:sz w:val="24"/>
                <w:lang w:eastAsia="zh-CN"/>
              </w:rPr>
              <w:t>（主持工作）</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团县委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龙</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副书记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团县委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航</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团县委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pPr>
              <w:autoSpaceDN w:val="0"/>
              <w:spacing w:line="320" w:lineRule="exact"/>
              <w:ind w:firstLine="7200" w:firstLineChars="30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ind w:firstLine="7440" w:firstLineChars="3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ind w:firstLine="7440" w:firstLineChars="3100"/>
              <w:jc w:val="left"/>
              <w:textAlignment w:val="center"/>
              <w:rPr>
                <w:rFonts w:ascii="仿宋_GB2312" w:hAnsi="仿宋_GB2312" w:eastAsia="仿宋_GB2312" w:cs="仿宋_GB2312"/>
                <w:color w:val="000000"/>
                <w:sz w:val="24"/>
              </w:rPr>
            </w:pP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填报人（签名）：李航                   联系电话：</w:t>
      </w:r>
      <w:r>
        <w:rPr>
          <w:rFonts w:hint="eastAsia" w:ascii="仿宋_GB2312" w:hAnsi="仿宋_GB2312" w:eastAsia="仿宋_GB2312" w:cs="仿宋_GB2312"/>
          <w:color w:val="000000"/>
          <w:sz w:val="28"/>
          <w:szCs w:val="28"/>
        </w:rPr>
        <w:t>18390039098</w:t>
      </w:r>
    </w:p>
    <w:tbl>
      <w:tblPr>
        <w:tblStyle w:val="9"/>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五、评价报告综述（文字部分）</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单位为财政全额预算拨款单位，核定人员编制</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人，实有人数为</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）职责职能：</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、行使中共华容县委赋予的领导全县共青团、青联和少先队工作的职权，对全县青年社团组织进行指导和管理。</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、贯彻落实青少年工作方针、政策，参与制订青少年事业发展规划，对青少年活动阵地、青少年报刊、青少年服务机构的建设和青少年读物出版等事务进行规划和管理。</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、参与有关青少年事务的法律、法规的制订和实施，协助县委、县政府处理、协调与青少年利益有关的事务。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调查青少年思想动态和青年工作状况，研究青少年运动、青少年工作理论和青少年思想教育问题，提出相应的对策，开展各种有益的活动；研究青少年违法犯罪问题，协同有关部门开展青少年法制教育工作，预防青少年犯罪。</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、协助教育部门做好学生的教育管理工作，维护学校稳定和社会安定团结。</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、在全县经济建设中，组织和带领青少年发挥生力军和突击队的作用。</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、会同有关部门负责青少年外事工作和县外青少年组织、团体的交流工作；做好青年统战对象的团结教育工作。</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、承办县委、县政府交办的其他事项。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）内设机构：未设置内设机构。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、收入情况：全年收入56.4万元，其中：财政拨款收入56.4万元。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、支出情况</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全年支出56.4万元，其中：基本支出56.4万元，项目支出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、部门整体支出情况分析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2020年整体支出56.4万元，其中基本支出56.4万元，人员支出25.5万元，占基本支出45.2</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，公用支出30.9万元，占基本支出54.8</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；项目支出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、“三公经费”支出情况分析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2020年“三公经费”预算</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2万元，实际开支0万元，“三公经费”与去年基本持平，控制在预算之内。</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按照例行节约，物尽其用的原则，资产管理采取统一建账，统一核算管理，对每件固定资产使用明确保管职责，闲置的资产，由办公室统一调整，合理流动，发挥其效益；至2020年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月末固定资产</w:t>
            </w:r>
            <w:r>
              <w:rPr>
                <w:rFonts w:ascii="仿宋_GB2312" w:hAnsi="仿宋_GB2312" w:eastAsia="仿宋_GB2312" w:cs="仿宋_GB2312"/>
                <w:bCs/>
                <w:sz w:val="28"/>
                <w:szCs w:val="28"/>
              </w:rPr>
              <w:t>6.4</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2020年项目支出</w:t>
            </w:r>
            <w:r>
              <w:rPr>
                <w:rFonts w:ascii="仿宋_GB2312" w:hAnsi="仿宋_GB2312" w:eastAsia="仿宋_GB2312" w:cs="仿宋_GB2312"/>
                <w:bCs/>
                <w:sz w:val="28"/>
                <w:szCs w:val="28"/>
              </w:rPr>
              <w:t xml:space="preserve">  0  </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一是“三公经费”有待更严格控制</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进一步加强厉行节约机制。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二是预算编制与实际支出项目有的存在差异，有待进一步优化预算，提升预算编制的准确性。</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二是严格控制“三公经费”支出，杜绝挪用和挤占其他预算资金；进一步细化“三公经费”管理，压缩“三公经费”支出。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三是预算财务分析常态化，定期做好预算支出财务分析，做好部门整体支出预算评价工作。</w:t>
            </w:r>
          </w:p>
        </w:tc>
      </w:tr>
    </w:tbl>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900" w:type="dxa"/>
        <w:jc w:val="center"/>
        <w:tblInd w:w="0" w:type="dxa"/>
        <w:tblLayout w:type="fixed"/>
        <w:tblCellMar>
          <w:top w:w="0" w:type="dxa"/>
          <w:left w:w="108" w:type="dxa"/>
          <w:bottom w:w="0" w:type="dxa"/>
          <w:right w:w="108" w:type="dxa"/>
        </w:tblCellMar>
      </w:tblPr>
      <w:tblGrid>
        <w:gridCol w:w="976"/>
        <w:gridCol w:w="940"/>
        <w:gridCol w:w="1390"/>
        <w:gridCol w:w="4174"/>
        <w:gridCol w:w="619"/>
        <w:gridCol w:w="720"/>
        <w:gridCol w:w="1081"/>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1"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4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4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1"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1"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1"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1"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9"/>
        <w:tblW w:w="9930" w:type="dxa"/>
        <w:jc w:val="center"/>
        <w:tblInd w:w="0" w:type="dxa"/>
        <w:tblLayout w:type="fixed"/>
        <w:tblCellMar>
          <w:top w:w="0" w:type="dxa"/>
          <w:left w:w="108" w:type="dxa"/>
          <w:bottom w:w="0" w:type="dxa"/>
          <w:right w:w="108" w:type="dxa"/>
        </w:tblCellMar>
      </w:tblPr>
      <w:tblGrid>
        <w:gridCol w:w="979"/>
        <w:gridCol w:w="942"/>
        <w:gridCol w:w="1394"/>
        <w:gridCol w:w="4187"/>
        <w:gridCol w:w="621"/>
        <w:gridCol w:w="723"/>
        <w:gridCol w:w="1084"/>
      </w:tblGrid>
      <w:tr>
        <w:tblPrEx>
          <w:tblLayout w:type="fixed"/>
          <w:tblCellMar>
            <w:top w:w="0" w:type="dxa"/>
            <w:left w:w="108" w:type="dxa"/>
            <w:bottom w:w="0" w:type="dxa"/>
            <w:right w:w="108" w:type="dxa"/>
          </w:tblCellMar>
        </w:tblPrEx>
        <w:trPr>
          <w:trHeight w:val="678" w:hRule="atLeast"/>
          <w:jc w:val="center"/>
        </w:trPr>
        <w:tc>
          <w:tcPr>
            <w:tcW w:w="97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8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4"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7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8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4"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8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7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8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hint="eastAsia"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7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87"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8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8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4"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231" w:hRule="atLeast"/>
          <w:jc w:val="center"/>
        </w:trPr>
        <w:tc>
          <w:tcPr>
            <w:tcW w:w="9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8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7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8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rPr>
          <w:rFonts w:eastAsia="仿宋_GB2312"/>
          <w:sz w:val="32"/>
        </w:rPr>
      </w:pPr>
    </w:p>
    <w:p>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F79"/>
    <w:multiLevelType w:val="multilevel"/>
    <w:tmpl w:val="014C6F79"/>
    <w:lvl w:ilvl="0" w:tentative="0">
      <w:start w:val="1"/>
      <w:numFmt w:val="japaneseCounting"/>
      <w:pStyle w:val="3"/>
      <w:lvlText w:val="%1、"/>
      <w:lvlJc w:val="left"/>
      <w:pPr>
        <w:ind w:left="720" w:hanging="720"/>
      </w:pPr>
      <w:rPr>
        <w:rFonts w:hint="default" w:cs="Times New Roman"/>
        <w:u w:val="none"/>
      </w:rPr>
    </w:lvl>
    <w:lvl w:ilvl="1" w:tentative="0">
      <w:start w:val="1"/>
      <w:numFmt w:val="lowerLetter"/>
      <w:lvlText w:val="%2)"/>
      <w:lvlJc w:val="left"/>
      <w:pPr>
        <w:ind w:left="840" w:hanging="420"/>
      </w:pPr>
      <w:rPr>
        <w:rFonts w:hint="default" w:cs="Times New Roman"/>
        <w:u w:val="none"/>
      </w:rPr>
    </w:lvl>
    <w:lvl w:ilvl="2" w:tentative="0">
      <w:start w:val="1"/>
      <w:numFmt w:val="lowerRoman"/>
      <w:lvlText w:val="%3."/>
      <w:lvlJc w:val="right"/>
      <w:pPr>
        <w:ind w:left="1260" w:hanging="420"/>
      </w:pPr>
      <w:rPr>
        <w:rFonts w:hint="default" w:cs="Times New Roman"/>
        <w:u w:val="none"/>
      </w:rPr>
    </w:lvl>
    <w:lvl w:ilvl="3" w:tentative="0">
      <w:start w:val="1"/>
      <w:numFmt w:val="decimal"/>
      <w:lvlText w:val="%4."/>
      <w:lvlJc w:val="left"/>
      <w:pPr>
        <w:ind w:left="1680" w:hanging="420"/>
      </w:pPr>
      <w:rPr>
        <w:rFonts w:hint="default" w:cs="Times New Roman"/>
        <w:u w:val="none"/>
      </w:rPr>
    </w:lvl>
    <w:lvl w:ilvl="4" w:tentative="0">
      <w:start w:val="1"/>
      <w:numFmt w:val="lowerLetter"/>
      <w:lvlText w:val="%5)"/>
      <w:lvlJc w:val="left"/>
      <w:pPr>
        <w:ind w:left="2100" w:hanging="420"/>
      </w:pPr>
      <w:rPr>
        <w:rFonts w:hint="default" w:cs="Times New Roman"/>
        <w:u w:val="none"/>
      </w:rPr>
    </w:lvl>
    <w:lvl w:ilvl="5" w:tentative="0">
      <w:start w:val="1"/>
      <w:numFmt w:val="lowerRoman"/>
      <w:lvlText w:val="%6."/>
      <w:lvlJc w:val="right"/>
      <w:pPr>
        <w:ind w:left="2520" w:hanging="420"/>
      </w:pPr>
      <w:rPr>
        <w:rFonts w:hint="default" w:cs="Times New Roman"/>
        <w:u w:val="none"/>
      </w:rPr>
    </w:lvl>
    <w:lvl w:ilvl="6" w:tentative="0">
      <w:start w:val="1"/>
      <w:numFmt w:val="decimal"/>
      <w:lvlText w:val="%7."/>
      <w:lvlJc w:val="left"/>
      <w:pPr>
        <w:ind w:left="2940" w:hanging="420"/>
      </w:pPr>
      <w:rPr>
        <w:rFonts w:hint="default" w:cs="Times New Roman"/>
        <w:u w:val="none"/>
      </w:rPr>
    </w:lvl>
    <w:lvl w:ilvl="7" w:tentative="0">
      <w:start w:val="1"/>
      <w:numFmt w:val="lowerLetter"/>
      <w:lvlText w:val="%8)"/>
      <w:lvlJc w:val="left"/>
      <w:pPr>
        <w:ind w:left="3360" w:hanging="420"/>
      </w:pPr>
      <w:rPr>
        <w:rFonts w:hint="default" w:cs="Times New Roman"/>
        <w:u w:val="none"/>
      </w:rPr>
    </w:lvl>
    <w:lvl w:ilvl="8" w:tentative="0">
      <w:start w:val="1"/>
      <w:numFmt w:val="lowerRoman"/>
      <w:lvlText w:val="%9."/>
      <w:lvlJc w:val="right"/>
      <w:pPr>
        <w:ind w:left="3780" w:hanging="42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1199A"/>
    <w:rsid w:val="000F37B0"/>
    <w:rsid w:val="001365E4"/>
    <w:rsid w:val="001D5EE5"/>
    <w:rsid w:val="0024633C"/>
    <w:rsid w:val="00273688"/>
    <w:rsid w:val="00295987"/>
    <w:rsid w:val="002A73E0"/>
    <w:rsid w:val="003166C9"/>
    <w:rsid w:val="0040463C"/>
    <w:rsid w:val="00423810"/>
    <w:rsid w:val="004816FF"/>
    <w:rsid w:val="004B1D50"/>
    <w:rsid w:val="004D4951"/>
    <w:rsid w:val="0053470F"/>
    <w:rsid w:val="005753FC"/>
    <w:rsid w:val="005B5F71"/>
    <w:rsid w:val="0065028A"/>
    <w:rsid w:val="0068697F"/>
    <w:rsid w:val="00691C1D"/>
    <w:rsid w:val="007441BB"/>
    <w:rsid w:val="00766B61"/>
    <w:rsid w:val="007B2063"/>
    <w:rsid w:val="008067BC"/>
    <w:rsid w:val="00810E70"/>
    <w:rsid w:val="00815687"/>
    <w:rsid w:val="008277A9"/>
    <w:rsid w:val="00835293"/>
    <w:rsid w:val="0087115D"/>
    <w:rsid w:val="00950495"/>
    <w:rsid w:val="00991691"/>
    <w:rsid w:val="009E45B1"/>
    <w:rsid w:val="009F42D4"/>
    <w:rsid w:val="00A51B72"/>
    <w:rsid w:val="00A61C52"/>
    <w:rsid w:val="00AA484A"/>
    <w:rsid w:val="00AB1214"/>
    <w:rsid w:val="00AD126F"/>
    <w:rsid w:val="00B256FE"/>
    <w:rsid w:val="00BE088B"/>
    <w:rsid w:val="00C3666C"/>
    <w:rsid w:val="00CA75EA"/>
    <w:rsid w:val="00D24A94"/>
    <w:rsid w:val="00D266C9"/>
    <w:rsid w:val="00D913B5"/>
    <w:rsid w:val="00DA75C1"/>
    <w:rsid w:val="00DF70C7"/>
    <w:rsid w:val="00DF7FA3"/>
    <w:rsid w:val="00E52945"/>
    <w:rsid w:val="00F167F3"/>
    <w:rsid w:val="00F229A3"/>
    <w:rsid w:val="083749E7"/>
    <w:rsid w:val="0DE528CD"/>
    <w:rsid w:val="14B4617F"/>
    <w:rsid w:val="17855C08"/>
    <w:rsid w:val="18725427"/>
    <w:rsid w:val="20055F38"/>
    <w:rsid w:val="247B0DFF"/>
    <w:rsid w:val="263C173A"/>
    <w:rsid w:val="2CA33441"/>
    <w:rsid w:val="2CE55C20"/>
    <w:rsid w:val="2F287302"/>
    <w:rsid w:val="30426D13"/>
    <w:rsid w:val="3A43255A"/>
    <w:rsid w:val="3D6201A1"/>
    <w:rsid w:val="3D915710"/>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9"/>
    <w:pPr>
      <w:numPr>
        <w:ilvl w:val="0"/>
        <w:numId w:val="1"/>
      </w:numPr>
      <w:outlineLvl w:val="0"/>
    </w:pPr>
    <w:rPr>
      <w:rFonts w:ascii="黑体" w:hAnsi="黑体" w:eastAsia="黑体"/>
      <w:sz w:val="30"/>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qFormat/>
    <w:locked/>
    <w:uiPriority w:val="0"/>
    <w:pPr>
      <w:widowControl w:val="0"/>
      <w:spacing w:before="100" w:beforeAutospacing="1" w:after="0"/>
      <w:ind w:left="0" w:leftChars="200" w:firstLine="420" w:firstLineChars="200"/>
      <w:jc w:val="both"/>
    </w:pPr>
    <w:rPr>
      <w:rFonts w:ascii="Calibri" w:hAnsi="Calibri" w:eastAsia="宋体" w:cs="Times New Roman"/>
      <w:kern w:val="2"/>
      <w:sz w:val="21"/>
      <w:szCs w:val="22"/>
      <w:lang w:val="en-US" w:eastAsia="zh-CN" w:bidi="ar-SA"/>
    </w:rPr>
  </w:style>
  <w:style w:type="paragraph" w:styleId="4">
    <w:name w:val="Body Text Indent 2"/>
    <w:basedOn w:val="1"/>
    <w:link w:val="11"/>
    <w:uiPriority w:val="99"/>
    <w:pPr>
      <w:ind w:firstLine="588" w:firstLineChars="200"/>
    </w:pPr>
    <w:rPr>
      <w:rFonts w:ascii="仿宋_GB2312" w:hAnsi="Calibri" w:eastAsia="仿宋_GB2312"/>
      <w:sz w:val="32"/>
    </w:rPr>
  </w:style>
  <w:style w:type="paragraph" w:styleId="5">
    <w:name w:val="footer"/>
    <w:basedOn w:val="1"/>
    <w:link w:val="12"/>
    <w:uiPriority w:val="99"/>
    <w:pPr>
      <w:tabs>
        <w:tab w:val="center" w:pos="4153"/>
        <w:tab w:val="right" w:pos="8306"/>
      </w:tabs>
      <w:snapToGrid w:val="0"/>
      <w:jc w:val="left"/>
    </w:pPr>
    <w:rPr>
      <w:kern w:val="0"/>
      <w:sz w:val="18"/>
      <w:szCs w:val="18"/>
    </w:rPr>
  </w:style>
  <w:style w:type="paragraph" w:styleId="6">
    <w:name w:val="header"/>
    <w:basedOn w:val="1"/>
    <w:link w:val="14"/>
    <w:semiHidden/>
    <w:unhideWhenUsed/>
    <w:lock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10">
    <w:name w:val="标题 1 Char"/>
    <w:basedOn w:val="7"/>
    <w:link w:val="3"/>
    <w:uiPriority w:val="9"/>
    <w:rPr>
      <w:b/>
      <w:bCs/>
      <w:kern w:val="44"/>
      <w:sz w:val="44"/>
      <w:szCs w:val="44"/>
    </w:rPr>
  </w:style>
  <w:style w:type="character" w:customStyle="1" w:styleId="11">
    <w:name w:val="正文文本缩进 2 Char"/>
    <w:basedOn w:val="7"/>
    <w:link w:val="4"/>
    <w:semiHidden/>
    <w:locked/>
    <w:uiPriority w:val="99"/>
    <w:rPr>
      <w:rFonts w:cs="Times New Roman"/>
      <w:sz w:val="24"/>
      <w:szCs w:val="24"/>
    </w:rPr>
  </w:style>
  <w:style w:type="character" w:customStyle="1" w:styleId="12">
    <w:name w:val="页脚 Char"/>
    <w:basedOn w:val="7"/>
    <w:link w:val="5"/>
    <w:semiHidden/>
    <w:locked/>
    <w:uiPriority w:val="99"/>
    <w:rPr>
      <w:rFonts w:cs="Times New Roman"/>
      <w:sz w:val="18"/>
      <w:szCs w:val="18"/>
    </w:rPr>
  </w:style>
  <w:style w:type="character" w:customStyle="1" w:styleId="13">
    <w:name w:val="标题 3 Char Char"/>
    <w:uiPriority w:val="99"/>
    <w:rPr>
      <w:rFonts w:eastAsia="楷体_GB2312"/>
      <w:b/>
      <w:kern w:val="2"/>
      <w:sz w:val="24"/>
      <w:lang w:val="en-US" w:eastAsia="zh-CN"/>
    </w:rPr>
  </w:style>
  <w:style w:type="character" w:customStyle="1" w:styleId="14">
    <w:name w:val="页眉 Char"/>
    <w:basedOn w:val="7"/>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940</Words>
  <Characters>5364</Characters>
  <Lines>44</Lines>
  <Paragraphs>12</Paragraphs>
  <TotalTime>13</TotalTime>
  <ScaleCrop>false</ScaleCrop>
  <LinksUpToDate>false</LinksUpToDate>
  <CharactersWithSpaces>6292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2021-07-28T06:33:00Z</cp:lastPrinted>
  <dcterms:modified xsi:type="dcterms:W3CDTF">2021-07-29T00:56:50Z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