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名称：中共华容县委机构编制委员会办公</w:t>
      </w:r>
      <w:r>
        <w:rPr>
          <w:rFonts w:hint="eastAsia" w:eastAsia="仿宋_GB2312"/>
          <w:sz w:val="32"/>
          <w:szCs w:val="32"/>
          <w:lang w:eastAsia="zh-CN"/>
        </w:rPr>
        <w:t>室</w:t>
      </w:r>
      <w:r>
        <w:rPr>
          <w:rFonts w:hint="eastAsia" w:eastAsia="仿宋_GB2312"/>
          <w:sz w:val="32"/>
          <w:szCs w:val="32"/>
          <w:lang w:val="en-US" w:eastAsia="zh-CN"/>
        </w:rPr>
        <w:t xml:space="preserve"> </w:t>
      </w:r>
      <w:bookmarkStart w:id="0" w:name="_GoBack"/>
      <w:bookmarkEnd w:id="0"/>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eastAsia="仿宋_GB2312"/>
          <w:spacing w:val="30"/>
          <w:sz w:val="32"/>
          <w:szCs w:val="32"/>
        </w:rPr>
        <w:t>118001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rPr>
        <w:t>1年7月</w:t>
      </w:r>
      <w:r>
        <w:rPr>
          <w:rFonts w:eastAsia="仿宋_GB2312"/>
          <w:sz w:val="32"/>
        </w:rPr>
        <w:t>2</w:t>
      </w:r>
      <w:r>
        <w:rPr>
          <w:rFonts w:hint="eastAsia" w:eastAsia="仿宋_GB2312"/>
          <w:sz w:val="32"/>
        </w:rPr>
        <w:t>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张杰汉</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13974040707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中央和省市有关行政管理体制和机构改革以及机构编制管理的法律法规和政策；起草机构编制管理的规范性文件；统一管理全县各级党政机关（含党委、政府各部门，人大、政协、法院、检察院机关，人民团体机关以及其他行政机构，下同）和事业单位的机构编制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（二）拟订全县行政管理体制和机构改革总体方案并组织实施；审核县直党政机关各部门和乡镇党政机构改革方案；指导、协调全县行政管理体制改革和机构改革工作。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（三）拟订全县事业单位管理体制与机构改革总体方案并组织实施；审核全县副科级以上事业单位和乡镇事业单位机构改革方案；指导、协调全县各级事业单位机构改革工作。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审核全县科级机构、乡镇党政机构和事业单位的设置和调整方案；研究提出县直党政机关职责配置和调整意见，协调各部门之间、部门与乡镇之间的事权职责分工；审定县直股级事业单位机构改革方案；审定全县科级机构的内设机构、县直股级事业单位的设置和调整方案。</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审核县直党政机关各部门、全县副科级以上事业单位人员编制方案；审定县直股级事业单位人员编制方案；会同相关部门提出县直党政机关、科级以上事业单位职数配备和调整方案；审定县直党政机关、事业单位股级干部职数；拟订全县各级党政机关行政编制、政法专项编制总额分配和调整方案；研究提出事业单位编制控制计划，拟订全县事业单位机构编制标准和管理办法。</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（六）拟订全县乡镇机构改革总体方案并指导实施；管理全县乡镇机构和人员编制。</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负责全县各级党政机关、事业单位机构编制实名制管理；审核纳入县级财政统一发放工资的同级党政机关、事业单位（含收取规费的事业单位）的人员编制性质、数量、实有人数和领导职数；负责全县机构编制统计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（八）负责全县各级机关事业单位辅助性、替代性、临时性用工计划的审核工作，督促、指导各用人单位规范劳动用工。</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贯彻执行国家有关事业单位登记管理的法律、法规、规章，拟订全县事业单位登记管理的相关文件并组织实施；依法对本级登记管辖范围内的事业单位进行登记管理，积极开展事业单位法人履职评估工作，会同有关部门认真做好事业单位法定代表人离任审计工作；指导、协调、监督全县事业单位登记管理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（十）监督检查全县各级党政机关、事业单位机构编制及行政管理体制改革和机构改革的执行情况，会同有关部门查处机构编制违规违纪行为。</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（十一）承担全县党政机关、事业单位公务用车的编制管理工作。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（十二）负责组织和指导全县党政机关、事业单位政务类和公益类网上中文域名的注册申报及管理工作。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（十三）承办县委、县人民政府和县委机构编制委员会交办的其他事项。</w:t>
            </w: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年度主要</w:t>
            </w:r>
          </w:p>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工作内容</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任务</w:t>
            </w:r>
            <w:r>
              <w:rPr>
                <w:rFonts w:ascii="仿宋_GB2312" w:hAnsi="仿宋_GB2312" w:eastAsia="仿宋_GB2312" w:cs="仿宋_GB2312"/>
                <w:color w:val="FF0000"/>
                <w:sz w:val="24"/>
              </w:rPr>
              <w:t>1</w:t>
            </w:r>
            <w:r>
              <w:rPr>
                <w:rFonts w:hint="eastAsia" w:ascii="仿宋_GB2312" w:hAnsi="仿宋_GB2312" w:eastAsia="仿宋_GB2312" w:cs="仿宋_GB2312"/>
                <w:color w:val="FF0000"/>
                <w:sz w:val="24"/>
              </w:rPr>
              <w:t>：机构编制只减不增</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任务</w:t>
            </w:r>
            <w:r>
              <w:rPr>
                <w:rFonts w:ascii="仿宋_GB2312" w:hAnsi="仿宋_GB2312" w:eastAsia="仿宋_GB2312" w:cs="仿宋_GB2312"/>
                <w:color w:val="FF0000"/>
                <w:sz w:val="24"/>
              </w:rPr>
              <w:t>2</w:t>
            </w:r>
            <w:r>
              <w:rPr>
                <w:rFonts w:hint="eastAsia" w:ascii="仿宋_GB2312" w:hAnsi="仿宋_GB2312" w:eastAsia="仿宋_GB2312" w:cs="仿宋_GB2312"/>
                <w:color w:val="FF0000"/>
                <w:sz w:val="24"/>
              </w:rPr>
              <w:t>：事业单位法人登记任务</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任务</w:t>
            </w:r>
            <w:r>
              <w:rPr>
                <w:rFonts w:ascii="仿宋_GB2312" w:hAnsi="仿宋_GB2312" w:eastAsia="仿宋_GB2312" w:cs="仿宋_GB2312"/>
                <w:color w:val="FF0000"/>
                <w:sz w:val="24"/>
              </w:rPr>
              <w:t>3</w:t>
            </w:r>
            <w:r>
              <w:rPr>
                <w:rFonts w:hint="eastAsia" w:ascii="仿宋_GB2312" w:hAnsi="仿宋_GB2312" w:eastAsia="仿宋_GB2312" w:cs="仿宋_GB2312"/>
                <w:color w:val="FF0000"/>
                <w:sz w:val="24"/>
              </w:rPr>
              <w:t>：机构编制日常管理、权力清单责任清单制定等</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FF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机构编制每年只减不增,财政供养人员每年只减不增,核定的领导职数每年只减不增。完成各项职责任务。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215.4</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150.4</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任务</w:t>
            </w:r>
            <w:r>
              <w:rPr>
                <w:rFonts w:ascii="仿宋_GB2312" w:hAnsi="仿宋_GB2312" w:eastAsia="仿宋_GB2312" w:cs="仿宋_GB2312"/>
                <w:color w:val="FF0000"/>
                <w:sz w:val="24"/>
              </w:rPr>
              <w:t>1</w:t>
            </w:r>
            <w:r>
              <w:rPr>
                <w:rFonts w:hint="eastAsia" w:ascii="仿宋_GB2312" w:hAnsi="仿宋_GB2312" w:eastAsia="仿宋_GB2312" w:cs="仿宋_GB2312"/>
                <w:color w:val="FF0000"/>
                <w:sz w:val="24"/>
              </w:rPr>
              <w:t>：机构编制只减不增</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任务</w:t>
            </w:r>
            <w:r>
              <w:rPr>
                <w:rFonts w:ascii="仿宋_GB2312" w:hAnsi="仿宋_GB2312" w:eastAsia="仿宋_GB2312" w:cs="仿宋_GB2312"/>
                <w:color w:val="FF0000"/>
                <w:sz w:val="24"/>
              </w:rPr>
              <w:t>2</w:t>
            </w:r>
            <w:r>
              <w:rPr>
                <w:rFonts w:hint="eastAsia" w:ascii="仿宋_GB2312" w:hAnsi="仿宋_GB2312" w:eastAsia="仿宋_GB2312" w:cs="仿宋_GB2312"/>
                <w:color w:val="FF0000"/>
                <w:sz w:val="24"/>
              </w:rPr>
              <w:t>：事业单位法人登记任务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FF0000"/>
                <w:sz w:val="24"/>
              </w:rPr>
              <w:t>任务</w:t>
            </w:r>
            <w:r>
              <w:rPr>
                <w:rFonts w:ascii="仿宋_GB2312" w:hAnsi="仿宋_GB2312" w:eastAsia="仿宋_GB2312" w:cs="仿宋_GB2312"/>
                <w:color w:val="FF0000"/>
                <w:sz w:val="24"/>
              </w:rPr>
              <w:t>3</w:t>
            </w:r>
            <w:r>
              <w:rPr>
                <w:rFonts w:hint="eastAsia" w:ascii="仿宋_GB2312" w:hAnsi="仿宋_GB2312" w:eastAsia="仿宋_GB2312" w:cs="仿宋_GB2312"/>
                <w:color w:val="FF0000"/>
                <w:sz w:val="24"/>
              </w:rPr>
              <w:t>：机构编制日常管理、权力清单责任清单制定等</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：机构编制只减不增</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己完成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spacing w:line="320" w:lineRule="exact"/>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spacing w:line="320" w:lineRule="exact"/>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事业单位法人登记</w:t>
            </w:r>
            <w:r>
              <w:rPr>
                <w:rFonts w:hint="eastAsia" w:ascii="仿宋_GB2312" w:hAnsi="仿宋_GB2312" w:eastAsia="仿宋_GB2312" w:cs="仿宋_GB2312"/>
                <w:color w:val="000000"/>
                <w:sz w:val="24"/>
                <w:lang w:val="en-US" w:eastAsia="zh-CN"/>
              </w:rPr>
              <w:t>100%登记</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己完成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：年度内完成目标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己完成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：预算内控制成本</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己完成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：社会公众或服务对象满意度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张义</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县编办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刘红波</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综合办主任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县编办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刘红波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邓亮</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事务中心副主任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县编办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邓亮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2020</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30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填报人（签名）：张杰汉               联系电话：</w:t>
      </w:r>
      <w:r>
        <w:rPr>
          <w:rFonts w:eastAsia="仿宋_GB2312" w:cs="仿宋_GB2312"/>
          <w:bCs/>
          <w:sz w:val="28"/>
          <w:szCs w:val="28"/>
        </w:rPr>
        <w:t>13974040707</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（一）部门（单位）基本情况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单位为财政全额预算拨款单位，</w:t>
            </w:r>
            <w:r>
              <w:rPr>
                <w:rFonts w:hint="eastAsia" w:ascii="仿宋_GB2312" w:hAnsi="宋体" w:eastAsia="仿宋_GB2312" w:cs="宋体"/>
                <w:sz w:val="32"/>
                <w:szCs w:val="32"/>
                <w:shd w:val="clear" w:color="auto" w:fill="FFFFFF"/>
                <w:lang w:eastAsia="zh-CN"/>
              </w:rPr>
              <w:t>机关行政编</w:t>
            </w:r>
            <w:r>
              <w:rPr>
                <w:rFonts w:hint="eastAsia" w:ascii="仿宋_GB2312" w:hAnsi="宋体" w:eastAsia="仿宋_GB2312" w:cs="宋体"/>
                <w:sz w:val="32"/>
                <w:szCs w:val="32"/>
                <w:shd w:val="clear" w:color="auto" w:fill="FFFFFF"/>
                <w:lang w:val="en-US" w:eastAsia="zh-CN"/>
              </w:rPr>
              <w:t>7名，事务中心编制6名，</w:t>
            </w:r>
            <w:r>
              <w:rPr>
                <w:rFonts w:hint="eastAsia" w:ascii="仿宋_GB2312" w:hAnsi="宋体" w:eastAsia="仿宋_GB2312" w:cs="宋体"/>
                <w:sz w:val="32"/>
                <w:szCs w:val="32"/>
                <w:shd w:val="clear" w:color="auto" w:fill="FFFFFF"/>
                <w:lang w:eastAsia="zh-CN"/>
              </w:rPr>
              <w:t>合计</w:t>
            </w:r>
            <w:r>
              <w:rPr>
                <w:rFonts w:hint="eastAsia" w:ascii="仿宋_GB2312" w:hAnsi="宋体" w:eastAsia="仿宋_GB2312" w:cs="宋体"/>
                <w:sz w:val="32"/>
                <w:szCs w:val="32"/>
                <w:shd w:val="clear" w:color="auto" w:fill="FFFFFF"/>
                <w:lang w:val="en-US" w:eastAsia="zh-CN"/>
              </w:rPr>
              <w:t>13名</w:t>
            </w:r>
            <w:r>
              <w:rPr>
                <w:rFonts w:hint="eastAsia" w:ascii="仿宋_GB2312" w:hAnsi="宋体" w:eastAsia="仿宋_GB2312" w:cs="宋体"/>
                <w:sz w:val="32"/>
                <w:szCs w:val="32"/>
                <w:shd w:val="clear" w:color="auto" w:fill="FFFFFF"/>
              </w:rPr>
              <w:t>，实有人数为</w:t>
            </w: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lang w:val="en-US" w:eastAsia="zh-CN"/>
              </w:rPr>
              <w:t>3</w:t>
            </w:r>
            <w:r>
              <w:rPr>
                <w:rFonts w:hint="eastAsia" w:ascii="仿宋_GB2312" w:hAnsi="宋体" w:eastAsia="仿宋_GB2312" w:cs="宋体"/>
                <w:sz w:val="32"/>
                <w:szCs w:val="32"/>
                <w:shd w:val="clear" w:color="auto" w:fill="FFFFFF"/>
              </w:rPr>
              <w:t>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、职责职能：</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贯彻执行中央和省市有关行政管理体制和机构改革以及机构编制管理的法律法规和政策；起草机构编制管理的规范性文件；统一管理全县各级党政机关（含党委、政府各部门，人大、政协、法院、检察院机关，人民团体机关以及其他行政机构，下同）和事业单位的机构编制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（二）拟订全县行政管理体制和机构改革总体方案并组织实施；审核县直党政机关各部门和乡镇党政机构改革方案；指导、协调全县行政管理体制改革和机构改革工作。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（三）拟订全县事业单位管理体制与机构改革总体方案并组织实施；审核全县副科级以上事业单位和乡镇事业单位机构改革方案；指导、协调全县各级事业单位机构改革工作。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审核全县科级机构、乡镇党政机构和事业单位的设置和调整方案；研究提出县直党政机关职责配置和调整意见，协调各部门之间、部门与乡镇之间的事权职责分工；审定县直股级事业单位机构改革方案；审定全县科级机构的内设机构、县直股级事业单位的设置和调整方案。</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审核县直党政机关各部门、全县副科级以上事业单位人员编制方案；审定县直股级事业单位人员编制方案；会同相关部门提出县直党政机关、科级以上事业单位职数配备和调整方案；审定县直党政机关、事业单位股级干部职数；拟订全县各级党政机关行政编制、政法专项编制总额分配和调整方案；研究提出事业单位编制控制计划，拟订全县事业单位机构编制标准和管理办法。</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（六）拟订全县乡镇机构改革总体方案并指导实施；管理全县乡镇机构和人员编制。</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七）负责全县各级党政机关、事业单位机构编制实名制管理；审核纳入县级财政统一发放工资的同级党政机关、事业单位（含收取规费的事业单位）的人员编制性质、数量、实有人数和领导职数；负责全县机构编制统计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（八）负责全县各级机关事业单位辅助性、替代性、临时性用工计划的审核工作，督促、指导各用人单位规范劳动用工。</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九）贯彻执行国家有关事业单位登记管理的法律、法规、规章，拟订全县事业单位登记管理的相关文件并组织实施；依法对本级登记管辖范围内的事业单位进行登记管理，积极开展事业单位法人履职评估工作，会同有关部门认真做好事业单位法定代表人离任审计工作；指导、协调、监督全县事业单位登记管理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（十）监督检查全县各级党政机关、事业单位机构编制及行政管理体制改革和机构改革的执行情况，会同有关部门查处机构编制违规违纪行为。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（十一）承担全县党政机关、事业单位公务用车的编制管理工作。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（十二）负责组织和指导全县党政机关、事业单位政务类和公益类网上中文域名的注册申报及管理工作。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（十三）承办县委、县人民政府和县委机构编制委员会交办的其他事项。</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、内设机构：</w:t>
            </w:r>
          </w:p>
          <w:p>
            <w:pPr>
              <w:spacing w:line="560" w:lineRule="exact"/>
              <w:ind w:firstLine="640" w:firstLineChars="200"/>
              <w:rPr>
                <w:rFonts w:ascii="宋体" w:cs="宋体"/>
                <w:color w:val="FF0000"/>
                <w:sz w:val="32"/>
                <w:szCs w:val="32"/>
                <w:lang w:val="zh-CN"/>
              </w:rPr>
            </w:pPr>
            <w:r>
              <w:rPr>
                <w:rFonts w:hint="eastAsia" w:ascii="仿宋_GB2312" w:hAnsi="宋体" w:eastAsia="仿宋_GB2312" w:cs="宋体"/>
                <w:sz w:val="32"/>
                <w:szCs w:val="32"/>
                <w:shd w:val="clear" w:color="auto" w:fill="FFFFFF"/>
              </w:rPr>
              <w:t>综合室、行政编制办、事业编制办、事业单位登记办、行政审批制度改革办公室。</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（二）部门（单位）整体支出规模</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、收入情况：全年收入215.4万元，其中：财政拨款收入215.4万元。</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、支出情况</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全年支出215.4万元，其中：基本支出215.4万元（人员支出150.4万元，公用支出65万元），项目支出0万元。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二、部门（单位）整体支出管理及使用情况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（一）基本支出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、部门整体支出情况分析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2020年整体支出215.4万元，其中基本支出215.4万元，人员支出150.4万元，占基本支出70</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，公用支出65万元，占基本支出30</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。项目支出0万元。</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、“三公经费”支出情况分析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2020年“三公经费”预算1.2万元，实际开支</w:t>
            </w:r>
            <w:r>
              <w:rPr>
                <w:rFonts w:ascii="仿宋_GB2312" w:hAnsi="宋体" w:eastAsia="仿宋_GB2312" w:cs="宋体"/>
                <w:sz w:val="32"/>
                <w:szCs w:val="32"/>
                <w:shd w:val="clear" w:color="auto" w:fill="FFFFFF"/>
              </w:rPr>
              <w:t>0.7</w:t>
            </w:r>
            <w:r>
              <w:rPr>
                <w:rFonts w:hint="eastAsia" w:ascii="仿宋_GB2312" w:hAnsi="宋体" w:eastAsia="仿宋_GB2312" w:cs="宋体"/>
                <w:sz w:val="32"/>
                <w:szCs w:val="32"/>
                <w:shd w:val="clear" w:color="auto" w:fill="FFFFFF"/>
              </w:rPr>
              <w:t>万元。“三公经费”比去年减少了</w:t>
            </w:r>
            <w:r>
              <w:rPr>
                <w:rFonts w:ascii="仿宋_GB2312" w:hAnsi="宋体" w:eastAsia="仿宋_GB2312" w:cs="宋体"/>
                <w:sz w:val="32"/>
                <w:szCs w:val="32"/>
                <w:shd w:val="clear" w:color="auto" w:fill="FFFFFF"/>
              </w:rPr>
              <w:t>0.0</w:t>
            </w:r>
            <w:r>
              <w:rPr>
                <w:rFonts w:hint="eastAsia" w:ascii="仿宋_GB2312" w:hAnsi="宋体" w:eastAsia="仿宋_GB2312" w:cs="宋体"/>
                <w:sz w:val="32"/>
                <w:szCs w:val="32"/>
                <w:shd w:val="clear" w:color="auto" w:fill="FFFFFF"/>
              </w:rPr>
              <w:t>6万元，控制在预算之内。</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3</w:t>
            </w:r>
            <w:r>
              <w:rPr>
                <w:rFonts w:hint="eastAsia" w:ascii="仿宋_GB2312" w:hAnsi="宋体" w:eastAsia="仿宋_GB2312" w:cs="宋体"/>
                <w:sz w:val="32"/>
                <w:szCs w:val="32"/>
                <w:shd w:val="clear" w:color="auto" w:fill="FFFFFF"/>
              </w:rPr>
              <w:t>、固定资产管理情况分析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按照例行节约，物尽其用的原则，资产管理采取统一建账，统一核算管理，对每件固定资产使用明确保管职责，闲置的资产，由办公室统一调整，合理流动，发挥其效益；至2020年</w:t>
            </w:r>
            <w:r>
              <w:rPr>
                <w:rFonts w:ascii="仿宋_GB2312" w:hAnsi="宋体" w:eastAsia="仿宋_GB2312" w:cs="宋体"/>
                <w:sz w:val="32"/>
                <w:szCs w:val="32"/>
                <w:shd w:val="clear" w:color="auto" w:fill="FFFFFF"/>
              </w:rPr>
              <w:t>12</w:t>
            </w:r>
            <w:r>
              <w:rPr>
                <w:rFonts w:hint="eastAsia" w:ascii="仿宋_GB2312" w:hAnsi="宋体" w:eastAsia="仿宋_GB2312" w:cs="宋体"/>
                <w:sz w:val="32"/>
                <w:szCs w:val="32"/>
                <w:shd w:val="clear" w:color="auto" w:fill="FFFFFF"/>
              </w:rPr>
              <w:t>月末固定资产19.2万元。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（二）专项支出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、专项资金安排落实、总投入等情况分析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2020年项目支出0万元。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三、部门（单位）整体支出绩效情况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2020年，根据年初工作规划和重点工作，围绕县委、县政府的工作部署，积极履行职责，强化管理，较好地完成了年度工作目标，同时加强预算收支的管理，建立健全内部管理制度，严格内部管理流程，部门整体支出管理得到了提升。2020年度部门整体支出绩效情况如下：</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财务管理上，按照国家相关法律法规，制定了机关财务、公物购置使用、接待、会务、差旅等管理制度，并严格按照制度管理和执行，防范风险，保证财政资金的安全和高效运行。</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四、存在的主要问题</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一是“三公经费”有待更严格控制</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进一步加强厉行节约机制。</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二是预算编制与实际支出项目有的存在差异，有待进一步优化预算，提高预算编制的准确性。</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五、改进措施和有关建议</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一是按照预算规定的项目和用途严格财务审核，经费支出严格按预算规定项目的财务支出内容进行财务核算，在预算金额内严格控制费用的支出。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二是严格控制“三公经费”支出，杜绝挪用和挤占其他预算资金；进一步细化“三公经费”管理，压缩“三公经费”支出。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三是预算财务分析常态化，定期做好预算支出财务分析，做好部门整体支出预算评价工作。</w:t>
            </w:r>
          </w:p>
          <w:p>
            <w:pPr>
              <w:spacing w:line="560" w:lineRule="exact"/>
              <w:ind w:firstLine="640" w:firstLineChars="200"/>
              <w:rPr>
                <w:rFonts w:ascii="仿宋_GB2312" w:hAnsi="宋体" w:eastAsia="仿宋_GB2312" w:cs="宋体"/>
                <w:sz w:val="32"/>
                <w:szCs w:val="32"/>
                <w:shd w:val="clear" w:color="auto" w:fill="FFFFFF"/>
              </w:rPr>
            </w:pPr>
          </w:p>
          <w:p>
            <w:pPr>
              <w:rPr>
                <w:rFonts w:eastAsia="楷体_GB2312"/>
                <w:bCs/>
                <w:sz w:val="28"/>
                <w:szCs w:val="28"/>
              </w:rPr>
            </w:pPr>
          </w:p>
        </w:tc>
      </w:tr>
    </w:tbl>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line="200" w:lineRule="exact"/>
        <w:rPr>
          <w:rFonts w:eastAsia="仿宋_GB2312"/>
          <w:sz w:val="32"/>
        </w:rPr>
      </w:pPr>
    </w:p>
    <w:p>
      <w:pPr>
        <w:spacing w:line="200" w:lineRule="exact"/>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w:t>
    </w:r>
    <w:r>
      <w:rPr>
        <w:rStyle w:val="7"/>
        <w:sz w:val="24"/>
        <w:szCs w:val="24"/>
      </w:rPr>
      <w:fldChar w:fldCharType="end"/>
    </w:r>
    <w:r>
      <w:rPr>
        <w:rStyle w:val="7"/>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12</w:t>
    </w:r>
    <w:r>
      <w:rPr>
        <w:rStyle w:val="7"/>
        <w:sz w:val="24"/>
        <w:szCs w:val="24"/>
      </w:rPr>
      <w:fldChar w:fldCharType="end"/>
    </w:r>
    <w:r>
      <w:rPr>
        <w:rStyle w:val="7"/>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E55C20"/>
    <w:rsid w:val="0000059C"/>
    <w:rsid w:val="00055D8D"/>
    <w:rsid w:val="00097D34"/>
    <w:rsid w:val="000A1814"/>
    <w:rsid w:val="000E4BF0"/>
    <w:rsid w:val="001300D0"/>
    <w:rsid w:val="00241C13"/>
    <w:rsid w:val="0025232D"/>
    <w:rsid w:val="0027219E"/>
    <w:rsid w:val="00274797"/>
    <w:rsid w:val="002D1996"/>
    <w:rsid w:val="00331404"/>
    <w:rsid w:val="00357FB5"/>
    <w:rsid w:val="00411996"/>
    <w:rsid w:val="00452CA5"/>
    <w:rsid w:val="00474A5A"/>
    <w:rsid w:val="004E79C2"/>
    <w:rsid w:val="00553DC3"/>
    <w:rsid w:val="005808EE"/>
    <w:rsid w:val="005A40D9"/>
    <w:rsid w:val="006138AC"/>
    <w:rsid w:val="00650D29"/>
    <w:rsid w:val="00651D1E"/>
    <w:rsid w:val="006623A4"/>
    <w:rsid w:val="006631AE"/>
    <w:rsid w:val="006C2B78"/>
    <w:rsid w:val="007009A0"/>
    <w:rsid w:val="00757E19"/>
    <w:rsid w:val="00760098"/>
    <w:rsid w:val="007701A6"/>
    <w:rsid w:val="007712B1"/>
    <w:rsid w:val="007A0539"/>
    <w:rsid w:val="007B2063"/>
    <w:rsid w:val="007C6066"/>
    <w:rsid w:val="008277A9"/>
    <w:rsid w:val="008424EF"/>
    <w:rsid w:val="00856EF7"/>
    <w:rsid w:val="0086661D"/>
    <w:rsid w:val="008A0584"/>
    <w:rsid w:val="009603AD"/>
    <w:rsid w:val="009A3479"/>
    <w:rsid w:val="009B7D9D"/>
    <w:rsid w:val="009E10D9"/>
    <w:rsid w:val="009F5F50"/>
    <w:rsid w:val="00AB3957"/>
    <w:rsid w:val="00AC6FAF"/>
    <w:rsid w:val="00B120F2"/>
    <w:rsid w:val="00B67461"/>
    <w:rsid w:val="00B77AC6"/>
    <w:rsid w:val="00B85254"/>
    <w:rsid w:val="00B93875"/>
    <w:rsid w:val="00BB01B8"/>
    <w:rsid w:val="00BB10D0"/>
    <w:rsid w:val="00BF1BA5"/>
    <w:rsid w:val="00C37A0E"/>
    <w:rsid w:val="00C625F3"/>
    <w:rsid w:val="00C97EDF"/>
    <w:rsid w:val="00DC6B48"/>
    <w:rsid w:val="00E91D8A"/>
    <w:rsid w:val="00E93F00"/>
    <w:rsid w:val="00EF56DE"/>
    <w:rsid w:val="00F14D13"/>
    <w:rsid w:val="00F37591"/>
    <w:rsid w:val="00F9312E"/>
    <w:rsid w:val="083749E7"/>
    <w:rsid w:val="0DE528CD"/>
    <w:rsid w:val="0F6324A7"/>
    <w:rsid w:val="0F7E7BA0"/>
    <w:rsid w:val="14E56FC9"/>
    <w:rsid w:val="1519119D"/>
    <w:rsid w:val="18725427"/>
    <w:rsid w:val="1D4F6251"/>
    <w:rsid w:val="263C173A"/>
    <w:rsid w:val="2CA33441"/>
    <w:rsid w:val="2CE55C20"/>
    <w:rsid w:val="2F287302"/>
    <w:rsid w:val="30426D13"/>
    <w:rsid w:val="327E5258"/>
    <w:rsid w:val="3A43255A"/>
    <w:rsid w:val="3D6201A1"/>
    <w:rsid w:val="477245B4"/>
    <w:rsid w:val="4E3E2CCA"/>
    <w:rsid w:val="4E4F0BB0"/>
    <w:rsid w:val="5BE95901"/>
    <w:rsid w:val="6A0A15CD"/>
    <w:rsid w:val="6DF352BD"/>
    <w:rsid w:val="705E3E6D"/>
    <w:rsid w:val="71C1048A"/>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uiPriority w:val="99"/>
    <w:pPr>
      <w:ind w:firstLine="588" w:firstLineChars="200"/>
    </w:pPr>
    <w:rPr>
      <w:rFonts w:ascii="仿宋_GB2312" w:hAnsi="Calibri" w:eastAsia="仿宋_GB2312"/>
      <w:sz w:val="32"/>
    </w:rPr>
  </w:style>
  <w:style w:type="paragraph" w:styleId="3">
    <w:name w:val="footer"/>
    <w:basedOn w:val="1"/>
    <w:link w:val="9"/>
    <w:uiPriority w:val="99"/>
    <w:pPr>
      <w:tabs>
        <w:tab w:val="center" w:pos="4153"/>
        <w:tab w:val="right" w:pos="8306"/>
      </w:tabs>
      <w:snapToGrid w:val="0"/>
      <w:jc w:val="left"/>
    </w:pPr>
    <w:rPr>
      <w:kern w:val="0"/>
      <w:sz w:val="18"/>
      <w:szCs w:val="18"/>
    </w:rPr>
  </w:style>
  <w:style w:type="paragraph" w:styleId="4">
    <w:name w:val="header"/>
    <w:basedOn w:val="1"/>
    <w:link w:val="11"/>
    <w:semiHidden/>
    <w:unhideWhenUsed/>
    <w:lock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正文文本缩进 2 Char"/>
    <w:basedOn w:val="6"/>
    <w:link w:val="2"/>
    <w:semiHidden/>
    <w:locked/>
    <w:uiPriority w:val="99"/>
    <w:rPr>
      <w:rFonts w:cs="Times New Roman"/>
      <w:sz w:val="24"/>
      <w:szCs w:val="24"/>
    </w:rPr>
  </w:style>
  <w:style w:type="character" w:customStyle="1" w:styleId="9">
    <w:name w:val="页脚 Char"/>
    <w:basedOn w:val="6"/>
    <w:link w:val="3"/>
    <w:semiHidden/>
    <w:qFormat/>
    <w:locked/>
    <w:uiPriority w:val="99"/>
    <w:rPr>
      <w:rFonts w:cs="Times New Roman"/>
      <w:sz w:val="18"/>
      <w:szCs w:val="18"/>
    </w:rPr>
  </w:style>
  <w:style w:type="character" w:customStyle="1" w:styleId="10">
    <w:name w:val="标题 3 Char Char"/>
    <w:uiPriority w:val="99"/>
    <w:rPr>
      <w:rFonts w:eastAsia="楷体_GB2312"/>
      <w:b/>
      <w:kern w:val="2"/>
      <w:sz w:val="24"/>
      <w:lang w:val="en-US" w:eastAsia="zh-CN"/>
    </w:rPr>
  </w:style>
  <w:style w:type="character" w:customStyle="1" w:styleId="11">
    <w:name w:val="页眉 Char"/>
    <w:basedOn w:val="6"/>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1058</Words>
  <Characters>6035</Characters>
  <Lines>50</Lines>
  <Paragraphs>14</Paragraphs>
  <TotalTime>35</TotalTime>
  <ScaleCrop>false</ScaleCrop>
  <LinksUpToDate>false</LinksUpToDate>
  <CharactersWithSpaces>7079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2021-07-29T00:26:51Z</cp:lastPrinted>
  <dcterms:modified xsi:type="dcterms:W3CDTF">2021-07-29T00:28:58Z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CC08C2C26F314009BC222AC4C57FA93E</vt:lpwstr>
  </property>
</Properties>
</file>